
<file path=[Content_Types].xml><?xml version="1.0" encoding="utf-8"?>
<Types xmlns="http://schemas.openxmlformats.org/package/2006/content-types">
  <Default Extension="xml" ContentType="application/xml"/>
  <Default Extension="xlsx" ContentType="application/vnd.openxmlformats-officedocument.spreadsheetml.sheet"/>
  <Default Extension="bin" ContentType="application/vnd.openxmlformats-officedocument.oleObject"/>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9EB68D">
      <w:pPr>
        <w:outlineLvl w:val="9"/>
        <w:rPr>
          <w:rFonts w:ascii="Times New Roman" w:hAnsi="Times New Roman"/>
        </w:rPr>
      </w:pPr>
      <w:bookmarkStart w:id="0" w:name="_Toc15377193"/>
      <w:bookmarkStart w:id="1" w:name="_Toc15396597"/>
      <w:bookmarkStart w:id="2" w:name="_Toc15377425"/>
      <w:bookmarkStart w:id="3" w:name="_Toc15378441"/>
      <w:bookmarkStart w:id="4" w:name="_Toc15396475"/>
      <w:bookmarkStart w:id="5" w:name="_Toc15306267"/>
    </w:p>
    <w:p w14:paraId="3138695E">
      <w:pPr>
        <w:pStyle w:val="6"/>
        <w:jc w:val="left"/>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附件4</w:t>
      </w:r>
    </w:p>
    <w:p w14:paraId="1B5A2C6E">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14:paraId="68973072">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14:paraId="173AEAA4">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p w14:paraId="0FD7CA27">
      <w:pPr>
        <w:pStyle w:val="6"/>
        <w:jc w:val="center"/>
        <w:rPr>
          <w:rFonts w:hint="eastAsia" w:ascii="Times New Roman" w:hAnsi="Times New Roman" w:eastAsia="方正小标宋简体" w:cs="Times New Roman"/>
          <w:color w:val="auto"/>
          <w:kern w:val="2"/>
          <w:sz w:val="44"/>
          <w:szCs w:val="44"/>
          <w:highlight w:val="none"/>
          <w:lang w:val="en-US" w:eastAsia="zh-CN" w:bidi="ar-SA"/>
        </w:rPr>
      </w:pPr>
      <w:bookmarkStart w:id="6" w:name="_Toc15377426"/>
      <w:bookmarkStart w:id="7" w:name="_Toc15378442"/>
      <w:bookmarkStart w:id="8" w:name="_Toc15396598"/>
      <w:bookmarkStart w:id="9" w:name="_Toc15396476"/>
      <w:bookmarkStart w:id="10" w:name="_Toc15377194"/>
      <w:r>
        <w:rPr>
          <w:rFonts w:hint="eastAsia" w:ascii="Times New Roman" w:hAnsi="Times New Roman" w:eastAsia="方正小标宋简体" w:cs="Times New Roman"/>
          <w:color w:val="auto"/>
          <w:kern w:val="2"/>
          <w:sz w:val="44"/>
          <w:szCs w:val="44"/>
          <w:highlight w:val="none"/>
          <w:lang w:val="en-US" w:eastAsia="zh-CN" w:bidi="ar-SA"/>
        </w:rPr>
        <w:t>202</w:t>
      </w:r>
      <w:r>
        <w:rPr>
          <w:rFonts w:hint="eastAsia" w:ascii="Times New Roman" w:eastAsia="方正小标宋简体" w:cs="Times New Roman"/>
          <w:color w:val="auto"/>
          <w:kern w:val="2"/>
          <w:sz w:val="44"/>
          <w:szCs w:val="44"/>
          <w:highlight w:val="none"/>
          <w:lang w:val="en-US" w:eastAsia="zh-CN" w:bidi="ar-SA"/>
        </w:rPr>
        <w:t>5</w:t>
      </w:r>
      <w:r>
        <w:rPr>
          <w:rFonts w:hint="eastAsia" w:ascii="Times New Roman" w:hAnsi="Times New Roman" w:eastAsia="方正小标宋简体" w:cs="Times New Roman"/>
          <w:color w:val="auto"/>
          <w:kern w:val="2"/>
          <w:sz w:val="44"/>
          <w:szCs w:val="44"/>
          <w:highlight w:val="none"/>
          <w:lang w:val="en-US" w:eastAsia="zh-CN" w:bidi="ar-SA"/>
        </w:rPr>
        <w:t>年度四川省</w:t>
      </w:r>
      <w:bookmarkEnd w:id="5"/>
      <w:bookmarkStart w:id="11" w:name="_Toc15306268"/>
      <w:r>
        <w:rPr>
          <w:rFonts w:hint="eastAsia" w:ascii="方正小标宋简体" w:eastAsia="方正小标宋简体" w:cs="Times New Roman"/>
          <w:color w:val="auto"/>
          <w:kern w:val="2"/>
          <w:sz w:val="44"/>
          <w:szCs w:val="44"/>
          <w:highlight w:val="none"/>
          <w:lang w:val="en-US" w:eastAsia="zh-CN" w:bidi="ar-SA"/>
        </w:rPr>
        <w:t>威州民族师范学校附属小学校</w:t>
      </w:r>
      <w:r>
        <w:rPr>
          <w:rFonts w:hint="eastAsia" w:ascii="Times New Roman" w:hAnsi="Times New Roman" w:eastAsia="方正小标宋简体" w:cs="Times New Roman"/>
          <w:color w:val="auto"/>
          <w:kern w:val="2"/>
          <w:sz w:val="44"/>
          <w:szCs w:val="44"/>
          <w:highlight w:val="none"/>
          <w:lang w:val="en-US" w:eastAsia="zh-CN" w:bidi="ar-SA"/>
        </w:rPr>
        <w:t>决算</w:t>
      </w:r>
      <w:bookmarkEnd w:id="6"/>
      <w:bookmarkEnd w:id="7"/>
      <w:bookmarkEnd w:id="8"/>
      <w:bookmarkEnd w:id="9"/>
      <w:bookmarkEnd w:id="10"/>
      <w:bookmarkEnd w:id="11"/>
    </w:p>
    <w:p w14:paraId="3658D9CB">
      <w:pPr>
        <w:widowControl/>
        <w:jc w:val="center"/>
        <w:rPr>
          <w:rFonts w:ascii="Times New Roman" w:hAnsi="Times New Roman" w:eastAsia="黑体"/>
          <w:color w:val="auto"/>
          <w:sz w:val="48"/>
          <w:szCs w:val="48"/>
          <w:highlight w:val="none"/>
        </w:rPr>
      </w:pPr>
      <w:r>
        <w:rPr>
          <w:rFonts w:ascii="Times New Roman" w:hAnsi="Times New Roman" w:eastAsia="方正小标宋简体"/>
          <w:color w:val="auto"/>
          <w:sz w:val="36"/>
          <w:szCs w:val="36"/>
          <w:highlight w:val="none"/>
        </w:rPr>
        <w:br w:type="page"/>
      </w:r>
      <w:r>
        <w:rPr>
          <w:rFonts w:hint="eastAsia" w:ascii="Times New Roman" w:hAnsi="Times New Roman" w:eastAsia="黑体"/>
          <w:color w:val="auto"/>
          <w:sz w:val="48"/>
          <w:szCs w:val="48"/>
          <w:highlight w:val="none"/>
        </w:rPr>
        <w:t>目录</w:t>
      </w:r>
    </w:p>
    <w:p w14:paraId="4E394E59">
      <w:pPr>
        <w:widowControl/>
        <w:jc w:val="center"/>
        <w:rPr>
          <w:rFonts w:ascii="Times New Roman" w:hAnsi="Times New Roman" w:eastAsia="黑体" w:cs="Arial"/>
          <w:color w:val="auto"/>
          <w:sz w:val="28"/>
          <w:szCs w:val="28"/>
          <w:highlight w:val="none"/>
        </w:rPr>
      </w:pPr>
    </w:p>
    <w:p w14:paraId="5B73BA21">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w:t>
      </w:r>
      <w:r>
        <w:rPr>
          <w:rFonts w:hint="eastAsia" w:ascii="Times New Roman" w:eastAsia="仿宋_GB2312" w:cs="仿宋_GB2312"/>
          <w:color w:val="auto"/>
          <w:sz w:val="32"/>
          <w:szCs w:val="32"/>
          <w:highlight w:val="none"/>
          <w:lang w:val="en-US" w:eastAsia="zh-CN"/>
        </w:rPr>
        <w:t>6</w:t>
      </w:r>
      <w:r>
        <w:rPr>
          <w:rFonts w:hint="eastAsia" w:ascii="Times New Roman" w:hAnsi="Times New Roman" w:eastAsia="仿宋_GB2312" w:cs="仿宋_GB2312"/>
          <w:color w:val="auto"/>
          <w:sz w:val="32"/>
          <w:szCs w:val="32"/>
          <w:highlight w:val="none"/>
        </w:rPr>
        <w:t>年</w:t>
      </w:r>
      <w:r>
        <w:rPr>
          <w:rFonts w:hint="eastAsia" w:ascii="Times New Roman" w:eastAsia="仿宋_GB2312" w:cs="仿宋_GB2312"/>
          <w:color w:val="auto"/>
          <w:sz w:val="32"/>
          <w:szCs w:val="32"/>
          <w:highlight w:val="none"/>
          <w:lang w:val="en-US" w:eastAsia="zh-CN"/>
        </w:rPr>
        <w:t>9</w:t>
      </w:r>
      <w:r>
        <w:rPr>
          <w:rFonts w:hint="eastAsia" w:ascii="Times New Roman" w:hAnsi="Times New Roman" w:eastAsia="仿宋_GB2312" w:cs="仿宋_GB2312"/>
          <w:color w:val="auto"/>
          <w:sz w:val="32"/>
          <w:szCs w:val="32"/>
          <w:highlight w:val="none"/>
        </w:rPr>
        <w:t>月</w:t>
      </w:r>
      <w:r>
        <w:rPr>
          <w:rFonts w:hint="eastAsia" w:ascii="Times New Roman" w:eastAsia="仿宋_GB2312" w:cs="仿宋_GB2312"/>
          <w:color w:val="auto"/>
          <w:sz w:val="32"/>
          <w:szCs w:val="32"/>
          <w:highlight w:val="none"/>
          <w:lang w:val="en-US" w:eastAsia="zh-CN"/>
        </w:rPr>
        <w:t>18</w:t>
      </w:r>
      <w:r>
        <w:rPr>
          <w:rFonts w:hint="eastAsia" w:ascii="Times New Roman" w:hAnsi="Times New Roman" w:eastAsia="仿宋_GB2312" w:cs="仿宋_GB2312"/>
          <w:color w:val="auto"/>
          <w:sz w:val="32"/>
          <w:szCs w:val="32"/>
          <w:highlight w:val="none"/>
        </w:rPr>
        <w:t>日</w:t>
      </w:r>
    </w:p>
    <w:p w14:paraId="2439A8E3">
      <w:pPr>
        <w:rPr>
          <w:rFonts w:ascii="Times New Roman" w:hAnsi="Times New Roman"/>
          <w:color w:val="auto"/>
          <w:highlight w:val="none"/>
        </w:rPr>
      </w:pPr>
    </w:p>
    <w:p w14:paraId="20C2AE8D"/>
    <w:p w14:paraId="3D036399">
      <w:pPr>
        <w:pStyle w:val="13"/>
        <w:keepNext w:val="0"/>
        <w:keepLines w:val="0"/>
        <w:pageBreakBefore w:val="0"/>
        <w:widowControl w:val="0"/>
        <w:kinsoku/>
        <w:wordWrap/>
        <w:overflowPunct/>
        <w:topLinePunct w:val="0"/>
        <w:autoSpaceDE/>
        <w:autoSpaceDN/>
        <w:bidi w:val="0"/>
        <w:adjustRightInd w:val="0"/>
        <w:snapToGrid w:val="0"/>
        <w:spacing w:before="0" w:line="560" w:lineRule="exact"/>
        <w:jc w:val="left"/>
        <w:textAlignment w:val="auto"/>
        <w:outlineLvl w:val="0"/>
        <w:rPr>
          <w:rFonts w:hint="default" w:ascii="Times New Roman" w:hAnsi="Times New Roman" w:eastAsia="黑体" w:cs="黑体"/>
          <w:color w:val="auto"/>
          <w:sz w:val="32"/>
          <w:szCs w:val="32"/>
          <w:highlight w:val="none"/>
          <w:lang w:val="en-US" w:eastAsia="zh-CN"/>
        </w:rPr>
      </w:pPr>
      <w:bookmarkStart w:id="12" w:name="_Toc12438"/>
      <w:r>
        <w:rPr>
          <w:rFonts w:hint="eastAsia" w:ascii="Times New Roman" w:hAnsi="Times New Roman" w:eastAsia="黑体" w:cs="黑体"/>
          <w:color w:val="auto"/>
          <w:sz w:val="32"/>
          <w:szCs w:val="32"/>
          <w:highlight w:val="none"/>
        </w:rPr>
        <w:t>第一部分 部门概况</w:t>
      </w:r>
      <w:bookmarkEnd w:id="12"/>
      <w:r>
        <w:rPr>
          <w:rFonts w:hint="eastAsia" w:ascii="Times New Roman" w:eastAsia="黑体" w:cs="黑体"/>
          <w:color w:val="auto"/>
          <w:sz w:val="32"/>
          <w:szCs w:val="32"/>
          <w:highlight w:val="none"/>
          <w:lang w:val="en-US" w:eastAsia="zh-CN"/>
        </w:rPr>
        <w:t>.................................................................1</w:t>
      </w:r>
    </w:p>
    <w:p w14:paraId="4E98DB78">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r>
        <w:rPr>
          <w:rFonts w:hint="eastAsia" w:eastAsia="仿宋_GB2312" w:cs="仿宋_GB2312"/>
          <w:color w:val="auto"/>
          <w:sz w:val="32"/>
          <w:szCs w:val="32"/>
          <w:highlight w:val="none"/>
          <w:lang w:val="en-US" w:eastAsia="zh-CN"/>
        </w:rPr>
        <w:t>...................................................................1</w:t>
      </w:r>
    </w:p>
    <w:p w14:paraId="227AEA9C">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二、机构设置</w:t>
      </w:r>
      <w:r>
        <w:rPr>
          <w:rFonts w:hint="eastAsia" w:eastAsia="仿宋_GB2312" w:cs="仿宋_GB2312"/>
          <w:color w:val="auto"/>
          <w:sz w:val="32"/>
          <w:szCs w:val="32"/>
          <w:highlight w:val="none"/>
          <w:lang w:val="en-US" w:eastAsia="zh-CN"/>
        </w:rPr>
        <w:t>...................................................................1</w:t>
      </w:r>
    </w:p>
    <w:p w14:paraId="5B43000D">
      <w:pPr>
        <w:pStyle w:val="13"/>
        <w:keepNext w:val="0"/>
        <w:keepLines w:val="0"/>
        <w:pageBreakBefore w:val="0"/>
        <w:widowControl w:val="0"/>
        <w:kinsoku/>
        <w:wordWrap/>
        <w:overflowPunct/>
        <w:topLinePunct w:val="0"/>
        <w:autoSpaceDE/>
        <w:autoSpaceDN/>
        <w:bidi w:val="0"/>
        <w:adjustRightInd w:val="0"/>
        <w:snapToGrid w:val="0"/>
        <w:spacing w:before="0" w:line="560" w:lineRule="exact"/>
        <w:jc w:val="left"/>
        <w:textAlignment w:val="auto"/>
        <w:outlineLvl w:val="0"/>
        <w:rPr>
          <w:rFonts w:hint="default" w:ascii="Times New Roman" w:hAnsi="Times New Roman" w:eastAsia="黑体" w:cs="黑体"/>
          <w:color w:val="auto"/>
          <w:sz w:val="32"/>
          <w:szCs w:val="32"/>
          <w:highlight w:val="none"/>
          <w:lang w:val="en-US" w:eastAsia="zh-CN"/>
        </w:rPr>
      </w:pPr>
      <w:bookmarkStart w:id="13" w:name="_Toc8306"/>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w:t>
      </w:r>
      <w:r>
        <w:rPr>
          <w:rFonts w:hint="eastAsia" w:ascii="Times New Roman" w:eastAsia="黑体" w:cs="黑体"/>
          <w:color w:val="auto"/>
          <w:sz w:val="32"/>
          <w:szCs w:val="32"/>
          <w:highlight w:val="none"/>
          <w:lang w:val="en-US" w:eastAsia="zh-CN"/>
        </w:rPr>
        <w:t>5</w:t>
      </w:r>
      <w:r>
        <w:rPr>
          <w:rFonts w:hint="eastAsia" w:ascii="Times New Roman" w:hAnsi="Times New Roman" w:eastAsia="黑体" w:cs="黑体"/>
          <w:color w:val="auto"/>
          <w:sz w:val="32"/>
          <w:szCs w:val="32"/>
          <w:highlight w:val="none"/>
          <w:lang w:val="en-US" w:eastAsia="zh-CN"/>
        </w:rPr>
        <w:t>年度</w:t>
      </w:r>
      <w:r>
        <w:rPr>
          <w:rFonts w:hint="eastAsia" w:ascii="Times New Roman" w:hAnsi="Times New Roman" w:eastAsia="黑体" w:cs="黑体"/>
          <w:color w:val="auto"/>
          <w:sz w:val="32"/>
          <w:szCs w:val="32"/>
          <w:highlight w:val="none"/>
        </w:rPr>
        <w:t>部门决算情况说明</w:t>
      </w:r>
      <w:bookmarkEnd w:id="13"/>
      <w:r>
        <w:rPr>
          <w:rFonts w:hint="eastAsia" w:ascii="Times New Roman" w:eastAsia="黑体" w:cs="黑体"/>
          <w:color w:val="auto"/>
          <w:sz w:val="32"/>
          <w:szCs w:val="32"/>
          <w:highlight w:val="none"/>
          <w:lang w:val="en-US" w:eastAsia="zh-CN"/>
        </w:rPr>
        <w:t>................................2</w:t>
      </w:r>
    </w:p>
    <w:p w14:paraId="2DB661AD">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一、收入支出决算总体情况说明</w:t>
      </w:r>
      <w:r>
        <w:rPr>
          <w:rFonts w:hint="eastAsia" w:eastAsia="仿宋_GB2312" w:cs="仿宋_GB2312"/>
          <w:color w:val="auto"/>
          <w:sz w:val="32"/>
          <w:szCs w:val="32"/>
          <w:highlight w:val="none"/>
          <w:lang w:val="en-US" w:eastAsia="zh-CN"/>
        </w:rPr>
        <w:t>...................................2</w:t>
      </w:r>
    </w:p>
    <w:p w14:paraId="54264FBA">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二、收入决算情况说明</w:t>
      </w:r>
      <w:r>
        <w:rPr>
          <w:rFonts w:hint="eastAsia" w:eastAsia="仿宋_GB2312" w:cs="仿宋_GB2312"/>
          <w:color w:val="auto"/>
          <w:sz w:val="32"/>
          <w:szCs w:val="32"/>
          <w:highlight w:val="none"/>
          <w:lang w:val="en-US" w:eastAsia="zh-CN"/>
        </w:rPr>
        <w:t>...................................................2</w:t>
      </w:r>
    </w:p>
    <w:p w14:paraId="688B93B2">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三、支出决算情况说明</w:t>
      </w:r>
      <w:r>
        <w:rPr>
          <w:rFonts w:hint="eastAsia" w:eastAsia="仿宋_GB2312" w:cs="仿宋_GB2312"/>
          <w:color w:val="auto"/>
          <w:sz w:val="32"/>
          <w:szCs w:val="32"/>
          <w:highlight w:val="none"/>
          <w:lang w:val="en-US" w:eastAsia="zh-CN"/>
        </w:rPr>
        <w:t>...................................................3</w:t>
      </w:r>
    </w:p>
    <w:p w14:paraId="2DF37311">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四、财政拨款收入支出决算总体情况说明</w:t>
      </w:r>
      <w:r>
        <w:rPr>
          <w:rFonts w:hint="eastAsia" w:eastAsia="仿宋_GB2312" w:cs="仿宋_GB2312"/>
          <w:color w:val="auto"/>
          <w:sz w:val="32"/>
          <w:szCs w:val="32"/>
          <w:highlight w:val="none"/>
          <w:lang w:val="en-US" w:eastAsia="zh-CN"/>
        </w:rPr>
        <w:t>...................4</w:t>
      </w:r>
    </w:p>
    <w:p w14:paraId="39DBF42A">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五、一般公共预算财政拨款支出决算情况说明</w:t>
      </w:r>
      <w:r>
        <w:rPr>
          <w:rFonts w:hint="eastAsia" w:eastAsia="仿宋_GB2312" w:cs="仿宋_GB2312"/>
          <w:color w:val="auto"/>
          <w:sz w:val="32"/>
          <w:szCs w:val="32"/>
          <w:highlight w:val="none"/>
          <w:lang w:val="en-US" w:eastAsia="zh-CN"/>
        </w:rPr>
        <w:t>...........4</w:t>
      </w:r>
    </w:p>
    <w:p w14:paraId="25746905">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六、一般公共预算财政拨款基本支出决算情况说明</w:t>
      </w:r>
      <w:r>
        <w:rPr>
          <w:rFonts w:hint="eastAsia" w:eastAsia="仿宋_GB2312" w:cs="仿宋_GB2312"/>
          <w:color w:val="auto"/>
          <w:sz w:val="32"/>
          <w:szCs w:val="32"/>
          <w:highlight w:val="none"/>
          <w:lang w:val="en-US" w:eastAsia="zh-CN"/>
        </w:rPr>
        <w:t>...7</w:t>
      </w:r>
    </w:p>
    <w:p w14:paraId="450DDDBD">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r>
        <w:rPr>
          <w:rFonts w:hint="eastAsia" w:eastAsia="仿宋_GB2312" w:cs="仿宋_GB2312"/>
          <w:color w:val="auto"/>
          <w:sz w:val="32"/>
          <w:szCs w:val="32"/>
          <w:highlight w:val="none"/>
          <w:lang w:val="en-US" w:eastAsia="zh-CN"/>
        </w:rPr>
        <w:t>...........7</w:t>
      </w:r>
    </w:p>
    <w:p w14:paraId="79B14E92">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八、政府性基金预算支出决算情况说明</w:t>
      </w:r>
      <w:r>
        <w:rPr>
          <w:rFonts w:hint="eastAsia" w:eastAsia="仿宋_GB2312" w:cs="仿宋_GB2312"/>
          <w:color w:val="auto"/>
          <w:sz w:val="32"/>
          <w:szCs w:val="32"/>
          <w:highlight w:val="none"/>
          <w:lang w:val="en-US" w:eastAsia="zh-CN"/>
        </w:rPr>
        <w:t>.......................9</w:t>
      </w:r>
    </w:p>
    <w:p w14:paraId="5559C637">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r>
        <w:rPr>
          <w:rFonts w:hint="eastAsia" w:eastAsia="仿宋_GB2312" w:cs="仿宋_GB2312"/>
          <w:color w:val="auto"/>
          <w:sz w:val="32"/>
          <w:szCs w:val="32"/>
          <w:highlight w:val="none"/>
          <w:lang w:val="en-US" w:eastAsia="zh-CN"/>
        </w:rPr>
        <w:t>...................9</w:t>
      </w:r>
    </w:p>
    <w:p w14:paraId="21A3E77D">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r>
        <w:rPr>
          <w:rFonts w:hint="eastAsia" w:eastAsia="仿宋_GB2312" w:cs="仿宋_GB2312"/>
          <w:color w:val="auto"/>
          <w:sz w:val="32"/>
          <w:szCs w:val="32"/>
          <w:highlight w:val="none"/>
          <w:lang w:val="en-US" w:eastAsia="zh-CN"/>
        </w:rPr>
        <w:t>.......................................9</w:t>
      </w:r>
    </w:p>
    <w:p w14:paraId="4EC4BC1B">
      <w:pPr>
        <w:pStyle w:val="13"/>
        <w:keepNext w:val="0"/>
        <w:keepLines w:val="0"/>
        <w:pageBreakBefore w:val="0"/>
        <w:widowControl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第三部分 名词解释</w:t>
      </w:r>
      <w:r>
        <w:rPr>
          <w:rFonts w:hint="eastAsia" w:ascii="Times New Roman" w:eastAsia="黑体" w:cs="黑体"/>
          <w:color w:val="auto"/>
          <w:sz w:val="32"/>
          <w:szCs w:val="32"/>
          <w:highlight w:val="none"/>
          <w:lang w:val="en-US" w:eastAsia="zh-CN"/>
        </w:rPr>
        <w:t>...............................................................12</w:t>
      </w:r>
    </w:p>
    <w:p w14:paraId="0D003D5F">
      <w:pPr>
        <w:pStyle w:val="13"/>
        <w:keepNext w:val="0"/>
        <w:keepLines w:val="0"/>
        <w:pageBreakBefore w:val="0"/>
        <w:widowControl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第四部分 附件</w:t>
      </w:r>
      <w:r>
        <w:rPr>
          <w:rFonts w:hint="eastAsia" w:ascii="Times New Roman" w:eastAsia="黑体" w:cs="黑体"/>
          <w:color w:val="auto"/>
          <w:sz w:val="32"/>
          <w:szCs w:val="32"/>
          <w:highlight w:val="none"/>
          <w:lang w:val="en-US" w:eastAsia="zh-CN"/>
        </w:rPr>
        <w:t>.......................................................................15</w:t>
      </w:r>
    </w:p>
    <w:p w14:paraId="583A10DD">
      <w:pPr>
        <w:pStyle w:val="13"/>
        <w:keepNext w:val="0"/>
        <w:keepLines w:val="0"/>
        <w:pageBreakBefore w:val="0"/>
        <w:widowControl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第五部分 附表</w:t>
      </w:r>
      <w:r>
        <w:rPr>
          <w:rFonts w:hint="eastAsia" w:ascii="Times New Roman" w:eastAsia="黑体" w:cs="黑体"/>
          <w:color w:val="auto"/>
          <w:sz w:val="32"/>
          <w:szCs w:val="32"/>
          <w:highlight w:val="none"/>
          <w:lang w:val="en-US" w:eastAsia="zh-CN"/>
        </w:rPr>
        <w:t>.......................................................................29</w:t>
      </w:r>
    </w:p>
    <w:p w14:paraId="008A6324">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14:paraId="2346559F">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14:paraId="698B718D">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14:paraId="7BD27D4D">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14:paraId="38F20B5C">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14:paraId="47ED4951">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14:paraId="2EE934C4">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14:paraId="322BE946">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14:paraId="77C7F5E2">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14:paraId="214B6C5A">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14:paraId="0F5E2336">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14:paraId="59C6E855">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14:paraId="47F4E57A">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14:paraId="5DA5F048">
      <w:pPr>
        <w:pStyle w:val="2"/>
        <w:jc w:val="center"/>
        <w:rPr>
          <w:rFonts w:hint="eastAsia" w:ascii="Times New Roman" w:hAnsi="Times New Roman" w:eastAsia="方正小标宋简体" w:cs="方正小标宋简体"/>
          <w:b w:val="0"/>
          <w:color w:val="auto"/>
          <w:highlight w:val="none"/>
        </w:rPr>
        <w:sectPr>
          <w:headerReference r:id="rId3" w:type="default"/>
          <w:footerReference r:id="rId4" w:type="default"/>
          <w:pgSz w:w="11906" w:h="16838"/>
          <w:pgMar w:top="1440" w:right="1800" w:bottom="1440" w:left="1800" w:header="851" w:footer="992" w:gutter="0"/>
          <w:pgNumType w:fmt="numberInDash" w:start="1"/>
          <w:cols w:space="720" w:num="1"/>
          <w:titlePg/>
          <w:docGrid w:type="lines" w:linePitch="312" w:charSpace="0"/>
        </w:sectPr>
      </w:pPr>
      <w:bookmarkStart w:id="14" w:name="_Toc15377196"/>
      <w:bookmarkStart w:id="15" w:name="_Toc15396599"/>
    </w:p>
    <w:p w14:paraId="78876EC5">
      <w:pPr>
        <w:pStyle w:val="2"/>
        <w:jc w:val="center"/>
        <w:rPr>
          <w:rStyle w:val="21"/>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1"/>
          <w:rFonts w:hint="eastAsia" w:ascii="Times New Roman" w:hAnsi="Times New Roman" w:eastAsia="方正小标宋简体" w:cs="方正小标宋简体"/>
          <w:b w:val="0"/>
          <w:bCs w:val="0"/>
          <w:color w:val="auto"/>
          <w:highlight w:val="none"/>
        </w:rPr>
        <w:t>部门概况</w:t>
      </w:r>
      <w:bookmarkEnd w:id="14"/>
      <w:bookmarkEnd w:id="15"/>
    </w:p>
    <w:p w14:paraId="1062BF1F">
      <w:pPr>
        <w:widowControl/>
        <w:jc w:val="left"/>
        <w:rPr>
          <w:rFonts w:ascii="Times New Roman" w:hAnsi="Times New Roman" w:eastAsia="黑体"/>
          <w:color w:val="auto"/>
          <w:sz w:val="32"/>
          <w:szCs w:val="32"/>
          <w:highlight w:val="none"/>
        </w:rPr>
      </w:pPr>
    </w:p>
    <w:p w14:paraId="1C4B3393">
      <w:pPr>
        <w:pStyle w:val="3"/>
        <w:numPr>
          <w:ilvl w:val="0"/>
          <w:numId w:val="1"/>
        </w:numPr>
        <w:ind w:left="640" w:leftChars="0" w:hanging="640" w:firstLineChars="0"/>
        <w:outlineLvl w:val="1"/>
        <w:rPr>
          <w:rFonts w:ascii="Times New Roman" w:hAnsi="Times New Roman" w:eastAsia="黑体"/>
          <w:b w:val="0"/>
          <w:color w:val="auto"/>
          <w:highlight w:val="none"/>
          <w:lang w:eastAsia="zh-CN"/>
        </w:rPr>
      </w:pPr>
      <w:bookmarkStart w:id="16" w:name="_Toc15396600"/>
      <w:bookmarkEnd w:id="16"/>
      <w:bookmarkStart w:id="17" w:name="_Toc15377197"/>
      <w:bookmarkEnd w:id="17"/>
      <w:r>
        <w:rPr>
          <w:rFonts w:hint="eastAsia" w:ascii="Times New Roman" w:hAnsi="Times New Roman" w:eastAsia="黑体"/>
          <w:b w:val="0"/>
          <w:color w:val="auto"/>
          <w:highlight w:val="none"/>
          <w:lang w:eastAsia="zh-CN"/>
        </w:rPr>
        <w:t>部门职责</w:t>
      </w:r>
    </w:p>
    <w:p w14:paraId="19387282">
      <w:pPr>
        <w:ind w:firstLine="800" w:firstLineChars="250"/>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val="en-US" w:eastAsia="zh-CN"/>
        </w:rPr>
        <w:t>在阿坝州教育和体育局的领导下，实施小学义务教育，促进小学教育发展。</w:t>
      </w:r>
    </w:p>
    <w:p w14:paraId="0804FD26">
      <w:pPr>
        <w:pStyle w:val="3"/>
        <w:outlineLvl w:val="1"/>
        <w:rPr>
          <w:rStyle w:val="22"/>
          <w:rFonts w:ascii="Times New Roman" w:hAnsi="Times New Roman"/>
          <w:b w:val="0"/>
          <w:bCs w:val="0"/>
          <w:color w:val="auto"/>
          <w:highlight w:val="none"/>
        </w:rPr>
      </w:pPr>
      <w:bookmarkStart w:id="18" w:name="_Toc15396601"/>
      <w:bookmarkStart w:id="19" w:name="_Toc15377200"/>
      <w:r>
        <w:rPr>
          <w:rFonts w:hint="eastAsia" w:ascii="Times New Roman" w:hAnsi="Times New Roman" w:eastAsia="黑体"/>
          <w:b w:val="0"/>
          <w:color w:val="auto"/>
          <w:highlight w:val="none"/>
        </w:rPr>
        <w:t>二、机</w:t>
      </w:r>
      <w:r>
        <w:rPr>
          <w:rStyle w:val="22"/>
          <w:rFonts w:hint="eastAsia" w:ascii="Times New Roman" w:hAnsi="Times New Roman" w:eastAsia="黑体"/>
          <w:b w:val="0"/>
          <w:bCs w:val="0"/>
          <w:color w:val="auto"/>
          <w:highlight w:val="none"/>
        </w:rPr>
        <w:t>构设置</w:t>
      </w:r>
      <w:bookmarkEnd w:id="18"/>
      <w:bookmarkEnd w:id="19"/>
    </w:p>
    <w:p w14:paraId="644EC7E0">
      <w:pPr>
        <w:ind w:firstLine="800" w:firstLineChars="250"/>
        <w:rPr>
          <w:rFonts w:hint="eastAsia" w:ascii="Times New Roman" w:hAnsi="Times New Roman" w:eastAsia="仿宋_GB2312" w:cs="仿宋_GB2312"/>
          <w:color w:val="auto"/>
          <w:sz w:val="32"/>
          <w:szCs w:val="32"/>
          <w:highlight w:val="none"/>
        </w:rPr>
      </w:pPr>
      <w:r>
        <w:rPr>
          <w:rFonts w:hint="eastAsia" w:ascii="仿宋_GB2312" w:eastAsia="仿宋_GB2312" w:cs="仿宋_GB2312"/>
          <w:color w:val="auto"/>
          <w:sz w:val="32"/>
          <w:szCs w:val="32"/>
          <w:highlight w:val="none"/>
        </w:rPr>
        <w:t>四川省威州民族师范学校附属小学</w:t>
      </w:r>
      <w:bookmarkStart w:id="71" w:name="_GoBack"/>
      <w:bookmarkEnd w:id="71"/>
      <w:r>
        <w:rPr>
          <w:rFonts w:hint="eastAsia" w:ascii="仿宋_GB2312" w:eastAsia="仿宋_GB2312" w:cs="仿宋_GB2312"/>
          <w:color w:val="auto"/>
          <w:sz w:val="32"/>
          <w:szCs w:val="32"/>
          <w:highlight w:val="none"/>
        </w:rPr>
        <w:t>校</w:t>
      </w:r>
      <w:r>
        <w:rPr>
          <w:rFonts w:ascii="仿宋_GB2312" w:eastAsia="仿宋_GB2312" w:cs="仿宋_GB2312"/>
          <w:color w:val="auto"/>
          <w:sz w:val="32"/>
          <w:szCs w:val="32"/>
          <w:highlight w:val="none"/>
        </w:rPr>
        <w:t>属二级预算单位，无</w:t>
      </w:r>
      <w:r>
        <w:rPr>
          <w:rFonts w:hint="eastAsia" w:ascii="Times New Roman" w:hAnsi="Times New Roman" w:eastAsia="仿宋_GB2312" w:cs="仿宋_GB2312"/>
          <w:color w:val="auto"/>
          <w:sz w:val="32"/>
          <w:szCs w:val="32"/>
          <w:highlight w:val="none"/>
        </w:rPr>
        <w:t>下属</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p>
    <w:p w14:paraId="0E501981">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14:paraId="4AE2BCFB">
      <w:pPr>
        <w:pStyle w:val="2"/>
        <w:jc w:val="center"/>
        <w:rPr>
          <w:rFonts w:hint="eastAsia" w:ascii="Times New Roman" w:hAnsi="Times New Roman" w:eastAsia="方正小标宋简体" w:cs="方正小标宋简体"/>
          <w:b w:val="0"/>
          <w:color w:val="auto"/>
          <w:highlight w:val="none"/>
        </w:rPr>
      </w:pPr>
      <w:bookmarkStart w:id="20" w:name="_Toc15396602"/>
      <w:bookmarkStart w:id="21" w:name="_Toc15377204"/>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ascii="Times New Roman" w:hAnsi="Times New Roman" w:eastAsia="方正小标宋简体" w:cs="方正小标宋简体"/>
          <w:b w:val="0"/>
          <w:color w:val="auto"/>
          <w:highlight w:val="none"/>
          <w:lang w:val="en-US" w:eastAsia="zh-CN"/>
        </w:rPr>
        <w:t>202</w:t>
      </w:r>
      <w:r>
        <w:rPr>
          <w:rFonts w:hint="eastAsia" w:eastAsia="方正小标宋简体" w:cs="方正小标宋简体"/>
          <w:b w:val="0"/>
          <w:color w:val="auto"/>
          <w:highlight w:val="none"/>
          <w:lang w:val="en-US" w:eastAsia="zh-CN"/>
        </w:rPr>
        <w:t>5</w:t>
      </w:r>
      <w:r>
        <w:rPr>
          <w:rFonts w:hint="eastAsia" w:ascii="Times New Roman" w:hAnsi="Times New Roman" w:eastAsia="方正小标宋简体" w:cs="方正小标宋简体"/>
          <w:b w:val="0"/>
          <w:color w:val="auto"/>
          <w:highlight w:val="none"/>
          <w:lang w:val="en-US" w:eastAsia="zh-CN"/>
        </w:rPr>
        <w:t>年度</w:t>
      </w:r>
      <w:r>
        <w:rPr>
          <w:rFonts w:hint="eastAsia" w:ascii="Times New Roman" w:hAnsi="Times New Roman" w:eastAsia="方正小标宋简体" w:cs="方正小标宋简体"/>
          <w:b w:val="0"/>
          <w:color w:val="auto"/>
          <w:highlight w:val="none"/>
        </w:rPr>
        <w:t>部门决算情况说明</w:t>
      </w:r>
      <w:bookmarkEnd w:id="20"/>
      <w:bookmarkEnd w:id="21"/>
    </w:p>
    <w:p w14:paraId="6E9811C3">
      <w:pPr>
        <w:rPr>
          <w:rFonts w:ascii="Times New Roman" w:hAnsi="Times New Roman"/>
          <w:color w:val="auto"/>
          <w:highlight w:val="none"/>
        </w:rPr>
      </w:pPr>
    </w:p>
    <w:p w14:paraId="63AA413A">
      <w:pPr>
        <w:pStyle w:val="27"/>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outlineLvl w:val="1"/>
        <w:rPr>
          <w:rStyle w:val="22"/>
          <w:rFonts w:hint="eastAsia" w:ascii="Times New Roman" w:hAnsi="Times New Roman" w:eastAsia="黑体"/>
          <w:b w:val="0"/>
          <w:color w:val="auto"/>
          <w:highlight w:val="none"/>
        </w:rPr>
      </w:pPr>
      <w:bookmarkStart w:id="22" w:name="_Toc15396603"/>
      <w:bookmarkStart w:id="23"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2"/>
          <w:rFonts w:hint="eastAsia" w:ascii="Times New Roman" w:hAnsi="Times New Roman" w:eastAsia="黑体"/>
          <w:b w:val="0"/>
          <w:color w:val="auto"/>
          <w:highlight w:val="none"/>
        </w:rPr>
        <w:t>入支出决算总体情况说明</w:t>
      </w:r>
      <w:bookmarkEnd w:id="22"/>
      <w:bookmarkEnd w:id="23"/>
    </w:p>
    <w:p w14:paraId="1A3107D2">
      <w:pPr>
        <w:pStyle w:val="27"/>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outlineLvl w:val="9"/>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202</w:t>
      </w:r>
      <w:r>
        <w:rPr>
          <w:rFonts w:hint="eastAsia" w:eastAsia="仿宋_GB2312" w:cs="仿宋_GB2312"/>
          <w:color w:val="auto"/>
          <w:sz w:val="32"/>
          <w:szCs w:val="32"/>
          <w:highlight w:val="none"/>
          <w:lang w:val="en-US" w:eastAsia="zh-CN"/>
        </w:rPr>
        <w:t>5</w:t>
      </w:r>
      <w:r>
        <w:rPr>
          <w:rFonts w:hint="eastAsia" w:ascii="Times New Roman" w:hAnsi="Times New Roman" w:eastAsia="仿宋_GB2312" w:cs="仿宋_GB2312"/>
          <w:color w:val="auto"/>
          <w:sz w:val="32"/>
          <w:szCs w:val="32"/>
          <w:highlight w:val="none"/>
          <w:lang w:eastAsia="zh-CN"/>
        </w:rPr>
        <w:t>年度收入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eastAsia="仿宋_GB2312" w:cs="仿宋_GB2312"/>
          <w:sz w:val="32"/>
          <w:szCs w:val="32"/>
          <w:lang w:val="en-US" w:eastAsia="zh-CN"/>
        </w:rPr>
        <w:t>2515.98</w:t>
      </w:r>
      <w:r>
        <w:rPr>
          <w:rFonts w:hint="eastAsia" w:ascii="Times New Roman" w:hAnsi="Times New Roman" w:eastAsia="仿宋_GB2312" w:cs="仿宋_GB2312"/>
          <w:color w:val="auto"/>
          <w:sz w:val="32"/>
          <w:szCs w:val="32"/>
          <w:highlight w:val="none"/>
        </w:rPr>
        <w:t>万元。与</w:t>
      </w:r>
      <w:r>
        <w:rPr>
          <w:rFonts w:hint="eastAsia" w:ascii="Times New Roman" w:hAnsi="Times New Roman" w:eastAsia="仿宋_GB2312" w:cs="仿宋_GB2312"/>
          <w:color w:val="auto"/>
          <w:sz w:val="32"/>
          <w:szCs w:val="32"/>
          <w:highlight w:val="none"/>
          <w:lang w:eastAsia="zh-CN"/>
        </w:rPr>
        <w:t>202</w:t>
      </w:r>
      <w:r>
        <w:rPr>
          <w:rFonts w:hint="eastAsia" w:ascii="Times New Roman" w:hAnsi="Times New Roman" w:eastAsia="仿宋_GB2312" w:cs="仿宋_GB2312"/>
          <w:color w:val="auto"/>
          <w:sz w:val="32"/>
          <w:szCs w:val="32"/>
          <w:highlight w:val="none"/>
          <w:lang w:val="en-US" w:eastAsia="zh-CN"/>
        </w:rPr>
        <w:t>3</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247.66</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10.9</w:t>
      </w:r>
      <w:r>
        <w:rPr>
          <w:rFonts w:hint="eastAsia" w:ascii="Times New Roman" w:hAnsi="Times New Roman" w:eastAsia="仿宋_GB2312" w:cs="仿宋_GB2312"/>
          <w:color w:val="auto"/>
          <w:sz w:val="32"/>
          <w:szCs w:val="32"/>
          <w:highlight w:val="none"/>
        </w:rPr>
        <w:t>%。主要变动原因是</w:t>
      </w:r>
      <w:r>
        <w:rPr>
          <w:rFonts w:ascii="Times New Roman" w:hAnsi="Times New Roman" w:eastAsia="仿宋_GB2312" w:cs="仿宋_GB2312"/>
          <w:color w:val="auto"/>
          <w:sz w:val="32"/>
          <w:szCs w:val="32"/>
          <w:highlight w:val="none"/>
        </w:rPr>
        <w:t>项目增加</w:t>
      </w:r>
      <w:r>
        <w:rPr>
          <w:rFonts w:hint="eastAsia" w:eastAsia="仿宋_GB2312" w:cs="仿宋_GB2312"/>
          <w:color w:val="auto"/>
          <w:sz w:val="32"/>
          <w:szCs w:val="32"/>
          <w:highlight w:val="none"/>
          <w:lang w:eastAsia="zh-CN"/>
        </w:rPr>
        <w:t>。</w:t>
      </w:r>
    </w:p>
    <w:p w14:paraId="4D7E103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w:t>
      </w:r>
    </w:p>
    <w:p w14:paraId="53AC8F8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r>
        <w:rPr>
          <w:rFonts w:ascii="仿宋" w:eastAsia="仿宋" w:cs="Times New Roman"/>
          <w:color w:val="000000"/>
          <w:sz w:val="32"/>
          <w:szCs w:val="32"/>
          <w:lang w:eastAsia="zh-CN" w:bidi="ar-SA"/>
        </w:rPr>
        <w:pict>
          <v:shape id="Object 2" o:spid="_x0000_s1026" o:spt="75" alt="0.emf" type="#_x0000_t75" style="position:absolute;left:0pt;margin-left:65.3pt;margin-top:39.95pt;height:257.2pt;width:331.65pt;mso-wrap-distance-bottom:0pt;mso-wrap-distance-top:0pt;z-index:251661312;mso-width-relative:page;mso-height-relative:page;" o:ole="t" filled="f" o:preferrelative="t" stroked="f" coordsize="21600,21600">
            <v:path/>
            <v:fill on="f" focussize="0,0"/>
            <v:stroke on="f"/>
            <v:imagedata r:id="rId9" o:title=""/>
            <o:lock v:ext="edit" aspectratio="t"/>
            <w10:wrap type="topAndBottom"/>
          </v:shape>
          <o:OLEObject Type="Embed" ProgID="Excel.Chart.8" ShapeID="Object 2" DrawAspect="Content" ObjectID="_1468075725" r:id="rId8">
            <o:LockedField>false</o:LockedField>
          </o:OLEObject>
        </w:pict>
      </w:r>
    </w:p>
    <w:p w14:paraId="5D97B961">
      <w:pPr>
        <w:pStyle w:val="27"/>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outlineLvl w:val="1"/>
        <w:rPr>
          <w:rFonts w:hint="eastAsia" w:ascii="Times New Roman" w:hAnsi="Times New Roman" w:eastAsia="黑体"/>
          <w:color w:val="auto"/>
          <w:sz w:val="32"/>
          <w:szCs w:val="32"/>
          <w:highlight w:val="none"/>
          <w:lang w:eastAsia="zh-CN"/>
        </w:rPr>
      </w:pPr>
      <w:bookmarkStart w:id="24" w:name="_Toc15396604"/>
      <w:bookmarkStart w:id="25" w:name="_Toc15377206"/>
      <w:r>
        <w:rPr>
          <w:rFonts w:hint="eastAsia" w:ascii="Times New Roman" w:hAnsi="Times New Roman" w:eastAsia="黑体"/>
          <w:color w:val="auto"/>
          <w:sz w:val="32"/>
          <w:szCs w:val="32"/>
          <w:highlight w:val="none"/>
          <w:lang w:eastAsia="zh-CN"/>
        </w:rPr>
        <w:t>二、收入决算情况说明</w:t>
      </w:r>
      <w:bookmarkEnd w:id="24"/>
      <w:bookmarkEnd w:id="25"/>
    </w:p>
    <w:p w14:paraId="49A2965F">
      <w:pPr>
        <w:pStyle w:val="27"/>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left"/>
        <w:textAlignment w:val="auto"/>
        <w:outlineLvl w:val="9"/>
        <w:rPr>
          <w:rFonts w:hint="eastAsia" w:ascii="Times New Roman" w:hAnsi="Times New Roman" w:eastAsia="仿宋_GB2312" w:cs="仿宋_GB2312"/>
          <w:b/>
          <w:bCs/>
          <w:color w:val="auto"/>
          <w:sz w:val="32"/>
          <w:szCs w:val="32"/>
          <w:highlight w:val="none"/>
          <w:lang w:eastAsia="zh-CN"/>
        </w:rPr>
      </w:pPr>
      <w:r>
        <w:rPr>
          <w:rFonts w:hint="eastAsia" w:ascii="仿宋_GB2312" w:eastAsia="仿宋_GB2312" w:cs="仿宋_GB2312"/>
          <w:color w:val="auto"/>
          <w:sz w:val="32"/>
          <w:szCs w:val="32"/>
          <w:highlight w:val="none"/>
          <w:lang w:eastAsia="zh-CN"/>
        </w:rPr>
        <w:t>202</w:t>
      </w:r>
      <w:r>
        <w:rPr>
          <w:rFonts w:hint="eastAsia" w:ascii="仿宋_GB2312" w:eastAsia="仿宋_GB2312" w:cs="仿宋_GB2312"/>
          <w:color w:val="auto"/>
          <w:sz w:val="32"/>
          <w:szCs w:val="32"/>
          <w:highlight w:val="none"/>
          <w:lang w:val="en-US" w:eastAsia="zh-CN"/>
        </w:rPr>
        <w:t>5</w:t>
      </w:r>
      <w:r>
        <w:rPr>
          <w:rFonts w:hint="eastAsia" w:ascii="仿宋_GB2312" w:eastAsia="仿宋_GB2312" w:cs="仿宋_GB2312"/>
          <w:color w:val="auto"/>
          <w:sz w:val="32"/>
          <w:szCs w:val="32"/>
          <w:highlight w:val="none"/>
          <w:lang w:eastAsia="zh-CN"/>
        </w:rPr>
        <w:t>年度本年收入合计</w:t>
      </w:r>
      <w:r>
        <w:rPr>
          <w:rFonts w:hint="eastAsia" w:ascii="仿宋_GB2312" w:eastAsia="仿宋_GB2312" w:cs="仿宋_GB2312"/>
          <w:sz w:val="32"/>
          <w:szCs w:val="32"/>
          <w:lang w:val="en-US" w:eastAsia="zh-CN"/>
        </w:rPr>
        <w:t>2480.5</w:t>
      </w:r>
      <w:r>
        <w:rPr>
          <w:rFonts w:hint="eastAsia" w:ascii="仿宋_GB2312" w:eastAsia="仿宋_GB2312" w:cs="仿宋_GB2312"/>
          <w:sz w:val="32"/>
          <w:szCs w:val="32"/>
        </w:rPr>
        <w:t>万元，其中：一般公共预算财政拨款收入</w:t>
      </w:r>
      <w:r>
        <w:rPr>
          <w:rFonts w:hint="eastAsia" w:ascii="仿宋_GB2312" w:eastAsia="仿宋_GB2312" w:cs="仿宋_GB2312"/>
          <w:sz w:val="32"/>
          <w:szCs w:val="32"/>
          <w:lang w:val="en-US" w:eastAsia="zh-CN"/>
        </w:rPr>
        <w:t>2196.94</w:t>
      </w:r>
      <w:r>
        <w:rPr>
          <w:rFonts w:hint="eastAsia" w:ascii="仿宋_GB2312" w:eastAsia="仿宋_GB2312" w:cs="仿宋_GB2312"/>
          <w:color w:val="auto"/>
          <w:sz w:val="32"/>
          <w:szCs w:val="32"/>
          <w:highlight w:val="none"/>
          <w:lang w:eastAsia="zh-CN"/>
        </w:rPr>
        <w:t>万元，占</w:t>
      </w:r>
      <w:r>
        <w:rPr>
          <w:rFonts w:hint="eastAsia" w:ascii="仿宋_GB2312" w:eastAsia="仿宋_GB2312" w:cs="仿宋_GB2312"/>
          <w:sz w:val="32"/>
          <w:szCs w:val="32"/>
          <w:lang w:val="en-US" w:eastAsia="zh-CN"/>
        </w:rPr>
        <w:t>88.6</w:t>
      </w:r>
      <w:r>
        <w:rPr>
          <w:rFonts w:hint="eastAsia" w:ascii="仿宋_GB2312" w:eastAsia="仿宋_GB2312" w:cs="仿宋_GB2312"/>
          <w:color w:val="auto"/>
          <w:sz w:val="32"/>
          <w:szCs w:val="32"/>
          <w:highlight w:val="none"/>
          <w:lang w:eastAsia="zh-CN"/>
        </w:rPr>
        <w:t>%；其他收入</w:t>
      </w:r>
      <w:r>
        <w:rPr>
          <w:rFonts w:hint="eastAsia" w:ascii="仿宋_GB2312" w:eastAsia="仿宋_GB2312" w:cs="仿宋_GB2312"/>
          <w:sz w:val="32"/>
          <w:szCs w:val="32"/>
          <w:lang w:val="en-US" w:eastAsia="zh-CN"/>
        </w:rPr>
        <w:t>283.56</w:t>
      </w:r>
      <w:r>
        <w:rPr>
          <w:rFonts w:hint="eastAsia" w:ascii="仿宋_GB2312" w:eastAsia="仿宋_GB2312" w:cs="仿宋_GB2312"/>
          <w:color w:val="auto"/>
          <w:sz w:val="32"/>
          <w:szCs w:val="32"/>
          <w:highlight w:val="none"/>
          <w:lang w:eastAsia="zh-CN"/>
        </w:rPr>
        <w:t>万元，占</w:t>
      </w:r>
      <w:r>
        <w:rPr>
          <w:rFonts w:hint="eastAsia" w:ascii="仿宋_GB2312" w:eastAsia="仿宋_GB2312" w:cs="仿宋_GB2312"/>
          <w:sz w:val="32"/>
          <w:szCs w:val="32"/>
          <w:lang w:val="en-US" w:eastAsia="zh-CN"/>
        </w:rPr>
        <w:t>11.4</w:t>
      </w:r>
      <w:r>
        <w:rPr>
          <w:rFonts w:hint="eastAsia" w:ascii="仿宋_GB2312" w:eastAsia="仿宋_GB2312" w:cs="仿宋_GB2312"/>
          <w:color w:val="auto"/>
          <w:sz w:val="32"/>
          <w:szCs w:val="32"/>
          <w:highlight w:val="none"/>
          <w:lang w:eastAsia="zh-CN"/>
        </w:rPr>
        <w:t>%。</w:t>
      </w:r>
    </w:p>
    <w:p w14:paraId="5E1C029A">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w:t>
      </w:r>
    </w:p>
    <w:p w14:paraId="102691F6">
      <w:pPr>
        <w:ind w:firstLine="525" w:firstLineChars="250"/>
        <w:rPr>
          <w:rFonts w:hint="eastAsia" w:ascii="Times New Roman" w:hAnsi="Times New Roman" w:eastAsia="仿宋_GB2312" w:cs="仿宋_GB2312"/>
          <w:color w:val="auto"/>
          <w:sz w:val="32"/>
          <w:szCs w:val="32"/>
          <w:highlight w:val="none"/>
          <w:lang w:eastAsia="zh-CN"/>
        </w:rPr>
      </w:pPr>
      <w:r>
        <w:rPr>
          <w:rFonts w:eastAsia="仿宋"/>
          <w:lang w:eastAsia="zh-CN"/>
        </w:rPr>
        <w:pict>
          <v:shape id="Object 4" o:spid="_x0000_s1027" o:spt="75" alt="2.emf" type="#_x0000_t75" style="position:absolute;left:0pt;margin-left:33.45pt;margin-top:12.45pt;height:283.5pt;width:347.4pt;mso-wrap-distance-bottom:0pt;mso-wrap-distance-left:9pt;mso-wrap-distance-right:9pt;mso-wrap-distance-top:0pt;z-index:251662336;mso-width-relative:page;mso-height-relative:page;" o:ole="t" filled="f" o:preferrelative="t" stroked="f" coordsize="21600,21600">
            <v:path/>
            <v:fill on="f" focussize="0,0"/>
            <v:stroke on="f"/>
            <v:imagedata r:id="rId11" o:title=""/>
            <o:lock v:ext="edit" aspectratio="t"/>
            <w10:wrap type="square"/>
          </v:shape>
          <o:OLEObject Type="Embed" ProgID="Excel.Chart.8" ShapeID="Object 4" DrawAspect="Content" ObjectID="_1468075726" r:id="rId10">
            <o:LockedField>false</o:LockedField>
          </o:OLEObject>
        </w:pict>
      </w:r>
    </w:p>
    <w:p w14:paraId="2A033078">
      <w:pPr>
        <w:pStyle w:val="27"/>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outlineLvl w:val="1"/>
        <w:rPr>
          <w:rStyle w:val="22"/>
          <w:rFonts w:hint="eastAsia" w:ascii="Times New Roman" w:hAnsi="Times New Roman" w:eastAsia="黑体"/>
          <w:b w:val="0"/>
          <w:color w:val="auto"/>
          <w:highlight w:val="none"/>
        </w:rPr>
      </w:pPr>
      <w:bookmarkStart w:id="26" w:name="_Toc15377207"/>
      <w:bookmarkStart w:id="27"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2"/>
          <w:rFonts w:hint="eastAsia" w:ascii="Times New Roman" w:hAnsi="Times New Roman" w:eastAsia="黑体"/>
          <w:b w:val="0"/>
          <w:color w:val="auto"/>
          <w:highlight w:val="none"/>
        </w:rPr>
        <w:t>出决算情况说明</w:t>
      </w:r>
      <w:bookmarkEnd w:id="26"/>
      <w:bookmarkEnd w:id="27"/>
    </w:p>
    <w:p w14:paraId="074B1133">
      <w:pPr>
        <w:pStyle w:val="27"/>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left"/>
        <w:textAlignment w:val="auto"/>
        <w:outlineLvl w:val="9"/>
        <w:rPr>
          <w:rFonts w:hint="eastAsia" w:ascii="Times New Roman" w:hAnsi="Times New Roman" w:eastAsia="仿宋_GB2312" w:cs="仿宋_GB2312"/>
          <w:color w:val="auto"/>
          <w:sz w:val="32"/>
          <w:szCs w:val="32"/>
          <w:highlight w:val="none"/>
          <w:lang w:eastAsia="zh-CN"/>
        </w:rPr>
      </w:pPr>
      <w:r>
        <w:rPr>
          <w:rFonts w:hint="eastAsia" w:ascii="仿宋_GB2312" w:eastAsia="仿宋_GB2312" w:cs="仿宋_GB2312"/>
          <w:color w:val="auto"/>
          <w:sz w:val="32"/>
          <w:szCs w:val="32"/>
          <w:highlight w:val="none"/>
          <w:lang w:eastAsia="zh-CN"/>
        </w:rPr>
        <w:t>202</w:t>
      </w:r>
      <w:r>
        <w:rPr>
          <w:rFonts w:hint="eastAsia" w:ascii="仿宋_GB2312" w:eastAsia="仿宋_GB2312" w:cs="仿宋_GB2312"/>
          <w:color w:val="auto"/>
          <w:sz w:val="32"/>
          <w:szCs w:val="32"/>
          <w:highlight w:val="none"/>
          <w:lang w:val="en-US" w:eastAsia="zh-CN"/>
        </w:rPr>
        <w:t>5</w:t>
      </w:r>
      <w:r>
        <w:rPr>
          <w:rFonts w:hint="eastAsia" w:ascii="仿宋_GB2312" w:eastAsia="仿宋_GB2312" w:cs="仿宋_GB2312"/>
          <w:color w:val="auto"/>
          <w:sz w:val="32"/>
          <w:szCs w:val="32"/>
          <w:highlight w:val="none"/>
          <w:lang w:eastAsia="zh-CN"/>
        </w:rPr>
        <w:t>年度本年支出合计</w:t>
      </w:r>
      <w:r>
        <w:rPr>
          <w:rFonts w:hint="eastAsia" w:ascii="仿宋_GB2312" w:eastAsia="仿宋_GB2312" w:cs="仿宋_GB2312"/>
          <w:sz w:val="32"/>
          <w:szCs w:val="32"/>
          <w:lang w:val="en-US" w:eastAsia="zh-CN"/>
        </w:rPr>
        <w:t>2450.24</w:t>
      </w:r>
      <w:r>
        <w:rPr>
          <w:rFonts w:hint="eastAsia" w:ascii="仿宋_GB2312" w:eastAsia="仿宋_GB2312" w:cs="仿宋_GB2312"/>
          <w:color w:val="auto"/>
          <w:sz w:val="32"/>
          <w:szCs w:val="32"/>
          <w:highlight w:val="none"/>
          <w:lang w:eastAsia="zh-CN"/>
        </w:rPr>
        <w:t>万元，其中：基本支出</w:t>
      </w:r>
      <w:r>
        <w:rPr>
          <w:rFonts w:hint="eastAsia" w:ascii="仿宋_GB2312" w:eastAsia="仿宋_GB2312" w:cs="仿宋_GB2312"/>
          <w:sz w:val="32"/>
          <w:szCs w:val="32"/>
          <w:lang w:val="en-US" w:eastAsia="zh-CN"/>
        </w:rPr>
        <w:t>1914.13</w:t>
      </w:r>
      <w:r>
        <w:rPr>
          <w:rFonts w:hint="eastAsia" w:ascii="仿宋_GB2312" w:eastAsia="仿宋_GB2312" w:cs="仿宋_GB2312"/>
          <w:color w:val="auto"/>
          <w:sz w:val="32"/>
          <w:szCs w:val="32"/>
          <w:highlight w:val="none"/>
          <w:lang w:eastAsia="zh-CN"/>
        </w:rPr>
        <w:t>万元，占</w:t>
      </w:r>
      <w:r>
        <w:rPr>
          <w:rFonts w:hint="eastAsia" w:ascii="仿宋_GB2312" w:eastAsia="仿宋_GB2312" w:cs="仿宋_GB2312"/>
          <w:sz w:val="32"/>
          <w:szCs w:val="32"/>
          <w:lang w:val="en-US" w:eastAsia="zh-CN"/>
        </w:rPr>
        <w:t>78.1</w:t>
      </w:r>
      <w:r>
        <w:rPr>
          <w:rFonts w:hint="eastAsia" w:ascii="仿宋_GB2312" w:eastAsia="仿宋_GB2312" w:cs="仿宋_GB2312"/>
          <w:color w:val="auto"/>
          <w:sz w:val="32"/>
          <w:szCs w:val="32"/>
          <w:highlight w:val="none"/>
          <w:lang w:eastAsia="zh-CN"/>
        </w:rPr>
        <w:t>%；项目支出</w:t>
      </w:r>
      <w:r>
        <w:rPr>
          <w:rFonts w:hint="eastAsia" w:ascii="仿宋_GB2312" w:eastAsia="仿宋_GB2312" w:cs="仿宋_GB2312"/>
          <w:sz w:val="32"/>
          <w:szCs w:val="32"/>
          <w:lang w:val="en-US" w:eastAsia="zh-CN"/>
        </w:rPr>
        <w:t>536.12</w:t>
      </w:r>
      <w:r>
        <w:rPr>
          <w:rFonts w:hint="eastAsia" w:ascii="仿宋_GB2312" w:eastAsia="仿宋_GB2312" w:cs="仿宋_GB2312"/>
          <w:color w:val="auto"/>
          <w:sz w:val="32"/>
          <w:szCs w:val="32"/>
          <w:highlight w:val="none"/>
          <w:lang w:eastAsia="zh-CN"/>
        </w:rPr>
        <w:t>万元，占</w:t>
      </w:r>
      <w:r>
        <w:rPr>
          <w:rFonts w:hint="eastAsia" w:ascii="仿宋_GB2312" w:eastAsia="仿宋_GB2312" w:cs="仿宋_GB2312"/>
          <w:sz w:val="32"/>
          <w:szCs w:val="32"/>
        </w:rPr>
        <w:t>21.</w:t>
      </w:r>
      <w:r>
        <w:rPr>
          <w:rFonts w:ascii="仿宋_GB2312" w:eastAsia="仿宋_GB2312" w:cs="仿宋_GB2312"/>
          <w:sz w:val="32"/>
          <w:szCs w:val="32"/>
        </w:rPr>
        <w:t>9</w:t>
      </w:r>
      <w:r>
        <w:rPr>
          <w:rFonts w:hint="eastAsia" w:ascii="仿宋_GB2312" w:eastAsia="仿宋_GB2312" w:cs="仿宋_GB2312"/>
          <w:color w:val="auto"/>
          <w:sz w:val="32"/>
          <w:szCs w:val="32"/>
          <w:highlight w:val="none"/>
          <w:lang w:eastAsia="zh-CN"/>
        </w:rPr>
        <w:t>%。</w:t>
      </w:r>
    </w:p>
    <w:p w14:paraId="051CDD14">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w:t>
      </w:r>
    </w:p>
    <w:p w14:paraId="672294E9">
      <w:pPr>
        <w:ind w:firstLine="525" w:firstLineChars="250"/>
        <w:rPr>
          <w:rFonts w:hint="eastAsia" w:ascii="Times New Roman" w:hAnsi="Times New Roman" w:eastAsia="仿宋_GB2312" w:cs="仿宋_GB2312"/>
          <w:color w:val="auto"/>
          <w:sz w:val="32"/>
          <w:szCs w:val="32"/>
          <w:highlight w:val="none"/>
          <w:lang w:eastAsia="zh-CN"/>
        </w:rPr>
      </w:pPr>
      <w:r>
        <w:rPr>
          <w:rFonts w:eastAsia="仿宋_GB2312"/>
          <w:lang w:eastAsia="zh-CN"/>
        </w:rPr>
        <w:object>
          <v:shape id="_x0000_i1025" o:spt="75" alt="3.emf" type="#_x0000_t75" style="height:238.35pt;width:292.1pt;" o:ole="t" filled="f" o:preferrelative="t" stroked="f" coordsize="21600,21600">
            <v:path/>
            <v:fill on="f" focussize="0,0"/>
            <v:stroke on="f"/>
            <v:imagedata r:id="rId13" o:title=""/>
            <o:lock v:ext="edit" aspectratio="t"/>
            <w10:wrap type="none"/>
            <w10:anchorlock/>
          </v:shape>
          <o:OLEObject Type="Embed" ProgID="Excel.Chart.8" ShapeID="_x0000_i1025" DrawAspect="Content" ObjectID="_1468075727" r:id="rId12">
            <o:LockedField>false</o:LockedField>
          </o:OLEObject>
        </w:object>
      </w:r>
    </w:p>
    <w:p w14:paraId="45AD48C0">
      <w:pPr>
        <w:spacing w:line="600" w:lineRule="exact"/>
        <w:ind w:firstLine="640" w:firstLineChars="200"/>
        <w:outlineLvl w:val="1"/>
        <w:rPr>
          <w:rStyle w:val="22"/>
          <w:rFonts w:ascii="Times New Roman" w:hAnsi="Times New Roman" w:eastAsia="黑体"/>
          <w:b w:val="0"/>
          <w:color w:val="auto"/>
          <w:highlight w:val="none"/>
        </w:rPr>
      </w:pPr>
      <w:bookmarkStart w:id="28" w:name="_Toc15377208"/>
      <w:bookmarkStart w:id="29" w:name="_Toc15396606"/>
      <w:r>
        <w:rPr>
          <w:rFonts w:hint="eastAsia" w:ascii="Times New Roman" w:hAnsi="Times New Roman" w:eastAsia="黑体"/>
          <w:color w:val="auto"/>
          <w:sz w:val="32"/>
          <w:szCs w:val="32"/>
          <w:highlight w:val="none"/>
        </w:rPr>
        <w:t>四、财</w:t>
      </w:r>
      <w:r>
        <w:rPr>
          <w:rStyle w:val="22"/>
          <w:rFonts w:hint="eastAsia" w:ascii="Times New Roman" w:hAnsi="Times New Roman" w:eastAsia="黑体"/>
          <w:b w:val="0"/>
          <w:color w:val="auto"/>
          <w:highlight w:val="none"/>
        </w:rPr>
        <w:t>政拨款收入支出决算总体情况说明</w:t>
      </w:r>
      <w:bookmarkEnd w:id="28"/>
      <w:bookmarkEnd w:id="29"/>
    </w:p>
    <w:p w14:paraId="18DD5E9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年度财政拨款收入、支出总计均为2196.94万元。与202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年度相比，财政拨款收入总计、支出总计各增加</w:t>
      </w:r>
      <w:r>
        <w:rPr>
          <w:rFonts w:hint="eastAsia" w:eastAsia="仿宋_GB2312" w:cs="仿宋_GB2312"/>
          <w:color w:val="auto"/>
          <w:kern w:val="2"/>
          <w:sz w:val="32"/>
          <w:szCs w:val="32"/>
          <w:highlight w:val="none"/>
          <w:lang w:val="en-US" w:eastAsia="zh-CN" w:bidi="ar-SA"/>
        </w:rPr>
        <w:t>218.58</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ascii="Times New Roman" w:hAnsi="Times New Roman" w:eastAsia="仿宋_GB2312" w:cs="仿宋_GB2312"/>
          <w:color w:val="auto"/>
          <w:kern w:val="2"/>
          <w:sz w:val="32"/>
          <w:szCs w:val="32"/>
          <w:highlight w:val="none"/>
          <w:lang w:val="en-US" w:eastAsia="zh-CN" w:bidi="ar-SA"/>
        </w:rPr>
        <w:t>项目增加。</w:t>
      </w:r>
    </w:p>
    <w:p w14:paraId="4128842D">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ascii="仿宋" w:eastAsia="仿宋" w:cs="Times New Roman"/>
          <w:color w:val="000000"/>
          <w:sz w:val="32"/>
          <w:szCs w:val="32"/>
          <w:lang w:eastAsia="zh-CN" w:bidi="ar-SA"/>
        </w:rPr>
        <w:pict>
          <v:shape id="Object 3" o:spid="_x0000_s1030" o:spt="75" alt="0.emf" type="#_x0000_t75" style="position:absolute;left:0pt;margin-left:48.55pt;margin-top:54.25pt;height:257.2pt;width:331.65pt;mso-wrap-distance-bottom:0pt;mso-wrap-distance-top:0pt;z-index:251663360;mso-width-relative:page;mso-height-relative:page;" o:ole="t" filled="f" o:preferrelative="t" stroked="f" coordsize="21600,21600">
            <v:path/>
            <v:fill on="f" focussize="0,0"/>
            <v:stroke on="f"/>
            <v:imagedata r:id="rId15" o:title=""/>
            <o:lock v:ext="edit" aspectratio="t"/>
            <w10:wrap type="topAndBottom"/>
          </v:shape>
          <o:OLEObject Type="Embed" ProgID="Excel.Chart.8" ShapeID="Object 3" DrawAspect="Content" ObjectID="_1468075728" r:id="rId14">
            <o:LockedField>false</o:LockedField>
          </o:OLEObject>
        </w:pict>
      </w: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w:t>
      </w:r>
    </w:p>
    <w:p w14:paraId="28ADDB6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87D67AE">
      <w:pPr>
        <w:spacing w:line="600" w:lineRule="exact"/>
        <w:ind w:firstLine="640" w:firstLineChars="200"/>
        <w:outlineLvl w:val="1"/>
        <w:rPr>
          <w:rStyle w:val="22"/>
          <w:rFonts w:ascii="Times New Roman" w:hAnsi="Times New Roman" w:eastAsia="黑体"/>
          <w:b w:val="0"/>
          <w:color w:val="auto"/>
          <w:highlight w:val="none"/>
        </w:rPr>
      </w:pPr>
      <w:bookmarkStart w:id="30" w:name="_Toc15377209"/>
      <w:bookmarkStart w:id="31"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2"/>
          <w:rFonts w:hint="eastAsia" w:ascii="Times New Roman" w:hAnsi="Times New Roman" w:eastAsia="黑体"/>
          <w:b w:val="0"/>
          <w:color w:val="auto"/>
          <w:highlight w:val="none"/>
        </w:rPr>
        <w:t>般公共预算财政拨款支出决算情况说明</w:t>
      </w:r>
      <w:bookmarkEnd w:id="30"/>
      <w:bookmarkEnd w:id="31"/>
    </w:p>
    <w:p w14:paraId="595EB76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2"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32"/>
    </w:p>
    <w:p w14:paraId="48EC1EA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eastAsia="仿宋_GB2312" w:cs="仿宋_GB2312"/>
          <w:color w:val="auto"/>
          <w:kern w:val="2"/>
          <w:sz w:val="32"/>
          <w:szCs w:val="32"/>
          <w:highlight w:val="none"/>
          <w:lang w:val="en-US" w:eastAsia="zh-CN" w:bidi="ar-SA"/>
        </w:rPr>
        <w:t>2025年度一般公共预算财政拨款支出</w:t>
      </w:r>
      <w:r>
        <w:rPr>
          <w:rFonts w:hint="eastAsia" w:ascii="仿宋_GB2312" w:eastAsia="仿宋_GB2312" w:cs="仿宋_GB2312"/>
          <w:sz w:val="32"/>
          <w:szCs w:val="32"/>
          <w:lang w:val="en-US" w:eastAsia="zh-CN"/>
        </w:rPr>
        <w:t>2196.94</w:t>
      </w:r>
      <w:r>
        <w:rPr>
          <w:rFonts w:hint="eastAsia" w:ascii="仿宋_GB2312" w:eastAsia="仿宋_GB2312" w:cs="仿宋_GB2312"/>
          <w:color w:val="auto"/>
          <w:kern w:val="2"/>
          <w:sz w:val="32"/>
          <w:szCs w:val="32"/>
          <w:highlight w:val="none"/>
          <w:lang w:val="en-US" w:eastAsia="zh-CN" w:bidi="ar-SA"/>
        </w:rPr>
        <w:t>万元，占本年支出合计的</w:t>
      </w:r>
      <w:r>
        <w:rPr>
          <w:rFonts w:hint="eastAsia" w:ascii="仿宋_GB2312" w:eastAsia="仿宋_GB2312" w:cs="仿宋_GB2312"/>
          <w:sz w:val="32"/>
          <w:szCs w:val="32"/>
          <w:lang w:val="en-US" w:eastAsia="zh-CN"/>
        </w:rPr>
        <w:t>89.6</w:t>
      </w:r>
      <w:r>
        <w:rPr>
          <w:rFonts w:hint="eastAsia" w:ascii="仿宋_GB2312" w:eastAsia="仿宋_GB2312" w:cs="仿宋_GB2312"/>
          <w:color w:val="auto"/>
          <w:kern w:val="2"/>
          <w:sz w:val="32"/>
          <w:szCs w:val="32"/>
          <w:highlight w:val="none"/>
          <w:lang w:val="en-US" w:eastAsia="zh-CN" w:bidi="ar-SA"/>
        </w:rPr>
        <w:t>%。与2024年度相比，一般公共预算财政拨款支出增加218.58万元，增长11%。主要变动原因是</w:t>
      </w:r>
      <w:r>
        <w:rPr>
          <w:rFonts w:ascii="Times New Roman" w:hAnsi="Times New Roman" w:eastAsia="仿宋_GB2312" w:cs="仿宋_GB2312"/>
          <w:color w:val="auto"/>
          <w:kern w:val="2"/>
          <w:sz w:val="32"/>
          <w:szCs w:val="32"/>
          <w:highlight w:val="none"/>
          <w:lang w:val="en-US" w:eastAsia="zh-CN" w:bidi="ar-SA"/>
        </w:rPr>
        <w:t>项目增加。</w:t>
      </w:r>
    </w:p>
    <w:p w14:paraId="592CCB5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w:t>
      </w:r>
    </w:p>
    <w:p w14:paraId="24A5372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E798E67">
      <w:pPr>
        <w:pStyle w:val="14"/>
        <w:rPr>
          <w:rFonts w:hint="eastAsia" w:ascii="Times New Roman" w:hAnsi="Times New Roman" w:eastAsia="仿宋_GB2312" w:cs="仿宋_GB2312"/>
          <w:color w:val="auto"/>
          <w:kern w:val="2"/>
          <w:sz w:val="32"/>
          <w:szCs w:val="32"/>
          <w:highlight w:val="none"/>
          <w:lang w:val="en-US" w:eastAsia="zh-CN" w:bidi="ar-SA"/>
        </w:rPr>
      </w:pPr>
    </w:p>
    <w:p w14:paraId="38F2B092">
      <w:pPr>
        <w:pStyle w:val="8"/>
        <w:rPr>
          <w:rFonts w:hint="eastAsia"/>
          <w:lang w:val="en-US" w:eastAsia="zh-CN"/>
        </w:rPr>
      </w:pPr>
      <w:r>
        <w:object>
          <v:shape id="_x0000_i1026" o:spt="75" alt="4.emf" type="#_x0000_t75" style="height:269.95pt;width:348.1pt;" o:ole="t" filled="f" o:preferrelative="t" stroked="f" coordsize="21600,21600">
            <v:path/>
            <v:fill on="f" focussize="0,0"/>
            <v:stroke on="f"/>
            <v:imagedata r:id="rId17" o:title=""/>
            <o:lock v:ext="edit" aspectratio="t"/>
            <w10:wrap type="none"/>
            <w10:anchorlock/>
          </v:shape>
          <o:OLEObject Type="Embed" ProgID="Excel.Chart.8" ShapeID="_x0000_i1026" DrawAspect="Content" ObjectID="_1468075729" r:id="rId16">
            <o:LockedField>false</o:LockedField>
          </o:OLEObject>
        </w:object>
      </w:r>
    </w:p>
    <w:p w14:paraId="75E5BE9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3"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33"/>
    </w:p>
    <w:p w14:paraId="67CC6A75">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年度一般公共预算财政拨款支出</w:t>
      </w:r>
      <w:r>
        <w:rPr>
          <w:rFonts w:hint="eastAsia" w:ascii="仿宋_GB2312" w:eastAsia="仿宋_GB2312" w:cs="仿宋_GB2312"/>
          <w:sz w:val="32"/>
          <w:szCs w:val="32"/>
          <w:lang w:val="en-US" w:eastAsia="zh-CN"/>
        </w:rPr>
        <w:t>2196.94</w:t>
      </w:r>
      <w:r>
        <w:rPr>
          <w:rFonts w:hint="eastAsia" w:ascii="仿宋_GB2312"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教育支出</w:t>
      </w:r>
      <w:r>
        <w:rPr>
          <w:rFonts w:hint="eastAsia" w:eastAsia="仿宋_GB2312" w:cs="仿宋_GB2312"/>
          <w:color w:val="auto"/>
          <w:kern w:val="2"/>
          <w:sz w:val="32"/>
          <w:szCs w:val="32"/>
          <w:highlight w:val="none"/>
          <w:lang w:val="en-US" w:eastAsia="zh-CN" w:bidi="ar-SA"/>
        </w:rPr>
        <w:t>1722.02</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78.4</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268.2</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12.2</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83.61</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3.8</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123.1</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5.6</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5ADA869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w:t>
      </w:r>
    </w:p>
    <w:p w14:paraId="4C502C88">
      <w:pPr>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br w:type="page"/>
      </w:r>
    </w:p>
    <w:p w14:paraId="6DFEE4C8">
      <w:pPr>
        <w:pStyle w:val="14"/>
        <w:rPr>
          <w:rFonts w:hint="eastAsia"/>
          <w:lang w:val="en-US" w:eastAsia="zh-CN"/>
        </w:rPr>
      </w:pPr>
    </w:p>
    <w:p w14:paraId="6604B39B">
      <w:pPr>
        <w:pStyle w:val="8"/>
        <w:rPr>
          <w:rFonts w:hint="eastAsia"/>
          <w:lang w:val="en-US" w:eastAsia="zh-CN"/>
        </w:rPr>
      </w:pPr>
      <w:r>
        <w:object>
          <v:shape id="_x0000_i1027" o:spt="75" alt="1.emf" type="#_x0000_t75" style="height:222.75pt;width:366.75pt;" o:ole="t" filled="f" o:preferrelative="t" stroked="f" coordsize="21600,21600">
            <v:path/>
            <v:fill on="f" focussize="0,0"/>
            <v:stroke on="f"/>
            <v:imagedata r:id="rId19" o:title=""/>
            <o:lock v:ext="edit" aspectratio="t"/>
            <v:shadow on="t" obscured="f" color="#808080" opacity="65536f" offset="1pt,0pt" offset2="-2pt,-4pt" origin="0f,0f" matrix="65536f,0f,0f,65536f,0,0"/>
            <w10:wrap type="none"/>
            <w10:anchorlock/>
          </v:shape>
          <o:OLEObject Type="Embed" ProgID="Excel.Chart.8" ShapeID="_x0000_i1027" DrawAspect="Content" ObjectID="_1468075730" r:id="rId18">
            <o:LockedField>false</o:LockedField>
          </o:OLEObject>
        </w:object>
      </w:r>
    </w:p>
    <w:p w14:paraId="244ECCD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4"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4"/>
    </w:p>
    <w:p w14:paraId="3ED73DD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5" w:name="_Toc15377213"/>
      <w:bookmarkStart w:id="36" w:name="_Toc15378460"/>
      <w:bookmarkStart w:id="37" w:name="_Toc15377444"/>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年度一般公共预算财政拨款支出决算数为</w:t>
      </w:r>
      <w:r>
        <w:rPr>
          <w:rFonts w:hint="eastAsia" w:ascii="仿宋_GB2312" w:eastAsia="仿宋_GB2312" w:cs="仿宋_GB2312"/>
          <w:sz w:val="32"/>
          <w:szCs w:val="32"/>
          <w:lang w:val="en-US" w:eastAsia="zh-CN"/>
        </w:rPr>
        <w:t>2196.94万元</w:t>
      </w:r>
      <w:r>
        <w:rPr>
          <w:rFonts w:hint="eastAsia" w:asci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35"/>
      <w:bookmarkEnd w:id="36"/>
      <w:bookmarkEnd w:id="37"/>
    </w:p>
    <w:p w14:paraId="706A3923">
      <w:pPr>
        <w:numPr>
          <w:ilvl w:val="0"/>
          <w:numId w:val="2"/>
        </w:num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教</w:t>
      </w:r>
      <w:r>
        <w:rPr>
          <w:rFonts w:hint="eastAsia" w:ascii="Times New Roman" w:hAnsi="Times New Roman" w:eastAsia="仿宋_GB2312" w:cs="仿宋_GB2312"/>
          <w:color w:val="auto"/>
          <w:kern w:val="2"/>
          <w:sz w:val="32"/>
          <w:szCs w:val="32"/>
          <w:highlight w:val="none"/>
          <w:lang w:val="en-US" w:eastAsia="zh-CN" w:bidi="ar-SA"/>
        </w:rPr>
        <w:t>育支出（类）普通教育（款）小学教育（项）: 支出决算为</w:t>
      </w:r>
      <w:r>
        <w:rPr>
          <w:rFonts w:hint="eastAsia" w:eastAsia="仿宋_GB2312" w:cs="仿宋_GB2312"/>
          <w:color w:val="auto"/>
          <w:kern w:val="2"/>
          <w:sz w:val="32"/>
          <w:szCs w:val="32"/>
          <w:highlight w:val="none"/>
          <w:lang w:val="en-US" w:eastAsia="zh-CN" w:bidi="ar-SA"/>
        </w:rPr>
        <w:t>1722.02</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p>
    <w:p w14:paraId="657CCD5B">
      <w:pPr>
        <w:numPr>
          <w:ilvl w:val="0"/>
          <w:numId w:val="2"/>
        </w:num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社会保障和就业支出（类）行政事业单位养老支出(款)机关事业单位基本养老保险缴费支出(项)：支出决算为</w:t>
      </w:r>
      <w:r>
        <w:rPr>
          <w:rFonts w:hint="eastAsia" w:eastAsia="仿宋_GB2312" w:cs="仿宋_GB2312"/>
          <w:color w:val="auto"/>
          <w:kern w:val="2"/>
          <w:sz w:val="32"/>
          <w:szCs w:val="32"/>
          <w:highlight w:val="none"/>
          <w:lang w:val="en-US" w:eastAsia="zh-CN" w:bidi="ar-SA"/>
        </w:rPr>
        <w:t>148.29</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p>
    <w:p w14:paraId="3A3B18BC">
      <w:pPr>
        <w:numPr>
          <w:ilvl w:val="0"/>
          <w:numId w:val="2"/>
        </w:num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社会保障和就业支出（类）行政事业单位养老支出(款)机关事业单位职业年金缴费支出(项)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74.15</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p>
    <w:p w14:paraId="7C0EB7EA">
      <w:pPr>
        <w:numPr>
          <w:ilvl w:val="0"/>
          <w:numId w:val="2"/>
        </w:numPr>
        <w:spacing w:line="600" w:lineRule="exact"/>
        <w:ind w:firstLine="640"/>
        <w:rPr>
          <w:rFonts w:hint="eastAsia"/>
          <w:lang w:val="en-US" w:eastAsia="zh-CN"/>
        </w:rPr>
      </w:pPr>
      <w:r>
        <w:rPr>
          <w:rFonts w:hint="eastAsia" w:ascii="Times New Roman" w:hAnsi="Times New Roman" w:eastAsia="仿宋_GB2312" w:cs="仿宋_GB2312"/>
          <w:color w:val="auto"/>
          <w:kern w:val="2"/>
          <w:sz w:val="32"/>
          <w:szCs w:val="32"/>
          <w:highlight w:val="none"/>
          <w:lang w:val="en-US" w:eastAsia="zh-CN" w:bidi="ar-SA"/>
        </w:rPr>
        <w:t>社会保障和就业支出（类）行政事业单位养老支出(款)</w:t>
      </w:r>
      <w:r>
        <w:rPr>
          <w:rFonts w:hint="eastAsia" w:eastAsia="仿宋_GB2312" w:cs="仿宋_GB2312"/>
          <w:color w:val="auto"/>
          <w:kern w:val="2"/>
          <w:sz w:val="32"/>
          <w:szCs w:val="32"/>
          <w:highlight w:val="none"/>
          <w:lang w:val="en-US" w:eastAsia="zh-CN" w:bidi="ar-SA"/>
        </w:rPr>
        <w:t>其他行政事业单位养老支出</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45.77</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p>
    <w:p w14:paraId="7E21D1BC">
      <w:pPr>
        <w:numPr>
          <w:ilvl w:val="0"/>
          <w:numId w:val="2"/>
        </w:num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卫生健康支出（类）行政事业单位医疗（款）事业单位医疗（项）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64.43</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p>
    <w:p w14:paraId="5BF34264">
      <w:pPr>
        <w:numPr>
          <w:ilvl w:val="0"/>
          <w:numId w:val="2"/>
        </w:num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卫生健康支出（类）行政事业单位医疗（款）</w:t>
      </w:r>
      <w:r>
        <w:rPr>
          <w:rFonts w:hint="eastAsia" w:eastAsia="仿宋_GB2312" w:cs="仿宋_GB2312"/>
          <w:color w:val="auto"/>
          <w:kern w:val="2"/>
          <w:sz w:val="32"/>
          <w:szCs w:val="32"/>
          <w:highlight w:val="none"/>
          <w:lang w:val="en-US" w:eastAsia="zh-CN" w:bidi="ar-SA"/>
        </w:rPr>
        <w:t>其他行政</w:t>
      </w:r>
      <w:r>
        <w:rPr>
          <w:rFonts w:hint="eastAsia" w:ascii="Times New Roman" w:hAnsi="Times New Roman" w:eastAsia="仿宋_GB2312" w:cs="仿宋_GB2312"/>
          <w:color w:val="auto"/>
          <w:kern w:val="2"/>
          <w:sz w:val="32"/>
          <w:szCs w:val="32"/>
          <w:highlight w:val="none"/>
          <w:lang w:val="en-US" w:eastAsia="zh-CN" w:bidi="ar-SA"/>
        </w:rPr>
        <w:t>事业单位医疗支出（项）：支出决算为</w:t>
      </w:r>
      <w:r>
        <w:rPr>
          <w:rFonts w:hint="eastAsia" w:eastAsia="仿宋_GB2312" w:cs="仿宋_GB2312"/>
          <w:color w:val="auto"/>
          <w:kern w:val="2"/>
          <w:sz w:val="32"/>
          <w:szCs w:val="32"/>
          <w:highlight w:val="none"/>
          <w:lang w:val="en-US" w:eastAsia="zh-CN" w:bidi="ar-SA"/>
        </w:rPr>
        <w:t>19.19</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p>
    <w:p w14:paraId="10BF4A30">
      <w:pPr>
        <w:numPr>
          <w:ilvl w:val="0"/>
          <w:numId w:val="2"/>
        </w:num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住房保障支出（类）住房改革支出（款）住房公积金（项）：支出决算为:</w:t>
      </w:r>
      <w:r>
        <w:rPr>
          <w:rFonts w:hint="eastAsia" w:eastAsia="仿宋_GB2312" w:cs="仿宋_GB2312"/>
          <w:color w:val="auto"/>
          <w:kern w:val="2"/>
          <w:sz w:val="32"/>
          <w:szCs w:val="32"/>
          <w:highlight w:val="none"/>
          <w:lang w:val="en-US" w:eastAsia="zh-CN" w:bidi="ar-SA"/>
        </w:rPr>
        <w:t>123.1</w:t>
      </w:r>
      <w:r>
        <w:rPr>
          <w:rFonts w:hint="eastAsia" w:ascii="Times New Roman" w:hAnsi="Times New Roman" w:eastAsia="仿宋_GB2312" w:cs="仿宋_GB2312"/>
          <w:color w:val="auto"/>
          <w:kern w:val="2"/>
          <w:sz w:val="32"/>
          <w:szCs w:val="32"/>
          <w:highlight w:val="none"/>
          <w:lang w:val="en-US" w:eastAsia="zh-CN" w:bidi="ar-SA"/>
        </w:rPr>
        <w:t>万元，完成预算100%，决算数与预算数持平。</w:t>
      </w:r>
    </w:p>
    <w:p w14:paraId="212ACE20">
      <w:pPr>
        <w:tabs>
          <w:tab w:val="right" w:pos="8306"/>
        </w:tabs>
        <w:spacing w:line="600" w:lineRule="exact"/>
        <w:ind w:firstLine="640" w:firstLineChars="0"/>
        <w:outlineLvl w:val="1"/>
        <w:rPr>
          <w:rStyle w:val="22"/>
          <w:rFonts w:ascii="Times New Roman" w:hAnsi="Times New Roman"/>
          <w:color w:val="auto"/>
          <w:highlight w:val="none"/>
        </w:rPr>
      </w:pPr>
      <w:bookmarkStart w:id="38" w:name="_Toc15396608"/>
      <w:bookmarkStart w:id="39" w:name="_Toc1537721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2"/>
          <w:rFonts w:hint="eastAsia" w:ascii="Times New Roman" w:hAnsi="Times New Roman" w:eastAsia="黑体"/>
          <w:b w:val="0"/>
          <w:color w:val="auto"/>
          <w:highlight w:val="none"/>
        </w:rPr>
        <w:t>般公共预算财政拨款基本支出决算情况说明</w:t>
      </w:r>
      <w:bookmarkEnd w:id="38"/>
      <w:bookmarkEnd w:id="39"/>
      <w:r>
        <w:rPr>
          <w:rStyle w:val="22"/>
          <w:rFonts w:ascii="Times New Roman" w:hAnsi="Times New Roman" w:eastAsia="黑体"/>
          <w:b w:val="0"/>
          <w:color w:val="auto"/>
          <w:highlight w:val="none"/>
        </w:rPr>
        <w:tab/>
      </w:r>
    </w:p>
    <w:p w14:paraId="4273128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年度一般公共预算财政拨款基本支出</w:t>
      </w:r>
      <w:r>
        <w:rPr>
          <w:rFonts w:hint="eastAsia" w:ascii="仿宋_GB2312" w:eastAsia="仿宋_GB2312" w:cs="仿宋_GB2312"/>
          <w:sz w:val="32"/>
          <w:szCs w:val="32"/>
          <w:lang w:val="en-US" w:eastAsia="zh-CN"/>
        </w:rPr>
        <w:t>1914.12</w:t>
      </w:r>
      <w:r>
        <w:rPr>
          <w:rFonts w:hint="eastAsia" w:asci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元，其中：</w:t>
      </w:r>
    </w:p>
    <w:p w14:paraId="046FA5F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eastAsia="仿宋_GB2312" w:cs="仿宋_GB2312"/>
          <w:sz w:val="32"/>
          <w:szCs w:val="32"/>
          <w:lang w:val="en-US" w:eastAsia="zh-CN"/>
        </w:rPr>
        <w:t>1744.14</w:t>
      </w:r>
      <w:r>
        <w:rPr>
          <w:rFonts w:hint="eastAsia" w:asci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元，主要包括：基本工资、津贴补贴、奖金、伙食补助费、绩效工资、机关事业单位基本养老保险缴费、职业年金缴费、其他社会保障缴费、抚恤金、生活补助、奖励金、住房公积金。</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eastAsia="仿宋_GB2312" w:cs="仿宋_GB2312"/>
          <w:sz w:val="32"/>
          <w:szCs w:val="32"/>
          <w:lang w:val="en-US" w:eastAsia="zh-CN"/>
        </w:rPr>
        <w:t>169.98</w:t>
      </w:r>
      <w:r>
        <w:rPr>
          <w:rFonts w:hint="eastAsia" w:asci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元，主要包括：办公费、手续费、水费、电费、邮电费、差旅费、维修（护）费、培训费、劳务费、福利费、公务用车运行维护费、其他交通费</w:t>
      </w:r>
      <w:r>
        <w:rPr>
          <w:rFonts w:hint="eastAsia" w:eastAsia="仿宋_GB2312" w:cs="仿宋_GB2312"/>
          <w:color w:val="auto"/>
          <w:kern w:val="2"/>
          <w:sz w:val="32"/>
          <w:szCs w:val="32"/>
          <w:highlight w:val="none"/>
          <w:lang w:val="en-US" w:eastAsia="zh-CN" w:bidi="ar-SA"/>
        </w:rPr>
        <w:t>，其他商品和服务支出</w:t>
      </w:r>
      <w:r>
        <w:rPr>
          <w:rFonts w:hint="eastAsia" w:ascii="Times New Roman" w:hAnsi="Times New Roman" w:eastAsia="仿宋_GB2312" w:cs="仿宋_GB2312"/>
          <w:color w:val="auto"/>
          <w:kern w:val="2"/>
          <w:sz w:val="32"/>
          <w:szCs w:val="32"/>
          <w:highlight w:val="none"/>
          <w:lang w:val="en-US" w:eastAsia="zh-CN" w:bidi="ar-SA"/>
        </w:rPr>
        <w:t>。</w:t>
      </w:r>
    </w:p>
    <w:p w14:paraId="5514E368">
      <w:pPr>
        <w:spacing w:line="600" w:lineRule="exact"/>
        <w:ind w:firstLine="640" w:firstLineChars="0"/>
        <w:outlineLvl w:val="1"/>
        <w:rPr>
          <w:rStyle w:val="22"/>
          <w:rFonts w:ascii="Times New Roman" w:hAnsi="Times New Roman" w:eastAsia="黑体"/>
          <w:b w:val="0"/>
          <w:color w:val="auto"/>
          <w:highlight w:val="none"/>
        </w:rPr>
      </w:pPr>
      <w:bookmarkStart w:id="40" w:name="_Toc15396609"/>
      <w:bookmarkStart w:id="41" w:name="_Toc15377215"/>
      <w:r>
        <w:rPr>
          <w:rFonts w:hint="eastAsia" w:ascii="Times New Roman" w:hAnsi="Times New Roman" w:eastAsia="黑体"/>
          <w:color w:val="auto"/>
          <w:sz w:val="32"/>
          <w:szCs w:val="32"/>
          <w:highlight w:val="none"/>
        </w:rPr>
        <w:t>七、</w:t>
      </w:r>
      <w:r>
        <w:rPr>
          <w:rStyle w:val="22"/>
          <w:rFonts w:hint="eastAsia" w:ascii="Times New Roman" w:hAnsi="Times New Roman" w:eastAsia="黑体"/>
          <w:b w:val="0"/>
          <w:color w:val="auto"/>
          <w:highlight w:val="none"/>
        </w:rPr>
        <w:t>财政拨款</w:t>
      </w:r>
      <w:r>
        <w:rPr>
          <w:rStyle w:val="22"/>
          <w:rFonts w:hint="eastAsia" w:ascii="Times New Roman" w:hAnsi="Times New Roman" w:eastAsia="黑体"/>
          <w:color w:val="auto"/>
          <w:highlight w:val="none"/>
        </w:rPr>
        <w:t>“</w:t>
      </w:r>
      <w:r>
        <w:rPr>
          <w:rStyle w:val="22"/>
          <w:rFonts w:hint="eastAsia" w:ascii="Times New Roman" w:hAnsi="Times New Roman" w:eastAsia="黑体"/>
          <w:b w:val="0"/>
          <w:color w:val="auto"/>
          <w:highlight w:val="none"/>
        </w:rPr>
        <w:t>三公”经费支出决算情况说明</w:t>
      </w:r>
      <w:bookmarkEnd w:id="40"/>
      <w:bookmarkEnd w:id="41"/>
    </w:p>
    <w:p w14:paraId="23CEA08E">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2" w:name="_Toc15377216"/>
      <w:r>
        <w:rPr>
          <w:rFonts w:hint="eastAsia" w:ascii="Times New Roman" w:hAnsi="Times New Roman" w:eastAsia="楷体_GB2312" w:cs="楷体_GB2312"/>
          <w:b/>
          <w:color w:val="auto"/>
          <w:sz w:val="32"/>
          <w:szCs w:val="32"/>
          <w:highlight w:val="none"/>
        </w:rPr>
        <w:t>（一）“三公”经费财政拨款支出决算总体情况说明</w:t>
      </w:r>
      <w:bookmarkEnd w:id="42"/>
    </w:p>
    <w:p w14:paraId="18A1EB45">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年度“三公”经费财政拨款支出决算为</w:t>
      </w:r>
      <w:r>
        <w:rPr>
          <w:rFonts w:hint="eastAsia" w:ascii="仿宋_GB2312" w:eastAsia="仿宋_GB2312" w:cs="仿宋_GB2312"/>
          <w:sz w:val="32"/>
          <w:szCs w:val="32"/>
          <w:lang w:val="en-US" w:eastAsia="zh-CN"/>
        </w:rPr>
        <w:t>43.77</w:t>
      </w:r>
      <w:r>
        <w:rPr>
          <w:rFonts w:hint="eastAsia" w:ascii="仿宋_GB2312" w:eastAsia="仿宋_GB2312" w:cs="仿宋_GB2312"/>
          <w:color w:val="auto"/>
          <w:kern w:val="2"/>
          <w:sz w:val="32"/>
          <w:szCs w:val="32"/>
          <w:highlight w:val="none"/>
          <w:lang w:val="en-US" w:eastAsia="zh-CN" w:bidi="ar-SA"/>
        </w:rPr>
        <w:t>万元，完成预算</w:t>
      </w:r>
      <w:r>
        <w:rPr>
          <w:rFonts w:hint="eastAsia" w:ascii="仿宋_GB2312" w:eastAsia="仿宋_GB2312" w:cs="仿宋_GB2312"/>
          <w:sz w:val="32"/>
          <w:szCs w:val="32"/>
        </w:rPr>
        <w:t>100</w:t>
      </w:r>
      <w:r>
        <w:rPr>
          <w:rFonts w:hint="eastAsia" w:asci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较上年度</w:t>
      </w:r>
      <w:r>
        <w:rPr>
          <w:rFonts w:hint="eastAsia" w:eastAsia="仿宋_GB2312" w:cs="仿宋_GB2312"/>
          <w:color w:val="auto"/>
          <w:kern w:val="2"/>
          <w:sz w:val="32"/>
          <w:szCs w:val="32"/>
          <w:highlight w:val="none"/>
          <w:lang w:val="en-US" w:eastAsia="zh-CN" w:bidi="ar-SA"/>
        </w:rPr>
        <w:t>增加38.86</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增加791.4</w:t>
      </w:r>
      <w:r>
        <w:rPr>
          <w:rFonts w:hint="eastAsia" w:ascii="Times New Roman" w:hAnsi="Times New Roman" w:eastAsia="仿宋_GB2312" w:cs="仿宋_GB2312"/>
          <w:color w:val="auto"/>
          <w:kern w:val="2"/>
          <w:sz w:val="32"/>
          <w:szCs w:val="32"/>
          <w:highlight w:val="none"/>
          <w:lang w:val="en-US" w:eastAsia="zh-CN" w:bidi="ar-SA"/>
        </w:rPr>
        <w:t>%。决算数与预算数</w:t>
      </w:r>
      <w:r>
        <w:rPr>
          <w:rFonts w:hint="eastAsia" w:eastAsia="仿宋_GB2312" w:cs="仿宋_GB2312"/>
          <w:color w:val="auto"/>
          <w:kern w:val="2"/>
          <w:sz w:val="32"/>
          <w:szCs w:val="32"/>
          <w:highlight w:val="none"/>
          <w:lang w:val="en-US" w:eastAsia="zh-CN" w:bidi="ar-SA"/>
        </w:rPr>
        <w:t>持平</w:t>
      </w:r>
      <w:r>
        <w:rPr>
          <w:rFonts w:ascii="Times New Roman" w:hAnsi="Times New Roman" w:eastAsia="仿宋_GB2312" w:cs="仿宋_GB2312"/>
          <w:color w:val="auto"/>
          <w:kern w:val="2"/>
          <w:sz w:val="32"/>
          <w:szCs w:val="32"/>
          <w:highlight w:val="none"/>
          <w:lang w:val="en-US" w:eastAsia="zh-CN" w:bidi="ar-SA"/>
        </w:rPr>
        <w:t>。</w:t>
      </w:r>
    </w:p>
    <w:p w14:paraId="5509996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3" w:name="_Toc15377217"/>
      <w:r>
        <w:rPr>
          <w:rFonts w:hint="eastAsia" w:ascii="Times New Roman" w:hAnsi="Times New Roman" w:eastAsia="楷体_GB2312" w:cs="楷体_GB2312"/>
          <w:b/>
          <w:color w:val="auto"/>
          <w:sz w:val="32"/>
          <w:szCs w:val="32"/>
          <w:highlight w:val="none"/>
        </w:rPr>
        <w:t>（二）“三公”经费财政拨款支出决算具体情况说明</w:t>
      </w:r>
      <w:bookmarkEnd w:id="43"/>
    </w:p>
    <w:p w14:paraId="59B25F6D">
      <w:pPr>
        <w:spacing w:line="600" w:lineRule="exact"/>
        <w:ind w:firstLine="640"/>
        <w:rPr>
          <w:rFonts w:hint="eastAsia" w:ascii="仿宋_GB2312" w:eastAsia="仿宋_GB2312" w:cs="仿宋_GB2312"/>
          <w:color w:val="auto"/>
          <w:kern w:val="2"/>
          <w:sz w:val="32"/>
          <w:szCs w:val="32"/>
          <w:highlight w:val="none"/>
          <w:lang w:val="en-US" w:eastAsia="zh-CN" w:bidi="ar-SA"/>
        </w:rPr>
      </w:pPr>
      <w:r>
        <w:rPr>
          <w:rFonts w:hint="eastAsia" w:ascii="仿宋_GB2312" w:eastAsia="仿宋_GB2312" w:cs="仿宋_GB2312"/>
          <w:color w:val="auto"/>
          <w:kern w:val="2"/>
          <w:sz w:val="32"/>
          <w:szCs w:val="32"/>
          <w:highlight w:val="none"/>
          <w:lang w:val="en-US" w:eastAsia="zh-CN" w:bidi="ar-SA"/>
        </w:rPr>
        <w:t>2025年度“三公”经费财政拨款支出决算中，因公出国（境）费支出决算0万元；公务用车购置及运行维护费支出决算</w:t>
      </w:r>
      <w:r>
        <w:rPr>
          <w:rFonts w:hint="eastAsia" w:ascii="仿宋_GB2312" w:eastAsia="仿宋_GB2312" w:cs="仿宋_GB2312"/>
          <w:sz w:val="32"/>
          <w:szCs w:val="32"/>
          <w:lang w:val="en-US" w:eastAsia="zh-CN"/>
        </w:rPr>
        <w:t>43.14</w:t>
      </w:r>
      <w:r>
        <w:rPr>
          <w:rFonts w:hint="eastAsia" w:ascii="仿宋_GB2312" w:eastAsia="仿宋_GB2312" w:cs="仿宋_GB2312"/>
          <w:color w:val="auto"/>
          <w:kern w:val="2"/>
          <w:sz w:val="32"/>
          <w:szCs w:val="32"/>
          <w:highlight w:val="none"/>
          <w:lang w:val="en-US" w:eastAsia="zh-CN" w:bidi="ar-SA"/>
        </w:rPr>
        <w:t>万元，占98.5%；公务接待费支出决算0.63万元。具体情况如下：</w:t>
      </w:r>
    </w:p>
    <w:p w14:paraId="1F5EABE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（图7：“三公”经费财政拨款支出结构）</w:t>
      </w:r>
    </w:p>
    <w:p w14:paraId="59147314">
      <w:pPr>
        <w:pStyle w:val="20"/>
        <w:outlineLvl w:val="9"/>
        <w:rPr>
          <w:rFonts w:hint="eastAsia"/>
          <w:lang w:val="en-US" w:eastAsia="zh-CN"/>
        </w:rPr>
      </w:pPr>
      <w:r>
        <w:rPr>
          <w:rFonts w:hint="eastAsia"/>
          <w:lang w:val="en-US" w:eastAsia="zh-CN"/>
        </w:rPr>
        <w:drawing>
          <wp:inline distT="0" distB="0" distL="114300" distR="114300">
            <wp:extent cx="5256530" cy="2988310"/>
            <wp:effectExtent l="5080" t="4445" r="15240" b="17145"/>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2621BED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ascii="Times New Roman" w:hAnsi="Times New Roman"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ascii="Times New Roman" w:hAnsi="Times New Roman" w:eastAsia="仿宋_GB2312" w:cs="仿宋_GB2312"/>
          <w:b/>
          <w:bCs/>
          <w:color w:val="auto"/>
          <w:kern w:val="2"/>
          <w:sz w:val="32"/>
          <w:szCs w:val="32"/>
          <w:highlight w:val="none"/>
          <w:lang w:val="en-US" w:eastAsia="zh-CN" w:bidi="ar-SA"/>
        </w:rPr>
        <w:t>。</w:t>
      </w:r>
      <w:r>
        <w:rPr>
          <w:rFonts w:hint="eastAsia" w:ascii="仿宋_GB2312" w:eastAsia="仿宋_GB2312"/>
          <w:color w:val="auto"/>
          <w:sz w:val="32"/>
          <w:szCs w:val="32"/>
          <w:highlight w:val="none"/>
        </w:rPr>
        <w:t>全年安排因公出国（境）团组</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次，出国（境）</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人。因公出国（境）支出决算</w:t>
      </w:r>
      <w:r>
        <w:rPr>
          <w:rFonts w:hint="eastAsia" w:ascii="仿宋_GB2312" w:eastAsia="仿宋_GB2312"/>
          <w:color w:val="auto"/>
          <w:sz w:val="32"/>
          <w:szCs w:val="32"/>
          <w:highlight w:val="none"/>
          <w:lang w:val="en-US" w:eastAsia="zh-CN"/>
        </w:rPr>
        <w:t>与2024年持平</w:t>
      </w:r>
      <w:r>
        <w:rPr>
          <w:rFonts w:hint="eastAsia" w:ascii="仿宋_GB2312" w:eastAsia="仿宋_GB2312"/>
          <w:color w:val="auto"/>
          <w:sz w:val="32"/>
          <w:szCs w:val="32"/>
          <w:highlight w:val="none"/>
        </w:rPr>
        <w:t>。</w:t>
      </w:r>
    </w:p>
    <w:p w14:paraId="4F93F35D">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eastAsia="仿宋_GB2312" w:cs="仿宋_GB2312"/>
          <w:b/>
          <w:bCs/>
          <w:color w:val="auto"/>
          <w:kern w:val="2"/>
          <w:sz w:val="32"/>
          <w:szCs w:val="32"/>
          <w:highlight w:val="none"/>
          <w:lang w:val="en-US" w:eastAsia="zh-CN" w:bidi="ar-SA"/>
        </w:rPr>
        <w:t>43.14万</w:t>
      </w:r>
      <w:r>
        <w:rPr>
          <w:rFonts w:hint="eastAsia" w:ascii="Times New Roman" w:hAnsi="Times New Roman" w:eastAsia="仿宋_GB2312" w:cs="仿宋_GB2312"/>
          <w:b/>
          <w:bCs/>
          <w:color w:val="auto"/>
          <w:kern w:val="2"/>
          <w:sz w:val="32"/>
          <w:szCs w:val="32"/>
          <w:highlight w:val="none"/>
          <w:lang w:val="en-US" w:eastAsia="zh-CN" w:bidi="ar-SA"/>
        </w:rPr>
        <w:t>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ascii="Times New Roman" w:hAnsi="Times New Roman"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增加38.23</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上升778.6</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购置公车。</w:t>
      </w:r>
    </w:p>
    <w:p w14:paraId="2107F8B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w:t>
      </w:r>
      <w:r>
        <w:rPr>
          <w:rFonts w:hint="eastAsia" w:ascii="仿宋_GB2312" w:eastAsia="仿宋_GB2312" w:cs="仿宋_GB2312"/>
          <w:color w:val="auto"/>
          <w:kern w:val="2"/>
          <w:sz w:val="32"/>
          <w:szCs w:val="32"/>
          <w:highlight w:val="none"/>
          <w:lang w:val="en-US" w:eastAsia="zh-CN" w:bidi="ar-SA"/>
        </w:rPr>
        <w:t>出</w:t>
      </w:r>
      <w:r>
        <w:rPr>
          <w:rFonts w:hint="eastAsia" w:ascii="仿宋_GB2312" w:eastAsia="仿宋_GB2312" w:cs="仿宋_GB2312"/>
          <w:sz w:val="32"/>
          <w:szCs w:val="32"/>
          <w:lang w:val="en-US" w:eastAsia="zh-CN"/>
        </w:rPr>
        <w:t>38.1</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辆，其中：越野车</w:t>
      </w:r>
      <w:r>
        <w:rPr>
          <w:rFonts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w:t>
      </w:r>
    </w:p>
    <w:p w14:paraId="18AE3A4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w:t>
      </w:r>
      <w:r>
        <w:rPr>
          <w:rFonts w:hint="eastAsia" w:ascii="仿宋_GB2312" w:eastAsia="仿宋_GB2312" w:cs="仿宋_GB2312"/>
          <w:color w:val="auto"/>
          <w:kern w:val="2"/>
          <w:sz w:val="32"/>
          <w:szCs w:val="32"/>
          <w:highlight w:val="none"/>
          <w:lang w:val="en-US" w:eastAsia="zh-CN" w:bidi="ar-SA"/>
        </w:rPr>
        <w:t>出</w:t>
      </w:r>
      <w:r>
        <w:rPr>
          <w:rFonts w:hint="eastAsia" w:ascii="仿宋_GB2312" w:eastAsia="仿宋_GB2312" w:cs="仿宋_GB2312"/>
          <w:sz w:val="32"/>
          <w:szCs w:val="32"/>
          <w:lang w:val="en-US" w:eastAsia="zh-CN"/>
        </w:rPr>
        <w:t>5.04</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ascii="仿宋_GB2312" w:eastAsia="仿宋_GB2312"/>
          <w:color w:val="auto"/>
          <w:sz w:val="32"/>
          <w:szCs w:val="32"/>
          <w:highlight w:val="none"/>
        </w:rPr>
        <w:t>主要用于</w:t>
      </w:r>
      <w:r>
        <w:rPr>
          <w:rFonts w:hint="eastAsia" w:ascii="仿宋_GB2312" w:eastAsia="仿宋_GB2312"/>
          <w:color w:val="auto"/>
          <w:sz w:val="32"/>
          <w:szCs w:val="32"/>
          <w:highlight w:val="none"/>
          <w:lang w:eastAsia="zh-CN"/>
        </w:rPr>
        <w:t>单位教师出差所需的</w:t>
      </w:r>
      <w:r>
        <w:rPr>
          <w:rFonts w:hint="eastAsia" w:ascii="仿宋_GB2312" w:eastAsia="仿宋_GB2312"/>
          <w:color w:val="auto"/>
          <w:sz w:val="32"/>
          <w:szCs w:val="32"/>
          <w:highlight w:val="none"/>
        </w:rPr>
        <w:t>公务用车燃料费、维修费、过路过桥费、保险费等支出。</w:t>
      </w:r>
    </w:p>
    <w:p w14:paraId="56BA39D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eastAsia="仿宋_GB2312" w:cs="仿宋_GB2312"/>
          <w:b/>
          <w:bCs/>
          <w:color w:val="auto"/>
          <w:kern w:val="2"/>
          <w:sz w:val="32"/>
          <w:szCs w:val="32"/>
          <w:highlight w:val="none"/>
          <w:lang w:val="en-US" w:eastAsia="zh-CN" w:bidi="ar-SA"/>
        </w:rPr>
        <w:t>0.63万</w:t>
      </w:r>
      <w:r>
        <w:rPr>
          <w:rFonts w:hint="eastAsia" w:ascii="Times New Roman" w:hAnsi="Times New Roman" w:eastAsia="仿宋_GB2312" w:cs="仿宋_GB2312"/>
          <w:b/>
          <w:bCs/>
          <w:color w:val="auto"/>
          <w:kern w:val="2"/>
          <w:sz w:val="32"/>
          <w:szCs w:val="32"/>
          <w:highlight w:val="none"/>
          <w:lang w:val="en-US" w:eastAsia="zh-CN" w:bidi="ar-SA"/>
        </w:rPr>
        <w:t>元。</w:t>
      </w:r>
      <w:r>
        <w:rPr>
          <w:rFonts w:hint="eastAsia" w:ascii="Times New Roman" w:hAnsi="Times New Roman" w:eastAsia="仿宋_GB2312" w:cs="仿宋_GB2312"/>
          <w:color w:val="auto"/>
          <w:kern w:val="2"/>
          <w:sz w:val="32"/>
          <w:szCs w:val="32"/>
          <w:highlight w:val="none"/>
          <w:lang w:val="en-US" w:eastAsia="zh-CN" w:bidi="ar-SA"/>
        </w:rPr>
        <w:t>公务接待费支出决算比202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增加0.63万元</w:t>
      </w:r>
      <w:r>
        <w:rPr>
          <w:rFonts w:hint="eastAsia" w:ascii="Times New Roman" w:hAnsi="Times New Roman" w:eastAsia="仿宋_GB2312" w:cs="仿宋_GB2312"/>
          <w:color w:val="auto"/>
          <w:kern w:val="2"/>
          <w:sz w:val="32"/>
          <w:szCs w:val="32"/>
          <w:highlight w:val="none"/>
          <w:lang w:val="en-US" w:eastAsia="zh-CN" w:bidi="ar-SA"/>
        </w:rPr>
        <w:t>。其中：</w:t>
      </w:r>
    </w:p>
    <w:p w14:paraId="3A6C92F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w:t>
      </w:r>
      <w:r>
        <w:rPr>
          <w:rFonts w:hint="eastAsia" w:ascii="仿宋_GB2312" w:eastAsia="仿宋_GB2312" w:cs="仿宋_GB2312"/>
          <w:color w:val="auto"/>
          <w:kern w:val="2"/>
          <w:sz w:val="32"/>
          <w:szCs w:val="32"/>
          <w:highlight w:val="none"/>
          <w:lang w:val="en-US" w:eastAsia="zh-CN" w:bidi="ar-SA"/>
        </w:rPr>
        <w:t>出</w:t>
      </w:r>
      <w:r>
        <w:rPr>
          <w:rFonts w:hint="eastAsia" w:ascii="仿宋_GB2312" w:eastAsia="仿宋_GB2312" w:cs="仿宋_GB2312"/>
          <w:color w:val="auto"/>
          <w:sz w:val="32"/>
          <w:szCs w:val="32"/>
          <w:lang w:val="en-US" w:eastAsia="zh-CN"/>
        </w:rPr>
        <w:t>0.63</w:t>
      </w:r>
      <w:r>
        <w:rPr>
          <w:rFonts w:hint="eastAsia" w:asci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元。国内公务接</w:t>
      </w:r>
      <w:r>
        <w:rPr>
          <w:rFonts w:hint="eastAsia" w:ascii="仿宋_GB2312" w:eastAsia="仿宋_GB2312" w:cs="仿宋_GB2312"/>
          <w:color w:val="auto"/>
          <w:kern w:val="2"/>
          <w:sz w:val="32"/>
          <w:szCs w:val="32"/>
          <w:highlight w:val="none"/>
          <w:lang w:val="en-US" w:eastAsia="zh-CN" w:bidi="ar-SA"/>
        </w:rPr>
        <w:t>待</w:t>
      </w:r>
      <w:r>
        <w:rPr>
          <w:rFonts w:hint="eastAsia" w:ascii="仿宋_GB2312" w:eastAsia="仿宋_GB2312" w:cs="仿宋_GB2312"/>
          <w:color w:val="auto"/>
          <w:sz w:val="32"/>
          <w:szCs w:val="32"/>
          <w:lang w:val="en-US" w:eastAsia="zh-CN"/>
        </w:rPr>
        <w:t>2</w:t>
      </w:r>
      <w:r>
        <w:rPr>
          <w:rFonts w:hint="eastAsia" w:ascii="仿宋_GB2312" w:eastAsia="仿宋_GB2312" w:cs="仿宋_GB2312"/>
          <w:color w:val="auto"/>
          <w:kern w:val="2"/>
          <w:sz w:val="32"/>
          <w:szCs w:val="32"/>
          <w:highlight w:val="none"/>
          <w:lang w:val="en-US" w:eastAsia="zh-CN" w:bidi="ar-SA"/>
        </w:rPr>
        <w:t>批次，</w:t>
      </w:r>
      <w:r>
        <w:rPr>
          <w:rFonts w:hint="eastAsia" w:ascii="仿宋_GB2312" w:eastAsia="仿宋_GB2312" w:cs="仿宋_GB2312"/>
          <w:color w:val="auto"/>
          <w:sz w:val="32"/>
          <w:szCs w:val="32"/>
          <w:lang w:val="en-US" w:eastAsia="zh-CN"/>
        </w:rPr>
        <w:t>58</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0.63</w:t>
      </w:r>
      <w:r>
        <w:rPr>
          <w:rFonts w:hint="eastAsia" w:ascii="Times New Roman" w:hAnsi="Times New Roman" w:eastAsia="仿宋_GB2312" w:cs="仿宋_GB2312"/>
          <w:color w:val="auto"/>
          <w:kern w:val="2"/>
          <w:sz w:val="32"/>
          <w:szCs w:val="32"/>
          <w:highlight w:val="none"/>
          <w:lang w:val="en-US" w:eastAsia="zh-CN" w:bidi="ar-SA"/>
        </w:rPr>
        <w:t>万元。</w:t>
      </w:r>
    </w:p>
    <w:p w14:paraId="4FD6550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w:t>
      </w:r>
      <w:r>
        <w:rPr>
          <w:rFonts w:hint="eastAsia" w:ascii="仿宋_GB2312" w:eastAsia="仿宋_GB2312" w:cs="仿宋_GB2312"/>
          <w:color w:val="auto"/>
          <w:kern w:val="2"/>
          <w:sz w:val="32"/>
          <w:szCs w:val="32"/>
          <w:highlight w:val="none"/>
          <w:lang w:val="en-US" w:eastAsia="zh-CN" w:bidi="ar-SA"/>
        </w:rPr>
        <w:t>出</w:t>
      </w:r>
      <w:r>
        <w:rPr>
          <w:rFonts w:hint="eastAsia" w:ascii="仿宋_GB2312" w:eastAsia="仿宋_GB2312" w:cs="仿宋_GB2312"/>
          <w:color w:val="auto"/>
          <w:sz w:val="32"/>
          <w:szCs w:val="32"/>
        </w:rPr>
        <w:t>0</w:t>
      </w:r>
      <w:r>
        <w:rPr>
          <w:rFonts w:hint="eastAsia" w:ascii="仿宋_GB2312" w:eastAsia="仿宋_GB2312" w:cs="仿宋_GB2312"/>
          <w:color w:val="auto"/>
          <w:kern w:val="2"/>
          <w:sz w:val="32"/>
          <w:szCs w:val="32"/>
          <w:highlight w:val="none"/>
          <w:lang w:val="en-US" w:eastAsia="zh-CN" w:bidi="ar-SA"/>
        </w:rPr>
        <w:t>万元。外事接待</w:t>
      </w:r>
      <w:r>
        <w:rPr>
          <w:rFonts w:hint="eastAsia" w:ascii="仿宋_GB2312" w:eastAsia="仿宋_GB2312" w:cs="仿宋_GB2312"/>
          <w:color w:val="auto"/>
          <w:sz w:val="32"/>
          <w:szCs w:val="32"/>
        </w:rPr>
        <w:t>0</w:t>
      </w:r>
      <w:r>
        <w:rPr>
          <w:rFonts w:hint="eastAsia" w:ascii="仿宋_GB2312" w:eastAsia="仿宋_GB2312" w:cs="仿宋_GB2312"/>
          <w:color w:val="auto"/>
          <w:kern w:val="2"/>
          <w:sz w:val="32"/>
          <w:szCs w:val="32"/>
          <w:highlight w:val="none"/>
          <w:lang w:val="en-US" w:eastAsia="zh-CN" w:bidi="ar-SA"/>
        </w:rPr>
        <w:t>批次，</w:t>
      </w:r>
      <w:r>
        <w:rPr>
          <w:rFonts w:hint="eastAsia" w:ascii="仿宋_GB2312" w:eastAsia="仿宋_GB2312" w:cs="仿宋_GB2312"/>
          <w:color w:val="auto"/>
          <w:sz w:val="32"/>
          <w:szCs w:val="32"/>
        </w:rPr>
        <w:t>0</w:t>
      </w:r>
      <w:r>
        <w:rPr>
          <w:rFonts w:hint="eastAsia" w:ascii="仿宋_GB2312" w:eastAsia="仿宋_GB2312" w:cs="仿宋_GB2312"/>
          <w:color w:val="auto"/>
          <w:kern w:val="2"/>
          <w:sz w:val="32"/>
          <w:szCs w:val="32"/>
          <w:highlight w:val="none"/>
          <w:lang w:val="en-US" w:eastAsia="zh-CN" w:bidi="ar-SA"/>
        </w:rPr>
        <w:t>人次（不包括陪同人员）</w:t>
      </w:r>
      <w:r>
        <w:rPr>
          <w:rFonts w:hint="eastAsia" w:ascii="Times New Roman" w:hAnsi="Times New Roman" w:eastAsia="仿宋_GB2312" w:cs="仿宋_GB2312"/>
          <w:color w:val="auto"/>
          <w:kern w:val="2"/>
          <w:sz w:val="32"/>
          <w:szCs w:val="32"/>
          <w:highlight w:val="none"/>
          <w:lang w:val="en-US" w:eastAsia="zh-CN" w:bidi="ar-SA"/>
        </w:rPr>
        <w:t>。</w:t>
      </w:r>
    </w:p>
    <w:p w14:paraId="432CAA5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44" w:name="_Toc15396610"/>
      <w:bookmarkStart w:id="45" w:name="_Toc15377218"/>
    </w:p>
    <w:p w14:paraId="5A7E56BB">
      <w:pPr>
        <w:spacing w:line="600" w:lineRule="exact"/>
        <w:ind w:firstLine="640" w:firstLineChars="0"/>
        <w:outlineLvl w:val="1"/>
        <w:rPr>
          <w:rStyle w:val="22"/>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22"/>
          <w:rFonts w:hint="eastAsia" w:ascii="Times New Roman" w:hAnsi="Times New Roman" w:eastAsia="黑体"/>
          <w:b w:val="0"/>
          <w:color w:val="auto"/>
          <w:highlight w:val="none"/>
        </w:rPr>
        <w:t>政府性基金预算支出决算情况说明</w:t>
      </w:r>
      <w:bookmarkEnd w:id="44"/>
      <w:bookmarkEnd w:id="45"/>
    </w:p>
    <w:p w14:paraId="0C0EA6D3">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仿宋_GB2312" w:eastAsia="仿宋_GB2312" w:cs="仿宋_GB2312"/>
          <w:color w:val="auto"/>
          <w:kern w:val="2"/>
          <w:sz w:val="32"/>
          <w:szCs w:val="32"/>
          <w:highlight w:val="none"/>
          <w:lang w:val="en-US" w:eastAsia="zh-CN" w:bidi="ar-SA"/>
        </w:rPr>
        <w:t>2025年度政府性基金预算财政拨款支出</w:t>
      </w:r>
      <w:r>
        <w:rPr>
          <w:rFonts w:hint="eastAsia" w:ascii="仿宋_GB2312" w:eastAsia="仿宋_GB2312" w:cs="仿宋_GB2312"/>
          <w:sz w:val="32"/>
          <w:szCs w:val="32"/>
        </w:rPr>
        <w:t>0</w:t>
      </w:r>
      <w:r>
        <w:rPr>
          <w:rFonts w:hint="eastAsia" w:ascii="仿宋_GB2312" w:eastAsia="仿宋_GB2312" w:cs="仿宋_GB2312"/>
          <w:color w:val="auto"/>
          <w:kern w:val="2"/>
          <w:sz w:val="32"/>
          <w:szCs w:val="32"/>
          <w:highlight w:val="none"/>
          <w:lang w:val="en-US" w:eastAsia="zh-CN" w:bidi="ar-SA"/>
        </w:rPr>
        <w:t>万元</w:t>
      </w:r>
      <w:r>
        <w:rPr>
          <w:rFonts w:asci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与202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w:t>
      </w:r>
      <w:r>
        <w:rPr>
          <w:rFonts w:ascii="Times New Roman" w:hAnsi="Times New Roman" w:eastAsia="仿宋_GB2312" w:cs="仿宋_GB2312"/>
          <w:color w:val="auto"/>
          <w:kern w:val="2"/>
          <w:sz w:val="32"/>
          <w:szCs w:val="32"/>
          <w:highlight w:val="none"/>
          <w:lang w:val="en-US" w:eastAsia="zh-CN" w:bidi="ar-SA"/>
        </w:rPr>
        <w:t>持平。</w:t>
      </w:r>
    </w:p>
    <w:p w14:paraId="0BEBA3D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8AA12D9">
      <w:pPr>
        <w:spacing w:line="600" w:lineRule="exact"/>
        <w:ind w:left="630" w:leftChars="0"/>
        <w:outlineLvl w:val="1"/>
        <w:rPr>
          <w:rStyle w:val="22"/>
          <w:rFonts w:ascii="Times New Roman" w:hAnsi="Times New Roman" w:eastAsia="黑体"/>
          <w:b w:val="0"/>
          <w:color w:val="auto"/>
          <w:highlight w:val="none"/>
        </w:rPr>
      </w:pPr>
      <w:bookmarkStart w:id="46" w:name="_Toc15377219"/>
      <w:bookmarkStart w:id="47" w:name="_Toc15396611"/>
      <w:r>
        <w:rPr>
          <w:rStyle w:val="22"/>
          <w:rFonts w:hint="eastAsia" w:ascii="Times New Roman" w:hAnsi="Times New Roman" w:eastAsia="黑体"/>
          <w:b w:val="0"/>
          <w:color w:val="auto"/>
          <w:highlight w:val="none"/>
          <w:lang w:eastAsia="zh-CN"/>
        </w:rPr>
        <w:t>九、</w:t>
      </w:r>
      <w:r>
        <w:rPr>
          <w:rStyle w:val="22"/>
          <w:rFonts w:hint="eastAsia" w:ascii="Times New Roman" w:hAnsi="Times New Roman" w:eastAsia="黑体"/>
          <w:b w:val="0"/>
          <w:color w:val="auto"/>
          <w:highlight w:val="none"/>
        </w:rPr>
        <w:t>国有资本经营预算支出决算情况说明</w:t>
      </w:r>
      <w:bookmarkEnd w:id="46"/>
      <w:bookmarkEnd w:id="47"/>
    </w:p>
    <w:p w14:paraId="6E1F2D5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年度国有资本经营预算财政拨款支出</w:t>
      </w:r>
      <w:r>
        <w:rPr>
          <w:rFonts w:hint="eastAsia" w:ascii="仿宋_GB2312" w:eastAsia="仿宋_GB2312" w:cs="仿宋_GB2312"/>
          <w:sz w:val="32"/>
          <w:szCs w:val="32"/>
        </w:rPr>
        <w:t>0</w:t>
      </w:r>
      <w:r>
        <w:rPr>
          <w:rFonts w:hint="eastAsia" w:ascii="仿宋_GB2312"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与202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w:t>
      </w:r>
      <w:r>
        <w:rPr>
          <w:rFonts w:ascii="Times New Roman" w:hAnsi="Times New Roman" w:eastAsia="仿宋_GB2312" w:cs="仿宋_GB2312"/>
          <w:color w:val="auto"/>
          <w:kern w:val="2"/>
          <w:sz w:val="32"/>
          <w:szCs w:val="32"/>
          <w:highlight w:val="none"/>
          <w:lang w:val="en-US" w:eastAsia="zh-CN" w:bidi="ar-SA"/>
        </w:rPr>
        <w:t>持平。</w:t>
      </w:r>
    </w:p>
    <w:p w14:paraId="4DAF40F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E09A0D0">
      <w:pPr>
        <w:spacing w:line="600" w:lineRule="exact"/>
        <w:ind w:left="630" w:leftChars="0"/>
        <w:outlineLvl w:val="1"/>
        <w:rPr>
          <w:rStyle w:val="22"/>
          <w:rFonts w:hint="eastAsia" w:ascii="Times New Roman" w:hAnsi="Times New Roman" w:eastAsia="黑体"/>
          <w:b w:val="0"/>
          <w:color w:val="auto"/>
          <w:highlight w:val="none"/>
        </w:rPr>
      </w:pPr>
      <w:bookmarkStart w:id="48" w:name="_Toc15396612"/>
      <w:bookmarkStart w:id="49" w:name="_Toc15377221"/>
      <w:r>
        <w:rPr>
          <w:rStyle w:val="22"/>
          <w:rFonts w:hint="eastAsia" w:ascii="Times New Roman" w:hAnsi="Times New Roman" w:eastAsia="黑体"/>
          <w:b w:val="0"/>
          <w:color w:val="auto"/>
          <w:highlight w:val="none"/>
          <w:lang w:eastAsia="zh-CN"/>
        </w:rPr>
        <w:t>十、</w:t>
      </w:r>
      <w:r>
        <w:rPr>
          <w:rStyle w:val="22"/>
          <w:rFonts w:hint="eastAsia" w:ascii="Times New Roman" w:hAnsi="Times New Roman" w:eastAsia="黑体"/>
          <w:b w:val="0"/>
          <w:color w:val="auto"/>
          <w:highlight w:val="none"/>
        </w:rPr>
        <w:t>其他重要事项的情况说明</w:t>
      </w:r>
      <w:bookmarkEnd w:id="48"/>
      <w:bookmarkEnd w:id="49"/>
    </w:p>
    <w:p w14:paraId="73CD97C5">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0" w:name="_Toc15377222"/>
      <w:r>
        <w:rPr>
          <w:rFonts w:hint="eastAsia" w:ascii="Times New Roman" w:hAnsi="Times New Roman" w:eastAsia="楷体_GB2312" w:cs="楷体_GB2312"/>
          <w:b/>
          <w:color w:val="auto"/>
          <w:sz w:val="32"/>
          <w:szCs w:val="32"/>
          <w:highlight w:val="none"/>
        </w:rPr>
        <w:t>（一）机关运行经费支出情况</w:t>
      </w:r>
      <w:bookmarkEnd w:id="50"/>
    </w:p>
    <w:p w14:paraId="5E118DA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ascii="仿宋_GB2312" w:eastAsia="仿宋_GB2312" w:cs="仿宋_GB2312"/>
          <w:color w:val="auto"/>
          <w:kern w:val="2"/>
          <w:sz w:val="32"/>
          <w:szCs w:val="32"/>
          <w:highlight w:val="none"/>
          <w:lang w:val="en-US" w:eastAsia="zh-CN" w:bidi="ar-SA"/>
        </w:rPr>
        <w:t>，</w:t>
      </w:r>
      <w:r>
        <w:rPr>
          <w:rFonts w:hint="eastAsia" w:ascii="仿宋_GB2312" w:eastAsia="仿宋_GB2312" w:cs="仿宋_GB2312"/>
          <w:sz w:val="32"/>
          <w:szCs w:val="32"/>
        </w:rPr>
        <w:t>四川省威州民族师范学校附属小学校</w:t>
      </w:r>
      <w:r>
        <w:rPr>
          <w:rFonts w:hint="eastAsia" w:ascii="仿宋_GB2312" w:eastAsia="仿宋_GB2312" w:cs="仿宋_GB2312"/>
          <w:color w:val="auto"/>
          <w:kern w:val="2"/>
          <w:sz w:val="32"/>
          <w:szCs w:val="32"/>
          <w:highlight w:val="none"/>
          <w:lang w:val="en-US" w:eastAsia="zh-CN" w:bidi="ar-SA"/>
        </w:rPr>
        <w:t>机关运行经费支出</w:t>
      </w:r>
      <w:r>
        <w:rPr>
          <w:rFonts w:hint="eastAsia" w:ascii="仿宋_GB2312" w:eastAsia="仿宋_GB2312" w:cs="仿宋_GB2312"/>
          <w:sz w:val="32"/>
          <w:szCs w:val="32"/>
        </w:rPr>
        <w:t>0</w:t>
      </w:r>
      <w:r>
        <w:rPr>
          <w:rFonts w:hint="eastAsia" w:asci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w:t>
      </w:r>
      <w:r>
        <w:rPr>
          <w:rFonts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与202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年度决算数持平。</w:t>
      </w:r>
    </w:p>
    <w:p w14:paraId="6007704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5502F95">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1" w:name="_Toc15377223"/>
      <w:r>
        <w:rPr>
          <w:rFonts w:hint="eastAsia" w:ascii="Times New Roman" w:hAnsi="Times New Roman" w:eastAsia="楷体_GB2312" w:cs="楷体_GB2312"/>
          <w:b/>
          <w:color w:val="auto"/>
          <w:sz w:val="32"/>
          <w:szCs w:val="32"/>
          <w:highlight w:val="none"/>
        </w:rPr>
        <w:t>（二）政府采购支出情况</w:t>
      </w:r>
      <w:bookmarkEnd w:id="51"/>
    </w:p>
    <w:p w14:paraId="3D930132">
      <w:pPr>
        <w:spacing w:line="600" w:lineRule="exact"/>
        <w:ind w:firstLine="640"/>
        <w:rPr>
          <w:rFonts w:hint="eastAsia" w:ascii="仿宋_GB2312" w:eastAsia="仿宋_GB2312" w:cs="仿宋_GB2312"/>
          <w:color w:val="auto"/>
          <w:kern w:val="2"/>
          <w:sz w:val="32"/>
          <w:szCs w:val="32"/>
          <w:highlight w:val="none"/>
          <w:lang w:val="en-US" w:eastAsia="zh-CN" w:bidi="ar-SA"/>
        </w:rPr>
      </w:pPr>
      <w:r>
        <w:rPr>
          <w:rFonts w:hint="eastAsia" w:ascii="仿宋_GB2312" w:eastAsia="仿宋_GB2312" w:cs="仿宋_GB2312"/>
          <w:color w:val="auto"/>
          <w:kern w:val="2"/>
          <w:sz w:val="32"/>
          <w:szCs w:val="32"/>
          <w:highlight w:val="none"/>
          <w:lang w:val="en-US" w:eastAsia="zh-CN" w:bidi="ar-SA"/>
        </w:rPr>
        <w:t>2025年度，</w:t>
      </w:r>
      <w:r>
        <w:rPr>
          <w:rFonts w:hint="eastAsia" w:ascii="仿宋_GB2312" w:eastAsia="仿宋_GB2312" w:cs="仿宋_GB2312"/>
          <w:sz w:val="32"/>
          <w:szCs w:val="32"/>
        </w:rPr>
        <w:t>四川省威州民族师范学校附属小学校</w:t>
      </w:r>
      <w:r>
        <w:rPr>
          <w:rFonts w:hint="eastAsia" w:ascii="仿宋_GB2312" w:eastAsia="仿宋_GB2312" w:cs="仿宋_GB2312"/>
          <w:color w:val="auto"/>
          <w:kern w:val="2"/>
          <w:sz w:val="32"/>
          <w:szCs w:val="32"/>
          <w:highlight w:val="none"/>
          <w:lang w:val="en-US" w:eastAsia="zh-CN" w:bidi="ar-SA"/>
        </w:rPr>
        <w:t>政府采购支出总额</w:t>
      </w:r>
      <w:r>
        <w:rPr>
          <w:rFonts w:hint="eastAsia" w:ascii="仿宋_GB2312" w:eastAsia="仿宋_GB2312" w:cs="仿宋_GB2312"/>
          <w:sz w:val="32"/>
          <w:szCs w:val="32"/>
          <w:lang w:val="en-US" w:eastAsia="zh-CN"/>
        </w:rPr>
        <w:t>80.08</w:t>
      </w:r>
      <w:r>
        <w:rPr>
          <w:rFonts w:hint="eastAsia" w:ascii="仿宋_GB2312" w:eastAsia="仿宋_GB2312" w:cs="仿宋_GB2312"/>
          <w:color w:val="auto"/>
          <w:kern w:val="2"/>
          <w:sz w:val="32"/>
          <w:szCs w:val="32"/>
          <w:highlight w:val="none"/>
          <w:lang w:val="en-US" w:eastAsia="zh-CN" w:bidi="ar-SA"/>
        </w:rPr>
        <w:t>万元，其中：政府采购货物支出</w:t>
      </w:r>
      <w:r>
        <w:rPr>
          <w:rFonts w:hint="eastAsia" w:ascii="仿宋_GB2312" w:eastAsia="仿宋_GB2312" w:cs="仿宋_GB2312"/>
          <w:sz w:val="32"/>
          <w:szCs w:val="32"/>
          <w:lang w:val="en-US" w:eastAsia="zh-CN"/>
        </w:rPr>
        <w:t>0</w:t>
      </w:r>
      <w:r>
        <w:rPr>
          <w:rFonts w:hint="eastAsia" w:ascii="仿宋_GB2312" w:eastAsia="仿宋_GB2312" w:cs="仿宋_GB2312"/>
          <w:color w:val="auto"/>
          <w:kern w:val="2"/>
          <w:sz w:val="32"/>
          <w:szCs w:val="32"/>
          <w:highlight w:val="none"/>
          <w:lang w:val="en-US" w:eastAsia="zh-CN" w:bidi="ar-SA"/>
        </w:rPr>
        <w:t>万元、政府采购工程支出</w:t>
      </w:r>
      <w:r>
        <w:rPr>
          <w:rFonts w:hint="eastAsia" w:ascii="仿宋_GB2312" w:eastAsia="仿宋_GB2312" w:cs="仿宋_GB2312"/>
          <w:sz w:val="32"/>
          <w:szCs w:val="32"/>
        </w:rPr>
        <w:t>0</w:t>
      </w:r>
      <w:r>
        <w:rPr>
          <w:rFonts w:hint="eastAsia" w:ascii="仿宋_GB2312" w:eastAsia="仿宋_GB2312" w:cs="仿宋_GB2312"/>
          <w:color w:val="auto"/>
          <w:kern w:val="2"/>
          <w:sz w:val="32"/>
          <w:szCs w:val="32"/>
          <w:highlight w:val="none"/>
          <w:lang w:val="en-US" w:eastAsia="zh-CN" w:bidi="ar-SA"/>
        </w:rPr>
        <w:t>万元、政府采购服务支出</w:t>
      </w:r>
      <w:r>
        <w:rPr>
          <w:rFonts w:hint="eastAsia" w:ascii="仿宋_GB2312" w:eastAsia="仿宋_GB2312" w:cs="仿宋_GB2312"/>
          <w:sz w:val="32"/>
          <w:szCs w:val="32"/>
          <w:lang w:val="en-US" w:eastAsia="zh-CN"/>
        </w:rPr>
        <w:t>80.08</w:t>
      </w:r>
      <w:r>
        <w:rPr>
          <w:rFonts w:hint="eastAsia" w:ascii="仿宋_GB2312" w:eastAsia="仿宋_GB2312" w:cs="仿宋_GB2312"/>
          <w:color w:val="auto"/>
          <w:kern w:val="2"/>
          <w:sz w:val="32"/>
          <w:szCs w:val="32"/>
          <w:highlight w:val="none"/>
          <w:lang w:val="en-US" w:eastAsia="zh-CN" w:bidi="ar-SA"/>
        </w:rPr>
        <w:t>万元。主要用于</w:t>
      </w:r>
      <w:r>
        <w:rPr>
          <w:rFonts w:hint="eastAsia" w:ascii="仿宋_GB2312" w:eastAsia="仿宋_GB2312"/>
          <w:color w:val="auto"/>
          <w:sz w:val="32"/>
          <w:szCs w:val="32"/>
          <w:highlight w:val="none"/>
        </w:rPr>
        <w:t>学校食堂保洁等临聘人员劳务费</w:t>
      </w:r>
      <w:r>
        <w:rPr>
          <w:rFonts w:hint="eastAsia" w:ascii="仿宋_GB2312" w:eastAsia="仿宋_GB2312" w:cs="仿宋_GB2312"/>
          <w:color w:val="auto"/>
          <w:kern w:val="2"/>
          <w:sz w:val="32"/>
          <w:szCs w:val="32"/>
          <w:highlight w:val="none"/>
          <w:lang w:val="en-US" w:eastAsia="zh-CN" w:bidi="ar-SA"/>
        </w:rPr>
        <w:t>。授予中小企业合同金额</w:t>
      </w:r>
      <w:r>
        <w:rPr>
          <w:rFonts w:hint="eastAsia" w:ascii="仿宋_GB2312" w:eastAsia="仿宋_GB2312" w:cs="仿宋_GB2312"/>
          <w:sz w:val="32"/>
          <w:szCs w:val="32"/>
          <w:lang w:val="en-US" w:eastAsia="zh-CN"/>
        </w:rPr>
        <w:t>80.08</w:t>
      </w:r>
      <w:r>
        <w:rPr>
          <w:rFonts w:hint="eastAsia" w:ascii="仿宋_GB2312" w:eastAsia="仿宋_GB2312" w:cs="仿宋_GB2312"/>
          <w:color w:val="auto"/>
          <w:kern w:val="2"/>
          <w:sz w:val="32"/>
          <w:szCs w:val="32"/>
          <w:highlight w:val="none"/>
          <w:lang w:val="en-US" w:eastAsia="zh-CN" w:bidi="ar-SA"/>
        </w:rPr>
        <w:t>万元，占政府采购支出总额的</w:t>
      </w:r>
      <w:r>
        <w:rPr>
          <w:rFonts w:hint="eastAsia" w:ascii="仿宋_GB2312" w:eastAsia="仿宋_GB2312" w:cs="仿宋_GB2312"/>
          <w:sz w:val="32"/>
          <w:szCs w:val="32"/>
        </w:rPr>
        <w:t>100</w:t>
      </w:r>
      <w:r>
        <w:rPr>
          <w:rFonts w:hint="eastAsia" w:ascii="仿宋_GB2312" w:eastAsia="仿宋_GB2312" w:cs="仿宋_GB2312"/>
          <w:color w:val="auto"/>
          <w:kern w:val="2"/>
          <w:sz w:val="32"/>
          <w:szCs w:val="32"/>
          <w:highlight w:val="none"/>
          <w:lang w:val="en-US" w:eastAsia="zh-CN" w:bidi="ar-SA"/>
        </w:rPr>
        <w:t>%，其中：授予小微企业合同金额</w:t>
      </w:r>
      <w:r>
        <w:rPr>
          <w:rFonts w:hint="eastAsia" w:ascii="仿宋_GB2312" w:eastAsia="仿宋_GB2312" w:cs="仿宋_GB2312"/>
          <w:sz w:val="32"/>
          <w:szCs w:val="32"/>
          <w:lang w:val="en-US" w:eastAsia="zh-CN"/>
        </w:rPr>
        <w:t>80.08</w:t>
      </w:r>
      <w:r>
        <w:rPr>
          <w:rFonts w:hint="eastAsia" w:ascii="仿宋_GB2312" w:eastAsia="仿宋_GB2312" w:cs="仿宋_GB2312"/>
          <w:color w:val="auto"/>
          <w:kern w:val="2"/>
          <w:sz w:val="32"/>
          <w:szCs w:val="32"/>
          <w:highlight w:val="none"/>
          <w:lang w:val="en-US" w:eastAsia="zh-CN" w:bidi="ar-SA"/>
        </w:rPr>
        <w:t>万元，占政府采购支出总额的</w:t>
      </w:r>
      <w:r>
        <w:rPr>
          <w:rFonts w:hint="eastAsia" w:ascii="仿宋_GB2312" w:eastAsia="仿宋_GB2312" w:cs="仿宋_GB2312"/>
          <w:sz w:val="32"/>
          <w:szCs w:val="32"/>
        </w:rPr>
        <w:t>100</w:t>
      </w:r>
      <w:r>
        <w:rPr>
          <w:rFonts w:hint="eastAsia" w:ascii="仿宋_GB2312" w:eastAsia="仿宋_GB2312" w:cs="仿宋_GB2312"/>
          <w:color w:val="auto"/>
          <w:kern w:val="2"/>
          <w:sz w:val="32"/>
          <w:szCs w:val="32"/>
          <w:highlight w:val="none"/>
          <w:lang w:val="en-US" w:eastAsia="zh-CN" w:bidi="ar-SA"/>
        </w:rPr>
        <w:t>%。</w:t>
      </w:r>
    </w:p>
    <w:p w14:paraId="0BDDDD1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E154F4B">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2" w:name="_Toc15377224"/>
      <w:r>
        <w:rPr>
          <w:rFonts w:hint="eastAsia" w:ascii="Times New Roman" w:hAnsi="Times New Roman" w:eastAsia="楷体_GB2312" w:cs="楷体_GB2312"/>
          <w:b/>
          <w:color w:val="auto"/>
          <w:sz w:val="32"/>
          <w:szCs w:val="32"/>
          <w:highlight w:val="none"/>
        </w:rPr>
        <w:t>（三）国有资产占有使用情况</w:t>
      </w:r>
      <w:bookmarkEnd w:id="52"/>
    </w:p>
    <w:p w14:paraId="2DA3E90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eastAsia="仿宋_GB2312" w:cs="仿宋_GB2312"/>
          <w:color w:val="auto"/>
          <w:kern w:val="2"/>
          <w:sz w:val="32"/>
          <w:szCs w:val="32"/>
          <w:highlight w:val="none"/>
          <w:lang w:val="en-US" w:eastAsia="zh-CN" w:bidi="ar-SA"/>
        </w:rPr>
        <w:t>截至2025年12月31日，</w:t>
      </w:r>
      <w:r>
        <w:rPr>
          <w:rFonts w:hint="eastAsia" w:ascii="仿宋_GB2312" w:eastAsia="仿宋_GB2312" w:cs="仿宋_GB2312"/>
          <w:sz w:val="32"/>
          <w:szCs w:val="32"/>
        </w:rPr>
        <w:t>四川省威州民族师范学校附属小学校</w:t>
      </w:r>
      <w:r>
        <w:rPr>
          <w:rFonts w:hint="eastAsia" w:ascii="仿宋_GB2312" w:eastAsia="仿宋_GB2312" w:cs="仿宋_GB2312"/>
          <w:color w:val="auto"/>
          <w:kern w:val="2"/>
          <w:sz w:val="32"/>
          <w:szCs w:val="32"/>
          <w:highlight w:val="none"/>
          <w:lang w:val="en-US" w:eastAsia="zh-CN" w:bidi="ar-SA"/>
        </w:rPr>
        <w:t>共有车辆</w:t>
      </w:r>
      <w:r>
        <w:rPr>
          <w:rFonts w:hint="eastAsia" w:ascii="仿宋_GB2312" w:eastAsia="仿宋_GB2312" w:cs="仿宋_GB2312"/>
          <w:sz w:val="32"/>
          <w:szCs w:val="32"/>
        </w:rPr>
        <w:t>1</w:t>
      </w:r>
      <w:r>
        <w:rPr>
          <w:rFonts w:hint="eastAsia" w:ascii="仿宋_GB2312" w:eastAsia="仿宋_GB2312" w:cs="仿宋_GB2312"/>
          <w:color w:val="auto"/>
          <w:kern w:val="2"/>
          <w:sz w:val="32"/>
          <w:szCs w:val="32"/>
          <w:highlight w:val="none"/>
          <w:lang w:val="en-US" w:eastAsia="zh-CN" w:bidi="ar-SA"/>
        </w:rPr>
        <w:t>辆，其中：主要负责人用车</w:t>
      </w:r>
      <w:r>
        <w:rPr>
          <w:rFonts w:hint="eastAsia" w:ascii="仿宋_GB2312" w:eastAsia="仿宋_GB2312" w:cs="仿宋_GB2312"/>
          <w:sz w:val="32"/>
          <w:szCs w:val="32"/>
        </w:rPr>
        <w:t>0</w:t>
      </w:r>
      <w:r>
        <w:rPr>
          <w:rFonts w:hint="eastAsia" w:ascii="仿宋_GB2312" w:eastAsia="仿宋_GB2312" w:cs="仿宋_GB2312"/>
          <w:color w:val="auto"/>
          <w:kern w:val="2"/>
          <w:sz w:val="32"/>
          <w:szCs w:val="32"/>
          <w:highlight w:val="none"/>
          <w:lang w:val="en-US" w:eastAsia="zh-CN" w:bidi="ar-SA"/>
        </w:rPr>
        <w:t>辆、机要通信用车</w:t>
      </w:r>
      <w:r>
        <w:rPr>
          <w:rFonts w:hint="eastAsia" w:ascii="仿宋_GB2312" w:eastAsia="仿宋_GB2312" w:cs="仿宋_GB2312"/>
          <w:sz w:val="32"/>
          <w:szCs w:val="32"/>
        </w:rPr>
        <w:t>0</w:t>
      </w:r>
      <w:r>
        <w:rPr>
          <w:rFonts w:hint="eastAsia" w:ascii="仿宋_GB2312" w:eastAsia="仿宋_GB2312" w:cs="仿宋_GB2312"/>
          <w:color w:val="auto"/>
          <w:kern w:val="2"/>
          <w:sz w:val="32"/>
          <w:szCs w:val="32"/>
          <w:highlight w:val="none"/>
          <w:lang w:val="en-US" w:eastAsia="zh-CN" w:bidi="ar-SA"/>
        </w:rPr>
        <w:t>辆、应急保障用车</w:t>
      </w:r>
      <w:r>
        <w:rPr>
          <w:rFonts w:hint="eastAsia" w:ascii="仿宋_GB2312" w:eastAsia="仿宋_GB2312" w:cs="仿宋_GB2312"/>
          <w:sz w:val="32"/>
          <w:szCs w:val="32"/>
        </w:rPr>
        <w:t>0</w:t>
      </w:r>
      <w:r>
        <w:rPr>
          <w:rFonts w:hint="eastAsia" w:ascii="仿宋_GB2312" w:eastAsia="仿宋_GB2312" w:cs="仿宋_GB2312"/>
          <w:color w:val="auto"/>
          <w:kern w:val="2"/>
          <w:sz w:val="32"/>
          <w:szCs w:val="32"/>
          <w:highlight w:val="none"/>
          <w:lang w:val="en-US" w:eastAsia="zh-CN" w:bidi="ar-SA"/>
        </w:rPr>
        <w:t>辆、其他用车</w:t>
      </w:r>
      <w:r>
        <w:rPr>
          <w:rFonts w:hint="eastAsia" w:ascii="仿宋_GB2312" w:eastAsia="仿宋_GB2312" w:cs="仿宋_GB2312"/>
          <w:sz w:val="32"/>
          <w:szCs w:val="32"/>
        </w:rPr>
        <w:t>1</w:t>
      </w:r>
      <w:r>
        <w:rPr>
          <w:rFonts w:hint="eastAsia" w:ascii="仿宋_GB2312" w:eastAsia="仿宋_GB2312" w:cs="仿宋_GB2312"/>
          <w:color w:val="auto"/>
          <w:kern w:val="2"/>
          <w:sz w:val="32"/>
          <w:szCs w:val="32"/>
          <w:highlight w:val="none"/>
          <w:lang w:val="en-US" w:eastAsia="zh-CN" w:bidi="ar-SA"/>
        </w:rPr>
        <w:t>辆，其他用车主要是用于</w:t>
      </w:r>
      <w:r>
        <w:rPr>
          <w:rFonts w:hint="eastAsia" w:ascii="仿宋_GB2312" w:eastAsia="仿宋_GB2312"/>
          <w:color w:val="auto"/>
          <w:sz w:val="32"/>
          <w:szCs w:val="32"/>
          <w:highlight w:val="none"/>
          <w:lang w:eastAsia="zh-CN"/>
        </w:rPr>
        <w:t>开展远程项目工作、信息化教学相关工作、实验教学管理、教育技术装备督导等工作</w:t>
      </w:r>
      <w:r>
        <w:rPr>
          <w:rFonts w:hint="eastAsia" w:ascii="仿宋_GB2312" w:eastAsia="仿宋_GB2312" w:cs="仿宋_GB2312"/>
          <w:color w:val="auto"/>
          <w:kern w:val="2"/>
          <w:sz w:val="32"/>
          <w:szCs w:val="32"/>
          <w:highlight w:val="none"/>
          <w:lang w:val="en-US" w:eastAsia="zh-CN" w:bidi="ar-SA"/>
        </w:rPr>
        <w:t>。单价100万元（含）以上设备（不含车辆）</w:t>
      </w:r>
      <w:r>
        <w:rPr>
          <w:rFonts w:hint="eastAsia" w:ascii="仿宋_GB2312" w:eastAsia="仿宋_GB2312" w:cs="仿宋_GB2312"/>
          <w:sz w:val="32"/>
          <w:szCs w:val="32"/>
        </w:rPr>
        <w:t>0</w:t>
      </w:r>
      <w:r>
        <w:rPr>
          <w:rFonts w:hint="eastAsia" w:ascii="仿宋_GB2312" w:eastAsia="仿宋_GB2312" w:cs="仿宋_GB2312"/>
          <w:color w:val="auto"/>
          <w:kern w:val="2"/>
          <w:sz w:val="32"/>
          <w:szCs w:val="32"/>
          <w:highlight w:val="none"/>
          <w:lang w:val="en-US" w:eastAsia="zh-CN" w:bidi="ar-SA"/>
        </w:rPr>
        <w:t>台（套）</w:t>
      </w:r>
      <w:r>
        <w:rPr>
          <w:rFonts w:hint="eastAsia" w:ascii="Times New Roman" w:hAnsi="Times New Roman" w:eastAsia="仿宋_GB2312" w:cs="仿宋_GB2312"/>
          <w:color w:val="auto"/>
          <w:kern w:val="2"/>
          <w:sz w:val="32"/>
          <w:szCs w:val="32"/>
          <w:highlight w:val="none"/>
          <w:lang w:val="en-US" w:eastAsia="zh-CN" w:bidi="ar-SA"/>
        </w:rPr>
        <w:t>。</w:t>
      </w:r>
    </w:p>
    <w:p w14:paraId="68FD79F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189255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7FACB69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ascii="Times New Roman" w:hAnsi="Times New Roman" w:eastAsia="仿宋_GB2312" w:cs="仿宋_GB2312"/>
          <w:color w:val="auto"/>
          <w:kern w:val="2"/>
          <w:sz w:val="32"/>
          <w:szCs w:val="32"/>
          <w:highlight w:val="none"/>
          <w:lang w:val="en-US" w:eastAsia="zh-CN" w:bidi="ar-SA"/>
        </w:rPr>
        <w:t>威师附小</w:t>
      </w:r>
      <w:r>
        <w:rPr>
          <w:rFonts w:hint="eastAsia" w:ascii="Times New Roman" w:hAnsi="Times New Roman" w:eastAsia="仿宋_GB2312" w:cs="仿宋_GB2312"/>
          <w:color w:val="auto"/>
          <w:kern w:val="2"/>
          <w:sz w:val="32"/>
          <w:szCs w:val="32"/>
          <w:highlight w:val="none"/>
          <w:lang w:val="en-US" w:eastAsia="zh-CN" w:bidi="ar-SA"/>
        </w:rPr>
        <w:t>在202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年度预算编制阶段，组织对</w:t>
      </w:r>
      <w:r>
        <w:rPr>
          <w:rFonts w:hint="eastAsia" w:ascii="仿宋_GB2312" w:eastAsia="仿宋_GB2312" w:cs="Times New Roman"/>
          <w:color w:val="auto"/>
          <w:sz w:val="32"/>
          <w:szCs w:val="32"/>
          <w:highlight w:val="none"/>
          <w:lang w:eastAsia="zh-CN" w:bidi="ar-SA"/>
        </w:rPr>
        <w:t>中小学临聘人员劳务费、生均公用、取暖费</w:t>
      </w:r>
      <w:r>
        <w:rPr>
          <w:rFonts w:ascii="仿宋_GB2312" w:eastAsia="仿宋_GB2312" w:cs="Times New Roman"/>
          <w:color w:val="auto"/>
          <w:sz w:val="32"/>
          <w:szCs w:val="32"/>
          <w:highlight w:val="none"/>
          <w:lang w:eastAsia="zh-CN" w:bidi="ar-SA"/>
        </w:rPr>
        <w:t>3</w:t>
      </w:r>
      <w:r>
        <w:rPr>
          <w:rFonts w:hint="eastAsia" w:ascii="Times New Roman" w:hAnsi="Times New Roman" w:eastAsia="仿宋_GB2312" w:cs="仿宋_GB2312"/>
          <w:color w:val="auto"/>
          <w:kern w:val="2"/>
          <w:sz w:val="32"/>
          <w:szCs w:val="32"/>
          <w:highlight w:val="none"/>
          <w:lang w:val="en-US" w:eastAsia="zh-CN" w:bidi="ar-SA"/>
        </w:rPr>
        <w:t>个项目开展了预算事前绩效评估，对</w:t>
      </w:r>
      <w:r>
        <w:rPr>
          <w:rFonts w:ascii="Times New Roman" w:hAnsi="Times New Roman"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ascii="Times New Roman" w:hAnsi="Times New Roman"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个项目开展绩效监控。</w:t>
      </w:r>
    </w:p>
    <w:p w14:paraId="0D32E9E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组织对202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年度一般公共预算、政府性基金预算、国有资本经营预算、社会保险基金预算以及资本资产、债券资金等全面开展绩效自评，形成</w:t>
      </w:r>
      <w:r>
        <w:rPr>
          <w:rFonts w:ascii="Times New Roman" w:hAnsi="Times New Roman" w:eastAsia="仿宋_GB2312" w:cs="仿宋_GB2312"/>
          <w:color w:val="auto"/>
          <w:kern w:val="2"/>
          <w:sz w:val="32"/>
          <w:szCs w:val="32"/>
          <w:highlight w:val="none"/>
          <w:lang w:val="en-US" w:eastAsia="zh-CN" w:bidi="ar-SA"/>
        </w:rPr>
        <w:t>威师附小</w:t>
      </w:r>
      <w:r>
        <w:rPr>
          <w:rFonts w:hint="eastAsia" w:eastAsia="仿宋_GB2312" w:cs="仿宋_GB2312"/>
          <w:color w:val="auto"/>
          <w:kern w:val="2"/>
          <w:sz w:val="32"/>
          <w:szCs w:val="32"/>
          <w:highlight w:val="none"/>
          <w:lang w:val="en-US" w:eastAsia="zh-CN" w:bidi="ar-SA"/>
        </w:rPr>
        <w:t>单位</w:t>
      </w:r>
      <w:r>
        <w:rPr>
          <w:rFonts w:hint="eastAsia" w:ascii="Times New Roman" w:hAnsi="Times New Roman" w:eastAsia="仿宋_GB2312" w:cs="仿宋_GB2312"/>
          <w:color w:val="auto"/>
          <w:kern w:val="2"/>
          <w:sz w:val="32"/>
          <w:szCs w:val="32"/>
          <w:highlight w:val="none"/>
          <w:lang w:val="en-US" w:eastAsia="zh-CN" w:bidi="ar-SA"/>
        </w:rPr>
        <w:t>整体（含</w:t>
      </w:r>
      <w:r>
        <w:rPr>
          <w:rFonts w:hint="eastAsia" w:eastAsia="仿宋_GB2312" w:cs="仿宋_GB2312"/>
          <w:color w:val="auto"/>
          <w:kern w:val="2"/>
          <w:sz w:val="32"/>
          <w:szCs w:val="32"/>
          <w:highlight w:val="none"/>
          <w:lang w:val="en-US" w:eastAsia="zh-CN" w:bidi="ar-SA"/>
        </w:rPr>
        <w:t>单位</w:t>
      </w:r>
      <w:r>
        <w:rPr>
          <w:rFonts w:hint="eastAsia" w:ascii="Times New Roman" w:hAnsi="Times New Roman" w:eastAsia="仿宋_GB2312" w:cs="仿宋_GB2312"/>
          <w:color w:val="auto"/>
          <w:kern w:val="2"/>
          <w:sz w:val="32"/>
          <w:szCs w:val="32"/>
          <w:highlight w:val="none"/>
          <w:lang w:val="en-US" w:eastAsia="zh-CN" w:bidi="ar-SA"/>
        </w:rPr>
        <w:t>预算项目）绩效自评报告，其中，</w:t>
      </w:r>
      <w:r>
        <w:rPr>
          <w:rFonts w:hint="eastAsia" w:eastAsia="仿宋_GB2312" w:cs="仿宋_GB2312"/>
          <w:color w:val="auto"/>
          <w:kern w:val="2"/>
          <w:sz w:val="32"/>
          <w:szCs w:val="32"/>
          <w:highlight w:val="none"/>
          <w:lang w:val="en-US" w:eastAsia="zh-CN" w:bidi="ar-SA"/>
        </w:rPr>
        <w:t>威师附小</w:t>
      </w:r>
      <w:r>
        <w:rPr>
          <w:rFonts w:hint="eastAsia" w:ascii="Times New Roman" w:hAnsi="Times New Roman" w:eastAsia="仿宋_GB2312" w:cs="仿宋_GB2312"/>
          <w:color w:val="auto"/>
          <w:kern w:val="2"/>
          <w:sz w:val="32"/>
          <w:szCs w:val="32"/>
          <w:highlight w:val="none"/>
          <w:lang w:val="en-US" w:eastAsia="zh-CN" w:bidi="ar-SA"/>
        </w:rPr>
        <w:t>整体（含</w:t>
      </w:r>
      <w:r>
        <w:rPr>
          <w:rFonts w:hint="eastAsia" w:eastAsia="仿宋_GB2312" w:cs="仿宋_GB2312"/>
          <w:color w:val="auto"/>
          <w:kern w:val="2"/>
          <w:sz w:val="32"/>
          <w:szCs w:val="32"/>
          <w:highlight w:val="none"/>
          <w:lang w:val="en-US" w:eastAsia="zh-CN" w:bidi="ar-SA"/>
        </w:rPr>
        <w:t>单位</w:t>
      </w:r>
      <w:r>
        <w:rPr>
          <w:rFonts w:hint="eastAsia" w:ascii="Times New Roman" w:hAnsi="Times New Roman" w:eastAsia="仿宋_GB2312" w:cs="仿宋_GB2312"/>
          <w:color w:val="auto"/>
          <w:kern w:val="2"/>
          <w:sz w:val="32"/>
          <w:szCs w:val="32"/>
          <w:highlight w:val="none"/>
          <w:lang w:val="en-US" w:eastAsia="zh-CN" w:bidi="ar-SA"/>
        </w:rPr>
        <w:t>预算项目）绩效自评得分为</w:t>
      </w:r>
      <w:r>
        <w:rPr>
          <w:rFonts w:hint="eastAsia" w:eastAsia="仿宋_GB2312" w:cs="仿宋_GB2312"/>
          <w:color w:val="auto"/>
          <w:kern w:val="2"/>
          <w:sz w:val="32"/>
          <w:szCs w:val="32"/>
          <w:highlight w:val="none"/>
          <w:lang w:val="en-US" w:eastAsia="zh-CN" w:bidi="ar-SA"/>
        </w:rPr>
        <w:t>97.76</w:t>
      </w:r>
      <w:r>
        <w:rPr>
          <w:rFonts w:hint="eastAsia" w:ascii="Times New Roman" w:hAnsi="Times New Roman" w:eastAsia="仿宋_GB2312" w:cs="仿宋_GB2312"/>
          <w:color w:val="auto"/>
          <w:kern w:val="2"/>
          <w:sz w:val="32"/>
          <w:szCs w:val="32"/>
          <w:highlight w:val="none"/>
          <w:lang w:val="en-US" w:eastAsia="zh-CN" w:bidi="ar-SA"/>
        </w:rPr>
        <w:t>分，绩效自评综述202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单位预算编制基础数据真实可靠中,按照年度工作计划和支出标准合理编制预算方案，预算数据按要求及时报送。基本支出按时间进度支付，达到执行进度，年终无结余。严格执行“三公经费”预算，严格审批，无超预算、无预算执行的情况。</w:t>
      </w:r>
    </w:p>
    <w:p w14:paraId="5B8022EC">
      <w:pPr>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br w:type="page"/>
      </w:r>
    </w:p>
    <w:p w14:paraId="4C442FF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D506F19">
      <w:pPr>
        <w:spacing w:line="600" w:lineRule="exact"/>
        <w:jc w:val="center"/>
        <w:outlineLvl w:val="0"/>
        <w:rPr>
          <w:rFonts w:hint="eastAsia" w:ascii="Times New Roman" w:hAnsi="Times New Roman" w:eastAsia="黑体"/>
          <w:color w:val="auto"/>
          <w:sz w:val="44"/>
          <w:szCs w:val="44"/>
          <w:highlight w:val="none"/>
        </w:rPr>
      </w:pPr>
      <w:bookmarkStart w:id="53" w:name="_Toc15396613"/>
      <w:bookmarkStart w:id="54" w:name="_Toc15377225"/>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53"/>
      <w:bookmarkEnd w:id="54"/>
    </w:p>
    <w:p w14:paraId="124BD640">
      <w:pPr>
        <w:spacing w:line="600" w:lineRule="exact"/>
        <w:jc w:val="left"/>
        <w:rPr>
          <w:rFonts w:ascii="Times New Roman" w:hAnsi="Times New Roman"/>
          <w:b/>
          <w:color w:val="auto"/>
          <w:sz w:val="44"/>
          <w:szCs w:val="44"/>
          <w:highlight w:val="none"/>
        </w:rPr>
      </w:pPr>
    </w:p>
    <w:p w14:paraId="5950B75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7329258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4.其他收入：指单位取得的除上述收入以外的各项收入。 </w:t>
      </w:r>
    </w:p>
    <w:p w14:paraId="5E104D8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14:paraId="07B31D6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14:paraId="5E5497F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14:paraId="228CF58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14:paraId="3345D949">
      <w:pPr>
        <w:numPr>
          <w:ilvl w:val="0"/>
          <w:numId w:val="2"/>
        </w:num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教</w:t>
      </w:r>
      <w:r>
        <w:rPr>
          <w:rFonts w:hint="eastAsia" w:ascii="Times New Roman" w:hAnsi="Times New Roman" w:eastAsia="仿宋_GB2312" w:cs="仿宋_GB2312"/>
          <w:color w:val="auto"/>
          <w:kern w:val="2"/>
          <w:sz w:val="32"/>
          <w:szCs w:val="32"/>
          <w:highlight w:val="none"/>
          <w:lang w:val="en-US" w:eastAsia="zh-CN" w:bidi="ar-SA"/>
        </w:rPr>
        <w:t>育支出（类）普通教育（款）小学教育（项）: 指单位举办的小学教育支出。</w:t>
      </w:r>
    </w:p>
    <w:p w14:paraId="099207C7">
      <w:pPr>
        <w:numPr>
          <w:ilvl w:val="0"/>
          <w:numId w:val="2"/>
        </w:num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教</w:t>
      </w:r>
      <w:r>
        <w:rPr>
          <w:rFonts w:hint="eastAsia" w:ascii="Times New Roman" w:hAnsi="Times New Roman" w:eastAsia="仿宋_GB2312" w:cs="仿宋_GB2312"/>
          <w:color w:val="auto"/>
          <w:kern w:val="2"/>
          <w:sz w:val="32"/>
          <w:szCs w:val="32"/>
          <w:highlight w:val="none"/>
          <w:lang w:val="en-US" w:eastAsia="zh-CN" w:bidi="ar-SA"/>
        </w:rPr>
        <w:t>育支出（类）普通教育（款）</w:t>
      </w:r>
      <w:r>
        <w:rPr>
          <w:rFonts w:hint="eastAsia" w:eastAsia="仿宋_GB2312" w:cs="仿宋_GB2312"/>
          <w:color w:val="auto"/>
          <w:kern w:val="2"/>
          <w:sz w:val="32"/>
          <w:szCs w:val="32"/>
          <w:highlight w:val="none"/>
          <w:lang w:val="en-US" w:eastAsia="zh-CN" w:bidi="ar-SA"/>
        </w:rPr>
        <w:t>其他普通教育支出</w:t>
      </w:r>
      <w:r>
        <w:rPr>
          <w:rFonts w:hint="eastAsia" w:ascii="Times New Roman" w:hAnsi="Times New Roman" w:eastAsia="仿宋_GB2312" w:cs="仿宋_GB2312"/>
          <w:color w:val="auto"/>
          <w:kern w:val="2"/>
          <w:sz w:val="32"/>
          <w:szCs w:val="32"/>
          <w:highlight w:val="none"/>
          <w:lang w:val="en-US" w:eastAsia="zh-CN" w:bidi="ar-SA"/>
        </w:rPr>
        <w:t>（项）: 指除小学教育支出以外用于普通教育支出。</w:t>
      </w:r>
    </w:p>
    <w:p w14:paraId="780DD3B1">
      <w:pPr>
        <w:numPr>
          <w:ilvl w:val="0"/>
          <w:numId w:val="2"/>
        </w:num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社会保障和就业支出（类）行政事业单位养老支出(款)机关事业单位基本养老保险缴费支出(项)：</w:t>
      </w:r>
      <w:r>
        <w:rPr>
          <w:rFonts w:hint="eastAsia" w:ascii="仿宋_GB2312" w:eastAsia="仿宋_GB2312"/>
          <w:color w:val="000000"/>
          <w:sz w:val="32"/>
          <w:szCs w:val="32"/>
        </w:rPr>
        <w:t>指</w:t>
      </w:r>
      <w:r>
        <w:rPr>
          <w:rFonts w:hint="eastAsia" w:ascii="仿宋_GB2312" w:eastAsia="仿宋_GB2312"/>
          <w:color w:val="000000"/>
          <w:sz w:val="32"/>
          <w:szCs w:val="32"/>
          <w:lang w:val="en-US" w:eastAsia="zh-CN"/>
        </w:rPr>
        <w:t>单位</w:t>
      </w:r>
      <w:r>
        <w:rPr>
          <w:rFonts w:hint="eastAsia" w:ascii="仿宋_GB2312" w:eastAsia="仿宋_GB2312"/>
          <w:color w:val="000000"/>
          <w:sz w:val="32"/>
          <w:szCs w:val="32"/>
        </w:rPr>
        <w:t>实施养老保险制度由单位缴纳的养老保险费的支出</w:t>
      </w:r>
      <w:r>
        <w:rPr>
          <w:rFonts w:hint="eastAsia" w:ascii="Times New Roman" w:hAnsi="Times New Roman" w:eastAsia="仿宋_GB2312" w:cs="仿宋_GB2312"/>
          <w:color w:val="auto"/>
          <w:kern w:val="2"/>
          <w:sz w:val="32"/>
          <w:szCs w:val="32"/>
          <w:highlight w:val="none"/>
          <w:lang w:val="en-US" w:eastAsia="zh-CN" w:bidi="ar-SA"/>
        </w:rPr>
        <w:t>。</w:t>
      </w:r>
    </w:p>
    <w:p w14:paraId="1106D75F">
      <w:pPr>
        <w:numPr>
          <w:ilvl w:val="0"/>
          <w:numId w:val="2"/>
        </w:numPr>
        <w:spacing w:line="600" w:lineRule="exact"/>
        <w:ind w:firstLine="640"/>
        <w:rPr>
          <w:rFonts w:hint="default"/>
          <w:lang w:val="en-US" w:eastAsia="zh-CN"/>
        </w:rPr>
      </w:pPr>
      <w:r>
        <w:rPr>
          <w:rFonts w:hint="eastAsia" w:ascii="Times New Roman" w:hAnsi="Times New Roman" w:eastAsia="仿宋_GB2312" w:cs="仿宋_GB2312"/>
          <w:color w:val="auto"/>
          <w:kern w:val="2"/>
          <w:sz w:val="32"/>
          <w:szCs w:val="32"/>
          <w:highlight w:val="none"/>
          <w:lang w:val="en-US" w:eastAsia="zh-CN" w:bidi="ar-SA"/>
        </w:rPr>
        <w:t>社会保障和就业支出（类）行政事业单位养老支出(款)机关事业单位职业年金缴费支出(项)</w:t>
      </w:r>
      <w:r>
        <w:rPr>
          <w:rFonts w:hint="eastAsia" w:eastAsia="仿宋_GB2312" w:cs="仿宋_GB2312"/>
          <w:color w:val="auto"/>
          <w:kern w:val="2"/>
          <w:sz w:val="32"/>
          <w:szCs w:val="32"/>
          <w:highlight w:val="none"/>
          <w:lang w:val="en-US" w:eastAsia="zh-CN" w:bidi="ar-SA"/>
        </w:rPr>
        <w:t>：</w:t>
      </w:r>
      <w:r>
        <w:rPr>
          <w:rFonts w:hint="eastAsia" w:ascii="仿宋_GB2312" w:eastAsia="仿宋_GB2312"/>
          <w:color w:val="000000"/>
          <w:sz w:val="32"/>
          <w:szCs w:val="32"/>
        </w:rPr>
        <w:t>指</w:t>
      </w:r>
      <w:r>
        <w:rPr>
          <w:rFonts w:hint="eastAsia" w:ascii="仿宋_GB2312" w:eastAsia="仿宋_GB2312"/>
          <w:color w:val="000000"/>
          <w:sz w:val="32"/>
          <w:szCs w:val="32"/>
          <w:lang w:val="en-US" w:eastAsia="zh-CN"/>
        </w:rPr>
        <w:t>单位</w:t>
      </w:r>
      <w:r>
        <w:rPr>
          <w:rFonts w:hint="eastAsia" w:ascii="仿宋_GB2312" w:eastAsia="仿宋_GB2312"/>
          <w:color w:val="000000"/>
          <w:sz w:val="32"/>
          <w:szCs w:val="32"/>
        </w:rPr>
        <w:t>实施养老保险制度由单位缴纳的职业年金的支出</w:t>
      </w:r>
      <w:r>
        <w:rPr>
          <w:rFonts w:hint="eastAsia" w:ascii="Times New Roman" w:hAnsi="Times New Roman" w:eastAsia="仿宋_GB2312" w:cs="仿宋_GB2312"/>
          <w:color w:val="auto"/>
          <w:kern w:val="2"/>
          <w:sz w:val="32"/>
          <w:szCs w:val="32"/>
          <w:highlight w:val="none"/>
          <w:lang w:val="en-US" w:eastAsia="zh-CN" w:bidi="ar-SA"/>
        </w:rPr>
        <w:t>。</w:t>
      </w:r>
    </w:p>
    <w:p w14:paraId="458AF2BF">
      <w:pPr>
        <w:numPr>
          <w:ilvl w:val="0"/>
          <w:numId w:val="2"/>
        </w:numPr>
        <w:spacing w:line="600" w:lineRule="exact"/>
        <w:ind w:firstLine="640"/>
        <w:rPr>
          <w:rFonts w:hint="default"/>
          <w:lang w:val="en-US" w:eastAsia="zh-CN"/>
        </w:rPr>
      </w:pPr>
      <w:r>
        <w:rPr>
          <w:rFonts w:hint="eastAsia" w:ascii="Times New Roman" w:hAnsi="Times New Roman" w:eastAsia="仿宋_GB2312" w:cs="仿宋_GB2312"/>
          <w:color w:val="auto"/>
          <w:kern w:val="2"/>
          <w:sz w:val="32"/>
          <w:szCs w:val="32"/>
          <w:highlight w:val="none"/>
          <w:lang w:val="en-US" w:eastAsia="zh-CN" w:bidi="ar-SA"/>
        </w:rPr>
        <w:t>社会保障和就业支出（类）行政事业单位养老支出(款)</w:t>
      </w:r>
      <w:r>
        <w:rPr>
          <w:rFonts w:hint="eastAsia" w:eastAsia="仿宋_GB2312" w:cs="仿宋_GB2312"/>
          <w:color w:val="auto"/>
          <w:kern w:val="2"/>
          <w:sz w:val="32"/>
          <w:szCs w:val="32"/>
          <w:highlight w:val="none"/>
          <w:lang w:val="en-US" w:eastAsia="zh-CN" w:bidi="ar-SA"/>
        </w:rPr>
        <w:t>其他行政事业单位养老支出</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仿宋_GB2312" w:eastAsia="仿宋_GB2312"/>
          <w:color w:val="000000"/>
          <w:sz w:val="32"/>
          <w:szCs w:val="32"/>
        </w:rPr>
        <w:t>指</w:t>
      </w:r>
      <w:r>
        <w:rPr>
          <w:rFonts w:hint="eastAsia" w:ascii="仿宋_GB2312" w:eastAsia="仿宋_GB2312"/>
          <w:color w:val="000000"/>
          <w:sz w:val="32"/>
          <w:szCs w:val="32"/>
          <w:lang w:val="en-US" w:eastAsia="zh-CN"/>
        </w:rPr>
        <w:t>其他用于行政事业单位养老方面的支出</w:t>
      </w:r>
      <w:r>
        <w:rPr>
          <w:rFonts w:hint="eastAsia" w:ascii="Times New Roman" w:hAnsi="Times New Roman" w:eastAsia="仿宋_GB2312" w:cs="仿宋_GB2312"/>
          <w:color w:val="auto"/>
          <w:kern w:val="2"/>
          <w:sz w:val="32"/>
          <w:szCs w:val="32"/>
          <w:highlight w:val="none"/>
          <w:lang w:val="en-US" w:eastAsia="zh-CN" w:bidi="ar-SA"/>
        </w:rPr>
        <w:t>。</w:t>
      </w:r>
    </w:p>
    <w:p w14:paraId="062B2CEC">
      <w:pPr>
        <w:numPr>
          <w:ilvl w:val="0"/>
          <w:numId w:val="2"/>
        </w:num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卫生健康支出（类）行政事业单位医疗（款）事业单位医疗（项）</w:t>
      </w:r>
      <w:r>
        <w:rPr>
          <w:rFonts w:hint="eastAsia" w:eastAsia="仿宋_GB2312" w:cs="仿宋_GB2312"/>
          <w:color w:val="auto"/>
          <w:kern w:val="2"/>
          <w:sz w:val="32"/>
          <w:szCs w:val="32"/>
          <w:highlight w:val="none"/>
          <w:lang w:val="en-US" w:eastAsia="zh-CN" w:bidi="ar-SA"/>
        </w:rPr>
        <w:t>：</w:t>
      </w:r>
      <w:r>
        <w:rPr>
          <w:rFonts w:hint="eastAsia" w:ascii="仿宋_GB2312" w:eastAsia="仿宋_GB2312"/>
          <w:color w:val="000000"/>
          <w:sz w:val="32"/>
          <w:szCs w:val="32"/>
        </w:rPr>
        <w:t>指行政事业单位用于缴纳单位基本医疗保险支出</w:t>
      </w:r>
      <w:r>
        <w:rPr>
          <w:rFonts w:hint="eastAsia" w:ascii="Times New Roman" w:hAnsi="Times New Roman" w:eastAsia="仿宋_GB2312" w:cs="仿宋_GB2312"/>
          <w:color w:val="auto"/>
          <w:kern w:val="2"/>
          <w:sz w:val="32"/>
          <w:szCs w:val="32"/>
          <w:highlight w:val="none"/>
          <w:lang w:val="en-US" w:eastAsia="zh-CN" w:bidi="ar-SA"/>
        </w:rPr>
        <w:t>。</w:t>
      </w:r>
    </w:p>
    <w:p w14:paraId="3F5883A3">
      <w:pPr>
        <w:numPr>
          <w:ilvl w:val="0"/>
          <w:numId w:val="2"/>
        </w:num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卫生健康支出（类）行政事业单位医疗（款）</w:t>
      </w:r>
      <w:r>
        <w:rPr>
          <w:rFonts w:hint="eastAsia" w:eastAsia="仿宋_GB2312" w:cs="仿宋_GB2312"/>
          <w:color w:val="auto"/>
          <w:kern w:val="2"/>
          <w:sz w:val="32"/>
          <w:szCs w:val="32"/>
          <w:highlight w:val="none"/>
          <w:lang w:val="en-US" w:eastAsia="zh-CN" w:bidi="ar-SA"/>
        </w:rPr>
        <w:t>其他行政</w:t>
      </w:r>
      <w:r>
        <w:rPr>
          <w:rFonts w:hint="eastAsia" w:ascii="Times New Roman" w:hAnsi="Times New Roman" w:eastAsia="仿宋_GB2312" w:cs="仿宋_GB2312"/>
          <w:color w:val="auto"/>
          <w:kern w:val="2"/>
          <w:sz w:val="32"/>
          <w:szCs w:val="32"/>
          <w:highlight w:val="none"/>
          <w:lang w:val="en-US" w:eastAsia="zh-CN" w:bidi="ar-SA"/>
        </w:rPr>
        <w:t>事业单位医疗支出（项）：指除上述事业单位医疗支出以外用于行政事业单位医疗方面的支出。</w:t>
      </w:r>
    </w:p>
    <w:p w14:paraId="2068C504">
      <w:pPr>
        <w:numPr>
          <w:ilvl w:val="0"/>
          <w:numId w:val="2"/>
        </w:num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住房保障支出（类）住房改革支出（款）住房公积金（项）：</w:t>
      </w:r>
      <w:r>
        <w:rPr>
          <w:rFonts w:hint="eastAsia" w:ascii="仿宋_GB2312" w:eastAsia="仿宋_GB2312"/>
          <w:color w:val="000000"/>
          <w:sz w:val="32"/>
          <w:szCs w:val="32"/>
        </w:rPr>
        <w:t>反映行政事业单位按规定为职工缴纳的住房公积金</w:t>
      </w:r>
      <w:r>
        <w:rPr>
          <w:rFonts w:hint="eastAsia" w:ascii="仿宋_GB2312" w:eastAsia="仿宋_GB2312"/>
          <w:color w:val="000000"/>
          <w:sz w:val="32"/>
          <w:szCs w:val="32"/>
          <w:lang w:eastAsia="zh-CN"/>
        </w:rPr>
        <w:t>。</w:t>
      </w:r>
    </w:p>
    <w:p w14:paraId="23E98487">
      <w:pPr>
        <w:numPr>
          <w:ilvl w:val="0"/>
          <w:numId w:val="2"/>
        </w:num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住房保障支出（类）住房改革支出（款）购房补贴（项）：</w:t>
      </w:r>
      <w:r>
        <w:rPr>
          <w:rFonts w:hint="eastAsia" w:ascii="仿宋_GB2312" w:eastAsia="仿宋_GB2312"/>
          <w:color w:val="000000"/>
          <w:sz w:val="32"/>
          <w:szCs w:val="32"/>
        </w:rPr>
        <w:t>指根据房改政策规定的标准，向符合条件职工发放的用于购买住房的补贴</w:t>
      </w:r>
      <w:r>
        <w:rPr>
          <w:rFonts w:hint="eastAsia" w:ascii="Times New Roman" w:hAnsi="Times New Roman" w:eastAsia="仿宋_GB2312" w:cs="仿宋_GB2312"/>
          <w:color w:val="auto"/>
          <w:kern w:val="2"/>
          <w:sz w:val="32"/>
          <w:szCs w:val="32"/>
          <w:highlight w:val="none"/>
          <w:lang w:val="en-US" w:eastAsia="zh-CN" w:bidi="ar-SA"/>
        </w:rPr>
        <w:t>。</w:t>
      </w:r>
    </w:p>
    <w:p w14:paraId="17D87D1E">
      <w:pPr>
        <w:numPr>
          <w:ilvl w:val="0"/>
          <w:numId w:val="2"/>
        </w:num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基本支出：指为保障机构正常运转、完成日常工作任务而发生的人员支出和公用支出。</w:t>
      </w:r>
    </w:p>
    <w:p w14:paraId="58EDB929">
      <w:pPr>
        <w:numPr>
          <w:ilvl w:val="0"/>
          <w:numId w:val="2"/>
        </w:num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项目支出：指在基本支出之外为完成特定行政任务和事业发展目标所发生的支出。 </w:t>
      </w:r>
    </w:p>
    <w:p w14:paraId="60581AAF">
      <w:pPr>
        <w:numPr>
          <w:ilvl w:val="0"/>
          <w:numId w:val="2"/>
        </w:num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255EFC02">
      <w:pPr>
        <w:spacing w:line="600" w:lineRule="exact"/>
        <w:jc w:val="center"/>
        <w:outlineLvl w:val="0"/>
        <w:rPr>
          <w:rStyle w:val="21"/>
          <w:rFonts w:hint="eastAsia" w:ascii="Times New Roman" w:hAnsi="Times New Roman" w:eastAsia="黑体"/>
          <w:b w:val="0"/>
          <w:color w:val="auto"/>
          <w:highlight w:val="none"/>
          <w:lang w:eastAsia="zh-CN"/>
        </w:rPr>
      </w:pPr>
      <w:bookmarkStart w:id="55"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56"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56"/>
    </w:p>
    <w:p w14:paraId="3B093A25">
      <w:pPr>
        <w:keepNext w:val="0"/>
        <w:keepLines w:val="0"/>
        <w:pageBreakBefore w:val="0"/>
        <w:widowControl w:val="0"/>
        <w:kinsoku/>
        <w:wordWrap/>
        <w:overflowPunct/>
        <w:topLinePunct w:val="0"/>
        <w:autoSpaceDE/>
        <w:autoSpaceDN/>
        <w:bidi w:val="0"/>
        <w:spacing w:line="572" w:lineRule="exact"/>
        <w:jc w:val="left"/>
        <w:textAlignment w:val="auto"/>
        <w:outlineLvl w:val="9"/>
        <w:rPr>
          <w:rFonts w:hint="eastAsia" w:ascii="Times New Roman" w:hAnsi="Times New Roman" w:eastAsia="黑体" w:cs="黑体"/>
          <w:color w:val="FF0000"/>
          <w:sz w:val="32"/>
          <w:szCs w:val="32"/>
          <w:highlight w:val="none"/>
        </w:rPr>
      </w:pPr>
    </w:p>
    <w:p w14:paraId="6A8EAB29">
      <w:pPr>
        <w:keepNext w:val="0"/>
        <w:keepLines w:val="0"/>
        <w:pageBreakBefore w:val="0"/>
        <w:widowControl w:val="0"/>
        <w:kinsoku/>
        <w:wordWrap/>
        <w:overflowPunct/>
        <w:topLinePunct w:val="0"/>
        <w:autoSpaceDE/>
        <w:autoSpaceDN/>
        <w:bidi w:val="0"/>
        <w:spacing w:line="572" w:lineRule="exact"/>
        <w:jc w:val="left"/>
        <w:textAlignment w:val="auto"/>
        <w:outlineLvl w:val="1"/>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14:paraId="0DA72C4B">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ascii="Times New Roman" w:hAnsi="Times New Roman" w:eastAsia="方正小标宋简体" w:cs="Times New Roman"/>
          <w:b w:val="0"/>
          <w:bCs/>
          <w:sz w:val="44"/>
          <w:szCs w:val="44"/>
          <w:highlight w:val="none"/>
          <w:shd w:val="clear" w:color="auto" w:fill="FFFFFF"/>
        </w:rPr>
      </w:pPr>
    </w:p>
    <w:p w14:paraId="1A051471">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ascii="Times New Roman" w:hAnsi="Times New Roman" w:eastAsia="方正小标宋简体" w:cs="Times New Roman"/>
          <w:b w:val="0"/>
          <w:bCs/>
          <w:sz w:val="44"/>
          <w:szCs w:val="44"/>
          <w:highlight w:val="none"/>
          <w:shd w:val="clear" w:color="auto" w:fill="FFFFFF"/>
        </w:rPr>
      </w:pPr>
      <w:r>
        <w:rPr>
          <w:rFonts w:hint="eastAsia" w:eastAsia="方正小标宋简体" w:cs="Times New Roman"/>
          <w:b w:val="0"/>
          <w:bCs/>
          <w:sz w:val="44"/>
          <w:szCs w:val="44"/>
          <w:highlight w:val="none"/>
          <w:shd w:val="clear" w:color="auto" w:fill="FFFFFF"/>
          <w:lang w:val="en-US" w:eastAsia="zh-CN"/>
        </w:rPr>
        <w:t>威师附小</w:t>
      </w:r>
      <w:r>
        <w:rPr>
          <w:rFonts w:ascii="Times New Roman" w:hAnsi="Times New Roman" w:eastAsia="方正小标宋简体" w:cs="Times New Roman"/>
          <w:b w:val="0"/>
          <w:bCs/>
          <w:sz w:val="44"/>
          <w:szCs w:val="44"/>
          <w:highlight w:val="none"/>
          <w:shd w:val="clear" w:color="auto" w:fill="FFFFFF"/>
          <w:lang w:eastAsia="zh-CN"/>
        </w:rPr>
        <w:t>预算</w:t>
      </w:r>
      <w:r>
        <w:rPr>
          <w:rFonts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ascii="Times New Roman" w:hAnsi="Times New Roman" w:eastAsia="方正小标宋简体" w:cs="Times New Roman"/>
          <w:b w:val="0"/>
          <w:bCs/>
          <w:sz w:val="44"/>
          <w:szCs w:val="44"/>
          <w:highlight w:val="none"/>
          <w:shd w:val="clear" w:color="auto" w:fill="FFFFFF"/>
        </w:rPr>
        <w:t>报告</w:t>
      </w:r>
    </w:p>
    <w:p w14:paraId="183B22FA">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ascii="Times New Roman" w:hAnsi="Times New Roman" w:eastAsia="仿宋_GB2312" w:cs="Times New Roman"/>
          <w:sz w:val="32"/>
          <w:szCs w:val="32"/>
          <w:highlight w:val="none"/>
          <w:shd w:val="clear" w:color="auto" w:fill="FFFFFF"/>
        </w:rPr>
      </w:pPr>
    </w:p>
    <w:p w14:paraId="0D62EE1B">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ascii="Times New Roman" w:hAnsi="Times New Roman" w:eastAsia="黑体" w:cs="Times New Roman"/>
          <w:color w:val="000000"/>
          <w:kern w:val="0"/>
          <w:sz w:val="24"/>
          <w:szCs w:val="32"/>
          <w:highlight w:val="none"/>
          <w:shd w:val="clear" w:color="auto" w:fill="FFFFFF"/>
        </w:rPr>
      </w:pPr>
    </w:p>
    <w:p w14:paraId="2C7F4A01">
      <w:pPr>
        <w:keepNext w:val="0"/>
        <w:keepLines w:val="0"/>
        <w:pageBreakBefore w:val="0"/>
        <w:widowControl/>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ascii="Times New Roman" w:hAnsi="Times New Roman" w:eastAsia="仿宋_GB2312" w:cs="Times New Roman"/>
          <w:sz w:val="32"/>
          <w:szCs w:val="32"/>
        </w:rPr>
      </w:pPr>
      <w:r>
        <w:rPr>
          <w:rFonts w:ascii="Times New Roman" w:hAnsi="Times New Roman" w:eastAsia="黑体" w:cs="Times New Roman"/>
          <w:color w:val="000000"/>
          <w:kern w:val="0"/>
          <w:sz w:val="32"/>
          <w:szCs w:val="32"/>
          <w:highlight w:val="none"/>
          <w:shd w:val="clear" w:color="auto" w:fill="FFFFFF"/>
          <w:lang w:val="zh-CN"/>
        </w:rPr>
        <w:t>一、部门（单位）基本情况</w:t>
      </w:r>
    </w:p>
    <w:p w14:paraId="7C487E78">
      <w:pPr>
        <w:keepNext w:val="0"/>
        <w:keepLines w:val="0"/>
        <w:pageBreakBefore w:val="0"/>
        <w:widowControl/>
        <w:kinsoku/>
        <w:wordWrap/>
        <w:overflowPunct/>
        <w:topLinePunct w:val="0"/>
        <w:autoSpaceDE/>
        <w:autoSpaceDN/>
        <w:bidi w:val="0"/>
        <w:adjustRightInd w:val="0"/>
        <w:snapToGrid w:val="0"/>
        <w:spacing w:line="578" w:lineRule="exact"/>
        <w:ind w:left="0" w:firstLine="643" w:firstLineChars="200"/>
        <w:contextualSpacing/>
        <w:jc w:val="left"/>
        <w:textAlignment w:val="auto"/>
        <w:outlineLvl w:val="9"/>
        <w:rPr>
          <w:rFonts w:ascii="Times New Roman" w:hAnsi="Times New Roman" w:eastAsia="仿宋_GB2312" w:cs="Times New Roman"/>
          <w:sz w:val="32"/>
          <w:szCs w:val="32"/>
        </w:rPr>
      </w:pPr>
      <w:r>
        <w:rPr>
          <w:rFonts w:ascii="Times New Roman" w:hAnsi="Times New Roman" w:eastAsia="楷体_GB2312" w:cs="Times New Roman"/>
          <w:b/>
          <w:bCs/>
          <w:color w:val="000000"/>
          <w:kern w:val="0"/>
          <w:sz w:val="32"/>
          <w:szCs w:val="32"/>
          <w:highlight w:val="none"/>
          <w:shd w:val="clear" w:color="auto" w:fill="FFFFFF"/>
          <w:lang w:val="zh-CN"/>
        </w:rPr>
        <w:t>（一）机构组成。</w:t>
      </w:r>
      <w:r>
        <w:rPr>
          <w:rFonts w:hint="eastAsia" w:ascii="仿宋_GB2312" w:eastAsia="仿宋_GB2312" w:cs="Times New Roman"/>
          <w:color w:val="000000"/>
          <w:kern w:val="0"/>
          <w:sz w:val="32"/>
          <w:szCs w:val="32"/>
          <w:shd w:val="clear" w:color="auto" w:fill="FFFFFF"/>
          <w:lang w:val="zh-CN"/>
        </w:rPr>
        <w:t>我单位为州级直属单位，是独立法人，无下属机构，</w:t>
      </w:r>
      <w:r>
        <w:rPr>
          <w:rFonts w:hint="eastAsia" w:ascii="仿宋_GB2312" w:eastAsia="仿宋_GB2312" w:cs="Times New Roman"/>
          <w:color w:val="000000"/>
          <w:kern w:val="0"/>
          <w:sz w:val="32"/>
          <w:szCs w:val="32"/>
          <w:shd w:val="clear" w:color="auto" w:fill="FFFFFF"/>
          <w:lang w:val="en-US" w:eastAsia="zh-CN"/>
        </w:rPr>
        <w:t>截至</w:t>
      </w:r>
      <w:r>
        <w:rPr>
          <w:rFonts w:hint="eastAsia" w:ascii="仿宋_GB2312" w:eastAsia="仿宋_GB2312" w:cs="Times New Roman"/>
          <w:color w:val="000000"/>
          <w:kern w:val="0"/>
          <w:sz w:val="32"/>
          <w:szCs w:val="32"/>
          <w:shd w:val="clear" w:color="auto" w:fill="FFFFFF"/>
          <w:lang w:val="zh-CN"/>
        </w:rPr>
        <w:t>202</w:t>
      </w:r>
      <w:r>
        <w:rPr>
          <w:rFonts w:hint="eastAsia" w:ascii="仿宋_GB2312" w:eastAsia="仿宋_GB2312" w:cs="Times New Roman"/>
          <w:color w:val="000000"/>
          <w:kern w:val="0"/>
          <w:sz w:val="32"/>
          <w:szCs w:val="32"/>
          <w:shd w:val="clear" w:color="auto" w:fill="FFFFFF"/>
          <w:lang w:val="en-US" w:eastAsia="zh-CN"/>
        </w:rPr>
        <w:t>5</w:t>
      </w:r>
      <w:r>
        <w:rPr>
          <w:rFonts w:hint="eastAsia" w:ascii="仿宋_GB2312" w:eastAsia="仿宋_GB2312" w:cs="Times New Roman"/>
          <w:color w:val="000000"/>
          <w:kern w:val="0"/>
          <w:sz w:val="32"/>
          <w:szCs w:val="32"/>
          <w:shd w:val="clear" w:color="auto" w:fill="FFFFFF"/>
          <w:lang w:val="zh-CN"/>
        </w:rPr>
        <w:t>年12月31日，单位共有科室4个，分别为行政服务中心，学生成长中心，教师发展中心，综合保障中心。</w:t>
      </w:r>
    </w:p>
    <w:p w14:paraId="277E61A7">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ascii="Times New Roman" w:hAnsi="Times New Roman" w:eastAsia="楷体_GB2312" w:cs="Times New Roman"/>
          <w:b/>
          <w:bCs/>
          <w:color w:val="000000"/>
          <w:kern w:val="0"/>
          <w:sz w:val="32"/>
          <w:szCs w:val="32"/>
          <w:highlight w:val="none"/>
          <w:shd w:val="clear" w:color="auto" w:fill="FFFFFF"/>
          <w:lang w:val="zh-CN"/>
        </w:rPr>
      </w:pPr>
      <w:r>
        <w:rPr>
          <w:rFonts w:ascii="Times New Roman" w:hAnsi="Times New Roman" w:eastAsia="楷体_GB2312" w:cs="Times New Roman"/>
          <w:b/>
          <w:bCs/>
          <w:color w:val="000000"/>
          <w:kern w:val="0"/>
          <w:sz w:val="32"/>
          <w:szCs w:val="32"/>
          <w:highlight w:val="none"/>
          <w:shd w:val="clear" w:color="auto" w:fill="FFFFFF"/>
          <w:lang w:val="zh-CN"/>
        </w:rPr>
        <w:t>（二）机构职能。</w:t>
      </w:r>
      <w:r>
        <w:rPr>
          <w:rFonts w:eastAsia="仿宋_GB2312" w:cs="Times New Roman"/>
          <w:sz w:val="32"/>
          <w:szCs w:val="32"/>
          <w:lang w:val="en-US" w:eastAsia="zh-CN"/>
        </w:rPr>
        <w:t>在州教育单位的领导下，实施初级义务教育，促进基础教育发展。</w:t>
      </w:r>
    </w:p>
    <w:p w14:paraId="0A605F25">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ascii="Times New Roman" w:hAnsi="Times New Roman" w:eastAsia="仿宋_GB2312" w:cs="Times New Roman"/>
          <w:sz w:val="32"/>
          <w:szCs w:val="32"/>
        </w:rPr>
      </w:pPr>
      <w:r>
        <w:rPr>
          <w:rFonts w:ascii="Times New Roman" w:hAnsi="Times New Roman" w:eastAsia="楷体_GB2312" w:cs="Times New Roman"/>
          <w:b/>
          <w:bCs/>
          <w:color w:val="000000"/>
          <w:kern w:val="0"/>
          <w:sz w:val="32"/>
          <w:szCs w:val="32"/>
          <w:highlight w:val="none"/>
          <w:shd w:val="clear" w:color="auto" w:fill="FFFFFF"/>
          <w:lang w:val="zh-CN"/>
        </w:rPr>
        <w:t>（三）人员概况。</w:t>
      </w:r>
      <w:r>
        <w:rPr>
          <w:rFonts w:ascii="Times New Roman" w:hAnsi="Times New Roman" w:eastAsia="仿宋_GB2312" w:cs="Times New Roman"/>
          <w:sz w:val="32"/>
          <w:szCs w:val="32"/>
        </w:rPr>
        <w:t>截至202</w:t>
      </w:r>
      <w:r>
        <w:rPr>
          <w:rFonts w:hint="eastAsia" w:eastAsia="仿宋_GB2312" w:cs="Times New Roman"/>
          <w:sz w:val="32"/>
          <w:szCs w:val="32"/>
          <w:lang w:val="en-US" w:eastAsia="zh-CN"/>
        </w:rPr>
        <w:t>5</w:t>
      </w:r>
      <w:r>
        <w:rPr>
          <w:rFonts w:ascii="Times New Roman" w:hAnsi="Times New Roman" w:eastAsia="仿宋_GB2312" w:cs="Times New Roman"/>
          <w:sz w:val="32"/>
          <w:szCs w:val="32"/>
        </w:rPr>
        <w:t>年末，</w:t>
      </w:r>
      <w:r>
        <w:rPr>
          <w:rFonts w:ascii="Times New Roman" w:hAnsi="Times New Roman" w:eastAsia="仿宋_GB2312" w:cs="Times New Roman"/>
          <w:sz w:val="32"/>
          <w:szCs w:val="32"/>
          <w:lang w:val="en-US" w:eastAsia="zh-CN"/>
        </w:rPr>
        <w:t>威师附小</w:t>
      </w:r>
      <w:r>
        <w:rPr>
          <w:rFonts w:ascii="Times New Roman" w:hAnsi="Times New Roman" w:eastAsia="仿宋_GB2312" w:cs="Times New Roman"/>
          <w:sz w:val="32"/>
          <w:szCs w:val="32"/>
        </w:rPr>
        <w:t>事业专业技术人员编制67人，工勤人员编制3人。</w:t>
      </w:r>
      <w:r>
        <w:rPr>
          <w:rFonts w:hint="eastAsia" w:eastAsia="仿宋_GB2312" w:cs="Times New Roman"/>
          <w:sz w:val="32"/>
          <w:szCs w:val="32"/>
          <w:lang w:eastAsia="zh-CN"/>
        </w:rPr>
        <w:t>截至</w:t>
      </w:r>
      <w:r>
        <w:rPr>
          <w:rFonts w:ascii="Times New Roman" w:hAnsi="Times New Roman" w:eastAsia="仿宋_GB2312" w:cs="Times New Roman"/>
          <w:sz w:val="32"/>
          <w:szCs w:val="32"/>
        </w:rPr>
        <w:t>年底，在职人员6</w:t>
      </w:r>
      <w:r>
        <w:rPr>
          <w:rFonts w:hint="eastAsia" w:eastAsia="仿宋_GB2312" w:cs="Times New Roman"/>
          <w:sz w:val="32"/>
          <w:szCs w:val="32"/>
          <w:lang w:val="en-US" w:eastAsia="zh-CN"/>
        </w:rPr>
        <w:t>3</w:t>
      </w:r>
      <w:r>
        <w:rPr>
          <w:rFonts w:ascii="Times New Roman" w:hAnsi="Times New Roman" w:eastAsia="仿宋_GB2312" w:cs="Times New Roman"/>
          <w:sz w:val="32"/>
          <w:szCs w:val="32"/>
        </w:rPr>
        <w:t>人，退休人员4</w:t>
      </w:r>
      <w:r>
        <w:rPr>
          <w:rFonts w:hint="eastAsia" w:eastAsia="仿宋_GB2312" w:cs="Times New Roman"/>
          <w:sz w:val="32"/>
          <w:szCs w:val="32"/>
          <w:lang w:val="en-US" w:eastAsia="zh-CN"/>
        </w:rPr>
        <w:t>2</w:t>
      </w:r>
      <w:r>
        <w:rPr>
          <w:rFonts w:ascii="Times New Roman" w:hAnsi="Times New Roman" w:eastAsia="仿宋_GB2312" w:cs="Times New Roman"/>
          <w:sz w:val="32"/>
          <w:szCs w:val="32"/>
        </w:rPr>
        <w:t>人。</w:t>
      </w:r>
    </w:p>
    <w:p w14:paraId="11B8159D">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ascii="Times New Roman" w:hAnsi="Times New Roman" w:eastAsia="黑体" w:cs="Times New Roman"/>
          <w:color w:val="000000"/>
          <w:kern w:val="0"/>
          <w:sz w:val="32"/>
          <w:szCs w:val="32"/>
          <w:highlight w:val="none"/>
          <w:shd w:val="clear" w:color="auto" w:fill="FFFFFF"/>
        </w:rPr>
      </w:pPr>
      <w:r>
        <w:rPr>
          <w:rFonts w:ascii="Times New Roman" w:hAnsi="Times New Roman" w:eastAsia="黑体" w:cs="Times New Roman"/>
          <w:color w:val="000000"/>
          <w:kern w:val="0"/>
          <w:sz w:val="32"/>
          <w:szCs w:val="32"/>
          <w:highlight w:val="none"/>
          <w:shd w:val="clear" w:color="auto" w:fill="FFFFFF"/>
        </w:rPr>
        <w:t>二、</w:t>
      </w:r>
      <w:r>
        <w:rPr>
          <w:rFonts w:ascii="Times New Roman" w:hAnsi="Times New Roman" w:eastAsia="黑体" w:cs="Times New Roman"/>
          <w:color w:val="000000"/>
          <w:kern w:val="0"/>
          <w:sz w:val="32"/>
          <w:szCs w:val="32"/>
          <w:highlight w:val="none"/>
          <w:shd w:val="clear" w:color="auto" w:fill="FFFFFF"/>
          <w:lang w:eastAsia="zh-CN"/>
        </w:rPr>
        <w:t>部门</w:t>
      </w:r>
      <w:r>
        <w:rPr>
          <w:rFonts w:ascii="Times New Roman" w:hAnsi="Times New Roman" w:eastAsia="黑体" w:cs="Times New Roman"/>
          <w:color w:val="000000"/>
          <w:kern w:val="0"/>
          <w:sz w:val="32"/>
          <w:szCs w:val="32"/>
          <w:highlight w:val="none"/>
          <w:shd w:val="clear" w:color="auto" w:fill="FFFFFF"/>
        </w:rPr>
        <w:t>资金收支情况</w:t>
      </w:r>
    </w:p>
    <w:p w14:paraId="18454F1E">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ascii="Times New Roman" w:hAnsi="Times New Roman" w:eastAsia="楷体_GB2312" w:cs="Times New Roman"/>
          <w:b/>
          <w:bCs/>
          <w:color w:val="000000"/>
          <w:kern w:val="0"/>
          <w:sz w:val="32"/>
          <w:szCs w:val="32"/>
          <w:highlight w:val="none"/>
          <w:shd w:val="clear" w:color="auto" w:fill="FFFFFF"/>
          <w:lang w:val="en-US"/>
        </w:rPr>
      </w:pPr>
      <w:r>
        <w:rPr>
          <w:rFonts w:ascii="Times New Roman" w:hAnsi="Times New Roman" w:eastAsia="楷体_GB2312" w:cs="Times New Roman"/>
          <w:b/>
          <w:bCs/>
          <w:color w:val="000000"/>
          <w:kern w:val="0"/>
          <w:sz w:val="32"/>
          <w:szCs w:val="32"/>
          <w:highlight w:val="none"/>
          <w:shd w:val="clear" w:color="auto" w:fill="FFFFFF"/>
          <w:lang w:val="zh-CN"/>
        </w:rPr>
        <w:t>（一）收入情况。</w:t>
      </w:r>
      <w:r>
        <w:rPr>
          <w:rFonts w:ascii="Times New Roman" w:hAnsi="Times New Roman" w:eastAsia="仿宋_GB2312" w:cs="Times New Roman"/>
          <w:sz w:val="32"/>
          <w:szCs w:val="32"/>
          <w:lang w:val="en-US" w:eastAsia="zh-CN"/>
        </w:rPr>
        <w:t>威师附小</w:t>
      </w:r>
      <w:r>
        <w:rPr>
          <w:rFonts w:hint="eastAsia" w:eastAsia="仿宋_GB2312" w:cs="Times New Roman"/>
          <w:sz w:val="32"/>
          <w:szCs w:val="32"/>
          <w:lang w:val="en-US" w:eastAsia="zh-CN"/>
        </w:rPr>
        <w:t>2025年</w:t>
      </w:r>
      <w:r>
        <w:rPr>
          <w:rFonts w:ascii="Times New Roman" w:hAnsi="Times New Roman" w:eastAsia="仿宋_GB2312" w:cs="Times New Roman"/>
          <w:sz w:val="32"/>
          <w:szCs w:val="32"/>
          <w:lang w:val="en-US" w:eastAsia="zh-CN"/>
        </w:rPr>
        <w:t>年初预算收入</w:t>
      </w:r>
      <w:r>
        <w:rPr>
          <w:rFonts w:hint="eastAsia" w:eastAsia="仿宋_GB2312" w:cs="Times New Roman"/>
          <w:sz w:val="32"/>
          <w:szCs w:val="32"/>
          <w:lang w:val="en-US" w:eastAsia="zh-CN"/>
        </w:rPr>
        <w:t>1568.95</w:t>
      </w:r>
      <w:r>
        <w:rPr>
          <w:rFonts w:ascii="Times New Roman" w:hAnsi="Times New Roman" w:eastAsia="仿宋_GB2312" w:cs="Times New Roman"/>
          <w:sz w:val="32"/>
          <w:szCs w:val="32"/>
          <w:lang w:val="en-US" w:eastAsia="zh-CN"/>
        </w:rPr>
        <w:t>万元、决算报表收入</w:t>
      </w:r>
      <w:r>
        <w:rPr>
          <w:rFonts w:hint="eastAsia" w:eastAsia="仿宋_GB2312" w:cs="Times New Roman"/>
          <w:sz w:val="32"/>
          <w:szCs w:val="32"/>
          <w:lang w:val="en-US" w:eastAsia="zh-CN"/>
        </w:rPr>
        <w:t>2450.24</w:t>
      </w:r>
      <w:r>
        <w:rPr>
          <w:rFonts w:ascii="Times New Roman" w:hAnsi="Times New Roman" w:eastAsia="仿宋_GB2312" w:cs="Times New Roman"/>
          <w:sz w:val="32"/>
          <w:szCs w:val="32"/>
          <w:lang w:val="en-US" w:eastAsia="zh-CN"/>
        </w:rPr>
        <w:t>万元。</w:t>
      </w:r>
    </w:p>
    <w:p w14:paraId="7B3A5815">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ascii="Times New Roman" w:hAnsi="Times New Roman" w:eastAsia="仿宋_GB2312" w:cs="Times New Roman"/>
          <w:sz w:val="32"/>
          <w:szCs w:val="32"/>
          <w:lang w:val="zh-CN" w:eastAsia="zh-CN"/>
        </w:rPr>
      </w:pPr>
      <w:r>
        <w:rPr>
          <w:rFonts w:ascii="Times New Roman" w:hAnsi="Times New Roman" w:eastAsia="楷体_GB2312" w:cs="Times New Roman"/>
          <w:b/>
          <w:bCs/>
          <w:color w:val="000000"/>
          <w:kern w:val="0"/>
          <w:sz w:val="32"/>
          <w:szCs w:val="32"/>
          <w:highlight w:val="none"/>
          <w:shd w:val="clear" w:color="auto" w:fill="FFFFFF"/>
          <w:lang w:val="zh-CN"/>
        </w:rPr>
        <w:t>（二）支出情况。</w:t>
      </w:r>
      <w:r>
        <w:rPr>
          <w:rFonts w:ascii="Times New Roman" w:hAnsi="Times New Roman" w:eastAsia="仿宋_GB2312" w:cs="Times New Roman"/>
          <w:sz w:val="32"/>
          <w:szCs w:val="32"/>
          <w:lang w:val="en-US" w:eastAsia="zh-CN"/>
        </w:rPr>
        <w:t>威师附小</w:t>
      </w:r>
      <w:r>
        <w:rPr>
          <w:rFonts w:hint="eastAsia" w:eastAsia="仿宋_GB2312" w:cs="Times New Roman"/>
          <w:sz w:val="32"/>
          <w:szCs w:val="32"/>
          <w:lang w:val="en-US" w:eastAsia="zh-CN"/>
        </w:rPr>
        <w:t>2025年</w:t>
      </w:r>
      <w:r>
        <w:rPr>
          <w:rFonts w:ascii="Times New Roman" w:hAnsi="Times New Roman" w:eastAsia="仿宋_GB2312" w:cs="Times New Roman"/>
          <w:sz w:val="32"/>
          <w:szCs w:val="32"/>
          <w:lang w:val="en-US" w:eastAsia="zh-CN"/>
        </w:rPr>
        <w:t>年初预算支出</w:t>
      </w:r>
      <w:r>
        <w:rPr>
          <w:rFonts w:hint="eastAsia" w:eastAsia="仿宋_GB2312" w:cs="Times New Roman"/>
          <w:sz w:val="32"/>
          <w:szCs w:val="32"/>
          <w:lang w:val="en-US" w:eastAsia="zh-CN"/>
        </w:rPr>
        <w:t>1568.95</w:t>
      </w:r>
      <w:r>
        <w:rPr>
          <w:rFonts w:ascii="Times New Roman" w:hAnsi="Times New Roman" w:eastAsia="仿宋_GB2312" w:cs="Times New Roman"/>
          <w:sz w:val="32"/>
          <w:szCs w:val="32"/>
          <w:lang w:val="en-US" w:eastAsia="zh-CN"/>
        </w:rPr>
        <w:t>万元、决算报表支出</w:t>
      </w:r>
      <w:r>
        <w:rPr>
          <w:rFonts w:hint="eastAsia" w:eastAsia="仿宋_GB2312" w:cs="Times New Roman"/>
          <w:sz w:val="32"/>
          <w:szCs w:val="32"/>
          <w:lang w:val="en-US" w:eastAsia="zh-CN"/>
        </w:rPr>
        <w:t>2450.24</w:t>
      </w:r>
      <w:r>
        <w:rPr>
          <w:rFonts w:ascii="Times New Roman" w:hAnsi="Times New Roman" w:eastAsia="仿宋_GB2312" w:cs="Times New Roman"/>
          <w:sz w:val="32"/>
          <w:szCs w:val="32"/>
          <w:lang w:val="en-US" w:eastAsia="zh-CN"/>
        </w:rPr>
        <w:t>万元</w:t>
      </w:r>
      <w:r>
        <w:rPr>
          <w:rFonts w:hint="eastAsia" w:eastAsia="仿宋_GB2312" w:cs="Times New Roman"/>
          <w:sz w:val="32"/>
          <w:szCs w:val="32"/>
          <w:lang w:val="en-US" w:eastAsia="zh-CN"/>
        </w:rPr>
        <w:t>，</w:t>
      </w:r>
      <w:r>
        <w:rPr>
          <w:rFonts w:eastAsia="仿宋_GB2312" w:cs="Times New Roman"/>
          <w:sz w:val="32"/>
          <w:szCs w:val="32"/>
          <w:lang w:val="en-US" w:eastAsia="zh-CN"/>
        </w:rPr>
        <w:t>其中：基本支出：</w:t>
      </w:r>
      <w:r>
        <w:rPr>
          <w:rFonts w:hint="eastAsia" w:eastAsia="仿宋_GB2312" w:cs="Times New Roman"/>
          <w:sz w:val="32"/>
          <w:szCs w:val="32"/>
          <w:lang w:val="en-US" w:eastAsia="zh-CN"/>
        </w:rPr>
        <w:t>1914.12</w:t>
      </w:r>
      <w:r>
        <w:rPr>
          <w:rFonts w:eastAsia="仿宋_GB2312" w:cs="Times New Roman"/>
          <w:sz w:val="32"/>
          <w:szCs w:val="32"/>
          <w:lang w:val="en-US" w:eastAsia="zh-CN"/>
        </w:rPr>
        <w:t>万元，项目支出</w:t>
      </w:r>
      <w:r>
        <w:rPr>
          <w:rFonts w:hint="eastAsia" w:eastAsia="仿宋_GB2312" w:cs="Times New Roman"/>
          <w:sz w:val="32"/>
          <w:szCs w:val="32"/>
          <w:lang w:val="en-US" w:eastAsia="zh-CN"/>
        </w:rPr>
        <w:t>536.12</w:t>
      </w:r>
      <w:r>
        <w:rPr>
          <w:rFonts w:eastAsia="仿宋_GB2312" w:cs="Times New Roman"/>
          <w:sz w:val="32"/>
          <w:szCs w:val="32"/>
          <w:lang w:val="en-US" w:eastAsia="zh-CN"/>
        </w:rPr>
        <w:t>万元。</w:t>
      </w:r>
    </w:p>
    <w:p w14:paraId="34421C6C">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ascii="Times New Roman" w:hAnsi="Times New Roman" w:eastAsia="仿宋_GB2312" w:cs="Times New Roman"/>
          <w:b w:val="0"/>
          <w:bCs w:val="0"/>
          <w:color w:val="000000"/>
          <w:kern w:val="0"/>
          <w:sz w:val="32"/>
          <w:szCs w:val="32"/>
          <w:highlight w:val="none"/>
          <w:shd w:val="clear" w:color="auto" w:fill="FFFFFF"/>
          <w:lang w:val="zh-CN" w:eastAsia="zh-CN"/>
        </w:rPr>
      </w:pPr>
      <w:r>
        <w:rPr>
          <w:rFonts w:ascii="Times New Roman" w:hAnsi="Times New Roman" w:eastAsia="楷体_GB2312" w:cs="Times New Roman"/>
          <w:b/>
          <w:bCs/>
          <w:color w:val="000000"/>
          <w:kern w:val="0"/>
          <w:sz w:val="32"/>
          <w:szCs w:val="32"/>
          <w:highlight w:val="none"/>
          <w:shd w:val="clear" w:color="auto" w:fill="FFFFFF"/>
          <w:lang w:val="zh-CN"/>
        </w:rPr>
        <w:t>（三）</w:t>
      </w:r>
      <w:r>
        <w:rPr>
          <w:rFonts w:ascii="Times New Roman" w:hAnsi="Times New Roman" w:eastAsia="楷体_GB2312" w:cs="Times New Roman"/>
          <w:b/>
          <w:sz w:val="32"/>
          <w:szCs w:val="32"/>
        </w:rPr>
        <w:t>结余分配和结转结余情况</w:t>
      </w:r>
      <w:r>
        <w:rPr>
          <w:rFonts w:ascii="Times New Roman" w:hAnsi="Times New Roman" w:eastAsia="楷体_GB2312" w:cs="Times New Roman"/>
          <w:b/>
          <w:sz w:val="32"/>
          <w:szCs w:val="32"/>
          <w:lang w:eastAsia="zh-CN"/>
        </w:rPr>
        <w:t>。</w:t>
      </w:r>
      <w:r>
        <w:rPr>
          <w:rFonts w:ascii="Times New Roman" w:hAnsi="Times New Roman" w:eastAsia="仿宋_GB2312" w:cs="Times New Roman"/>
          <w:sz w:val="32"/>
          <w:szCs w:val="32"/>
          <w:lang w:val="en-US" w:eastAsia="zh-CN"/>
        </w:rPr>
        <w:t>威师附小</w:t>
      </w:r>
      <w:r>
        <w:rPr>
          <w:rFonts w:hint="eastAsia" w:eastAsia="仿宋_GB2312" w:cs="Times New Roman"/>
          <w:sz w:val="32"/>
          <w:szCs w:val="32"/>
          <w:lang w:val="en-US" w:eastAsia="zh-CN"/>
        </w:rPr>
        <w:t>2025年</w:t>
      </w:r>
      <w:r>
        <w:rPr>
          <w:rFonts w:ascii="Times New Roman" w:hAnsi="Times New Roman" w:eastAsia="仿宋_GB2312" w:cs="Times New Roman"/>
          <w:sz w:val="32"/>
          <w:szCs w:val="32"/>
          <w:lang w:val="en-US" w:eastAsia="zh-CN"/>
        </w:rPr>
        <w:t>决算报表</w:t>
      </w:r>
      <w:r>
        <w:rPr>
          <w:rFonts w:ascii="Times New Roman" w:hAnsi="Times New Roman" w:eastAsia="仿宋_GB2312" w:cs="Times New Roman"/>
          <w:b w:val="0"/>
          <w:bCs w:val="0"/>
          <w:color w:val="000000"/>
          <w:kern w:val="0"/>
          <w:sz w:val="32"/>
          <w:szCs w:val="32"/>
          <w:highlight w:val="none"/>
          <w:shd w:val="clear" w:color="auto" w:fill="FFFFFF"/>
          <w:lang w:val="en-US" w:eastAsia="zh-CN"/>
        </w:rPr>
        <w:t>结转</w:t>
      </w:r>
      <w:r>
        <w:rPr>
          <w:rFonts w:hint="eastAsia" w:eastAsia="仿宋_GB2312" w:cs="Times New Roman"/>
          <w:b w:val="0"/>
          <w:bCs w:val="0"/>
          <w:color w:val="000000"/>
          <w:kern w:val="0"/>
          <w:sz w:val="32"/>
          <w:szCs w:val="32"/>
          <w:highlight w:val="none"/>
          <w:shd w:val="clear" w:color="auto" w:fill="FFFFFF"/>
          <w:lang w:val="en-US" w:eastAsia="zh-CN"/>
        </w:rPr>
        <w:t>65.73</w:t>
      </w:r>
      <w:r>
        <w:rPr>
          <w:rFonts w:ascii="Times New Roman" w:hAnsi="Times New Roman" w:eastAsia="仿宋_GB2312" w:cs="Times New Roman"/>
          <w:b w:val="0"/>
          <w:bCs w:val="0"/>
          <w:color w:val="000000"/>
          <w:kern w:val="0"/>
          <w:sz w:val="32"/>
          <w:szCs w:val="32"/>
          <w:highlight w:val="none"/>
          <w:shd w:val="clear" w:color="auto" w:fill="FFFFFF"/>
          <w:lang w:val="en-US" w:eastAsia="zh-CN"/>
        </w:rPr>
        <w:t>万元，为</w:t>
      </w:r>
      <w:r>
        <w:rPr>
          <w:rFonts w:hint="eastAsia" w:eastAsia="仿宋_GB2312" w:cs="Times New Roman"/>
          <w:b w:val="0"/>
          <w:bCs w:val="0"/>
          <w:color w:val="000000"/>
          <w:kern w:val="0"/>
          <w:sz w:val="32"/>
          <w:szCs w:val="32"/>
          <w:highlight w:val="none"/>
          <w:shd w:val="clear" w:color="auto" w:fill="FFFFFF"/>
          <w:lang w:val="en-US" w:eastAsia="zh-CN"/>
        </w:rPr>
        <w:t>收入类代管资金</w:t>
      </w:r>
      <w:r>
        <w:rPr>
          <w:rFonts w:ascii="Times New Roman" w:hAnsi="Times New Roman" w:eastAsia="仿宋_GB2312" w:cs="Times New Roman"/>
          <w:b w:val="0"/>
          <w:bCs w:val="0"/>
          <w:color w:val="000000"/>
          <w:kern w:val="0"/>
          <w:sz w:val="32"/>
          <w:szCs w:val="32"/>
          <w:highlight w:val="none"/>
          <w:shd w:val="clear" w:color="auto" w:fill="FFFFFF"/>
          <w:lang w:val="en-US" w:eastAsia="zh-CN"/>
        </w:rPr>
        <w:t>结转。</w:t>
      </w:r>
    </w:p>
    <w:p w14:paraId="5332DD88">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ascii="Times New Roman" w:hAnsi="Times New Roman" w:eastAsia="黑体" w:cs="Times New Roman"/>
          <w:color w:val="000000"/>
          <w:kern w:val="0"/>
          <w:sz w:val="32"/>
          <w:szCs w:val="32"/>
          <w:highlight w:val="none"/>
          <w:shd w:val="clear" w:color="auto" w:fill="FFFFFF"/>
        </w:rPr>
      </w:pPr>
      <w:r>
        <w:rPr>
          <w:rFonts w:ascii="Times New Roman" w:hAnsi="Times New Roman" w:eastAsia="黑体" w:cs="Times New Roman"/>
          <w:color w:val="000000"/>
          <w:kern w:val="0"/>
          <w:sz w:val="32"/>
          <w:szCs w:val="32"/>
          <w:highlight w:val="none"/>
          <w:shd w:val="clear" w:color="auto" w:fill="FFFFFF"/>
        </w:rPr>
        <w:t>三、</w:t>
      </w:r>
      <w:r>
        <w:rPr>
          <w:rFonts w:ascii="Times New Roman" w:hAnsi="Times New Roman" w:eastAsia="黑体" w:cs="Times New Roman"/>
          <w:color w:val="000000"/>
          <w:kern w:val="0"/>
          <w:sz w:val="32"/>
          <w:szCs w:val="32"/>
          <w:highlight w:val="none"/>
          <w:u w:val="none"/>
          <w:shd w:val="clear" w:color="auto" w:fill="FFFFFF"/>
        </w:rPr>
        <w:t>部门</w:t>
      </w:r>
      <w:r>
        <w:rPr>
          <w:rFonts w:ascii="Times New Roman" w:hAnsi="Times New Roman" w:eastAsia="黑体" w:cs="Times New Roman"/>
          <w:color w:val="000000"/>
          <w:kern w:val="0"/>
          <w:sz w:val="32"/>
          <w:szCs w:val="32"/>
          <w:highlight w:val="none"/>
          <w:u w:val="none"/>
          <w:shd w:val="clear" w:color="auto" w:fill="FFFFFF"/>
          <w:lang w:eastAsia="zh-CN"/>
        </w:rPr>
        <w:t>预算</w:t>
      </w:r>
      <w:r>
        <w:rPr>
          <w:rFonts w:ascii="Times New Roman" w:hAnsi="Times New Roman" w:eastAsia="黑体" w:cs="Times New Roman"/>
          <w:color w:val="000000"/>
          <w:kern w:val="0"/>
          <w:sz w:val="32"/>
          <w:szCs w:val="32"/>
          <w:highlight w:val="none"/>
          <w:u w:val="none"/>
          <w:shd w:val="clear" w:color="auto" w:fill="FFFFFF"/>
        </w:rPr>
        <w:t>绩效</w:t>
      </w:r>
      <w:r>
        <w:rPr>
          <w:rFonts w:ascii="Times New Roman" w:hAnsi="Times New Roman" w:eastAsia="黑体" w:cs="Times New Roman"/>
          <w:color w:val="000000"/>
          <w:kern w:val="0"/>
          <w:sz w:val="32"/>
          <w:szCs w:val="32"/>
          <w:highlight w:val="none"/>
          <w:u w:val="none"/>
          <w:shd w:val="clear" w:color="auto" w:fill="FFFFFF"/>
          <w:lang w:eastAsia="zh-CN"/>
        </w:rPr>
        <w:t>分析</w:t>
      </w:r>
    </w:p>
    <w:p w14:paraId="583FF177">
      <w:pPr>
        <w:keepNext w:val="0"/>
        <w:keepLines w:val="0"/>
        <w:pageBreakBefore w:val="0"/>
        <w:widowControl w:val="0"/>
        <w:kinsoku/>
        <w:wordWrap/>
        <w:overflowPunct/>
        <w:topLinePunct w:val="0"/>
        <w:autoSpaceDE/>
        <w:autoSpaceDN/>
        <w:bidi w:val="0"/>
        <w:adjustRightInd w:val="0"/>
        <w:snapToGrid w:val="0"/>
        <w:spacing w:line="578" w:lineRule="exact"/>
        <w:ind w:left="0" w:firstLine="643" w:firstLineChars="200"/>
        <w:contextualSpacing/>
        <w:jc w:val="left"/>
        <w:textAlignment w:val="auto"/>
        <w:outlineLvl w:val="9"/>
        <w:rPr>
          <w:rFonts w:ascii="Times New Roman" w:hAnsi="Times New Roman" w:eastAsia="仿宋_GB2312" w:cs="Times New Roman"/>
          <w:color w:val="000000"/>
          <w:kern w:val="0"/>
          <w:sz w:val="32"/>
          <w:szCs w:val="32"/>
          <w:highlight w:val="none"/>
          <w:shd w:val="clear" w:color="auto" w:fill="FFFFFF"/>
          <w:lang w:val="zh-CN"/>
        </w:rPr>
      </w:pPr>
      <w:r>
        <w:rPr>
          <w:rFonts w:ascii="Times New Roman" w:hAnsi="Times New Roman" w:eastAsia="楷体_GB2312" w:cs="Times New Roman"/>
          <w:b/>
          <w:bCs/>
          <w:color w:val="000000"/>
          <w:kern w:val="0"/>
          <w:sz w:val="32"/>
          <w:szCs w:val="32"/>
          <w:highlight w:val="none"/>
          <w:shd w:val="clear" w:color="auto" w:fill="FFFFFF"/>
          <w:lang w:val="zh-CN"/>
        </w:rPr>
        <w:t>（一）部门预算总体绩效分析。</w:t>
      </w:r>
    </w:p>
    <w:p w14:paraId="3A6BF829">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ascii="Times New Roman" w:hAnsi="Times New Roman" w:eastAsia="楷体_GB2312" w:cs="Times New Roman"/>
          <w:color w:val="000000"/>
          <w:kern w:val="0"/>
          <w:sz w:val="32"/>
          <w:szCs w:val="32"/>
          <w:highlight w:val="none"/>
          <w:shd w:val="clear" w:color="auto" w:fill="FFFFFF"/>
          <w:lang w:val="zh-CN"/>
        </w:rPr>
      </w:pPr>
      <w:r>
        <w:rPr>
          <w:rFonts w:ascii="Times New Roman" w:hAnsi="Times New Roman" w:eastAsia="楷体_GB2312" w:cs="Times New Roman"/>
          <w:color w:val="000000"/>
          <w:kern w:val="0"/>
          <w:sz w:val="32"/>
          <w:szCs w:val="32"/>
          <w:highlight w:val="none"/>
          <w:shd w:val="clear" w:color="auto" w:fill="FFFFFF"/>
          <w:lang w:val="en-US" w:eastAsia="zh-CN"/>
        </w:rPr>
        <w:t>1.</w:t>
      </w:r>
      <w:r>
        <w:rPr>
          <w:rFonts w:ascii="Times New Roman" w:hAnsi="Times New Roman" w:eastAsia="楷体_GB2312" w:cs="Times New Roman"/>
          <w:color w:val="000000"/>
          <w:kern w:val="0"/>
          <w:sz w:val="32"/>
          <w:szCs w:val="32"/>
          <w:highlight w:val="none"/>
          <w:shd w:val="clear" w:color="auto" w:fill="FFFFFF"/>
          <w:lang w:val="zh-CN"/>
        </w:rPr>
        <w:t>履职效能。</w:t>
      </w:r>
    </w:p>
    <w:p w14:paraId="491C8B18">
      <w:pPr>
        <w:keepNext w:val="0"/>
        <w:keepLines w:val="0"/>
        <w:pageBreakBefore w:val="0"/>
        <w:widowControl w:val="0"/>
        <w:kinsoku/>
        <w:wordWrap/>
        <w:overflowPunct/>
        <w:topLinePunct w:val="0"/>
        <w:autoSpaceDE/>
        <w:autoSpaceDN/>
        <w:adjustRightInd w:val="0"/>
        <w:snapToGrid w:val="0"/>
        <w:spacing w:line="578" w:lineRule="exact"/>
        <w:ind w:left="0" w:firstLine="640" w:firstLineChars="200"/>
        <w:contextualSpacing/>
        <w:jc w:val="left"/>
        <w:rPr>
          <w:rFonts w:hint="eastAsia" w:ascii="仿宋_GB2312" w:eastAsia="仿宋_GB2312" w:cs="仿宋_GB2312"/>
          <w:color w:val="000000"/>
          <w:kern w:val="0"/>
          <w:sz w:val="32"/>
          <w:szCs w:val="32"/>
          <w:shd w:val="clear" w:color="auto" w:fill="FFFFFF"/>
          <w:lang w:val="zh-CN"/>
        </w:rPr>
      </w:pPr>
      <w:r>
        <w:rPr>
          <w:rFonts w:hint="eastAsia" w:ascii="仿宋_GB2312" w:eastAsia="仿宋_GB2312" w:cs="仿宋_GB2312"/>
          <w:color w:val="000000"/>
          <w:kern w:val="0"/>
          <w:sz w:val="32"/>
          <w:szCs w:val="32"/>
          <w:shd w:val="clear" w:color="auto" w:fill="FFFFFF"/>
          <w:lang w:val="zh-CN"/>
        </w:rPr>
        <w:t>2025年我单位在全体</w:t>
      </w:r>
      <w:r>
        <w:rPr>
          <w:rFonts w:ascii="仿宋_GB2312" w:eastAsia="仿宋_GB2312" w:cs="仿宋_GB2312"/>
          <w:color w:val="000000"/>
          <w:kern w:val="0"/>
          <w:sz w:val="32"/>
          <w:szCs w:val="32"/>
          <w:shd w:val="clear" w:color="auto" w:fill="FFFFFF"/>
          <w:lang w:val="zh-CN"/>
        </w:rPr>
        <w:t>教</w:t>
      </w:r>
      <w:r>
        <w:rPr>
          <w:rFonts w:hint="eastAsia" w:ascii="仿宋_GB2312" w:eastAsia="仿宋_GB2312" w:cs="仿宋_GB2312"/>
          <w:color w:val="000000"/>
          <w:kern w:val="0"/>
          <w:sz w:val="32"/>
          <w:szCs w:val="32"/>
          <w:shd w:val="clear" w:color="auto" w:fill="FFFFFF"/>
          <w:lang w:val="zh-CN"/>
        </w:rPr>
        <w:t>职工的共同努力下基本完成了各项工作目标和任务，职责履行得1</w:t>
      </w:r>
      <w:r>
        <w:rPr>
          <w:rFonts w:hint="eastAsia" w:ascii="仿宋_GB2312" w:eastAsia="仿宋_GB2312" w:cs="仿宋_GB2312"/>
          <w:color w:val="000000"/>
          <w:kern w:val="0"/>
          <w:sz w:val="32"/>
          <w:szCs w:val="32"/>
          <w:shd w:val="clear" w:color="auto" w:fill="FFFFFF"/>
          <w:lang w:val="zh-CN" w:eastAsia="zh-CN"/>
        </w:rPr>
        <w:t>5</w:t>
      </w:r>
      <w:r>
        <w:rPr>
          <w:rFonts w:hint="eastAsia" w:ascii="仿宋_GB2312" w:eastAsia="仿宋_GB2312" w:cs="仿宋_GB2312"/>
          <w:color w:val="000000"/>
          <w:kern w:val="0"/>
          <w:sz w:val="32"/>
          <w:szCs w:val="32"/>
          <w:shd w:val="clear" w:color="auto" w:fill="FFFFFF"/>
          <w:lang w:val="zh-CN"/>
        </w:rPr>
        <w:t>分。</w:t>
      </w:r>
    </w:p>
    <w:p w14:paraId="592691F1">
      <w:pPr>
        <w:keepNext w:val="0"/>
        <w:keepLines w:val="0"/>
        <w:pageBreakBefore w:val="0"/>
        <w:widowControl w:val="0"/>
        <w:kinsoku/>
        <w:wordWrap/>
        <w:overflowPunct/>
        <w:topLinePunct w:val="0"/>
        <w:autoSpaceDE/>
        <w:autoSpaceDN/>
        <w:adjustRightInd w:val="0"/>
        <w:snapToGrid w:val="0"/>
        <w:spacing w:line="578" w:lineRule="exact"/>
        <w:ind w:firstLine="643" w:firstLineChars="200"/>
        <w:contextualSpacing/>
        <w:jc w:val="left"/>
        <w:rPr>
          <w:rFonts w:hint="eastAsia" w:eastAsia="仿宋_GB2312" w:cs="仿宋_GB2312"/>
          <w:color w:val="000000"/>
          <w:kern w:val="0"/>
          <w:sz w:val="32"/>
          <w:szCs w:val="32"/>
          <w:shd w:val="clear" w:color="auto" w:fill="FFFFFF"/>
          <w:lang w:val="zh-CN"/>
        </w:rPr>
      </w:pPr>
      <w:r>
        <w:rPr>
          <w:rFonts w:hint="eastAsia" w:ascii="仿宋_GB2312" w:eastAsia="仿宋_GB2312" w:cs="仿宋_GB2312"/>
          <w:b/>
          <w:bCs/>
          <w:color w:val="000000"/>
          <w:kern w:val="0"/>
          <w:sz w:val="32"/>
          <w:szCs w:val="32"/>
          <w:shd w:val="clear" w:color="auto" w:fill="FFFFFF"/>
          <w:lang w:val="zh-CN"/>
        </w:rPr>
        <w:t>一是</w:t>
      </w:r>
      <w:r>
        <w:rPr>
          <w:rFonts w:hint="eastAsia" w:ascii="仿宋_GB2312" w:eastAsia="仿宋_GB2312" w:cs="仿宋_GB2312"/>
          <w:color w:val="000000"/>
          <w:kern w:val="0"/>
          <w:sz w:val="32"/>
          <w:szCs w:val="32"/>
          <w:shd w:val="clear" w:color="auto" w:fill="FFFFFF"/>
          <w:lang w:val="zh-CN"/>
        </w:rPr>
        <w:t>维持</w:t>
      </w:r>
      <w:r>
        <w:rPr>
          <w:rFonts w:ascii="仿宋_GB2312" w:eastAsia="仿宋_GB2312" w:cs="仿宋_GB2312"/>
          <w:color w:val="000000"/>
          <w:kern w:val="0"/>
          <w:sz w:val="32"/>
          <w:szCs w:val="32"/>
          <w:shd w:val="clear" w:color="auto" w:fill="FFFFFF"/>
          <w:lang w:val="zh-CN"/>
        </w:rPr>
        <w:t>学校</w:t>
      </w:r>
      <w:r>
        <w:rPr>
          <w:rFonts w:hint="eastAsia" w:ascii="仿宋_GB2312" w:eastAsia="仿宋_GB2312" w:cs="仿宋_GB2312"/>
          <w:color w:val="000000"/>
          <w:kern w:val="0"/>
          <w:sz w:val="32"/>
          <w:szCs w:val="32"/>
          <w:shd w:val="clear" w:color="auto" w:fill="FFFFFF"/>
          <w:lang w:val="zh-CN"/>
        </w:rPr>
        <w:t>正常运转所需费用，包括工资和补贴、五险一金等人员经费</w:t>
      </w:r>
      <w:r>
        <w:rPr>
          <w:rFonts w:hint="eastAsia" w:ascii="仿宋_GB2312" w:eastAsia="仿宋_GB2312" w:cs="仿宋_GB2312"/>
          <w:color w:val="000000"/>
          <w:kern w:val="0"/>
          <w:sz w:val="32"/>
          <w:szCs w:val="32"/>
          <w:shd w:val="clear" w:color="auto" w:fill="FFFFFF"/>
          <w:lang w:val="en-US" w:eastAsia="zh-CN"/>
        </w:rPr>
        <w:t>,</w:t>
      </w:r>
      <w:r>
        <w:rPr>
          <w:rFonts w:hint="eastAsia" w:ascii="仿宋_GB2312" w:eastAsia="仿宋_GB2312" w:cs="仿宋_GB2312"/>
          <w:color w:val="000000"/>
          <w:kern w:val="0"/>
          <w:sz w:val="32"/>
          <w:szCs w:val="32"/>
          <w:shd w:val="clear" w:color="auto" w:fill="FFFFFF"/>
          <w:lang w:val="zh-CN"/>
        </w:rPr>
        <w:t>及</w:t>
      </w:r>
      <w:r>
        <w:rPr>
          <w:rFonts w:ascii="Times New Roman" w:hAnsi="Times New Roman" w:eastAsia="仿宋_GB2312"/>
          <w:color w:val="000000"/>
          <w:kern w:val="0"/>
          <w:sz w:val="32"/>
          <w:szCs w:val="32"/>
          <w:shd w:val="clear" w:color="auto" w:fill="FFFFFF"/>
        </w:rPr>
        <w:t>日常对设备、设施的管理，维修维护</w:t>
      </w:r>
      <w:r>
        <w:rPr>
          <w:rFonts w:hint="eastAsia" w:ascii="仿宋_GB2312" w:eastAsia="仿宋_GB2312" w:cs="仿宋_GB2312"/>
          <w:color w:val="000000"/>
          <w:kern w:val="0"/>
          <w:sz w:val="32"/>
          <w:szCs w:val="32"/>
          <w:shd w:val="clear" w:color="auto" w:fill="FFFFFF"/>
          <w:lang w:val="zh-CN"/>
        </w:rPr>
        <w:t>等日常公用经费</w:t>
      </w:r>
      <w:r>
        <w:rPr>
          <w:rFonts w:ascii="仿宋_GB2312" w:eastAsia="仿宋_GB2312" w:cs="仿宋_GB2312"/>
          <w:color w:val="000000"/>
          <w:kern w:val="0"/>
          <w:sz w:val="32"/>
          <w:szCs w:val="32"/>
          <w:shd w:val="clear" w:color="auto" w:fill="FFFFFF"/>
          <w:lang w:val="zh-CN"/>
        </w:rPr>
        <w:t>；</w:t>
      </w:r>
      <w:r>
        <w:rPr>
          <w:rFonts w:hint="eastAsia" w:ascii="仿宋_GB2312" w:eastAsia="仿宋_GB2312" w:cs="仿宋_GB2312"/>
          <w:b/>
          <w:bCs/>
          <w:color w:val="000000"/>
          <w:kern w:val="0"/>
          <w:sz w:val="32"/>
          <w:szCs w:val="32"/>
          <w:shd w:val="clear" w:color="auto" w:fill="FFFFFF"/>
          <w:lang w:val="zh-CN"/>
        </w:rPr>
        <w:t>二是</w:t>
      </w:r>
      <w:r>
        <w:rPr>
          <w:rFonts w:eastAsia="仿宋_GB2312" w:cs="仿宋_GB2312"/>
          <w:color w:val="000000"/>
          <w:kern w:val="0"/>
          <w:sz w:val="32"/>
          <w:szCs w:val="32"/>
          <w:shd w:val="clear" w:color="auto" w:fill="FFFFFF"/>
          <w:lang w:val="zh-CN"/>
        </w:rPr>
        <w:t>加强</w:t>
      </w:r>
      <w:r>
        <w:rPr>
          <w:rFonts w:hint="eastAsia" w:eastAsia="仿宋_GB2312" w:cs="仿宋_GB2312"/>
          <w:bCs/>
          <w:color w:val="000000"/>
          <w:kern w:val="0"/>
          <w:sz w:val="32"/>
          <w:szCs w:val="32"/>
          <w:shd w:val="clear" w:color="auto" w:fill="FFFFFF"/>
          <w:lang w:val="en-US" w:eastAsia="zh-CN"/>
        </w:rPr>
        <w:t>党建</w:t>
      </w:r>
      <w:r>
        <w:rPr>
          <w:rFonts w:hint="eastAsia" w:eastAsia="仿宋_GB2312" w:cs="仿宋_GB2312"/>
          <w:bCs/>
          <w:color w:val="000000"/>
          <w:kern w:val="0"/>
          <w:sz w:val="32"/>
          <w:szCs w:val="32"/>
          <w:shd w:val="clear" w:color="auto" w:fill="FFFFFF"/>
        </w:rPr>
        <w:t>工作</w:t>
      </w:r>
      <w:r>
        <w:rPr>
          <w:rFonts w:eastAsia="仿宋_GB2312" w:cs="仿宋_GB2312"/>
          <w:bCs/>
          <w:color w:val="000000"/>
          <w:kern w:val="0"/>
          <w:sz w:val="32"/>
          <w:szCs w:val="32"/>
          <w:shd w:val="clear" w:color="auto" w:fill="FFFFFF"/>
        </w:rPr>
        <w:t>；</w:t>
      </w:r>
      <w:r>
        <w:rPr>
          <w:rFonts w:hint="eastAsia" w:ascii="仿宋_GB2312" w:eastAsia="仿宋_GB2312" w:cs="仿宋_GB2312"/>
          <w:b/>
          <w:bCs/>
          <w:color w:val="000000"/>
          <w:kern w:val="0"/>
          <w:sz w:val="32"/>
          <w:szCs w:val="32"/>
          <w:shd w:val="clear" w:color="auto" w:fill="FFFFFF"/>
          <w:lang w:val="zh-CN"/>
        </w:rPr>
        <w:t>三是</w:t>
      </w:r>
      <w:r>
        <w:rPr>
          <w:rFonts w:eastAsia="仿宋_GB2312" w:cs="仿宋_GB2312"/>
          <w:bCs/>
          <w:color w:val="000000"/>
          <w:kern w:val="0"/>
          <w:sz w:val="32"/>
          <w:szCs w:val="32"/>
          <w:shd w:val="clear" w:color="auto" w:fill="FFFFFF"/>
        </w:rPr>
        <w:t>加强</w:t>
      </w:r>
      <w:r>
        <w:rPr>
          <w:rFonts w:hint="eastAsia" w:eastAsia="仿宋_GB2312" w:cs="仿宋_GB2312"/>
          <w:bCs/>
          <w:color w:val="000000"/>
          <w:kern w:val="0"/>
          <w:sz w:val="32"/>
          <w:szCs w:val="32"/>
          <w:shd w:val="clear" w:color="auto" w:fill="FFFFFF"/>
        </w:rPr>
        <w:t>德育</w:t>
      </w:r>
      <w:r>
        <w:rPr>
          <w:rFonts w:eastAsia="仿宋_GB2312" w:cs="仿宋_GB2312"/>
          <w:bCs/>
          <w:color w:val="000000"/>
          <w:kern w:val="0"/>
          <w:sz w:val="32"/>
          <w:szCs w:val="32"/>
          <w:shd w:val="clear" w:color="auto" w:fill="FFFFFF"/>
        </w:rPr>
        <w:t>、</w:t>
      </w:r>
      <w:r>
        <w:rPr>
          <w:rFonts w:hint="eastAsia" w:eastAsia="仿宋_GB2312" w:cs="仿宋_GB2312"/>
          <w:bCs/>
          <w:color w:val="000000"/>
          <w:kern w:val="0"/>
          <w:sz w:val="32"/>
          <w:szCs w:val="32"/>
          <w:shd w:val="clear" w:color="auto" w:fill="FFFFFF"/>
          <w:lang w:val="en-US" w:eastAsia="zh-CN"/>
        </w:rPr>
        <w:t>后勤、</w:t>
      </w:r>
      <w:r>
        <w:rPr>
          <w:rFonts w:eastAsia="仿宋_GB2312" w:cs="仿宋_GB2312"/>
          <w:bCs/>
          <w:color w:val="000000"/>
          <w:kern w:val="0"/>
          <w:sz w:val="32"/>
          <w:szCs w:val="32"/>
          <w:shd w:val="clear" w:color="auto" w:fill="FFFFFF"/>
        </w:rPr>
        <w:t>安全</w:t>
      </w:r>
      <w:r>
        <w:rPr>
          <w:rFonts w:hint="eastAsia" w:eastAsia="仿宋_GB2312" w:cs="仿宋_GB2312"/>
          <w:bCs/>
          <w:color w:val="000000"/>
          <w:kern w:val="0"/>
          <w:sz w:val="32"/>
          <w:szCs w:val="32"/>
          <w:shd w:val="clear" w:color="auto" w:fill="FFFFFF"/>
        </w:rPr>
        <w:t>工作</w:t>
      </w:r>
      <w:r>
        <w:rPr>
          <w:rFonts w:hint="eastAsia" w:eastAsia="仿宋_GB2312" w:cs="仿宋_GB2312"/>
          <w:bCs/>
          <w:color w:val="000000"/>
          <w:kern w:val="0"/>
          <w:sz w:val="32"/>
          <w:szCs w:val="32"/>
          <w:shd w:val="clear" w:color="auto" w:fill="FFFFFF"/>
          <w:lang w:eastAsia="zh-CN"/>
        </w:rPr>
        <w:t>；</w:t>
      </w:r>
      <w:r>
        <w:rPr>
          <w:rFonts w:hint="eastAsia" w:ascii="仿宋_GB2312" w:eastAsia="仿宋_GB2312" w:cs="仿宋_GB2312"/>
          <w:b/>
          <w:bCs/>
          <w:color w:val="000000"/>
          <w:kern w:val="0"/>
          <w:sz w:val="32"/>
          <w:szCs w:val="32"/>
          <w:shd w:val="clear" w:color="auto" w:fill="FFFFFF"/>
          <w:lang w:val="en-US" w:eastAsia="zh-CN"/>
        </w:rPr>
        <w:t>四是</w:t>
      </w:r>
      <w:r>
        <w:rPr>
          <w:rFonts w:hint="eastAsia" w:eastAsia="仿宋_GB2312" w:cs="仿宋_GB2312"/>
          <w:bCs/>
          <w:color w:val="000000"/>
          <w:kern w:val="0"/>
          <w:sz w:val="32"/>
          <w:szCs w:val="32"/>
          <w:shd w:val="clear" w:color="auto" w:fill="FFFFFF"/>
          <w:lang w:val="en-US" w:eastAsia="zh-CN"/>
        </w:rPr>
        <w:t>加强德育、教学管理工作；</w:t>
      </w:r>
      <w:r>
        <w:rPr>
          <w:rFonts w:hint="eastAsia" w:ascii="仿宋_GB2312" w:eastAsia="仿宋_GB2312" w:cs="仿宋_GB2312"/>
          <w:b/>
          <w:bCs/>
          <w:color w:val="000000"/>
          <w:kern w:val="0"/>
          <w:sz w:val="32"/>
          <w:szCs w:val="32"/>
          <w:shd w:val="clear" w:color="auto" w:fill="FFFFFF"/>
          <w:lang w:val="en-US" w:eastAsia="zh-CN"/>
        </w:rPr>
        <w:t>五是</w:t>
      </w:r>
      <w:r>
        <w:rPr>
          <w:rFonts w:hint="eastAsia" w:eastAsia="仿宋_GB2312" w:cs="仿宋_GB2312"/>
          <w:bCs/>
          <w:color w:val="000000"/>
          <w:kern w:val="0"/>
          <w:sz w:val="32"/>
          <w:szCs w:val="32"/>
          <w:shd w:val="clear" w:color="auto" w:fill="FFFFFF"/>
          <w:lang w:val="en-US" w:eastAsia="zh-CN"/>
        </w:rPr>
        <w:t>关注民生项目；</w:t>
      </w:r>
      <w:r>
        <w:rPr>
          <w:rFonts w:hint="eastAsia" w:ascii="仿宋_GB2312" w:eastAsia="仿宋_GB2312" w:cs="仿宋_GB2312"/>
          <w:b/>
          <w:bCs/>
          <w:color w:val="000000"/>
          <w:kern w:val="0"/>
          <w:sz w:val="32"/>
          <w:szCs w:val="32"/>
          <w:shd w:val="clear" w:color="auto" w:fill="FFFFFF"/>
          <w:lang w:val="en-US" w:eastAsia="zh-CN"/>
        </w:rPr>
        <w:t>六是</w:t>
      </w:r>
      <w:r>
        <w:rPr>
          <w:rFonts w:hint="eastAsia" w:eastAsia="仿宋_GB2312" w:cs="仿宋_GB2312"/>
          <w:bCs/>
          <w:color w:val="000000"/>
          <w:kern w:val="0"/>
          <w:sz w:val="32"/>
          <w:szCs w:val="32"/>
          <w:shd w:val="clear" w:color="auto" w:fill="FFFFFF"/>
          <w:lang w:val="en-US" w:eastAsia="zh-CN"/>
        </w:rPr>
        <w:t>家加强校共育，携手同行，构建教育共同体</w:t>
      </w:r>
      <w:r>
        <w:rPr>
          <w:rFonts w:eastAsia="仿宋_GB2312" w:cs="仿宋_GB2312"/>
          <w:bCs/>
          <w:color w:val="000000"/>
          <w:kern w:val="0"/>
          <w:sz w:val="32"/>
          <w:szCs w:val="32"/>
          <w:shd w:val="clear" w:color="auto" w:fill="FFFFFF"/>
        </w:rPr>
        <w:t>。</w:t>
      </w:r>
    </w:p>
    <w:p w14:paraId="1AE8F9A9">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ascii="Times New Roman" w:hAnsi="Times New Roman" w:eastAsia="楷体_GB2312" w:cs="Times New Roman"/>
          <w:color w:val="000000"/>
          <w:kern w:val="0"/>
          <w:sz w:val="32"/>
          <w:szCs w:val="32"/>
          <w:highlight w:val="none"/>
          <w:shd w:val="clear" w:color="auto" w:fill="FFFFFF"/>
          <w:lang w:val="zh-CN"/>
        </w:rPr>
      </w:pPr>
      <w:r>
        <w:rPr>
          <w:rFonts w:ascii="Times New Roman" w:hAnsi="Times New Roman" w:eastAsia="楷体_GB2312" w:cs="Times New Roman"/>
          <w:color w:val="000000"/>
          <w:kern w:val="0"/>
          <w:sz w:val="32"/>
          <w:szCs w:val="32"/>
          <w:highlight w:val="none"/>
          <w:shd w:val="clear" w:color="auto" w:fill="FFFFFF"/>
          <w:lang w:val="en-US" w:eastAsia="zh-CN"/>
        </w:rPr>
        <w:t>2.</w:t>
      </w:r>
      <w:r>
        <w:rPr>
          <w:rFonts w:ascii="Times New Roman" w:hAnsi="Times New Roman" w:eastAsia="楷体_GB2312" w:cs="Times New Roman"/>
          <w:color w:val="000000"/>
          <w:kern w:val="0"/>
          <w:sz w:val="32"/>
          <w:szCs w:val="32"/>
          <w:highlight w:val="none"/>
          <w:shd w:val="clear" w:color="auto" w:fill="FFFFFF"/>
          <w:lang w:val="zh-CN"/>
        </w:rPr>
        <w:t>预算管理。</w:t>
      </w:r>
    </w:p>
    <w:p w14:paraId="26EA2A1C">
      <w:pPr>
        <w:adjustRightInd w:val="0"/>
        <w:snapToGrid w:val="0"/>
        <w:spacing w:line="578" w:lineRule="exact"/>
        <w:ind w:firstLine="640" w:firstLineChars="200"/>
        <w:contextualSpacing/>
        <w:jc w:val="left"/>
        <w:rPr>
          <w:rFonts w:hint="eastAsia" w:ascii="仿宋_GB2312" w:eastAsia="仿宋_GB2312" w:cs="仿宋_GB2312"/>
          <w:color w:val="000000"/>
          <w:kern w:val="0"/>
          <w:sz w:val="32"/>
          <w:szCs w:val="32"/>
          <w:shd w:val="clear" w:color="auto" w:fill="FFFFFF"/>
          <w:lang w:val="zh-CN"/>
        </w:rPr>
      </w:pPr>
      <w:r>
        <w:rPr>
          <w:rFonts w:hint="eastAsia" w:ascii="仿宋_GB2312" w:eastAsia="仿宋_GB2312" w:cs="仿宋_GB2312"/>
          <w:color w:val="000000"/>
          <w:kern w:val="0"/>
          <w:sz w:val="32"/>
          <w:szCs w:val="32"/>
          <w:shd w:val="clear" w:color="auto" w:fill="FFFFFF"/>
          <w:lang w:val="zh-CN"/>
        </w:rPr>
        <w:t>（</w:t>
      </w:r>
      <w:r>
        <w:rPr>
          <w:rFonts w:hint="eastAsia" w:ascii="仿宋_GB2312" w:eastAsia="仿宋_GB2312" w:cs="仿宋_GB2312"/>
          <w:color w:val="000000"/>
          <w:kern w:val="0"/>
          <w:sz w:val="32"/>
          <w:szCs w:val="32"/>
          <w:shd w:val="clear" w:color="auto" w:fill="FFFFFF"/>
          <w:lang w:val="en-US" w:eastAsia="zh-CN"/>
        </w:rPr>
        <w:t>1</w:t>
      </w:r>
      <w:r>
        <w:rPr>
          <w:rFonts w:hint="eastAsia" w:ascii="仿宋_GB2312" w:eastAsia="仿宋_GB2312" w:cs="仿宋_GB2312"/>
          <w:color w:val="000000"/>
          <w:kern w:val="0"/>
          <w:sz w:val="32"/>
          <w:szCs w:val="32"/>
          <w:shd w:val="clear" w:color="auto" w:fill="FFFFFF"/>
          <w:lang w:val="zh-CN"/>
        </w:rPr>
        <w:t>）根据我单位实际情况，我单位</w:t>
      </w:r>
      <w:r>
        <w:rPr>
          <w:rFonts w:hint="eastAsia" w:ascii="仿宋_GB2312" w:eastAsia="仿宋_GB2312" w:cs="仿宋_GB2312"/>
          <w:color w:val="000000"/>
          <w:kern w:val="0"/>
          <w:sz w:val="32"/>
          <w:szCs w:val="32"/>
          <w:shd w:val="clear" w:color="auto" w:fill="FFFFFF"/>
          <w:lang w:val="en-US" w:eastAsia="zh-CN"/>
        </w:rPr>
        <w:t>2025年度财政拨款预算偏离度0.56、政府采购预算偏离度及资产配置预算偏离度为1，</w:t>
      </w:r>
      <w:r>
        <w:rPr>
          <w:rFonts w:hint="eastAsia" w:ascii="仿宋_GB2312" w:eastAsia="仿宋_GB2312" w:cs="仿宋_GB2312"/>
          <w:color w:val="000000"/>
          <w:kern w:val="0"/>
          <w:sz w:val="32"/>
          <w:szCs w:val="32"/>
          <w:shd w:val="clear" w:color="auto" w:fill="FFFFFF"/>
          <w:lang w:val="zh-CN"/>
        </w:rPr>
        <w:t>预算编制质量方面得</w:t>
      </w:r>
      <w:r>
        <w:rPr>
          <w:rFonts w:hint="eastAsia" w:ascii="仿宋_GB2312" w:eastAsia="仿宋_GB2312" w:cs="仿宋_GB2312"/>
          <w:color w:val="000000"/>
          <w:kern w:val="0"/>
          <w:sz w:val="32"/>
          <w:szCs w:val="32"/>
          <w:shd w:val="clear" w:color="auto" w:fill="FFFFFF"/>
          <w:lang w:val="en-US" w:eastAsia="zh-CN"/>
        </w:rPr>
        <w:t>5.76分</w:t>
      </w:r>
      <w:r>
        <w:rPr>
          <w:rFonts w:hint="eastAsia" w:ascii="仿宋_GB2312" w:eastAsia="仿宋_GB2312" w:cs="仿宋_GB2312"/>
          <w:color w:val="000000"/>
          <w:kern w:val="0"/>
          <w:sz w:val="32"/>
          <w:szCs w:val="32"/>
          <w:shd w:val="clear" w:color="auto" w:fill="FFFFFF"/>
          <w:lang w:val="zh-CN"/>
        </w:rPr>
        <w:t>。</w:t>
      </w:r>
    </w:p>
    <w:p w14:paraId="43BB7B00">
      <w:pPr>
        <w:adjustRightInd w:val="0"/>
        <w:snapToGrid w:val="0"/>
        <w:spacing w:line="578" w:lineRule="exact"/>
        <w:ind w:firstLine="640" w:firstLineChars="200"/>
        <w:contextualSpacing/>
        <w:jc w:val="left"/>
        <w:rPr>
          <w:rFonts w:hint="eastAsia" w:ascii="仿宋_GB2312" w:eastAsia="仿宋_GB2312" w:cs="仿宋_GB2312"/>
          <w:color w:val="auto"/>
          <w:kern w:val="0"/>
          <w:sz w:val="32"/>
          <w:szCs w:val="32"/>
          <w:shd w:val="clear" w:color="auto" w:fill="FFFFFF"/>
          <w:lang w:val="en-US" w:eastAsia="zh-CN"/>
        </w:rPr>
      </w:pPr>
      <w:r>
        <w:rPr>
          <w:rFonts w:hint="eastAsia" w:ascii="仿宋_GB2312" w:eastAsia="仿宋_GB2312" w:cs="仿宋_GB2312"/>
          <w:color w:val="000000"/>
          <w:kern w:val="0"/>
          <w:sz w:val="32"/>
          <w:szCs w:val="32"/>
          <w:shd w:val="clear" w:color="auto" w:fill="FFFFFF"/>
          <w:lang w:val="zh-CN"/>
        </w:rPr>
        <w:t>（</w:t>
      </w:r>
      <w:r>
        <w:rPr>
          <w:rFonts w:hint="eastAsia" w:ascii="仿宋_GB2312" w:eastAsia="仿宋_GB2312" w:cs="仿宋_GB2312"/>
          <w:color w:val="000000"/>
          <w:kern w:val="0"/>
          <w:sz w:val="32"/>
          <w:szCs w:val="32"/>
          <w:shd w:val="clear" w:color="auto" w:fill="FFFFFF"/>
          <w:lang w:val="en-US" w:eastAsia="zh-CN"/>
        </w:rPr>
        <w:t>2</w:t>
      </w:r>
      <w:r>
        <w:rPr>
          <w:rFonts w:hint="eastAsia" w:ascii="仿宋_GB2312" w:eastAsia="仿宋_GB2312" w:cs="仿宋_GB2312"/>
          <w:color w:val="000000"/>
          <w:kern w:val="0"/>
          <w:sz w:val="32"/>
          <w:szCs w:val="32"/>
          <w:shd w:val="clear" w:color="auto" w:fill="FFFFFF"/>
          <w:lang w:val="zh-CN"/>
        </w:rPr>
        <w:t>）</w:t>
      </w:r>
      <w:r>
        <w:rPr>
          <w:rFonts w:hint="eastAsia" w:ascii="Times New Roman" w:hAnsi="Times New Roman" w:eastAsia="仿宋_GB2312" w:cs="Times New Roman"/>
          <w:b w:val="0"/>
          <w:color w:val="000000"/>
          <w:kern w:val="0"/>
          <w:sz w:val="32"/>
          <w:szCs w:val="32"/>
          <w:highlight w:val="none"/>
          <w:shd w:val="clear" w:color="auto" w:fill="FFFFFF"/>
          <w:lang w:val="en-US" w:eastAsia="zh-CN" w:bidi="ar-SA"/>
        </w:rPr>
        <w:t>我</w:t>
      </w:r>
      <w:r>
        <w:rPr>
          <w:rFonts w:ascii="Times New Roman" w:hAnsi="Times New Roman" w:eastAsia="仿宋_GB2312" w:cs="Times New Roman"/>
          <w:b w:val="0"/>
          <w:color w:val="000000"/>
          <w:kern w:val="0"/>
          <w:sz w:val="32"/>
          <w:szCs w:val="32"/>
          <w:highlight w:val="none"/>
          <w:shd w:val="clear" w:color="auto" w:fill="FFFFFF"/>
          <w:lang w:val="en-US" w:eastAsia="zh-CN" w:bidi="ar-SA"/>
        </w:rPr>
        <w:t>单位</w:t>
      </w:r>
      <w:r>
        <w:rPr>
          <w:rFonts w:hint="eastAsia" w:ascii="Times New Roman" w:hAnsi="Times New Roman" w:eastAsia="仿宋_GB2312" w:cs="Times New Roman"/>
          <w:b w:val="0"/>
          <w:color w:val="000000"/>
          <w:kern w:val="0"/>
          <w:sz w:val="32"/>
          <w:szCs w:val="32"/>
          <w:highlight w:val="none"/>
          <w:shd w:val="clear" w:color="auto" w:fill="FFFFFF"/>
          <w:lang w:val="en-US" w:eastAsia="zh-CN" w:bidi="ar-SA"/>
        </w:rPr>
        <w:t>属于财政全额拨款性质单位，除单位基本账户产生</w:t>
      </w:r>
      <w:r>
        <w:rPr>
          <w:rFonts w:hint="eastAsia" w:ascii="Times New Roman" w:hAnsi="Times New Roman" w:eastAsia="仿宋_GB2312" w:cs="Times New Roman"/>
          <w:b w:val="0"/>
          <w:color w:val="auto"/>
          <w:kern w:val="0"/>
          <w:sz w:val="32"/>
          <w:szCs w:val="32"/>
          <w:highlight w:val="none"/>
          <w:shd w:val="clear" w:color="auto" w:fill="FFFFFF"/>
          <w:lang w:val="en-US" w:eastAsia="zh-CN" w:bidi="ar-SA"/>
        </w:rPr>
        <w:t>的利息收入外无其他收入，利息收入每年均已转入财政账户</w:t>
      </w:r>
      <w:r>
        <w:rPr>
          <w:rFonts w:hint="eastAsia" w:ascii="仿宋_GB2312" w:eastAsia="仿宋_GB2312" w:cs="仿宋_GB2312"/>
          <w:color w:val="auto"/>
          <w:kern w:val="0"/>
          <w:sz w:val="32"/>
          <w:szCs w:val="32"/>
          <w:shd w:val="clear" w:color="auto" w:fill="FFFFFF"/>
          <w:lang w:val="zh-CN"/>
        </w:rPr>
        <w:t>，单位收入统筹方面得</w:t>
      </w:r>
      <w:r>
        <w:rPr>
          <w:rFonts w:hint="eastAsia" w:ascii="仿宋_GB2312" w:eastAsia="仿宋_GB2312" w:cs="仿宋_GB2312"/>
          <w:color w:val="auto"/>
          <w:kern w:val="0"/>
          <w:sz w:val="32"/>
          <w:szCs w:val="32"/>
          <w:shd w:val="clear" w:color="auto" w:fill="FFFFFF"/>
          <w:lang w:val="en-US" w:eastAsia="zh-CN"/>
        </w:rPr>
        <w:t>4分</w:t>
      </w:r>
    </w:p>
    <w:p w14:paraId="4241E4A3">
      <w:pPr>
        <w:adjustRightInd w:val="0"/>
        <w:snapToGrid w:val="0"/>
        <w:spacing w:line="578" w:lineRule="exact"/>
        <w:ind w:firstLine="640" w:firstLineChars="200"/>
        <w:contextualSpacing/>
        <w:jc w:val="left"/>
        <w:rPr>
          <w:rFonts w:hint="eastAsia" w:ascii="仿宋_GB2312" w:eastAsia="仿宋_GB2312" w:cs="仿宋_GB2312"/>
          <w:color w:val="auto"/>
          <w:kern w:val="0"/>
          <w:sz w:val="32"/>
          <w:szCs w:val="32"/>
          <w:shd w:val="clear" w:color="auto" w:fill="FFFFFF"/>
          <w:lang w:val="zh-CN"/>
        </w:rPr>
      </w:pPr>
      <w:r>
        <w:rPr>
          <w:rFonts w:hint="eastAsia" w:ascii="仿宋_GB2312" w:eastAsia="仿宋_GB2312" w:cs="仿宋_GB2312"/>
          <w:color w:val="auto"/>
          <w:kern w:val="0"/>
          <w:sz w:val="32"/>
          <w:szCs w:val="32"/>
          <w:shd w:val="clear" w:color="auto" w:fill="FFFFFF"/>
          <w:lang w:val="zh-CN"/>
        </w:rPr>
        <w:t>（</w:t>
      </w:r>
      <w:r>
        <w:rPr>
          <w:rFonts w:hint="eastAsia" w:ascii="仿宋_GB2312" w:eastAsia="仿宋_GB2312" w:cs="仿宋_GB2312"/>
          <w:color w:val="auto"/>
          <w:kern w:val="0"/>
          <w:sz w:val="32"/>
          <w:szCs w:val="32"/>
          <w:shd w:val="clear" w:color="auto" w:fill="FFFFFF"/>
          <w:lang w:val="en-US" w:eastAsia="zh-CN"/>
        </w:rPr>
        <w:t>3</w:t>
      </w:r>
      <w:r>
        <w:rPr>
          <w:rFonts w:hint="eastAsia" w:ascii="仿宋_GB2312" w:eastAsia="仿宋_GB2312" w:cs="仿宋_GB2312"/>
          <w:color w:val="auto"/>
          <w:kern w:val="0"/>
          <w:sz w:val="32"/>
          <w:szCs w:val="32"/>
          <w:shd w:val="clear" w:color="auto" w:fill="FFFFFF"/>
          <w:lang w:val="zh-CN"/>
        </w:rPr>
        <w:t>）我单位</w:t>
      </w:r>
      <w:r>
        <w:rPr>
          <w:rFonts w:hint="eastAsia" w:ascii="仿宋_GB2312" w:eastAsia="仿宋_GB2312" w:cs="仿宋_GB2312"/>
          <w:color w:val="auto"/>
          <w:kern w:val="0"/>
          <w:sz w:val="32"/>
          <w:szCs w:val="32"/>
          <w:shd w:val="clear" w:color="auto" w:fill="FFFFFF"/>
          <w:lang w:val="en-US" w:eastAsia="zh-CN"/>
        </w:rPr>
        <w:t>2025年度1-6月资金支付率54.83%；1-10月资金支付率87.58%，</w:t>
      </w:r>
      <w:r>
        <w:rPr>
          <w:rFonts w:hint="eastAsia" w:ascii="仿宋_GB2312" w:eastAsia="仿宋_GB2312" w:cs="仿宋_GB2312"/>
          <w:color w:val="auto"/>
          <w:kern w:val="0"/>
          <w:sz w:val="32"/>
          <w:szCs w:val="32"/>
          <w:shd w:val="clear" w:color="auto" w:fill="FFFFFF"/>
          <w:lang w:val="zh-CN"/>
        </w:rPr>
        <w:t>支出执行进度方面得6分。</w:t>
      </w:r>
    </w:p>
    <w:p w14:paraId="2E03C41C">
      <w:pPr>
        <w:adjustRightInd w:val="0"/>
        <w:snapToGrid w:val="0"/>
        <w:spacing w:line="578" w:lineRule="exact"/>
        <w:ind w:firstLine="640" w:firstLineChars="200"/>
        <w:contextualSpacing/>
        <w:jc w:val="left"/>
        <w:rPr>
          <w:rFonts w:hint="eastAsia" w:ascii="仿宋_GB2312" w:eastAsia="仿宋_GB2312" w:cs="仿宋_GB2312"/>
          <w:color w:val="auto"/>
          <w:kern w:val="0"/>
          <w:sz w:val="32"/>
          <w:szCs w:val="32"/>
          <w:shd w:val="clear" w:color="auto" w:fill="FFFFFF"/>
          <w:lang w:val="zh-CN"/>
        </w:rPr>
      </w:pPr>
      <w:r>
        <w:rPr>
          <w:rFonts w:hint="eastAsia" w:ascii="仿宋_GB2312" w:eastAsia="仿宋_GB2312" w:cs="仿宋_GB2312"/>
          <w:color w:val="auto"/>
          <w:kern w:val="0"/>
          <w:sz w:val="32"/>
          <w:szCs w:val="32"/>
          <w:shd w:val="clear" w:color="auto" w:fill="FFFFFF"/>
          <w:lang w:val="zh-CN"/>
        </w:rPr>
        <w:t>（</w:t>
      </w:r>
      <w:r>
        <w:rPr>
          <w:rFonts w:hint="eastAsia" w:ascii="仿宋_GB2312" w:eastAsia="仿宋_GB2312" w:cs="仿宋_GB2312"/>
          <w:color w:val="auto"/>
          <w:kern w:val="0"/>
          <w:sz w:val="32"/>
          <w:szCs w:val="32"/>
          <w:shd w:val="clear" w:color="auto" w:fill="FFFFFF"/>
          <w:lang w:val="en-US" w:eastAsia="zh-CN"/>
        </w:rPr>
        <w:t>4</w:t>
      </w:r>
      <w:r>
        <w:rPr>
          <w:rFonts w:hint="eastAsia" w:ascii="仿宋_GB2312" w:eastAsia="仿宋_GB2312" w:cs="仿宋_GB2312"/>
          <w:color w:val="auto"/>
          <w:kern w:val="0"/>
          <w:sz w:val="32"/>
          <w:szCs w:val="32"/>
          <w:shd w:val="clear" w:color="auto" w:fill="FFFFFF"/>
          <w:lang w:val="zh-CN"/>
        </w:rPr>
        <w:t>）我单位</w:t>
      </w:r>
      <w:r>
        <w:rPr>
          <w:rFonts w:hint="eastAsia" w:ascii="仿宋_GB2312" w:eastAsia="仿宋_GB2312" w:cs="仿宋_GB2312"/>
          <w:color w:val="auto"/>
          <w:kern w:val="0"/>
          <w:sz w:val="32"/>
          <w:szCs w:val="32"/>
          <w:shd w:val="clear" w:color="auto" w:fill="FFFFFF"/>
          <w:lang w:val="en-US" w:eastAsia="zh-CN"/>
        </w:rPr>
        <w:t>2025年度一般公共预算收入</w:t>
      </w:r>
      <w:r>
        <w:rPr>
          <w:rFonts w:hint="eastAsia" w:ascii="仿宋_GB2312" w:eastAsia="仿宋_GB2312" w:cs="仿宋_GB2312"/>
          <w:color w:val="auto"/>
          <w:kern w:val="0"/>
          <w:sz w:val="32"/>
          <w:szCs w:val="32"/>
          <w:shd w:val="clear" w:color="auto" w:fill="FFFFFF"/>
          <w:lang w:val="zh-CN"/>
        </w:rPr>
        <w:t>年终无结余，该项得</w:t>
      </w:r>
      <w:r>
        <w:rPr>
          <w:rFonts w:ascii="仿宋_GB2312" w:eastAsia="仿宋_GB2312" w:cs="仿宋_GB2312"/>
          <w:color w:val="auto"/>
          <w:kern w:val="0"/>
          <w:sz w:val="32"/>
          <w:szCs w:val="32"/>
          <w:shd w:val="clear" w:color="auto" w:fill="FFFFFF"/>
          <w:lang w:val="zh-CN"/>
        </w:rPr>
        <w:t>2</w:t>
      </w:r>
      <w:r>
        <w:rPr>
          <w:rFonts w:hint="eastAsia" w:ascii="仿宋_GB2312" w:eastAsia="仿宋_GB2312" w:cs="仿宋_GB2312"/>
          <w:color w:val="auto"/>
          <w:kern w:val="0"/>
          <w:sz w:val="32"/>
          <w:szCs w:val="32"/>
          <w:shd w:val="clear" w:color="auto" w:fill="FFFFFF"/>
          <w:lang w:val="zh-CN"/>
        </w:rPr>
        <w:t>分。</w:t>
      </w:r>
    </w:p>
    <w:p w14:paraId="6DDB6C1E">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ascii="Times New Roman" w:hAnsi="Times New Roman" w:eastAsia="楷体_GB2312" w:cs="Times New Roman"/>
          <w:color w:val="000000"/>
          <w:kern w:val="0"/>
          <w:sz w:val="32"/>
          <w:szCs w:val="32"/>
          <w:highlight w:val="none"/>
          <w:shd w:val="clear" w:color="auto" w:fill="FFFFFF"/>
          <w:lang w:val="zh-CN"/>
        </w:rPr>
      </w:pPr>
      <w:r>
        <w:rPr>
          <w:rFonts w:hint="eastAsia" w:ascii="仿宋_GB2312" w:eastAsia="仿宋_GB2312" w:cs="仿宋_GB2312"/>
          <w:color w:val="000000"/>
          <w:kern w:val="0"/>
          <w:sz w:val="32"/>
          <w:szCs w:val="32"/>
          <w:shd w:val="clear" w:color="auto" w:fill="FFFFFF"/>
          <w:lang w:val="zh-CN"/>
        </w:rPr>
        <w:t>（</w:t>
      </w:r>
      <w:r>
        <w:rPr>
          <w:rFonts w:hint="eastAsia" w:ascii="仿宋_GB2312" w:eastAsia="仿宋_GB2312" w:cs="仿宋_GB2312"/>
          <w:color w:val="000000"/>
          <w:kern w:val="0"/>
          <w:sz w:val="32"/>
          <w:szCs w:val="32"/>
          <w:shd w:val="clear" w:color="auto" w:fill="FFFFFF"/>
          <w:lang w:val="en-US" w:eastAsia="zh-CN"/>
        </w:rPr>
        <w:t>5</w:t>
      </w:r>
      <w:r>
        <w:rPr>
          <w:rFonts w:hint="eastAsia" w:ascii="仿宋_GB2312" w:eastAsia="仿宋_GB2312" w:cs="仿宋_GB2312"/>
          <w:color w:val="000000"/>
          <w:kern w:val="0"/>
          <w:sz w:val="32"/>
          <w:szCs w:val="32"/>
          <w:shd w:val="clear" w:color="auto" w:fill="FFFFFF"/>
          <w:lang w:val="zh-CN"/>
        </w:rPr>
        <w:t>）我单位严控“三公”经费、培训</w:t>
      </w:r>
      <w:r>
        <w:rPr>
          <w:rFonts w:ascii="仿宋_GB2312" w:eastAsia="仿宋_GB2312" w:cs="仿宋_GB2312"/>
          <w:color w:val="000000"/>
          <w:kern w:val="0"/>
          <w:sz w:val="32"/>
          <w:szCs w:val="32"/>
          <w:shd w:val="clear" w:color="auto" w:fill="FFFFFF"/>
          <w:lang w:val="zh-CN"/>
        </w:rPr>
        <w:t>费</w:t>
      </w:r>
      <w:r>
        <w:rPr>
          <w:rFonts w:hint="eastAsia" w:ascii="仿宋_GB2312" w:eastAsia="仿宋_GB2312" w:cs="仿宋_GB2312"/>
          <w:color w:val="000000"/>
          <w:kern w:val="0"/>
          <w:sz w:val="32"/>
          <w:szCs w:val="32"/>
          <w:shd w:val="clear" w:color="auto" w:fill="FFFFFF"/>
          <w:lang w:val="zh-CN"/>
        </w:rPr>
        <w:t>、办公费等支出，严控一般性支出方面得</w:t>
      </w:r>
      <w:r>
        <w:rPr>
          <w:rFonts w:hint="eastAsia" w:ascii="仿宋_GB2312" w:eastAsia="仿宋_GB2312" w:cs="仿宋_GB2312"/>
          <w:color w:val="000000"/>
          <w:kern w:val="0"/>
          <w:sz w:val="32"/>
          <w:szCs w:val="32"/>
          <w:shd w:val="clear" w:color="auto" w:fill="FFFFFF"/>
          <w:lang w:val="en-US" w:eastAsia="zh-CN"/>
        </w:rPr>
        <w:t>5分</w:t>
      </w:r>
      <w:r>
        <w:rPr>
          <w:rFonts w:hint="eastAsia" w:eastAsia="仿宋_GB2312"/>
          <w:color w:val="000000"/>
          <w:kern w:val="0"/>
          <w:sz w:val="32"/>
          <w:szCs w:val="32"/>
          <w:shd w:val="clear" w:color="auto" w:fill="FFFFFF"/>
          <w:lang w:val="zh-CN"/>
        </w:rPr>
        <w:t>。</w:t>
      </w:r>
    </w:p>
    <w:p w14:paraId="07C176FF">
      <w:pPr>
        <w:adjustRightInd w:val="0"/>
        <w:snapToGrid w:val="0"/>
        <w:spacing w:line="578" w:lineRule="exact"/>
        <w:ind w:firstLine="640" w:firstLineChars="200"/>
        <w:contextualSpacing/>
        <w:jc w:val="left"/>
        <w:rPr>
          <w:rFonts w:ascii="Times New Roman" w:hAnsi="Times New Roman" w:eastAsia="楷体_GB2312" w:cs="Times New Roman"/>
          <w:color w:val="000000"/>
          <w:kern w:val="0"/>
          <w:sz w:val="32"/>
          <w:szCs w:val="32"/>
          <w:highlight w:val="none"/>
          <w:shd w:val="clear" w:color="auto" w:fill="FFFFFF"/>
          <w:lang w:val="zh-CN"/>
        </w:rPr>
      </w:pPr>
      <w:r>
        <w:rPr>
          <w:rFonts w:ascii="Times New Roman" w:hAnsi="Times New Roman" w:eastAsia="楷体_GB2312" w:cs="Times New Roman"/>
          <w:color w:val="000000"/>
          <w:kern w:val="0"/>
          <w:sz w:val="32"/>
          <w:szCs w:val="32"/>
          <w:highlight w:val="none"/>
          <w:shd w:val="clear" w:color="auto" w:fill="FFFFFF"/>
          <w:lang w:val="en-US" w:eastAsia="zh-CN"/>
        </w:rPr>
        <w:t>3.</w:t>
      </w:r>
      <w:r>
        <w:rPr>
          <w:rFonts w:ascii="Times New Roman" w:hAnsi="Times New Roman" w:eastAsia="楷体_GB2312" w:cs="Times New Roman"/>
          <w:color w:val="000000"/>
          <w:kern w:val="0"/>
          <w:sz w:val="32"/>
          <w:szCs w:val="32"/>
          <w:highlight w:val="none"/>
          <w:shd w:val="clear" w:color="auto" w:fill="FFFFFF"/>
          <w:lang w:val="zh-CN"/>
        </w:rPr>
        <w:t>财务管理。</w:t>
      </w:r>
    </w:p>
    <w:p w14:paraId="7B1EECAA">
      <w:pPr>
        <w:adjustRightInd w:val="0"/>
        <w:snapToGrid w:val="0"/>
        <w:spacing w:line="578" w:lineRule="exact"/>
        <w:ind w:firstLine="640" w:firstLineChars="200"/>
        <w:contextualSpacing/>
        <w:jc w:val="left"/>
        <w:rPr>
          <w:rFonts w:ascii="楷体_GB2312" w:eastAsia="楷体_GB2312" w:cs="楷体_GB2312"/>
          <w:color w:val="000000"/>
          <w:kern w:val="0"/>
          <w:sz w:val="32"/>
          <w:szCs w:val="32"/>
          <w:shd w:val="clear" w:color="auto" w:fill="FFFFFF"/>
          <w:lang w:val="zh-CN"/>
        </w:rPr>
      </w:pPr>
      <w:r>
        <w:rPr>
          <w:rFonts w:hint="eastAsia" w:eastAsia="仿宋_GB2312"/>
          <w:color w:val="000000"/>
          <w:kern w:val="0"/>
          <w:sz w:val="32"/>
          <w:szCs w:val="32"/>
          <w:shd w:val="clear" w:color="auto" w:fill="FFFFFF"/>
          <w:lang w:val="zh-CN"/>
        </w:rPr>
        <w:t>我</w:t>
      </w:r>
      <w:r>
        <w:rPr>
          <w:rFonts w:eastAsia="仿宋_GB2312"/>
          <w:color w:val="000000"/>
          <w:kern w:val="0"/>
          <w:sz w:val="32"/>
          <w:szCs w:val="32"/>
          <w:shd w:val="clear" w:color="auto" w:fill="FFFFFF"/>
          <w:lang w:val="zh-CN"/>
        </w:rPr>
        <w:t>单位</w:t>
      </w:r>
      <w:r>
        <w:rPr>
          <w:rFonts w:hint="eastAsia" w:eastAsia="仿宋_GB2312"/>
          <w:color w:val="000000"/>
          <w:kern w:val="0"/>
          <w:sz w:val="32"/>
          <w:szCs w:val="32"/>
          <w:shd w:val="clear" w:color="auto" w:fill="FFFFFF"/>
          <w:lang w:val="zh-CN"/>
        </w:rPr>
        <w:t>严格执行《会计法》、《预算法》、《行政</w:t>
      </w:r>
      <w:r>
        <w:rPr>
          <w:rFonts w:eastAsia="仿宋_GB2312"/>
          <w:color w:val="000000"/>
          <w:kern w:val="0"/>
          <w:sz w:val="32"/>
          <w:szCs w:val="32"/>
          <w:shd w:val="clear" w:color="auto" w:fill="FFFFFF"/>
          <w:lang w:val="zh-CN"/>
        </w:rPr>
        <w:t>事业</w:t>
      </w:r>
      <w:r>
        <w:rPr>
          <w:rFonts w:hint="eastAsia" w:eastAsia="仿宋_GB2312"/>
          <w:color w:val="000000"/>
          <w:kern w:val="0"/>
          <w:sz w:val="32"/>
          <w:szCs w:val="32"/>
          <w:shd w:val="clear" w:color="auto" w:fill="FFFFFF"/>
          <w:lang w:val="zh-CN"/>
        </w:rPr>
        <w:t>单位会计制度》等法律法规，</w:t>
      </w:r>
      <w:r>
        <w:rPr>
          <w:rFonts w:hint="eastAsia" w:ascii="Times New Roman" w:hAnsi="Times New Roman" w:eastAsia="仿宋_GB2312" w:cs="Times New Roman"/>
          <w:b w:val="0"/>
          <w:color w:val="000000"/>
          <w:kern w:val="0"/>
          <w:sz w:val="32"/>
          <w:szCs w:val="32"/>
          <w:highlight w:val="none"/>
          <w:shd w:val="clear" w:color="auto" w:fill="FFFFFF"/>
          <w:lang w:val="en-US" w:eastAsia="zh-CN" w:bidi="ar-SA"/>
        </w:rPr>
        <w:t>我</w:t>
      </w:r>
      <w:r>
        <w:rPr>
          <w:rFonts w:ascii="Times New Roman" w:hAnsi="Times New Roman" w:eastAsia="仿宋_GB2312" w:cs="Times New Roman"/>
          <w:b w:val="0"/>
          <w:color w:val="000000"/>
          <w:kern w:val="0"/>
          <w:sz w:val="32"/>
          <w:szCs w:val="32"/>
          <w:highlight w:val="none"/>
          <w:shd w:val="clear" w:color="auto" w:fill="FFFFFF"/>
          <w:lang w:val="en-US" w:eastAsia="zh-CN" w:bidi="ar-SA"/>
        </w:rPr>
        <w:t>单位</w:t>
      </w:r>
      <w:r>
        <w:rPr>
          <w:rFonts w:hint="eastAsia" w:ascii="Times New Roman" w:hAnsi="Times New Roman" w:eastAsia="仿宋_GB2312" w:cs="Times New Roman"/>
          <w:b w:val="0"/>
          <w:color w:val="000000"/>
          <w:kern w:val="0"/>
          <w:sz w:val="32"/>
          <w:szCs w:val="32"/>
          <w:highlight w:val="none"/>
          <w:shd w:val="clear" w:color="auto" w:fill="FFFFFF"/>
          <w:lang w:val="en-US" w:eastAsia="zh-CN" w:bidi="ar-SA"/>
        </w:rPr>
        <w:t>财务岗位设有出纳和会计，</w:t>
      </w:r>
      <w:r>
        <w:rPr>
          <w:rFonts w:ascii="Times New Roman" w:hAnsi="Times New Roman" w:eastAsia="仿宋_GB2312" w:cs="Times New Roman"/>
          <w:b w:val="0"/>
          <w:color w:val="000000"/>
          <w:kern w:val="0"/>
          <w:sz w:val="32"/>
          <w:szCs w:val="32"/>
          <w:highlight w:val="none"/>
          <w:shd w:val="clear" w:color="auto" w:fill="FFFFFF"/>
          <w:lang w:val="en-US" w:eastAsia="zh-CN" w:bidi="ar-SA"/>
        </w:rPr>
        <w:t>严格执行不相容岗位相分离</w:t>
      </w:r>
      <w:r>
        <w:rPr>
          <w:rFonts w:hint="eastAsia" w:ascii="Times New Roman" w:hAnsi="Times New Roman" w:eastAsia="仿宋_GB2312" w:cs="Times New Roman"/>
          <w:b w:val="0"/>
          <w:color w:val="000000"/>
          <w:kern w:val="0"/>
          <w:sz w:val="32"/>
          <w:szCs w:val="32"/>
          <w:highlight w:val="none"/>
          <w:shd w:val="clear" w:color="auto" w:fill="FFFFFF"/>
          <w:lang w:val="en-US" w:eastAsia="zh-CN" w:bidi="ar-SA"/>
        </w:rPr>
        <w:t>，建立了财务室工作职责、财务管理制度，资金的管理及使用方面，均严格按照财经制度执行</w:t>
      </w:r>
      <w:r>
        <w:rPr>
          <w:rFonts w:ascii="Times New Roman" w:hAnsi="Times New Roman" w:eastAsia="仿宋_GB2312" w:cs="Times New Roman"/>
          <w:b w:val="0"/>
          <w:color w:val="000000"/>
          <w:kern w:val="0"/>
          <w:sz w:val="32"/>
          <w:szCs w:val="32"/>
          <w:highlight w:val="none"/>
          <w:shd w:val="clear" w:color="auto" w:fill="FFFFFF"/>
          <w:lang w:val="en-US" w:eastAsia="zh-CN" w:bidi="ar-SA"/>
        </w:rPr>
        <w:t>，</w:t>
      </w:r>
      <w:r>
        <w:rPr>
          <w:rFonts w:hint="eastAsia" w:eastAsia="仿宋_GB2312"/>
          <w:color w:val="000000"/>
          <w:kern w:val="0"/>
          <w:sz w:val="32"/>
          <w:szCs w:val="32"/>
          <w:shd w:val="clear" w:color="auto" w:fill="FFFFFF"/>
          <w:lang w:val="zh-CN"/>
        </w:rPr>
        <w:t>资金使用合规，制度执行较为有效，财务管理方面得</w:t>
      </w:r>
      <w:r>
        <w:rPr>
          <w:rFonts w:hint="eastAsia" w:eastAsia="仿宋_GB2312"/>
          <w:color w:val="000000"/>
          <w:kern w:val="0"/>
          <w:sz w:val="32"/>
          <w:szCs w:val="32"/>
          <w:shd w:val="clear" w:color="auto" w:fill="FFFFFF"/>
          <w:lang w:val="en-US" w:eastAsia="zh-CN"/>
        </w:rPr>
        <w:t>10</w:t>
      </w:r>
      <w:r>
        <w:rPr>
          <w:rFonts w:hint="eastAsia" w:eastAsia="仿宋_GB2312"/>
          <w:color w:val="000000"/>
          <w:kern w:val="0"/>
          <w:sz w:val="32"/>
          <w:szCs w:val="32"/>
          <w:shd w:val="clear" w:color="auto" w:fill="FFFFFF"/>
          <w:lang w:val="zh-CN"/>
        </w:rPr>
        <w:t>分。</w:t>
      </w:r>
    </w:p>
    <w:p w14:paraId="78AD6BC5">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ascii="Times New Roman" w:hAnsi="Times New Roman" w:eastAsia="楷体_GB2312" w:cs="Times New Roman"/>
          <w:color w:val="000000"/>
          <w:kern w:val="0"/>
          <w:sz w:val="32"/>
          <w:szCs w:val="32"/>
          <w:highlight w:val="none"/>
          <w:shd w:val="clear" w:color="auto" w:fill="FFFFFF"/>
          <w:lang w:val="zh-CN"/>
        </w:rPr>
      </w:pPr>
      <w:r>
        <w:rPr>
          <w:rFonts w:ascii="Times New Roman" w:hAnsi="Times New Roman" w:eastAsia="楷体_GB2312" w:cs="Times New Roman"/>
          <w:color w:val="000000"/>
          <w:kern w:val="0"/>
          <w:sz w:val="32"/>
          <w:szCs w:val="32"/>
          <w:highlight w:val="none"/>
          <w:shd w:val="clear" w:color="auto" w:fill="FFFFFF"/>
          <w:lang w:val="en-US" w:eastAsia="zh-CN"/>
        </w:rPr>
        <w:t>4.</w:t>
      </w:r>
      <w:r>
        <w:rPr>
          <w:rFonts w:ascii="Times New Roman" w:hAnsi="Times New Roman" w:eastAsia="楷体_GB2312" w:cs="Times New Roman"/>
          <w:color w:val="000000"/>
          <w:kern w:val="0"/>
          <w:sz w:val="32"/>
          <w:szCs w:val="32"/>
          <w:highlight w:val="none"/>
          <w:shd w:val="clear" w:color="auto" w:fill="FFFFFF"/>
          <w:lang w:val="zh-CN"/>
        </w:rPr>
        <w:t>资产管理。</w:t>
      </w:r>
    </w:p>
    <w:p w14:paraId="5B65162F">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ascii="Times New Roman" w:hAnsi="Times New Roman" w:eastAsia="楷体_GB2312" w:cs="Times New Roman"/>
          <w:color w:val="auto"/>
          <w:kern w:val="0"/>
          <w:sz w:val="32"/>
          <w:szCs w:val="32"/>
          <w:highlight w:val="none"/>
          <w:shd w:val="clear" w:color="auto" w:fill="FFFFFF"/>
          <w:lang w:val="zh-CN"/>
        </w:rPr>
      </w:pPr>
      <w:r>
        <w:rPr>
          <w:rFonts w:hint="eastAsia" w:eastAsia="仿宋_GB2312" w:cs="Times New Roman"/>
          <w:b w:val="0"/>
          <w:color w:val="auto"/>
          <w:kern w:val="0"/>
          <w:sz w:val="32"/>
          <w:szCs w:val="32"/>
          <w:highlight w:val="none"/>
          <w:shd w:val="clear" w:color="auto" w:fill="FFFFFF"/>
          <w:lang w:val="en-US" w:eastAsia="zh-CN" w:bidi="ar-SA"/>
        </w:rPr>
        <w:t>截至2025年</w:t>
      </w:r>
      <w:r>
        <w:rPr>
          <w:rFonts w:hint="eastAsia" w:ascii="Times New Roman" w:hAnsi="Times New Roman" w:eastAsia="仿宋_GB2312" w:cs="Times New Roman"/>
          <w:b w:val="0"/>
          <w:color w:val="auto"/>
          <w:kern w:val="0"/>
          <w:sz w:val="32"/>
          <w:szCs w:val="32"/>
          <w:highlight w:val="none"/>
          <w:shd w:val="clear" w:color="auto" w:fill="FFFFFF"/>
          <w:lang w:val="en-US" w:eastAsia="zh-CN" w:bidi="ar-SA"/>
        </w:rPr>
        <w:t>末，我</w:t>
      </w:r>
      <w:r>
        <w:rPr>
          <w:rFonts w:ascii="Times New Roman" w:hAnsi="Times New Roman" w:eastAsia="仿宋_GB2312" w:cs="Times New Roman"/>
          <w:b w:val="0"/>
          <w:color w:val="auto"/>
          <w:kern w:val="0"/>
          <w:sz w:val="32"/>
          <w:szCs w:val="32"/>
          <w:highlight w:val="none"/>
          <w:shd w:val="clear" w:color="auto" w:fill="FFFFFF"/>
          <w:lang w:val="en-US" w:eastAsia="zh-CN" w:bidi="ar-SA"/>
        </w:rPr>
        <w:t>校</w:t>
      </w:r>
      <w:r>
        <w:rPr>
          <w:rFonts w:hint="eastAsia" w:ascii="Times New Roman" w:hAnsi="Times New Roman" w:eastAsia="仿宋_GB2312" w:cs="Times New Roman"/>
          <w:b w:val="0"/>
          <w:color w:val="auto"/>
          <w:kern w:val="0"/>
          <w:sz w:val="32"/>
          <w:szCs w:val="32"/>
          <w:highlight w:val="none"/>
          <w:shd w:val="clear" w:color="auto" w:fill="FFFFFF"/>
          <w:lang w:val="en-US" w:eastAsia="zh-CN" w:bidi="ar-SA"/>
        </w:rPr>
        <w:t>固定资产总额为</w:t>
      </w:r>
      <w:r>
        <w:rPr>
          <w:rFonts w:hint="eastAsia" w:eastAsia="仿宋_GB2312" w:cs="Times New Roman"/>
          <w:b w:val="0"/>
          <w:color w:val="auto"/>
          <w:kern w:val="0"/>
          <w:sz w:val="32"/>
          <w:szCs w:val="32"/>
          <w:highlight w:val="none"/>
          <w:shd w:val="clear" w:color="auto" w:fill="FFFFFF"/>
          <w:lang w:val="en-US" w:eastAsia="zh-CN" w:bidi="ar-SA"/>
        </w:rPr>
        <w:t>1466.59</w:t>
      </w:r>
      <w:r>
        <w:rPr>
          <w:rFonts w:hint="eastAsia" w:ascii="Times New Roman" w:hAnsi="Times New Roman" w:eastAsia="仿宋_GB2312" w:cs="Times New Roman"/>
          <w:b w:val="0"/>
          <w:color w:val="auto"/>
          <w:kern w:val="0"/>
          <w:sz w:val="32"/>
          <w:szCs w:val="32"/>
          <w:highlight w:val="none"/>
          <w:shd w:val="clear" w:color="auto" w:fill="FFFFFF"/>
          <w:lang w:val="en-US" w:eastAsia="zh-CN" w:bidi="ar-SA"/>
        </w:rPr>
        <w:t>万元，主要为房屋构筑物、设备、</w:t>
      </w:r>
      <w:r>
        <w:rPr>
          <w:rFonts w:ascii="Times New Roman" w:hAnsi="Times New Roman" w:eastAsia="仿宋_GB2312" w:cs="Times New Roman"/>
          <w:b w:val="0"/>
          <w:color w:val="auto"/>
          <w:kern w:val="0"/>
          <w:sz w:val="32"/>
          <w:szCs w:val="32"/>
          <w:highlight w:val="none"/>
          <w:shd w:val="clear" w:color="auto" w:fill="FFFFFF"/>
          <w:lang w:val="en-US" w:eastAsia="zh-CN" w:bidi="ar-SA"/>
        </w:rPr>
        <w:t>家具</w:t>
      </w:r>
      <w:r>
        <w:rPr>
          <w:rFonts w:hint="eastAsia" w:ascii="Times New Roman" w:hAnsi="Times New Roman" w:eastAsia="仿宋_GB2312" w:cs="Times New Roman"/>
          <w:b w:val="0"/>
          <w:color w:val="auto"/>
          <w:kern w:val="0"/>
          <w:sz w:val="32"/>
          <w:szCs w:val="32"/>
          <w:highlight w:val="none"/>
          <w:shd w:val="clear" w:color="auto" w:fill="FFFFFF"/>
          <w:lang w:val="en-US" w:eastAsia="zh-CN" w:bidi="ar-SA"/>
        </w:rPr>
        <w:t>等，房屋构筑物占总资产的</w:t>
      </w:r>
      <w:r>
        <w:rPr>
          <w:rFonts w:hint="eastAsia" w:eastAsia="仿宋_GB2312" w:cs="Times New Roman"/>
          <w:b w:val="0"/>
          <w:color w:val="auto"/>
          <w:kern w:val="0"/>
          <w:sz w:val="32"/>
          <w:szCs w:val="32"/>
          <w:highlight w:val="none"/>
          <w:shd w:val="clear" w:color="auto" w:fill="FFFFFF"/>
          <w:lang w:val="en-US" w:eastAsia="zh-CN" w:bidi="ar-SA"/>
        </w:rPr>
        <w:t>23.24</w:t>
      </w:r>
      <w:r>
        <w:rPr>
          <w:rFonts w:hint="eastAsia" w:ascii="Times New Roman" w:hAnsi="Times New Roman" w:eastAsia="仿宋_GB2312" w:cs="Times New Roman"/>
          <w:b w:val="0"/>
          <w:color w:val="auto"/>
          <w:kern w:val="0"/>
          <w:sz w:val="32"/>
          <w:szCs w:val="32"/>
          <w:highlight w:val="none"/>
          <w:shd w:val="clear" w:color="auto" w:fill="FFFFFF"/>
          <w:lang w:val="en-US" w:eastAsia="zh-CN" w:bidi="ar-SA"/>
        </w:rPr>
        <w:t>%，设备占</w:t>
      </w:r>
      <w:r>
        <w:rPr>
          <w:rFonts w:hint="eastAsia" w:eastAsia="仿宋_GB2312" w:cs="Times New Roman"/>
          <w:b w:val="0"/>
          <w:color w:val="auto"/>
          <w:kern w:val="0"/>
          <w:sz w:val="32"/>
          <w:szCs w:val="32"/>
          <w:highlight w:val="none"/>
          <w:shd w:val="clear" w:color="auto" w:fill="FFFFFF"/>
          <w:lang w:val="en-US" w:eastAsia="zh-CN" w:bidi="ar-SA"/>
        </w:rPr>
        <w:t>57.8</w:t>
      </w:r>
      <w:r>
        <w:rPr>
          <w:rFonts w:hint="eastAsia" w:ascii="Times New Roman" w:hAnsi="Times New Roman" w:eastAsia="仿宋_GB2312" w:cs="Times New Roman"/>
          <w:b w:val="0"/>
          <w:color w:val="auto"/>
          <w:kern w:val="0"/>
          <w:sz w:val="32"/>
          <w:szCs w:val="32"/>
          <w:highlight w:val="none"/>
          <w:shd w:val="clear" w:color="auto" w:fill="FFFFFF"/>
          <w:lang w:val="en-US" w:eastAsia="zh-CN" w:bidi="ar-SA"/>
        </w:rPr>
        <w:t>%，家具用具和图书占</w:t>
      </w:r>
      <w:r>
        <w:rPr>
          <w:rFonts w:hint="eastAsia" w:eastAsia="仿宋_GB2312" w:cs="Times New Roman"/>
          <w:b w:val="0"/>
          <w:color w:val="auto"/>
          <w:kern w:val="0"/>
          <w:sz w:val="32"/>
          <w:szCs w:val="32"/>
          <w:highlight w:val="none"/>
          <w:shd w:val="clear" w:color="auto" w:fill="FFFFFF"/>
          <w:lang w:val="en-US" w:eastAsia="zh-CN" w:bidi="ar-SA"/>
        </w:rPr>
        <w:t>26</w:t>
      </w:r>
      <w:r>
        <w:rPr>
          <w:rFonts w:hint="eastAsia" w:ascii="Times New Roman" w:hAnsi="Times New Roman" w:eastAsia="仿宋_GB2312" w:cs="Times New Roman"/>
          <w:b w:val="0"/>
          <w:color w:val="auto"/>
          <w:kern w:val="0"/>
          <w:sz w:val="32"/>
          <w:szCs w:val="32"/>
          <w:highlight w:val="none"/>
          <w:shd w:val="clear" w:color="auto" w:fill="FFFFFF"/>
          <w:lang w:val="en-US" w:eastAsia="zh-CN" w:bidi="ar-SA"/>
        </w:rPr>
        <w:t>%。</w:t>
      </w:r>
      <w:r>
        <w:rPr>
          <w:rFonts w:ascii="Times New Roman" w:hAnsi="Times New Roman" w:eastAsia="仿宋_GB2312" w:cs="Times New Roman"/>
          <w:b w:val="0"/>
          <w:color w:val="auto"/>
          <w:kern w:val="0"/>
          <w:sz w:val="32"/>
          <w:szCs w:val="32"/>
          <w:highlight w:val="none"/>
          <w:shd w:val="clear" w:color="auto" w:fill="FFFFFF"/>
          <w:lang w:val="en-US" w:eastAsia="zh-CN" w:bidi="ar-SA"/>
        </w:rPr>
        <w:t>资产利用率高，无闲置资产，资产管理方面得9分。</w:t>
      </w:r>
    </w:p>
    <w:p w14:paraId="1F41027E">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ascii="Times New Roman" w:hAnsi="Times New Roman" w:eastAsia="楷体_GB2312" w:cs="Times New Roman"/>
          <w:color w:val="auto"/>
          <w:kern w:val="0"/>
          <w:sz w:val="32"/>
          <w:szCs w:val="32"/>
          <w:highlight w:val="none"/>
          <w:shd w:val="clear" w:color="auto" w:fill="FFFFFF"/>
          <w:lang w:val="zh-CN"/>
        </w:rPr>
      </w:pPr>
      <w:r>
        <w:rPr>
          <w:rFonts w:ascii="Times New Roman" w:hAnsi="Times New Roman" w:eastAsia="楷体_GB2312" w:cs="Times New Roman"/>
          <w:color w:val="auto"/>
          <w:kern w:val="0"/>
          <w:sz w:val="32"/>
          <w:szCs w:val="32"/>
          <w:highlight w:val="none"/>
          <w:shd w:val="clear" w:color="auto" w:fill="FFFFFF"/>
          <w:lang w:val="en-US" w:eastAsia="zh-CN"/>
        </w:rPr>
        <w:t>5.</w:t>
      </w:r>
      <w:r>
        <w:rPr>
          <w:rFonts w:ascii="Times New Roman" w:hAnsi="Times New Roman" w:eastAsia="楷体_GB2312" w:cs="Times New Roman"/>
          <w:color w:val="auto"/>
          <w:kern w:val="0"/>
          <w:sz w:val="32"/>
          <w:szCs w:val="32"/>
          <w:highlight w:val="none"/>
          <w:shd w:val="clear" w:color="auto" w:fill="FFFFFF"/>
          <w:lang w:val="zh-CN"/>
        </w:rPr>
        <w:t>采购管理。</w:t>
      </w:r>
    </w:p>
    <w:p w14:paraId="2DD21715">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ascii="Times New Roman" w:hAnsi="Times New Roman" w:eastAsia="楷体_GB2312" w:cs="Times New Roman"/>
          <w:color w:val="auto"/>
          <w:kern w:val="0"/>
          <w:sz w:val="32"/>
          <w:szCs w:val="32"/>
          <w:highlight w:val="none"/>
          <w:shd w:val="clear" w:color="auto" w:fill="FFFFFF"/>
          <w:lang w:val="zh-CN"/>
        </w:rPr>
      </w:pPr>
      <w:r>
        <w:rPr>
          <w:rFonts w:hint="eastAsia" w:ascii="Times New Roman" w:hAnsi="Times New Roman" w:eastAsia="仿宋_GB2312" w:cs="Times New Roman"/>
          <w:b w:val="0"/>
          <w:color w:val="auto"/>
          <w:kern w:val="0"/>
          <w:sz w:val="32"/>
          <w:szCs w:val="32"/>
          <w:highlight w:val="none"/>
          <w:shd w:val="clear" w:color="auto" w:fill="FFFFFF"/>
          <w:lang w:val="en-US" w:eastAsia="zh-CN" w:bidi="ar-SA"/>
        </w:rPr>
        <w:t>我</w:t>
      </w:r>
      <w:r>
        <w:rPr>
          <w:rFonts w:ascii="Times New Roman" w:hAnsi="Times New Roman" w:eastAsia="仿宋_GB2312" w:cs="Times New Roman"/>
          <w:b w:val="0"/>
          <w:color w:val="auto"/>
          <w:kern w:val="0"/>
          <w:sz w:val="32"/>
          <w:szCs w:val="32"/>
          <w:highlight w:val="none"/>
          <w:shd w:val="clear" w:color="auto" w:fill="FFFFFF"/>
          <w:lang w:val="en-US" w:eastAsia="zh-CN" w:bidi="ar-SA"/>
        </w:rPr>
        <w:t>校</w:t>
      </w:r>
      <w:r>
        <w:rPr>
          <w:rFonts w:hint="eastAsia" w:eastAsia="仿宋_GB2312" w:cs="Times New Roman"/>
          <w:b w:val="0"/>
          <w:color w:val="auto"/>
          <w:kern w:val="0"/>
          <w:sz w:val="32"/>
          <w:szCs w:val="32"/>
          <w:highlight w:val="none"/>
          <w:shd w:val="clear" w:color="auto" w:fill="FFFFFF"/>
          <w:lang w:val="en-US" w:eastAsia="zh-CN" w:bidi="ar-SA"/>
        </w:rPr>
        <w:t>2025年</w:t>
      </w:r>
      <w:r>
        <w:rPr>
          <w:rFonts w:hint="eastAsia" w:ascii="Times New Roman" w:hAnsi="Times New Roman" w:eastAsia="仿宋_GB2312" w:cs="Times New Roman"/>
          <w:b w:val="0"/>
          <w:color w:val="auto"/>
          <w:kern w:val="0"/>
          <w:sz w:val="32"/>
          <w:szCs w:val="32"/>
          <w:highlight w:val="none"/>
          <w:shd w:val="clear" w:color="auto" w:fill="FFFFFF"/>
          <w:lang w:val="en-US" w:eastAsia="zh-CN" w:bidi="ar-SA"/>
        </w:rPr>
        <w:t>度政府采购项目为“</w:t>
      </w:r>
      <w:r>
        <w:rPr>
          <w:rFonts w:hint="eastAsia" w:eastAsia="仿宋_GB2312"/>
          <w:color w:val="auto"/>
          <w:sz w:val="32"/>
          <w:lang w:val="en-US" w:eastAsia="zh-CN"/>
        </w:rPr>
        <w:t>智慧校园项目采购</w:t>
      </w:r>
      <w:r>
        <w:rPr>
          <w:rFonts w:hint="eastAsia" w:ascii="Times New Roman" w:hAnsi="Times New Roman" w:eastAsia="仿宋_GB2312" w:cs="Times New Roman"/>
          <w:b w:val="0"/>
          <w:color w:val="auto"/>
          <w:kern w:val="0"/>
          <w:sz w:val="32"/>
          <w:szCs w:val="32"/>
          <w:highlight w:val="none"/>
          <w:shd w:val="clear" w:color="auto" w:fill="FFFFFF"/>
          <w:lang w:val="en-US" w:eastAsia="zh-CN" w:bidi="ar-SA"/>
        </w:rPr>
        <w:t>”</w:t>
      </w:r>
      <w:r>
        <w:rPr>
          <w:rFonts w:ascii="Times New Roman" w:hAnsi="Times New Roman" w:eastAsia="仿宋_GB2312" w:cs="Times New Roman"/>
          <w:b w:val="0"/>
          <w:color w:val="auto"/>
          <w:kern w:val="0"/>
          <w:sz w:val="32"/>
          <w:szCs w:val="32"/>
          <w:highlight w:val="none"/>
          <w:shd w:val="clear" w:color="auto" w:fill="FFFFFF"/>
          <w:lang w:val="en-US" w:eastAsia="zh-CN" w:bidi="ar-SA"/>
        </w:rPr>
        <w:t>，</w:t>
      </w:r>
      <w:r>
        <w:rPr>
          <w:rFonts w:hint="eastAsia" w:ascii="Times New Roman" w:hAnsi="Times New Roman" w:eastAsia="仿宋_GB2312" w:cs="Times New Roman"/>
          <w:b w:val="0"/>
          <w:color w:val="auto"/>
          <w:kern w:val="0"/>
          <w:sz w:val="32"/>
          <w:szCs w:val="32"/>
          <w:highlight w:val="none"/>
          <w:shd w:val="clear" w:color="auto" w:fill="FFFFFF"/>
          <w:lang w:val="en-US" w:eastAsia="zh-CN" w:bidi="ar-SA"/>
        </w:rPr>
        <w:t>在项目的实施采购过程中严格执行政府采购促进中小企业发展相关管理办法，全部面向中小企业实施，预算执行率为</w:t>
      </w:r>
      <w:r>
        <w:rPr>
          <w:rFonts w:hint="eastAsia" w:eastAsia="仿宋_GB2312"/>
          <w:color w:val="auto"/>
          <w:sz w:val="32"/>
          <w:lang w:val="en-US" w:eastAsia="zh-CN"/>
        </w:rPr>
        <w:t>100</w:t>
      </w:r>
      <w:r>
        <w:rPr>
          <w:rFonts w:hint="eastAsia" w:ascii="Times New Roman" w:hAnsi="Times New Roman" w:eastAsia="仿宋_GB2312" w:cs="Times New Roman"/>
          <w:b w:val="0"/>
          <w:color w:val="auto"/>
          <w:kern w:val="0"/>
          <w:sz w:val="32"/>
          <w:szCs w:val="32"/>
          <w:highlight w:val="none"/>
          <w:shd w:val="clear" w:color="auto" w:fill="FFFFFF"/>
          <w:lang w:val="en-US" w:eastAsia="zh-CN" w:bidi="ar-SA"/>
        </w:rPr>
        <w:t>%。</w:t>
      </w:r>
    </w:p>
    <w:p w14:paraId="273532C0">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ascii="Times New Roman" w:hAnsi="Times New Roman" w:eastAsia="仿宋_GB2312" w:cs="Times New Roman"/>
          <w:color w:val="auto"/>
          <w:kern w:val="0"/>
          <w:sz w:val="32"/>
          <w:szCs w:val="32"/>
          <w:highlight w:val="none"/>
          <w:shd w:val="clear" w:color="auto" w:fill="FFFFFF"/>
          <w:lang w:val="en-US" w:eastAsia="zh-CN"/>
        </w:rPr>
      </w:pPr>
      <w:r>
        <w:rPr>
          <w:rFonts w:ascii="Times New Roman" w:hAnsi="Times New Roman" w:eastAsia="楷体_GB2312" w:cs="Times New Roman"/>
          <w:b/>
          <w:bCs/>
          <w:color w:val="auto"/>
          <w:kern w:val="0"/>
          <w:sz w:val="32"/>
          <w:szCs w:val="32"/>
          <w:highlight w:val="none"/>
          <w:shd w:val="clear" w:color="auto" w:fill="FFFFFF"/>
          <w:lang w:val="zh-CN"/>
        </w:rPr>
        <w:t>（二）部门预算项目绩效分析。</w:t>
      </w:r>
    </w:p>
    <w:p w14:paraId="5238A46F">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ascii="Times New Roman" w:hAnsi="Times New Roman" w:eastAsia="仿宋_GB2312" w:cs="Times New Roman"/>
          <w:color w:val="000000"/>
          <w:kern w:val="0"/>
          <w:sz w:val="32"/>
          <w:szCs w:val="32"/>
          <w:highlight w:val="none"/>
          <w:shd w:val="clear" w:color="auto" w:fill="FFFFFF"/>
          <w:lang w:val="zh-CN" w:eastAsia="zh-CN"/>
        </w:rPr>
      </w:pPr>
      <w:r>
        <w:rPr>
          <w:rFonts w:ascii="Times New Roman" w:hAnsi="Times New Roman" w:eastAsia="仿宋_GB2312" w:cs="Times New Roman"/>
          <w:color w:val="auto"/>
          <w:kern w:val="0"/>
          <w:sz w:val="32"/>
          <w:szCs w:val="32"/>
          <w:highlight w:val="none"/>
          <w:shd w:val="clear" w:color="auto" w:fill="FFFFFF"/>
          <w:lang w:val="en-US" w:eastAsia="zh-CN"/>
        </w:rPr>
        <w:t>常年项目绩效分析。</w:t>
      </w:r>
      <w:r>
        <w:rPr>
          <w:rFonts w:ascii="Times New Roman" w:hAnsi="Times New Roman" w:eastAsia="仿宋_GB2312" w:cs="Times New Roman"/>
          <w:color w:val="auto"/>
          <w:kern w:val="0"/>
          <w:sz w:val="32"/>
          <w:szCs w:val="32"/>
          <w:highlight w:val="none"/>
          <w:shd w:val="clear" w:color="auto" w:fill="FFFFFF"/>
          <w:lang w:val="zh-CN" w:eastAsia="zh-CN"/>
        </w:rPr>
        <w:t>该类项目总数</w:t>
      </w:r>
      <w:r>
        <w:rPr>
          <w:rFonts w:ascii="Times New Roman" w:hAnsi="Times New Roman" w:eastAsia="仿宋_GB2312" w:cs="Times New Roman"/>
          <w:color w:val="auto"/>
          <w:kern w:val="0"/>
          <w:sz w:val="32"/>
          <w:szCs w:val="32"/>
          <w:highlight w:val="none"/>
          <w:shd w:val="clear" w:color="auto" w:fill="FFFFFF"/>
          <w:lang w:val="en-US" w:eastAsia="zh-CN"/>
        </w:rPr>
        <w:t>3</w:t>
      </w:r>
      <w:r>
        <w:rPr>
          <w:rFonts w:ascii="Times New Roman" w:hAnsi="Times New Roman" w:eastAsia="仿宋_GB2312" w:cs="Times New Roman"/>
          <w:color w:val="auto"/>
          <w:kern w:val="0"/>
          <w:sz w:val="32"/>
          <w:szCs w:val="32"/>
          <w:highlight w:val="none"/>
          <w:shd w:val="clear" w:color="auto" w:fill="FFFFFF"/>
          <w:lang w:val="zh-CN" w:eastAsia="zh-CN"/>
        </w:rPr>
        <w:t>个，涉及预算总金额</w:t>
      </w:r>
      <w:r>
        <w:rPr>
          <w:rFonts w:hint="eastAsia" w:eastAsia="仿宋_GB2312" w:cs="Times New Roman"/>
          <w:color w:val="auto"/>
          <w:kern w:val="0"/>
          <w:sz w:val="32"/>
          <w:szCs w:val="32"/>
          <w:highlight w:val="none"/>
          <w:shd w:val="clear" w:color="auto" w:fill="FFFFFF"/>
          <w:lang w:val="en-US" w:eastAsia="zh-CN"/>
        </w:rPr>
        <w:t>100.32</w:t>
      </w:r>
      <w:r>
        <w:rPr>
          <w:rFonts w:ascii="Times New Roman" w:hAnsi="Times New Roman" w:eastAsia="仿宋_GB2312" w:cs="Times New Roman"/>
          <w:color w:val="auto"/>
          <w:kern w:val="0"/>
          <w:sz w:val="32"/>
          <w:szCs w:val="32"/>
          <w:highlight w:val="none"/>
          <w:shd w:val="clear" w:color="auto" w:fill="FFFFFF"/>
          <w:lang w:val="zh-CN" w:eastAsia="zh-CN"/>
        </w:rPr>
        <w:t>万元，</w:t>
      </w:r>
      <w:r>
        <w:rPr>
          <w:rFonts w:ascii="Times New Roman" w:hAnsi="Times New Roman" w:eastAsia="仿宋_GB2312" w:cs="Times New Roman"/>
          <w:color w:val="auto"/>
          <w:kern w:val="0"/>
          <w:sz w:val="32"/>
          <w:szCs w:val="32"/>
          <w:highlight w:val="none"/>
          <w:shd w:val="clear" w:color="auto" w:fill="FFFFFF"/>
          <w:lang w:val="zh-CN"/>
        </w:rPr>
        <w:t>1</w:t>
      </w:r>
      <w:r>
        <w:rPr>
          <w:rFonts w:hint="eastAsia" w:eastAsia="仿宋_GB2312" w:cs="Times New Roman"/>
          <w:color w:val="auto"/>
          <w:kern w:val="0"/>
          <w:sz w:val="32"/>
          <w:szCs w:val="32"/>
          <w:highlight w:val="none"/>
          <w:shd w:val="clear" w:color="auto" w:fill="FFFFFF"/>
          <w:lang w:val="zh-CN" w:eastAsia="zh-CN"/>
        </w:rPr>
        <w:t>—</w:t>
      </w:r>
      <w:r>
        <w:rPr>
          <w:rFonts w:ascii="Times New Roman" w:hAnsi="Times New Roman" w:eastAsia="仿宋_GB2312" w:cs="Times New Roman"/>
          <w:color w:val="auto"/>
          <w:kern w:val="0"/>
          <w:sz w:val="32"/>
          <w:szCs w:val="32"/>
          <w:highlight w:val="none"/>
          <w:shd w:val="clear" w:color="auto" w:fill="FFFFFF"/>
          <w:lang w:val="zh-CN"/>
        </w:rPr>
        <w:t>1</w:t>
      </w:r>
      <w:r>
        <w:rPr>
          <w:rFonts w:ascii="Times New Roman" w:hAnsi="Times New Roman" w:eastAsia="仿宋_GB2312" w:cs="Times New Roman"/>
          <w:color w:val="auto"/>
          <w:kern w:val="0"/>
          <w:sz w:val="32"/>
          <w:szCs w:val="32"/>
          <w:highlight w:val="none"/>
          <w:shd w:val="clear" w:color="auto" w:fill="FFFFFF"/>
          <w:lang w:val="en-US" w:eastAsia="zh-CN"/>
        </w:rPr>
        <w:t>2</w:t>
      </w:r>
      <w:r>
        <w:rPr>
          <w:rFonts w:ascii="Times New Roman" w:hAnsi="Times New Roman" w:eastAsia="仿宋_GB2312" w:cs="Times New Roman"/>
          <w:color w:val="auto"/>
          <w:kern w:val="0"/>
          <w:sz w:val="32"/>
          <w:szCs w:val="32"/>
          <w:highlight w:val="none"/>
          <w:shd w:val="clear" w:color="auto" w:fill="FFFFFF"/>
          <w:lang w:val="zh-CN"/>
        </w:rPr>
        <w:t>月预算执行总体进度为</w:t>
      </w:r>
      <w:r>
        <w:rPr>
          <w:rFonts w:ascii="Times New Roman" w:hAnsi="Times New Roman" w:eastAsia="仿宋_GB2312" w:cs="Times New Roman"/>
          <w:color w:val="auto"/>
          <w:kern w:val="0"/>
          <w:sz w:val="32"/>
          <w:szCs w:val="32"/>
          <w:highlight w:val="none"/>
          <w:shd w:val="clear" w:color="auto" w:fill="FFFFFF"/>
          <w:lang w:val="en-US" w:eastAsia="zh-CN"/>
        </w:rPr>
        <w:t>1</w:t>
      </w:r>
      <w:r>
        <w:rPr>
          <w:rFonts w:ascii="Times New Roman" w:hAnsi="Times New Roman" w:eastAsia="仿宋_GB2312" w:cs="Times New Roman"/>
          <w:color w:val="000000"/>
          <w:kern w:val="0"/>
          <w:sz w:val="32"/>
          <w:szCs w:val="32"/>
          <w:highlight w:val="none"/>
          <w:shd w:val="clear" w:color="auto" w:fill="FFFFFF"/>
          <w:lang w:val="en-US" w:eastAsia="zh-CN"/>
        </w:rPr>
        <w:t>00</w:t>
      </w:r>
      <w:r>
        <w:rPr>
          <w:rFonts w:ascii="Times New Roman" w:hAnsi="Times New Roman" w:eastAsia="仿宋_GB2312" w:cs="Times New Roman"/>
          <w:color w:val="000000"/>
          <w:kern w:val="0"/>
          <w:sz w:val="32"/>
          <w:szCs w:val="32"/>
          <w:highlight w:val="none"/>
          <w:shd w:val="clear" w:color="auto" w:fill="FFFFFF"/>
          <w:lang w:val="zh-CN"/>
        </w:rPr>
        <w:t>%，其中：</w:t>
      </w:r>
      <w:r>
        <w:rPr>
          <w:rFonts w:ascii="Times New Roman" w:hAnsi="Times New Roman" w:eastAsia="仿宋_GB2312" w:cs="Times New Roman"/>
          <w:color w:val="000000"/>
          <w:kern w:val="0"/>
          <w:sz w:val="32"/>
          <w:szCs w:val="32"/>
          <w:highlight w:val="none"/>
          <w:shd w:val="clear" w:color="auto" w:fill="FFFFFF"/>
          <w:lang w:val="zh-CN" w:eastAsia="zh-CN"/>
        </w:rPr>
        <w:t>预算结余率大于</w:t>
      </w:r>
      <w:r>
        <w:rPr>
          <w:rFonts w:ascii="Times New Roman" w:hAnsi="Times New Roman" w:eastAsia="仿宋_GB2312" w:cs="Times New Roman"/>
          <w:color w:val="000000"/>
          <w:kern w:val="0"/>
          <w:sz w:val="32"/>
          <w:szCs w:val="32"/>
          <w:highlight w:val="none"/>
          <w:shd w:val="clear" w:color="auto" w:fill="FFFFFF"/>
          <w:lang w:val="en-US" w:eastAsia="zh-CN"/>
        </w:rPr>
        <w:t>10%</w:t>
      </w:r>
      <w:r>
        <w:rPr>
          <w:rFonts w:ascii="Times New Roman" w:hAnsi="Times New Roman" w:eastAsia="仿宋_GB2312" w:cs="Times New Roman"/>
          <w:color w:val="000000"/>
          <w:kern w:val="0"/>
          <w:sz w:val="32"/>
          <w:szCs w:val="32"/>
          <w:highlight w:val="none"/>
          <w:shd w:val="clear" w:color="auto" w:fill="FFFFFF"/>
          <w:lang w:val="zh-CN" w:eastAsia="zh-CN"/>
        </w:rPr>
        <w:t>的项目共计</w:t>
      </w:r>
      <w:r>
        <w:rPr>
          <w:rFonts w:ascii="Times New Roman" w:hAnsi="Times New Roman" w:eastAsia="仿宋_GB2312" w:cs="Times New Roman"/>
          <w:color w:val="000000"/>
          <w:kern w:val="0"/>
          <w:sz w:val="32"/>
          <w:szCs w:val="32"/>
          <w:highlight w:val="none"/>
          <w:shd w:val="clear" w:color="auto" w:fill="FFFFFF"/>
          <w:lang w:val="en-US" w:eastAsia="zh-CN"/>
        </w:rPr>
        <w:t>0</w:t>
      </w:r>
      <w:r>
        <w:rPr>
          <w:rFonts w:ascii="Times New Roman" w:hAnsi="Times New Roman" w:eastAsia="仿宋_GB2312" w:cs="Times New Roman"/>
          <w:color w:val="000000"/>
          <w:kern w:val="0"/>
          <w:sz w:val="32"/>
          <w:szCs w:val="32"/>
          <w:highlight w:val="none"/>
          <w:shd w:val="clear" w:color="auto" w:fill="FFFFFF"/>
          <w:lang w:val="zh-CN" w:eastAsia="zh-CN"/>
        </w:rPr>
        <w:t>个。</w:t>
      </w:r>
    </w:p>
    <w:p w14:paraId="18FF9381">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ascii="Times New Roman" w:hAnsi="Times New Roman" w:eastAsia="仿宋_GB2312" w:cs="Times New Roman"/>
          <w:color w:val="000000"/>
          <w:kern w:val="0"/>
          <w:sz w:val="32"/>
          <w:szCs w:val="32"/>
          <w:highlight w:val="none"/>
          <w:shd w:val="clear" w:color="auto" w:fill="FFFFFF"/>
          <w:lang w:val="zh-CN" w:eastAsia="zh-CN"/>
        </w:rPr>
      </w:pPr>
      <w:r>
        <w:rPr>
          <w:rFonts w:ascii="Times New Roman" w:hAnsi="Times New Roman" w:eastAsia="仿宋_GB2312" w:cs="Times New Roman"/>
          <w:color w:val="000000"/>
          <w:kern w:val="0"/>
          <w:sz w:val="32"/>
          <w:szCs w:val="32"/>
          <w:highlight w:val="none"/>
          <w:shd w:val="clear" w:color="auto" w:fill="FFFFFF"/>
          <w:lang w:val="en-US" w:eastAsia="zh-CN"/>
        </w:rPr>
        <w:t>阶段（</w:t>
      </w:r>
      <w:r>
        <w:rPr>
          <w:rFonts w:hint="eastAsia" w:eastAsia="仿宋_GB2312" w:cs="Times New Roman"/>
          <w:color w:val="000000"/>
          <w:kern w:val="0"/>
          <w:sz w:val="32"/>
          <w:szCs w:val="32"/>
          <w:highlight w:val="none"/>
          <w:shd w:val="clear" w:color="auto" w:fill="FFFFFF"/>
          <w:lang w:val="en-US" w:eastAsia="zh-CN"/>
        </w:rPr>
        <w:t>含</w:t>
      </w:r>
      <w:r>
        <w:rPr>
          <w:rFonts w:ascii="Times New Roman" w:hAnsi="Times New Roman" w:eastAsia="仿宋_GB2312" w:cs="Times New Roman"/>
          <w:color w:val="000000"/>
          <w:kern w:val="0"/>
          <w:sz w:val="32"/>
          <w:szCs w:val="32"/>
          <w:highlight w:val="none"/>
          <w:shd w:val="clear" w:color="auto" w:fill="FFFFFF"/>
          <w:lang w:val="en-US" w:eastAsia="zh-CN"/>
        </w:rPr>
        <w:t>一次性）项目绩效分析。</w:t>
      </w:r>
      <w:r>
        <w:rPr>
          <w:rFonts w:ascii="Times New Roman" w:hAnsi="Times New Roman" w:eastAsia="仿宋_GB2312" w:cs="Times New Roman"/>
          <w:color w:val="000000"/>
          <w:kern w:val="0"/>
          <w:sz w:val="32"/>
          <w:szCs w:val="32"/>
          <w:highlight w:val="none"/>
          <w:shd w:val="clear" w:color="auto" w:fill="FFFFFF"/>
          <w:lang w:val="zh-CN" w:eastAsia="zh-CN"/>
        </w:rPr>
        <w:t>该类项目总数</w:t>
      </w:r>
      <w:r>
        <w:rPr>
          <w:rFonts w:ascii="Times New Roman" w:hAnsi="Times New Roman" w:eastAsia="仿宋_GB2312" w:cs="Times New Roman"/>
          <w:color w:val="000000"/>
          <w:kern w:val="0"/>
          <w:sz w:val="32"/>
          <w:szCs w:val="32"/>
          <w:highlight w:val="none"/>
          <w:shd w:val="clear" w:color="auto" w:fill="FFFFFF"/>
          <w:lang w:val="en-US" w:eastAsia="zh-CN"/>
        </w:rPr>
        <w:t>6</w:t>
      </w:r>
      <w:r>
        <w:rPr>
          <w:rFonts w:ascii="Times New Roman" w:hAnsi="Times New Roman" w:eastAsia="仿宋_GB2312" w:cs="Times New Roman"/>
          <w:color w:val="000000"/>
          <w:kern w:val="0"/>
          <w:sz w:val="32"/>
          <w:szCs w:val="32"/>
          <w:highlight w:val="none"/>
          <w:shd w:val="clear" w:color="auto" w:fill="FFFFFF"/>
          <w:lang w:val="zh-CN" w:eastAsia="zh-CN"/>
        </w:rPr>
        <w:t>个，涉及预算总金额</w:t>
      </w:r>
      <w:r>
        <w:rPr>
          <w:rFonts w:hint="eastAsia" w:eastAsia="仿宋_GB2312" w:cs="Times New Roman"/>
          <w:color w:val="000000"/>
          <w:kern w:val="0"/>
          <w:sz w:val="32"/>
          <w:szCs w:val="32"/>
          <w:highlight w:val="none"/>
          <w:shd w:val="clear" w:color="auto" w:fill="FFFFFF"/>
          <w:lang w:val="en-US" w:eastAsia="zh-CN"/>
        </w:rPr>
        <w:t>182.49</w:t>
      </w:r>
      <w:r>
        <w:rPr>
          <w:rFonts w:ascii="Times New Roman" w:hAnsi="Times New Roman" w:eastAsia="仿宋_GB2312" w:cs="Times New Roman"/>
          <w:color w:val="000000"/>
          <w:kern w:val="0"/>
          <w:sz w:val="32"/>
          <w:szCs w:val="32"/>
          <w:highlight w:val="none"/>
          <w:shd w:val="clear" w:color="auto" w:fill="FFFFFF"/>
          <w:lang w:val="zh-CN" w:eastAsia="zh-CN"/>
        </w:rPr>
        <w:t>万元，</w:t>
      </w:r>
      <w:r>
        <w:rPr>
          <w:rFonts w:ascii="Times New Roman" w:hAnsi="Times New Roman" w:eastAsia="仿宋_GB2312" w:cs="Times New Roman"/>
          <w:color w:val="000000"/>
          <w:kern w:val="0"/>
          <w:sz w:val="32"/>
          <w:szCs w:val="32"/>
          <w:highlight w:val="none"/>
          <w:shd w:val="clear" w:color="auto" w:fill="FFFFFF"/>
          <w:lang w:val="zh-CN"/>
        </w:rPr>
        <w:t>1</w:t>
      </w:r>
      <w:r>
        <w:rPr>
          <w:rFonts w:hint="eastAsia" w:eastAsia="仿宋_GB2312" w:cs="Times New Roman"/>
          <w:color w:val="000000"/>
          <w:kern w:val="0"/>
          <w:sz w:val="32"/>
          <w:szCs w:val="32"/>
          <w:highlight w:val="none"/>
          <w:shd w:val="clear" w:color="auto" w:fill="FFFFFF"/>
          <w:lang w:val="zh-CN" w:eastAsia="zh-CN"/>
        </w:rPr>
        <w:t>—</w:t>
      </w:r>
      <w:r>
        <w:rPr>
          <w:rFonts w:ascii="Times New Roman" w:hAnsi="Times New Roman" w:eastAsia="仿宋_GB2312" w:cs="Times New Roman"/>
          <w:color w:val="000000"/>
          <w:kern w:val="0"/>
          <w:sz w:val="32"/>
          <w:szCs w:val="32"/>
          <w:highlight w:val="none"/>
          <w:shd w:val="clear" w:color="auto" w:fill="FFFFFF"/>
          <w:lang w:val="zh-CN"/>
        </w:rPr>
        <w:t>1</w:t>
      </w:r>
      <w:r>
        <w:rPr>
          <w:rFonts w:ascii="Times New Roman" w:hAnsi="Times New Roman" w:eastAsia="仿宋_GB2312" w:cs="Times New Roman"/>
          <w:color w:val="000000"/>
          <w:kern w:val="0"/>
          <w:sz w:val="32"/>
          <w:szCs w:val="32"/>
          <w:highlight w:val="none"/>
          <w:shd w:val="clear" w:color="auto" w:fill="FFFFFF"/>
          <w:lang w:val="en-US" w:eastAsia="zh-CN"/>
        </w:rPr>
        <w:t>2</w:t>
      </w:r>
      <w:r>
        <w:rPr>
          <w:rFonts w:ascii="Times New Roman" w:hAnsi="Times New Roman" w:eastAsia="仿宋_GB2312" w:cs="Times New Roman"/>
          <w:color w:val="000000"/>
          <w:kern w:val="0"/>
          <w:sz w:val="32"/>
          <w:szCs w:val="32"/>
          <w:highlight w:val="none"/>
          <w:shd w:val="clear" w:color="auto" w:fill="FFFFFF"/>
          <w:lang w:val="zh-CN"/>
        </w:rPr>
        <w:t>月预算执行总体进度为</w:t>
      </w:r>
      <w:r>
        <w:rPr>
          <w:rFonts w:hint="eastAsia" w:eastAsia="仿宋_GB2312" w:cs="Times New Roman"/>
          <w:color w:val="000000"/>
          <w:kern w:val="0"/>
          <w:sz w:val="32"/>
          <w:szCs w:val="32"/>
          <w:highlight w:val="none"/>
          <w:shd w:val="clear" w:color="auto" w:fill="FFFFFF"/>
          <w:lang w:val="en-US" w:eastAsia="zh-CN"/>
        </w:rPr>
        <w:t>100</w:t>
      </w:r>
      <w:r>
        <w:rPr>
          <w:rFonts w:ascii="Times New Roman" w:hAnsi="Times New Roman" w:eastAsia="仿宋_GB2312" w:cs="Times New Roman"/>
          <w:color w:val="000000"/>
          <w:kern w:val="0"/>
          <w:sz w:val="32"/>
          <w:szCs w:val="32"/>
          <w:highlight w:val="none"/>
          <w:shd w:val="clear" w:color="auto" w:fill="FFFFFF"/>
          <w:lang w:val="zh-CN"/>
        </w:rPr>
        <w:t>%，其中：</w:t>
      </w:r>
      <w:r>
        <w:rPr>
          <w:rFonts w:ascii="Times New Roman" w:hAnsi="Times New Roman" w:eastAsia="仿宋_GB2312" w:cs="Times New Roman"/>
          <w:color w:val="000000"/>
          <w:kern w:val="0"/>
          <w:sz w:val="32"/>
          <w:szCs w:val="32"/>
          <w:highlight w:val="none"/>
          <w:shd w:val="clear" w:color="auto" w:fill="FFFFFF"/>
          <w:lang w:val="zh-CN" w:eastAsia="zh-CN"/>
        </w:rPr>
        <w:t>预算结余率大于</w:t>
      </w:r>
      <w:r>
        <w:rPr>
          <w:rFonts w:ascii="Times New Roman" w:hAnsi="Times New Roman" w:eastAsia="仿宋_GB2312" w:cs="Times New Roman"/>
          <w:color w:val="000000"/>
          <w:kern w:val="0"/>
          <w:sz w:val="32"/>
          <w:szCs w:val="32"/>
          <w:highlight w:val="none"/>
          <w:shd w:val="clear" w:color="auto" w:fill="FFFFFF"/>
          <w:lang w:val="en-US" w:eastAsia="zh-CN"/>
        </w:rPr>
        <w:t>10%</w:t>
      </w:r>
      <w:r>
        <w:rPr>
          <w:rFonts w:ascii="Times New Roman" w:hAnsi="Times New Roman" w:eastAsia="仿宋_GB2312" w:cs="Times New Roman"/>
          <w:color w:val="000000"/>
          <w:kern w:val="0"/>
          <w:sz w:val="32"/>
          <w:szCs w:val="32"/>
          <w:highlight w:val="none"/>
          <w:shd w:val="clear" w:color="auto" w:fill="FFFFFF"/>
          <w:lang w:val="zh-CN" w:eastAsia="zh-CN"/>
        </w:rPr>
        <w:t>的项目共计</w:t>
      </w:r>
      <w:r>
        <w:rPr>
          <w:rFonts w:ascii="Times New Roman" w:hAnsi="Times New Roman" w:eastAsia="仿宋_GB2312" w:cs="Times New Roman"/>
          <w:color w:val="000000"/>
          <w:kern w:val="0"/>
          <w:sz w:val="32"/>
          <w:szCs w:val="32"/>
          <w:highlight w:val="none"/>
          <w:shd w:val="clear" w:color="auto" w:fill="FFFFFF"/>
          <w:lang w:val="en-US" w:eastAsia="zh-CN"/>
        </w:rPr>
        <w:t>0</w:t>
      </w:r>
      <w:r>
        <w:rPr>
          <w:rFonts w:ascii="Times New Roman" w:hAnsi="Times New Roman" w:eastAsia="仿宋_GB2312" w:cs="Times New Roman"/>
          <w:color w:val="000000"/>
          <w:kern w:val="0"/>
          <w:sz w:val="32"/>
          <w:szCs w:val="32"/>
          <w:highlight w:val="none"/>
          <w:shd w:val="clear" w:color="auto" w:fill="FFFFFF"/>
          <w:lang w:val="zh-CN" w:eastAsia="zh-CN"/>
        </w:rPr>
        <w:t>个。</w:t>
      </w:r>
    </w:p>
    <w:p w14:paraId="0AE0C62C">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ascii="Times New Roman" w:hAnsi="Times New Roman" w:eastAsia="楷体_GB2312" w:cs="Times New Roman"/>
          <w:color w:val="000000"/>
          <w:kern w:val="0"/>
          <w:sz w:val="32"/>
          <w:szCs w:val="32"/>
          <w:highlight w:val="none"/>
          <w:shd w:val="clear" w:color="auto" w:fill="FFFFFF"/>
          <w:lang w:val="zh-CN"/>
        </w:rPr>
      </w:pPr>
      <w:r>
        <w:rPr>
          <w:rFonts w:ascii="Times New Roman" w:hAnsi="Times New Roman" w:eastAsia="楷体_GB2312" w:cs="Times New Roman"/>
          <w:color w:val="000000"/>
          <w:kern w:val="0"/>
          <w:sz w:val="32"/>
          <w:szCs w:val="32"/>
          <w:highlight w:val="none"/>
          <w:shd w:val="clear" w:color="auto" w:fill="FFFFFF"/>
          <w:lang w:val="en-US" w:eastAsia="zh-CN"/>
        </w:rPr>
        <w:t>1.</w:t>
      </w:r>
      <w:r>
        <w:rPr>
          <w:rFonts w:ascii="Times New Roman" w:hAnsi="Times New Roman" w:eastAsia="楷体_GB2312" w:cs="Times New Roman"/>
          <w:color w:val="000000"/>
          <w:kern w:val="0"/>
          <w:sz w:val="32"/>
          <w:szCs w:val="32"/>
          <w:highlight w:val="none"/>
          <w:shd w:val="clear" w:color="auto" w:fill="FFFFFF"/>
          <w:lang w:val="zh-CN"/>
        </w:rPr>
        <w:t>项目决策。</w:t>
      </w:r>
    </w:p>
    <w:p w14:paraId="0A8C0D21">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ascii="Times New Roman" w:hAnsi="Times New Roman" w:eastAsia="楷体_GB2312" w:cs="Times New Roman"/>
          <w:color w:val="000000"/>
          <w:kern w:val="0"/>
          <w:sz w:val="32"/>
          <w:szCs w:val="32"/>
          <w:highlight w:val="none"/>
          <w:shd w:val="clear" w:color="auto" w:fill="FFFFFF"/>
          <w:lang w:val="zh-CN"/>
        </w:rPr>
      </w:pPr>
      <w:r>
        <w:rPr>
          <w:rFonts w:hint="eastAsia" w:ascii="Times New Roman" w:hAnsi="Times New Roman" w:eastAsia="仿宋_GB2312" w:cs="Times New Roman"/>
          <w:b w:val="0"/>
          <w:color w:val="000000"/>
          <w:kern w:val="0"/>
          <w:sz w:val="32"/>
          <w:szCs w:val="32"/>
          <w:highlight w:val="none"/>
          <w:shd w:val="clear" w:color="auto" w:fill="FFFFFF"/>
          <w:lang w:val="en-US" w:eastAsia="zh-CN" w:bidi="ar-SA"/>
        </w:rPr>
        <w:t>在编制预算前，单位领导层召开会议进行讨论商议，基于单位职能职责、实际需求对项目背景进行分析，包括项目的目标和范围，项目的重要性和紧迫性，可能面临的风险和挑战，以及预期的成果，通过一系列分析，清楚</w:t>
      </w:r>
      <w:r>
        <w:rPr>
          <w:rFonts w:hint="eastAsia" w:eastAsia="仿宋_GB2312" w:cs="Times New Roman"/>
          <w:b w:val="0"/>
          <w:color w:val="000000"/>
          <w:kern w:val="0"/>
          <w:sz w:val="32"/>
          <w:szCs w:val="32"/>
          <w:highlight w:val="none"/>
          <w:shd w:val="clear" w:color="auto" w:fill="FFFFFF"/>
          <w:lang w:val="en-US" w:eastAsia="zh-CN" w:bidi="ar-SA"/>
        </w:rPr>
        <w:t>认识到</w:t>
      </w:r>
      <w:r>
        <w:rPr>
          <w:rFonts w:hint="eastAsia" w:ascii="Times New Roman" w:hAnsi="Times New Roman" w:eastAsia="仿宋_GB2312" w:cs="Times New Roman"/>
          <w:b w:val="0"/>
          <w:color w:val="000000"/>
          <w:kern w:val="0"/>
          <w:sz w:val="32"/>
          <w:szCs w:val="32"/>
          <w:highlight w:val="none"/>
          <w:shd w:val="clear" w:color="auto" w:fill="FFFFFF"/>
          <w:lang w:val="en-US" w:eastAsia="zh-CN" w:bidi="ar-SA"/>
        </w:rPr>
        <w:t>项目的可行性，按规定履行评估论证、申报程序。项目绩效目标与计划期内的任务量、预算安排的资金量相匹配，绩效目标设置科学合理、量化、细化到具体的三级指标。</w:t>
      </w:r>
    </w:p>
    <w:p w14:paraId="744CB2F1">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ascii="Times New Roman" w:hAnsi="Times New Roman" w:eastAsia="楷体_GB2312" w:cs="Times New Roman"/>
          <w:color w:val="000000"/>
          <w:kern w:val="0"/>
          <w:sz w:val="32"/>
          <w:szCs w:val="32"/>
          <w:highlight w:val="none"/>
          <w:shd w:val="clear" w:color="auto" w:fill="FFFFFF"/>
          <w:lang w:val="zh-CN"/>
        </w:rPr>
      </w:pPr>
      <w:r>
        <w:rPr>
          <w:rFonts w:ascii="Times New Roman" w:hAnsi="Times New Roman" w:eastAsia="楷体_GB2312" w:cs="Times New Roman"/>
          <w:color w:val="000000"/>
          <w:kern w:val="0"/>
          <w:sz w:val="32"/>
          <w:szCs w:val="32"/>
          <w:highlight w:val="none"/>
          <w:shd w:val="clear" w:color="auto" w:fill="FFFFFF"/>
          <w:lang w:val="en-US" w:eastAsia="zh-CN"/>
        </w:rPr>
        <w:t>2.项目执行</w:t>
      </w:r>
      <w:r>
        <w:rPr>
          <w:rFonts w:ascii="Times New Roman" w:hAnsi="Times New Roman" w:eastAsia="楷体_GB2312" w:cs="Times New Roman"/>
          <w:color w:val="000000"/>
          <w:kern w:val="0"/>
          <w:sz w:val="32"/>
          <w:szCs w:val="32"/>
          <w:highlight w:val="none"/>
          <w:shd w:val="clear" w:color="auto" w:fill="FFFFFF"/>
          <w:lang w:val="zh-CN"/>
        </w:rPr>
        <w:t>。</w:t>
      </w:r>
    </w:p>
    <w:p w14:paraId="7AB2D306">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ascii="Times New Roman" w:hAnsi="Times New Roman" w:eastAsia="楷体_GB2312" w:cs="Times New Roman"/>
          <w:color w:val="000000"/>
          <w:kern w:val="0"/>
          <w:sz w:val="32"/>
          <w:szCs w:val="32"/>
          <w:highlight w:val="none"/>
          <w:shd w:val="clear" w:color="auto" w:fill="FFFFFF"/>
          <w:lang w:val="zh-CN"/>
        </w:rPr>
      </w:pPr>
      <w:r>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t>各项目资金的列支内容与绩效目标设置均一致，预算项目均按照预算编制内容目标进行使用，未进行项目调整。常年项目总数</w:t>
      </w:r>
      <w:r>
        <w:rPr>
          <w:rFonts w:ascii="Times New Roman" w:hAnsi="Times New Roman" w:eastAsia="仿宋_GB2312" w:cs="Times New Roman"/>
          <w:b w:val="0"/>
          <w:color w:val="000000"/>
          <w:kern w:val="0"/>
          <w:sz w:val="32"/>
          <w:szCs w:val="32"/>
          <w:highlight w:val="none"/>
          <w:shd w:val="clear" w:color="auto" w:fill="FFFFFF"/>
          <w:lang w:val="en-US" w:eastAsia="zh-CN" w:bidi="ar-SA"/>
        </w:rPr>
        <w:t>3</w:t>
      </w:r>
      <w:r>
        <w:rPr>
          <w:rFonts w:hint="eastAsia" w:ascii="Times New Roman" w:hAnsi="Times New Roman" w:eastAsia="仿宋_GB2312" w:cs="Times New Roman"/>
          <w:b w:val="0"/>
          <w:color w:val="000000"/>
          <w:kern w:val="0"/>
          <w:sz w:val="32"/>
          <w:szCs w:val="32"/>
          <w:highlight w:val="none"/>
          <w:shd w:val="clear" w:color="auto" w:fill="FFFFFF"/>
          <w:lang w:val="en-US" w:eastAsia="zh-CN" w:bidi="ar-SA"/>
        </w:rPr>
        <w:t>个</w:t>
      </w:r>
      <w:r>
        <w:rPr>
          <w:rFonts w:ascii="Times New Roman" w:hAnsi="Times New Roman" w:eastAsia="仿宋_GB2312" w:cs="Times New Roman"/>
          <w:b w:val="0"/>
          <w:color w:val="000000"/>
          <w:kern w:val="0"/>
          <w:sz w:val="32"/>
          <w:szCs w:val="32"/>
          <w:highlight w:val="none"/>
          <w:shd w:val="clear" w:color="auto" w:fill="FFFFFF"/>
          <w:lang w:val="en-US" w:eastAsia="zh-CN" w:bidi="ar-SA"/>
        </w:rPr>
        <w:t>。</w:t>
      </w:r>
    </w:p>
    <w:p w14:paraId="41BDCD82">
      <w:pPr>
        <w:pageBreakBefore w:val="0"/>
        <w:widowControl w:val="0"/>
        <w:kinsoku/>
        <w:wordWrap/>
        <w:overflowPunct/>
        <w:topLinePunct w:val="0"/>
        <w:autoSpaceDE/>
        <w:autoSpaceDN/>
        <w:bidi w:val="0"/>
        <w:adjustRightInd/>
        <w:snapToGrid/>
        <w:spacing w:line="578" w:lineRule="exact"/>
        <w:ind w:firstLine="640" w:firstLineChars="200"/>
        <w:textAlignment w:val="auto"/>
        <w:rPr>
          <w:rFonts w:ascii="Times New Roman" w:hAnsi="Times New Roman" w:eastAsia="楷体_GB2312" w:cs="Times New Roman"/>
          <w:color w:val="000000"/>
          <w:kern w:val="0"/>
          <w:sz w:val="32"/>
          <w:szCs w:val="32"/>
          <w:highlight w:val="none"/>
          <w:shd w:val="clear" w:color="auto" w:fill="FFFFFF"/>
          <w:lang w:val="zh-CN"/>
        </w:rPr>
      </w:pPr>
      <w:r>
        <w:rPr>
          <w:rFonts w:ascii="Times New Roman" w:hAnsi="Times New Roman" w:eastAsia="楷体_GB2312" w:cs="Times New Roman"/>
          <w:color w:val="000000"/>
          <w:kern w:val="0"/>
          <w:sz w:val="32"/>
          <w:szCs w:val="32"/>
          <w:highlight w:val="none"/>
          <w:shd w:val="clear" w:color="auto" w:fill="FFFFFF"/>
          <w:lang w:val="en-US" w:eastAsia="zh-CN"/>
        </w:rPr>
        <w:t>3.</w:t>
      </w:r>
      <w:r>
        <w:rPr>
          <w:rFonts w:ascii="Times New Roman" w:hAnsi="Times New Roman" w:eastAsia="楷体_GB2312" w:cs="Times New Roman"/>
          <w:color w:val="000000"/>
          <w:kern w:val="0"/>
          <w:sz w:val="32"/>
          <w:szCs w:val="32"/>
          <w:highlight w:val="none"/>
          <w:shd w:val="clear" w:color="auto" w:fill="FFFFFF"/>
          <w:lang w:val="zh-CN"/>
        </w:rPr>
        <w:t>目标实现。</w:t>
      </w:r>
    </w:p>
    <w:p w14:paraId="63D71E75">
      <w:pPr>
        <w:pageBreakBefore w:val="0"/>
        <w:widowControl w:val="0"/>
        <w:kinsoku/>
        <w:wordWrap/>
        <w:overflowPunct/>
        <w:topLinePunct w:val="0"/>
        <w:autoSpaceDE/>
        <w:autoSpaceDN/>
        <w:bidi w:val="0"/>
        <w:adjustRightInd/>
        <w:snapToGrid/>
        <w:spacing w:line="578" w:lineRule="exact"/>
        <w:ind w:firstLine="640" w:firstLineChars="200"/>
        <w:textAlignment w:val="auto"/>
        <w:rPr>
          <w:rFonts w:ascii="Times New Roman" w:hAnsi="Times New Roman" w:eastAsia="仿宋_GB2312" w:cs="Times New Roman"/>
          <w:sz w:val="32"/>
          <w:szCs w:val="32"/>
          <w:u w:val="none"/>
          <w:lang w:val="en-US" w:eastAsia="zh-CN"/>
        </w:rPr>
      </w:pPr>
      <w:r>
        <w:rPr>
          <w:rFonts w:hint="eastAsia" w:ascii="Times New Roman" w:hAnsi="Times New Roman" w:eastAsia="仿宋_GB2312" w:cs="Times New Roman"/>
          <w:b w:val="0"/>
          <w:color w:val="000000"/>
          <w:kern w:val="0"/>
          <w:sz w:val="32"/>
          <w:szCs w:val="32"/>
          <w:highlight w:val="none"/>
          <w:shd w:val="clear" w:color="auto" w:fill="FFFFFF"/>
          <w:lang w:val="en-US" w:eastAsia="zh-CN" w:bidi="ar-SA"/>
        </w:rPr>
        <w:t>本年度绩效目标已全部实现</w:t>
      </w:r>
      <w:r>
        <w:rPr>
          <w:rFonts w:hint="eastAsia" w:eastAsia="仿宋_GB2312" w:cs="Times New Roman"/>
          <w:b w:val="0"/>
          <w:color w:val="000000"/>
          <w:kern w:val="0"/>
          <w:sz w:val="32"/>
          <w:szCs w:val="32"/>
          <w:highlight w:val="none"/>
          <w:shd w:val="clear" w:color="auto" w:fill="FFFFFF"/>
          <w:lang w:val="en-US" w:eastAsia="zh-CN" w:bidi="ar-SA"/>
        </w:rPr>
        <w:t>；年</w:t>
      </w:r>
      <w:r>
        <w:rPr>
          <w:rFonts w:hint="eastAsia" w:eastAsia="仿宋_GB2312" w:cs="Times New Roman"/>
          <w:b w:val="0"/>
          <w:kern w:val="0"/>
          <w:sz w:val="32"/>
          <w:szCs w:val="32"/>
          <w:highlight w:val="none"/>
          <w:shd w:val="clear" w:color="auto" w:fill="FFFFFF"/>
          <w:lang w:val="en-US" w:eastAsia="zh-CN" w:bidi="ar-SA"/>
        </w:rPr>
        <w:t>底前完成</w:t>
      </w:r>
      <w:r>
        <w:rPr>
          <w:rFonts w:eastAsia="仿宋_GB2312" w:cs="Times New Roman"/>
          <w:b w:val="0"/>
          <w:kern w:val="0"/>
          <w:sz w:val="32"/>
          <w:szCs w:val="32"/>
          <w:highlight w:val="none"/>
          <w:shd w:val="clear" w:color="auto" w:fill="FFFFFF"/>
          <w:lang w:val="en-US" w:eastAsia="zh-CN" w:bidi="ar-SA"/>
        </w:rPr>
        <w:t>多功能午休桌椅</w:t>
      </w:r>
      <w:r>
        <w:rPr>
          <w:rFonts w:hint="eastAsia" w:eastAsia="仿宋_GB2312" w:cs="Times New Roman"/>
          <w:b w:val="0"/>
          <w:kern w:val="0"/>
          <w:sz w:val="32"/>
          <w:szCs w:val="32"/>
          <w:highlight w:val="none"/>
          <w:shd w:val="clear" w:color="auto" w:fill="FFFFFF"/>
          <w:lang w:val="en-US" w:eastAsia="zh-CN" w:bidi="ar-SA"/>
        </w:rPr>
        <w:t>项目的采购工作，并及时完成资金支付。数量</w:t>
      </w:r>
      <w:r>
        <w:rPr>
          <w:rFonts w:hint="eastAsia" w:eastAsia="仿宋_GB2312" w:cs="Times New Roman"/>
          <w:b w:val="0"/>
          <w:color w:val="000000"/>
          <w:kern w:val="0"/>
          <w:sz w:val="32"/>
          <w:szCs w:val="32"/>
          <w:highlight w:val="none"/>
          <w:shd w:val="clear" w:color="auto" w:fill="FFFFFF"/>
          <w:lang w:val="en-US" w:eastAsia="zh-CN" w:bidi="ar-SA"/>
        </w:rPr>
        <w:t>指标实现程度与预期目标基本吻合。</w:t>
      </w:r>
      <w:r>
        <w:rPr>
          <w:rFonts w:eastAsia="仿宋_GB2312" w:cs="Times New Roman"/>
          <w:b w:val="0"/>
          <w:color w:val="000000"/>
          <w:kern w:val="0"/>
          <w:sz w:val="32"/>
          <w:szCs w:val="32"/>
          <w:highlight w:val="none"/>
          <w:shd w:val="clear" w:color="auto" w:fill="FFFFFF"/>
          <w:lang w:val="en-US" w:eastAsia="zh-CN" w:bidi="ar-SA"/>
        </w:rPr>
        <w:t>年底前完成了中小学临聘人员劳务费全年的支付。</w:t>
      </w:r>
    </w:p>
    <w:p w14:paraId="459ECC1C">
      <w:pPr>
        <w:keepNext w:val="0"/>
        <w:keepLines w:val="0"/>
        <w:pageBreakBefore w:val="0"/>
        <w:widowControl w:val="0"/>
        <w:kinsoku/>
        <w:wordWrap/>
        <w:overflowPunct/>
        <w:topLinePunct w:val="0"/>
        <w:autoSpaceDE/>
        <w:autoSpaceDN/>
        <w:bidi w:val="0"/>
        <w:snapToGrid w:val="0"/>
        <w:spacing w:line="600" w:lineRule="exact"/>
        <w:ind w:firstLine="643" w:firstLineChars="200"/>
        <w:textAlignment w:val="auto"/>
        <w:rPr>
          <w:rFonts w:ascii="Times New Roman" w:hAnsi="Times New Roman" w:eastAsia="楷体_GB2312" w:cs="Times New Roman"/>
          <w:b/>
          <w:bCs/>
          <w:sz w:val="32"/>
          <w:szCs w:val="32"/>
          <w:lang w:val="zh-CN"/>
        </w:rPr>
      </w:pPr>
      <w:r>
        <w:rPr>
          <w:rFonts w:ascii="Times New Roman" w:hAnsi="Times New Roman" w:eastAsia="楷体_GB2312" w:cs="Times New Roman"/>
          <w:b/>
          <w:bCs/>
          <w:color w:val="000000"/>
          <w:kern w:val="0"/>
          <w:sz w:val="32"/>
          <w:szCs w:val="32"/>
          <w:highlight w:val="none"/>
          <w:shd w:val="clear" w:color="auto" w:fill="FFFFFF"/>
          <w:lang w:val="zh-CN"/>
        </w:rPr>
        <w:t>（三）</w:t>
      </w:r>
      <w:r>
        <w:rPr>
          <w:rFonts w:ascii="Times New Roman" w:hAnsi="Times New Roman" w:eastAsia="楷体_GB2312" w:cs="Times New Roman"/>
          <w:b/>
          <w:bCs/>
          <w:sz w:val="32"/>
          <w:szCs w:val="32"/>
          <w:lang w:val="zh-CN"/>
        </w:rPr>
        <w:t>绩效结果应用情况。</w:t>
      </w:r>
    </w:p>
    <w:p w14:paraId="796BF0A9">
      <w:pPr>
        <w:widowControl/>
        <w:adjustRightInd w:val="0"/>
        <w:snapToGrid w:val="0"/>
        <w:spacing w:line="580" w:lineRule="exact"/>
        <w:ind w:firstLine="640" w:firstLineChars="200"/>
        <w:contextualSpacing/>
        <w:jc w:val="left"/>
        <w:rPr>
          <w:rFonts w:hint="eastAsia" w:ascii="仿宋_GB2312" w:eastAsia="仿宋_GB2312" w:cs="宋体"/>
          <w:color w:val="000000"/>
          <w:kern w:val="0"/>
          <w:sz w:val="32"/>
          <w:szCs w:val="32"/>
          <w:shd w:val="clear" w:color="auto" w:fill="FFFFFF"/>
          <w:lang w:val="zh-CN"/>
        </w:rPr>
      </w:pPr>
      <w:r>
        <w:rPr>
          <w:rFonts w:hint="eastAsia" w:ascii="仿宋_GB2312" w:eastAsia="仿宋_GB2312" w:cs="宋体"/>
          <w:color w:val="000000"/>
          <w:kern w:val="0"/>
          <w:sz w:val="32"/>
          <w:szCs w:val="32"/>
          <w:shd w:val="clear" w:color="auto" w:fill="FFFFFF"/>
          <w:lang w:val="zh-CN"/>
        </w:rPr>
        <w:t>1.严格执行财务管理制度。严格执行财经纪律相关规定，严控"三公经费"、培训费、差旅费等支出。严格报账程序，严把票据审核关。认真做好会计核算，做到账账相符、账实相符。强化内控建设，防范防控岗位风险,确保各项工作有序运转。</w:t>
      </w:r>
    </w:p>
    <w:p w14:paraId="472F14E7">
      <w:pPr>
        <w:widowControl/>
        <w:adjustRightInd w:val="0"/>
        <w:snapToGrid w:val="0"/>
        <w:spacing w:line="580" w:lineRule="exact"/>
        <w:ind w:firstLine="640" w:firstLineChars="200"/>
        <w:contextualSpacing/>
        <w:jc w:val="left"/>
        <w:rPr>
          <w:rFonts w:hint="eastAsia" w:ascii="仿宋_GB2312" w:eastAsia="仿宋_GB2312" w:cs="宋体"/>
          <w:color w:val="000000"/>
          <w:kern w:val="0"/>
          <w:sz w:val="32"/>
          <w:szCs w:val="32"/>
          <w:shd w:val="clear" w:color="auto" w:fill="FFFFFF"/>
          <w:lang w:val="zh-CN"/>
        </w:rPr>
      </w:pPr>
      <w:r>
        <w:rPr>
          <w:rFonts w:hint="eastAsia" w:ascii="仿宋_GB2312" w:eastAsia="仿宋_GB2312" w:cs="宋体"/>
          <w:color w:val="000000"/>
          <w:kern w:val="0"/>
          <w:sz w:val="32"/>
          <w:szCs w:val="32"/>
          <w:shd w:val="clear" w:color="auto" w:fill="FFFFFF"/>
          <w:lang w:val="zh-CN"/>
        </w:rPr>
        <w:t>2.加强政府采购管理。严格按照《政府采购法》和《政府采购法实施条例》等相关管理规定，根据省采购目录和财政部门预算管理要求，编制政府采购计划。采购前,各股室与县财政等相关单位做好事前沟通,做好采购政策咨询，了解相关业务规范；采购中,合理选择采购方式，确保采购流程合理合规，做好采购项目信息的公开公示工作；采购后,抓好采购项目的监管工作，严把质量关力求实效。</w:t>
      </w:r>
    </w:p>
    <w:p w14:paraId="6961B8F9">
      <w:pPr>
        <w:widowControl/>
        <w:adjustRightInd w:val="0"/>
        <w:snapToGrid w:val="0"/>
        <w:spacing w:line="580" w:lineRule="exact"/>
        <w:ind w:firstLine="640" w:firstLineChars="200"/>
        <w:contextualSpacing/>
        <w:jc w:val="left"/>
        <w:rPr>
          <w:rFonts w:ascii="Times New Roman" w:hAnsi="Times New Roman" w:eastAsia="仿宋_GB2312" w:cs="Times New Roman"/>
          <w:b/>
          <w:bCs w:val="0"/>
          <w:sz w:val="32"/>
          <w:szCs w:val="32"/>
        </w:rPr>
      </w:pPr>
      <w:r>
        <w:rPr>
          <w:rFonts w:hint="eastAsia" w:ascii="仿宋_GB2312" w:eastAsia="仿宋_GB2312" w:cs="宋体"/>
          <w:color w:val="000000"/>
          <w:kern w:val="0"/>
          <w:sz w:val="32"/>
          <w:szCs w:val="32"/>
          <w:shd w:val="clear" w:color="auto" w:fill="FFFFFF"/>
          <w:lang w:val="zh-CN"/>
        </w:rPr>
        <w:t>3.加强政府信息公开。</w:t>
      </w:r>
      <w:r>
        <w:rPr>
          <w:rFonts w:hint="eastAsia" w:ascii="仿宋_GB2312" w:eastAsia="仿宋_GB2312" w:cs="宋体"/>
          <w:color w:val="000000"/>
          <w:kern w:val="0"/>
          <w:sz w:val="32"/>
          <w:szCs w:val="32"/>
          <w:highlight w:val="none"/>
          <w:shd w:val="clear" w:color="auto" w:fill="FFFFFF"/>
          <w:lang w:val="zh-CN" w:eastAsia="zh-CN" w:bidi="ar-SA"/>
        </w:rPr>
        <w:t>每年预算编制情况均按照财政要求及时填报预算公开相关报表及说明，上交主管部门阿坝州教育局，并在州教育局官网及时进行公开</w:t>
      </w:r>
      <w:r>
        <w:rPr>
          <w:rFonts w:hint="eastAsia" w:ascii="Times New Roman" w:hAnsi="Times New Roman" w:eastAsia="仿宋_GB2312" w:cs="Times New Roman"/>
          <w:b w:val="0"/>
          <w:color w:val="000000"/>
          <w:kern w:val="0"/>
          <w:sz w:val="32"/>
          <w:szCs w:val="32"/>
          <w:highlight w:val="none"/>
          <w:shd w:val="clear" w:color="auto" w:fill="FFFFFF"/>
          <w:lang w:val="en-US" w:eastAsia="zh-CN" w:bidi="ar-SA"/>
        </w:rPr>
        <w:t>。</w:t>
      </w:r>
    </w:p>
    <w:p w14:paraId="15A96E13">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ascii="Times New Roman" w:hAnsi="Times New Roman" w:eastAsia="黑体" w:cs="Times New Roman"/>
          <w:color w:val="000000"/>
          <w:kern w:val="0"/>
          <w:sz w:val="32"/>
          <w:szCs w:val="32"/>
          <w:highlight w:val="none"/>
          <w:shd w:val="clear" w:color="auto" w:fill="FFFFFF"/>
        </w:rPr>
      </w:pPr>
      <w:r>
        <w:rPr>
          <w:rFonts w:ascii="Times New Roman" w:hAnsi="Times New Roman" w:eastAsia="黑体" w:cs="Times New Roman"/>
          <w:color w:val="000000"/>
          <w:kern w:val="0"/>
          <w:sz w:val="32"/>
          <w:szCs w:val="32"/>
          <w:highlight w:val="none"/>
          <w:shd w:val="clear" w:color="auto" w:fill="FFFFFF"/>
          <w:lang w:eastAsia="zh-CN"/>
        </w:rPr>
        <w:t>四、</w:t>
      </w:r>
      <w:r>
        <w:rPr>
          <w:rFonts w:ascii="Times New Roman" w:hAnsi="Times New Roman" w:eastAsia="黑体" w:cs="Times New Roman"/>
          <w:color w:val="000000"/>
          <w:kern w:val="0"/>
          <w:sz w:val="32"/>
          <w:szCs w:val="32"/>
          <w:highlight w:val="none"/>
          <w:shd w:val="clear" w:color="auto" w:fill="FFFFFF"/>
        </w:rPr>
        <w:t>评价结论及建议</w:t>
      </w:r>
    </w:p>
    <w:p w14:paraId="7833C9F8">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ascii="Times New Roman" w:hAnsi="Times New Roman" w:eastAsia="楷体_GB2312" w:cs="Times New Roman"/>
          <w:b/>
          <w:bCs/>
          <w:color w:val="000000"/>
          <w:kern w:val="0"/>
          <w:sz w:val="32"/>
          <w:szCs w:val="32"/>
          <w:highlight w:val="none"/>
          <w:shd w:val="clear" w:color="auto" w:fill="FFFFFF"/>
          <w:lang w:val="en-US"/>
        </w:rPr>
      </w:pPr>
      <w:r>
        <w:rPr>
          <w:rFonts w:ascii="Times New Roman" w:hAnsi="Times New Roman" w:eastAsia="楷体_GB2312" w:cs="Times New Roman"/>
          <w:b/>
          <w:bCs/>
          <w:color w:val="000000"/>
          <w:kern w:val="0"/>
          <w:sz w:val="32"/>
          <w:szCs w:val="32"/>
          <w:highlight w:val="none"/>
          <w:shd w:val="clear" w:color="auto" w:fill="FFFFFF"/>
          <w:lang w:val="zh-CN"/>
        </w:rPr>
        <w:t>（一）评价结论。</w:t>
      </w:r>
      <w:r>
        <w:rPr>
          <w:rFonts w:hint="eastAsia" w:ascii="仿宋_GB2312" w:hAnsi="仿宋_GB2312" w:eastAsia="楷体_GB2312" w:cs="仿宋_GB2312"/>
          <w:kern w:val="0"/>
          <w:sz w:val="32"/>
          <w:szCs w:val="32"/>
          <w:lang w:val="en-US" w:eastAsia="zh-CN"/>
        </w:rPr>
        <w:t>2025年</w:t>
      </w:r>
      <w:r>
        <w:rPr>
          <w:rFonts w:ascii="仿宋_GB2312" w:eastAsia="仿宋_GB2312" w:cs="仿宋_GB2312"/>
          <w:kern w:val="0"/>
          <w:sz w:val="32"/>
          <w:szCs w:val="32"/>
        </w:rPr>
        <w:t>单位</w:t>
      </w:r>
      <w:r>
        <w:rPr>
          <w:rFonts w:hint="eastAsia" w:ascii="仿宋_GB2312" w:eastAsia="仿宋_GB2312" w:cs="仿宋_GB2312"/>
          <w:kern w:val="0"/>
          <w:sz w:val="32"/>
          <w:szCs w:val="32"/>
        </w:rPr>
        <w:t>预算编制基础数据真实可靠中,按照年度工作计划和支出标准合理编制预算方案，预算数据按要求及时报送。基本支出按时间进度支付，达到执行进度，年终无结余。严格执行“三公经费”预算，严格审批，无超预算</w:t>
      </w:r>
      <w:r>
        <w:rPr>
          <w:rFonts w:hint="eastAsia" w:ascii="仿宋_GB2312" w:eastAsia="仿宋_GB2312" w:cs="仿宋_GB2312"/>
          <w:kern w:val="0"/>
          <w:sz w:val="32"/>
          <w:szCs w:val="32"/>
          <w:lang w:eastAsia="zh-CN"/>
        </w:rPr>
        <w:t>、</w:t>
      </w:r>
      <w:r>
        <w:rPr>
          <w:rFonts w:hint="eastAsia" w:ascii="仿宋_GB2312" w:eastAsia="仿宋_GB2312" w:cs="仿宋_GB2312"/>
          <w:kern w:val="0"/>
          <w:sz w:val="32"/>
          <w:szCs w:val="32"/>
        </w:rPr>
        <w:t>无预算执行的情况。</w:t>
      </w:r>
      <w:r>
        <w:rPr>
          <w:rFonts w:hint="eastAsia" w:ascii="仿宋_GB2312" w:eastAsia="仿宋_GB2312" w:cs="仿宋_GB2312"/>
          <w:kern w:val="0"/>
          <w:sz w:val="32"/>
          <w:szCs w:val="32"/>
          <w:lang w:eastAsia="zh-CN"/>
        </w:rPr>
        <w:t>自评得分</w:t>
      </w:r>
      <w:r>
        <w:rPr>
          <w:rFonts w:hint="eastAsia" w:ascii="仿宋_GB2312" w:eastAsia="仿宋_GB2312" w:cs="仿宋_GB2312"/>
          <w:kern w:val="0"/>
          <w:sz w:val="32"/>
          <w:szCs w:val="32"/>
          <w:lang w:val="en-US" w:eastAsia="zh-CN"/>
        </w:rPr>
        <w:t>97.76分。</w:t>
      </w:r>
    </w:p>
    <w:p w14:paraId="4D3E3CCF">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ascii="Times New Roman" w:hAnsi="Times New Roman" w:eastAsia="楷体_GB2312" w:cs="Times New Roman"/>
          <w:b/>
          <w:bCs/>
          <w:color w:val="000000"/>
          <w:kern w:val="0"/>
          <w:sz w:val="32"/>
          <w:szCs w:val="32"/>
          <w:highlight w:val="none"/>
          <w:shd w:val="clear" w:color="auto" w:fill="FFFFFF"/>
          <w:lang w:val="en-US" w:eastAsia="zh-CN"/>
        </w:rPr>
      </w:pPr>
      <w:r>
        <w:rPr>
          <w:rFonts w:ascii="Times New Roman" w:hAnsi="Times New Roman" w:eastAsia="楷体_GB2312" w:cs="Times New Roman"/>
          <w:b/>
          <w:bCs/>
          <w:color w:val="000000"/>
          <w:kern w:val="0"/>
          <w:sz w:val="32"/>
          <w:szCs w:val="32"/>
          <w:highlight w:val="none"/>
          <w:shd w:val="clear" w:color="auto" w:fill="FFFFFF"/>
          <w:lang w:val="zh-CN"/>
        </w:rPr>
        <w:t>（二）存在问题</w:t>
      </w:r>
      <w:r>
        <w:rPr>
          <w:rFonts w:hint="eastAsia" w:ascii="仿宋_GB2312" w:eastAsia="仿宋_GB2312" w:cs="仿宋_GB2312"/>
          <w:b/>
          <w:bCs/>
          <w:kern w:val="0"/>
          <w:sz w:val="32"/>
          <w:szCs w:val="32"/>
          <w:highlight w:val="none"/>
          <w:lang w:val="zh-CN"/>
        </w:rPr>
        <w:t>。</w:t>
      </w:r>
      <w:r>
        <w:rPr>
          <w:rFonts w:hint="eastAsia" w:ascii="仿宋_GB2312" w:eastAsia="仿宋_GB2312" w:cs="仿宋_GB2312"/>
          <w:bCs/>
          <w:kern w:val="0"/>
          <w:sz w:val="32"/>
          <w:szCs w:val="32"/>
          <w:highlight w:val="none"/>
          <w:lang w:val="zh-CN"/>
        </w:rPr>
        <w:t>进一步加快资金支付进度</w:t>
      </w:r>
      <w:r>
        <w:rPr>
          <w:rFonts w:hint="eastAsia" w:ascii="仿宋_GB2312" w:eastAsia="仿宋_GB2312" w:cs="仿宋_GB2312"/>
          <w:kern w:val="0"/>
          <w:sz w:val="32"/>
          <w:szCs w:val="32"/>
          <w:highlight w:val="none"/>
          <w:lang w:val="en-US" w:eastAsia="zh-CN" w:bidi="ar-SA"/>
        </w:rPr>
        <w:t>。</w:t>
      </w:r>
    </w:p>
    <w:p w14:paraId="4AA944F0">
      <w:pPr>
        <w:pStyle w:val="8"/>
        <w:keepNext w:val="0"/>
        <w:keepLines w:val="0"/>
        <w:pageBreakBefore w:val="0"/>
        <w:widowControl w:val="0"/>
        <w:kinsoku/>
        <w:wordWrap/>
        <w:overflowPunct/>
        <w:topLinePunct w:val="0"/>
        <w:autoSpaceDE/>
        <w:autoSpaceDN/>
        <w:bidi w:val="0"/>
        <w:spacing w:line="560" w:lineRule="exact"/>
        <w:ind w:left="0" w:leftChars="0" w:firstLine="643" w:firstLineChars="200"/>
        <w:textAlignment w:val="auto"/>
        <w:rPr>
          <w:rFonts w:hint="eastAsia" w:ascii="Times New Roman" w:hAnsi="Times New Roman" w:eastAsia="仿宋_GB2312" w:cs="Times New Roman"/>
          <w:kern w:val="2"/>
          <w:sz w:val="32"/>
          <w:szCs w:val="32"/>
          <w:u w:val="none"/>
          <w:lang w:val="zh-CN" w:eastAsia="zh-CN"/>
        </w:rPr>
      </w:pPr>
      <w:r>
        <w:rPr>
          <w:rFonts w:ascii="Times New Roman" w:hAnsi="Times New Roman" w:eastAsia="楷体_GB2312" w:cs="Times New Roman"/>
          <w:b/>
          <w:bCs/>
          <w:color w:val="000000"/>
          <w:kern w:val="0"/>
          <w:sz w:val="32"/>
          <w:szCs w:val="32"/>
          <w:highlight w:val="none"/>
          <w:shd w:val="clear" w:color="auto" w:fill="FFFFFF"/>
          <w:lang w:val="zh-CN" w:eastAsia="zh-CN"/>
        </w:rPr>
        <w:t>（三）改进建议。</w:t>
      </w:r>
      <w:r>
        <w:rPr>
          <w:rFonts w:hint="eastAsia" w:ascii="仿宋_GB2312" w:eastAsia="仿宋_GB2312" w:cs="仿宋_GB2312"/>
          <w:kern w:val="0"/>
          <w:sz w:val="32"/>
          <w:szCs w:val="32"/>
        </w:rPr>
        <w:t>深入学习贯彻《预算法》等相关法律、法规，进一步增强预算意识,始终坚持先有预算、后有支出，没有预算不得支出的原则。科学合理编制部门预算，推进预算编制科学化、准确化。年度预算编制后，根据实际情况，定期做好预算执行分析，适时掌握预算执行进度，及时找出预算实际执行情况与预算目标之间存在的差距，进一步加快预算</w:t>
      </w:r>
      <w:r>
        <w:rPr>
          <w:rFonts w:hint="eastAsia" w:ascii="仿宋_GB2312" w:eastAsia="仿宋_GB2312" w:cs="仿宋_GB2312"/>
          <w:kern w:val="0"/>
          <w:sz w:val="32"/>
          <w:szCs w:val="32"/>
          <w:lang w:eastAsia="zh-CN"/>
        </w:rPr>
        <w:t>。</w:t>
      </w:r>
    </w:p>
    <w:p w14:paraId="0DD1DF3D">
      <w:pPr>
        <w:pStyle w:val="8"/>
        <w:keepNext w:val="0"/>
        <w:keepLines w:val="0"/>
        <w:pageBreakBefore w:val="0"/>
        <w:widowControl w:val="0"/>
        <w:kinsoku/>
        <w:wordWrap/>
        <w:overflowPunct/>
        <w:topLinePunct w:val="0"/>
        <w:autoSpaceDE/>
        <w:autoSpaceDN/>
        <w:bidi w:val="0"/>
        <w:spacing w:line="560" w:lineRule="exact"/>
        <w:ind w:left="0" w:leftChars="0" w:firstLine="640" w:firstLineChars="200"/>
        <w:textAlignment w:val="auto"/>
        <w:outlineLvl w:val="9"/>
        <w:rPr>
          <w:rFonts w:hint="eastAsia" w:ascii="Times New Roman" w:hAnsi="Times New Roman" w:eastAsia="仿宋_GB2312" w:cs="Times New Roman"/>
          <w:kern w:val="2"/>
          <w:sz w:val="32"/>
          <w:szCs w:val="32"/>
          <w:u w:val="none"/>
          <w:lang w:val="zh-CN" w:eastAsia="zh-CN"/>
        </w:rPr>
      </w:pPr>
      <w:r>
        <w:rPr>
          <w:rFonts w:hint="eastAsia" w:ascii="Times New Roman" w:hAnsi="Times New Roman" w:eastAsia="仿宋_GB2312" w:cs="Times New Roman"/>
          <w:kern w:val="2"/>
          <w:sz w:val="32"/>
          <w:szCs w:val="32"/>
          <w:u w:val="none"/>
          <w:lang w:val="zh-CN" w:eastAsia="zh-CN"/>
        </w:rPr>
        <w:t>附表：</w:t>
      </w:r>
      <w:r>
        <w:rPr>
          <w:rFonts w:hint="eastAsia" w:ascii="Times New Roman" w:hAnsi="Times New Roman" w:eastAsia="仿宋_GB2312" w:cs="Times New Roman"/>
          <w:kern w:val="2"/>
          <w:sz w:val="32"/>
          <w:szCs w:val="32"/>
          <w:u w:val="none"/>
          <w:lang w:val="en-US" w:eastAsia="zh-CN"/>
        </w:rPr>
        <w:t>部门预算项目支出绩效自评表（2025年度）</w:t>
      </w:r>
    </w:p>
    <w:p w14:paraId="3B55AFEF">
      <w:pPr>
        <w:keepNext w:val="0"/>
        <w:keepLines w:val="0"/>
        <w:pageBreakBefore w:val="0"/>
        <w:widowControl/>
        <w:suppressLineNumbers w:val="0"/>
        <w:kinsoku/>
        <w:wordWrap/>
        <w:overflowPunct/>
        <w:topLinePunct w:val="0"/>
        <w:autoSpaceDE/>
        <w:autoSpaceDN/>
        <w:bidi w:val="0"/>
        <w:adjustRightInd/>
        <w:snapToGrid/>
        <w:spacing w:line="578" w:lineRule="exact"/>
        <w:jc w:val="center"/>
        <w:textAlignment w:val="center"/>
        <w:outlineLvl w:val="9"/>
        <w:rPr>
          <w:rFonts w:ascii="Times New Roman" w:hAnsi="Times New Roman" w:eastAsia="方正小标宋简体" w:cs="Times New Roman"/>
          <w:i w:val="0"/>
          <w:color w:val="000000"/>
          <w:kern w:val="0"/>
          <w:sz w:val="44"/>
          <w:szCs w:val="44"/>
          <w:u w:val="none"/>
          <w:lang w:val="en-US" w:eastAsia="zh-CN"/>
        </w:rPr>
      </w:pPr>
      <w:r>
        <w:rPr>
          <w:rFonts w:ascii="Times New Roman" w:hAnsi="Times New Roman" w:eastAsia="方正小标宋简体" w:cs="Times New Roman"/>
          <w:i w:val="0"/>
          <w:color w:val="000000"/>
          <w:kern w:val="0"/>
          <w:sz w:val="44"/>
          <w:szCs w:val="44"/>
          <w:u w:val="none"/>
          <w:lang w:val="en-US" w:eastAsia="zh-CN"/>
        </w:rPr>
        <w:t>部门预算项目支出绩效评价表</w:t>
      </w:r>
    </w:p>
    <w:p w14:paraId="65F4A2FA">
      <w:pPr>
        <w:keepNext w:val="0"/>
        <w:keepLines w:val="0"/>
        <w:pageBreakBefore w:val="0"/>
        <w:widowControl/>
        <w:suppressLineNumbers w:val="0"/>
        <w:kinsoku/>
        <w:wordWrap/>
        <w:overflowPunct/>
        <w:topLinePunct w:val="0"/>
        <w:autoSpaceDE/>
        <w:autoSpaceDN/>
        <w:bidi w:val="0"/>
        <w:adjustRightInd/>
        <w:snapToGrid/>
        <w:spacing w:line="578" w:lineRule="exact"/>
        <w:jc w:val="center"/>
        <w:textAlignment w:val="center"/>
        <w:outlineLvl w:val="9"/>
        <w:rPr>
          <w:rFonts w:ascii="Times New Roman" w:hAnsi="Times New Roman" w:eastAsia="方正小标宋简体" w:cs="Times New Roman"/>
          <w:i w:val="0"/>
          <w:color w:val="000000"/>
          <w:kern w:val="0"/>
          <w:sz w:val="32"/>
          <w:szCs w:val="32"/>
          <w:u w:val="none"/>
          <w:lang w:val="en-US" w:eastAsia="zh-CN"/>
        </w:rPr>
      </w:pPr>
      <w:r>
        <w:rPr>
          <w:rFonts w:ascii="Times New Roman" w:hAnsi="Times New Roman" w:eastAsia="方正小标宋简体" w:cs="Times New Roman"/>
          <w:i w:val="0"/>
          <w:color w:val="000000"/>
          <w:kern w:val="0"/>
          <w:sz w:val="32"/>
          <w:szCs w:val="32"/>
          <w:u w:val="none"/>
          <w:lang w:val="en-US" w:eastAsia="zh-CN"/>
        </w:rPr>
        <w:t>（202</w:t>
      </w:r>
      <w:r>
        <w:rPr>
          <w:rFonts w:hint="eastAsia" w:eastAsia="方正小标宋简体" w:cs="Times New Roman"/>
          <w:i w:val="0"/>
          <w:color w:val="000000"/>
          <w:kern w:val="0"/>
          <w:sz w:val="32"/>
          <w:szCs w:val="32"/>
          <w:u w:val="none"/>
          <w:lang w:val="en-US" w:eastAsia="zh-CN"/>
        </w:rPr>
        <w:t>5</w:t>
      </w:r>
      <w:r>
        <w:rPr>
          <w:rFonts w:ascii="Times New Roman" w:hAnsi="Times New Roman" w:eastAsia="方正小标宋简体" w:cs="Times New Roman"/>
          <w:i w:val="0"/>
          <w:color w:val="000000"/>
          <w:kern w:val="0"/>
          <w:sz w:val="32"/>
          <w:szCs w:val="32"/>
          <w:u w:val="none"/>
          <w:lang w:val="en-US" w:eastAsia="zh-CN"/>
        </w:rPr>
        <w:t>年度）</w:t>
      </w:r>
    </w:p>
    <w:p w14:paraId="3310CCE9">
      <w:pPr>
        <w:pStyle w:val="20"/>
        <w:keepNext/>
        <w:keepLines/>
        <w:pageBreakBefore w:val="0"/>
        <w:widowControl w:val="0"/>
        <w:kinsoku/>
        <w:wordWrap/>
        <w:overflowPunct/>
        <w:topLinePunct w:val="0"/>
        <w:autoSpaceDE/>
        <w:autoSpaceDN/>
        <w:adjustRightInd/>
        <w:snapToGrid/>
        <w:spacing w:before="0" w:after="0" w:line="578" w:lineRule="exact"/>
        <w:ind w:left="0"/>
        <w:outlineLvl w:val="9"/>
        <w:rPr>
          <w:rFonts w:ascii="Times New Roman" w:hAnsi="Times New Roman" w:eastAsia="仿宋_GB2312"/>
          <w:b w:val="0"/>
          <w:color w:val="000000"/>
          <w:kern w:val="0"/>
          <w:sz w:val="32"/>
          <w:szCs w:val="32"/>
          <w:shd w:val="clear" w:color="auto" w:fill="FFFFFF"/>
        </w:rPr>
      </w:pPr>
    </w:p>
    <w:p w14:paraId="3C9CFBCA">
      <w:pPr>
        <w:keepNext w:val="0"/>
        <w:keepLines w:val="0"/>
        <w:pageBreakBefore w:val="0"/>
        <w:widowControl w:val="0"/>
        <w:suppressLineNumbers w:val="0"/>
        <w:suppressAutoHyphens w:val="0"/>
        <w:rPr>
          <w:rFonts w:ascii="Times New Roman" w:hAnsi="Times New Roman" w:eastAsia="仿宋_GB2312"/>
          <w:b w:val="0"/>
          <w:color w:val="000000"/>
          <w:kern w:val="0"/>
          <w:sz w:val="32"/>
          <w:szCs w:val="32"/>
          <w:shd w:val="clear" w:color="auto" w:fill="FFFFFF"/>
        </w:rPr>
      </w:pPr>
      <w:r>
        <w:drawing>
          <wp:inline distT="0" distB="0" distL="114300" distR="114300">
            <wp:extent cx="5516245" cy="6115050"/>
            <wp:effectExtent l="0" t="0" r="8255" b="0"/>
            <wp:docPr id="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pic:cNvPicPr>
                      <a:picLocks noChangeAspect="1"/>
                    </pic:cNvPicPr>
                  </pic:nvPicPr>
                  <pic:blipFill>
                    <a:blip r:embed="rId21"/>
                    <a:stretch>
                      <a:fillRect/>
                    </a:stretch>
                  </pic:blipFill>
                  <pic:spPr>
                    <a:xfrm>
                      <a:off x="0" y="0"/>
                      <a:ext cx="5516245" cy="6115050"/>
                    </a:xfrm>
                    <a:prstGeom prst="rect">
                      <a:avLst/>
                    </a:prstGeom>
                    <a:noFill/>
                    <a:ln>
                      <a:noFill/>
                    </a:ln>
                  </pic:spPr>
                </pic:pic>
              </a:graphicData>
            </a:graphic>
          </wp:inline>
        </w:drawing>
      </w:r>
      <w:r>
        <w:rPr>
          <w:rFonts w:ascii="Times New Roman" w:hAnsi="Times New Roman" w:eastAsia="仿宋_GB2312"/>
          <w:b w:val="0"/>
          <w:color w:val="000000"/>
          <w:kern w:val="0"/>
          <w:sz w:val="32"/>
          <w:szCs w:val="32"/>
          <w:shd w:val="clear" w:color="auto" w:fill="FFFFFF"/>
        </w:rPr>
        <w:br w:type="page"/>
      </w:r>
      <w:r>
        <w:drawing>
          <wp:inline distT="0" distB="0" distL="114300" distR="114300">
            <wp:extent cx="5282565" cy="5844540"/>
            <wp:effectExtent l="0" t="0" r="13335" b="381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22"/>
                    <a:stretch>
                      <a:fillRect/>
                    </a:stretch>
                  </pic:blipFill>
                  <pic:spPr>
                    <a:xfrm>
                      <a:off x="0" y="0"/>
                      <a:ext cx="5282565" cy="5844540"/>
                    </a:xfrm>
                    <a:prstGeom prst="rect">
                      <a:avLst/>
                    </a:prstGeom>
                    <a:noFill/>
                    <a:ln>
                      <a:noFill/>
                    </a:ln>
                  </pic:spPr>
                </pic:pic>
              </a:graphicData>
            </a:graphic>
          </wp:inline>
        </w:drawing>
      </w:r>
    </w:p>
    <w:p w14:paraId="0A8C93AC">
      <w:pPr>
        <w:keepNext w:val="0"/>
        <w:keepLines w:val="0"/>
        <w:pageBreakBefore w:val="0"/>
        <w:widowControl w:val="0"/>
        <w:suppressLineNumbers w:val="0"/>
        <w:suppressAutoHyphens w:val="0"/>
        <w:rPr>
          <w:rFonts w:ascii="Times New Roman" w:hAnsi="Times New Roman" w:eastAsia="仿宋_GB2312"/>
          <w:b w:val="0"/>
          <w:color w:val="000000"/>
          <w:kern w:val="0"/>
          <w:sz w:val="32"/>
          <w:szCs w:val="32"/>
          <w:shd w:val="clear" w:color="auto" w:fill="FFFFFF"/>
        </w:rPr>
      </w:pPr>
    </w:p>
    <w:p w14:paraId="5A9E63EF">
      <w:pPr>
        <w:keepNext w:val="0"/>
        <w:keepLines w:val="0"/>
        <w:pageBreakBefore w:val="0"/>
        <w:widowControl w:val="0"/>
        <w:suppressLineNumbers w:val="0"/>
        <w:suppressAutoHyphens w:val="0"/>
        <w:rPr>
          <w:rFonts w:ascii="Times New Roman" w:hAnsi="Times New Roman" w:eastAsia="仿宋_GB2312"/>
          <w:b w:val="0"/>
          <w:color w:val="000000"/>
          <w:kern w:val="0"/>
          <w:sz w:val="32"/>
          <w:szCs w:val="32"/>
          <w:shd w:val="clear" w:color="auto" w:fill="FFFFFF"/>
        </w:rPr>
      </w:pPr>
      <w:r>
        <w:rPr>
          <w:rFonts w:ascii="Times New Roman" w:hAnsi="Times New Roman" w:eastAsia="仿宋_GB2312"/>
          <w:b w:val="0"/>
          <w:color w:val="000000"/>
          <w:kern w:val="0"/>
          <w:sz w:val="32"/>
          <w:szCs w:val="32"/>
          <w:shd w:val="clear" w:color="auto" w:fill="FFFFFF"/>
        </w:rPr>
        <w:br w:type="page"/>
      </w:r>
      <w:r>
        <w:drawing>
          <wp:inline distT="0" distB="0" distL="114300" distR="114300">
            <wp:extent cx="5948680" cy="7110095"/>
            <wp:effectExtent l="0" t="0" r="13970" b="14605"/>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23"/>
                    <a:stretch>
                      <a:fillRect/>
                    </a:stretch>
                  </pic:blipFill>
                  <pic:spPr>
                    <a:xfrm>
                      <a:off x="0" y="0"/>
                      <a:ext cx="5948680" cy="7110095"/>
                    </a:xfrm>
                    <a:prstGeom prst="rect">
                      <a:avLst/>
                    </a:prstGeom>
                    <a:noFill/>
                    <a:ln>
                      <a:noFill/>
                    </a:ln>
                  </pic:spPr>
                </pic:pic>
              </a:graphicData>
            </a:graphic>
          </wp:inline>
        </w:drawing>
      </w:r>
    </w:p>
    <w:p w14:paraId="61C1ACED">
      <w:pPr>
        <w:keepNext w:val="0"/>
        <w:keepLines w:val="0"/>
        <w:pageBreakBefore w:val="0"/>
        <w:widowControl w:val="0"/>
        <w:suppressLineNumbers w:val="0"/>
        <w:suppressAutoHyphens w:val="0"/>
        <w:rPr>
          <w:rFonts w:ascii="Times New Roman" w:hAnsi="Times New Roman" w:eastAsia="仿宋_GB2312"/>
          <w:b w:val="0"/>
          <w:color w:val="000000"/>
          <w:kern w:val="0"/>
          <w:sz w:val="32"/>
          <w:szCs w:val="32"/>
          <w:shd w:val="clear" w:color="auto" w:fill="FFFFFF"/>
        </w:rPr>
      </w:pPr>
      <w:r>
        <w:rPr>
          <w:rFonts w:ascii="Times New Roman" w:hAnsi="Times New Roman" w:eastAsia="仿宋_GB2312"/>
          <w:b w:val="0"/>
          <w:color w:val="000000"/>
          <w:kern w:val="0"/>
          <w:sz w:val="32"/>
          <w:szCs w:val="32"/>
          <w:shd w:val="clear" w:color="auto" w:fill="FFFFFF"/>
        </w:rPr>
        <w:br w:type="page"/>
      </w:r>
      <w:r>
        <w:drawing>
          <wp:inline distT="0" distB="0" distL="114300" distR="114300">
            <wp:extent cx="5436870" cy="7911465"/>
            <wp:effectExtent l="0" t="0" r="11430" b="13335"/>
            <wp:docPr id="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pic:cNvPicPr>
                      <a:picLocks noChangeAspect="1"/>
                    </pic:cNvPicPr>
                  </pic:nvPicPr>
                  <pic:blipFill>
                    <a:blip r:embed="rId24"/>
                    <a:stretch>
                      <a:fillRect/>
                    </a:stretch>
                  </pic:blipFill>
                  <pic:spPr>
                    <a:xfrm>
                      <a:off x="0" y="0"/>
                      <a:ext cx="5436870" cy="7911465"/>
                    </a:xfrm>
                    <a:prstGeom prst="rect">
                      <a:avLst/>
                    </a:prstGeom>
                    <a:noFill/>
                    <a:ln>
                      <a:noFill/>
                    </a:ln>
                  </pic:spPr>
                </pic:pic>
              </a:graphicData>
            </a:graphic>
          </wp:inline>
        </w:drawing>
      </w:r>
    </w:p>
    <w:p w14:paraId="1687256F">
      <w:pPr>
        <w:keepNext w:val="0"/>
        <w:keepLines w:val="0"/>
        <w:pageBreakBefore w:val="0"/>
        <w:widowControl w:val="0"/>
        <w:suppressLineNumbers w:val="0"/>
        <w:suppressAutoHyphens w:val="0"/>
        <w:rPr>
          <w:rFonts w:ascii="Times New Roman" w:hAnsi="Times New Roman" w:eastAsia="仿宋_GB2312"/>
          <w:b w:val="0"/>
          <w:color w:val="000000"/>
          <w:kern w:val="0"/>
          <w:sz w:val="32"/>
          <w:szCs w:val="32"/>
          <w:shd w:val="clear" w:color="auto" w:fill="FFFFFF"/>
        </w:rPr>
      </w:pPr>
    </w:p>
    <w:p w14:paraId="2D966777">
      <w:pPr>
        <w:keepNext w:val="0"/>
        <w:keepLines w:val="0"/>
        <w:pageBreakBefore w:val="0"/>
        <w:widowControl w:val="0"/>
        <w:suppressLineNumbers w:val="0"/>
        <w:suppressAutoHyphens w:val="0"/>
      </w:pPr>
      <w:r>
        <w:rPr>
          <w:rFonts w:ascii="Times New Roman" w:hAnsi="Times New Roman" w:eastAsia="仿宋_GB2312"/>
          <w:b w:val="0"/>
          <w:color w:val="000000"/>
          <w:kern w:val="0"/>
          <w:sz w:val="32"/>
          <w:szCs w:val="32"/>
          <w:shd w:val="clear" w:color="auto" w:fill="FFFFFF"/>
        </w:rPr>
        <w:br w:type="page"/>
      </w:r>
      <w:r>
        <w:drawing>
          <wp:inline distT="0" distB="0" distL="114300" distR="114300">
            <wp:extent cx="5321300" cy="6318250"/>
            <wp:effectExtent l="0" t="0" r="12700" b="6350"/>
            <wp:docPr id="1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pic:cNvPicPr>
                      <a:picLocks noChangeAspect="1"/>
                    </pic:cNvPicPr>
                  </pic:nvPicPr>
                  <pic:blipFill>
                    <a:blip r:embed="rId25"/>
                    <a:stretch>
                      <a:fillRect/>
                    </a:stretch>
                  </pic:blipFill>
                  <pic:spPr>
                    <a:xfrm>
                      <a:off x="0" y="0"/>
                      <a:ext cx="5321300" cy="6318250"/>
                    </a:xfrm>
                    <a:prstGeom prst="rect">
                      <a:avLst/>
                    </a:prstGeom>
                    <a:noFill/>
                    <a:ln>
                      <a:noFill/>
                    </a:ln>
                  </pic:spPr>
                </pic:pic>
              </a:graphicData>
            </a:graphic>
          </wp:inline>
        </w:drawing>
      </w:r>
    </w:p>
    <w:p w14:paraId="711DF277">
      <w:r>
        <w:br w:type="page"/>
      </w:r>
    </w:p>
    <w:p w14:paraId="5297F798">
      <w:pPr>
        <w:keepNext w:val="0"/>
        <w:keepLines w:val="0"/>
        <w:pageBreakBefore w:val="0"/>
        <w:widowControl w:val="0"/>
        <w:suppressLineNumbers w:val="0"/>
        <w:suppressAutoHyphens w:val="0"/>
      </w:pPr>
      <w:r>
        <w:drawing>
          <wp:inline distT="0" distB="0" distL="114300" distR="114300">
            <wp:extent cx="5731510" cy="7364730"/>
            <wp:effectExtent l="0" t="0" r="2540" b="7620"/>
            <wp:docPr id="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pic:cNvPicPr>
                      <a:picLocks noChangeAspect="1"/>
                    </pic:cNvPicPr>
                  </pic:nvPicPr>
                  <pic:blipFill>
                    <a:blip r:embed="rId26"/>
                    <a:stretch>
                      <a:fillRect/>
                    </a:stretch>
                  </pic:blipFill>
                  <pic:spPr>
                    <a:xfrm>
                      <a:off x="0" y="0"/>
                      <a:ext cx="5731510" cy="7364730"/>
                    </a:xfrm>
                    <a:prstGeom prst="rect">
                      <a:avLst/>
                    </a:prstGeom>
                    <a:noFill/>
                    <a:ln>
                      <a:noFill/>
                    </a:ln>
                  </pic:spPr>
                </pic:pic>
              </a:graphicData>
            </a:graphic>
          </wp:inline>
        </w:drawing>
      </w:r>
    </w:p>
    <w:p w14:paraId="3A4C64B2">
      <w:pPr>
        <w:keepNext w:val="0"/>
        <w:keepLines w:val="0"/>
        <w:pageBreakBefore w:val="0"/>
        <w:widowControl w:val="0"/>
        <w:suppressLineNumbers w:val="0"/>
        <w:suppressAutoHyphens w:val="0"/>
        <w:rPr>
          <w:rFonts w:hint="eastAsia" w:ascii="Times New Roman" w:hAnsi="Times New Roman" w:eastAsia="仿宋_GB2312"/>
          <w:b w:val="0"/>
          <w:color w:val="000000"/>
          <w:kern w:val="0"/>
          <w:sz w:val="32"/>
          <w:szCs w:val="32"/>
          <w:shd w:val="clear" w:color="auto" w:fill="FFFFFF"/>
        </w:rPr>
      </w:pPr>
    </w:p>
    <w:p w14:paraId="7B66ED9E">
      <w:pPr>
        <w:pStyle w:val="8"/>
        <w:keepNext w:val="0"/>
        <w:keepLines w:val="0"/>
        <w:pageBreakBefore w:val="0"/>
        <w:widowControl w:val="0"/>
        <w:kinsoku/>
        <w:wordWrap/>
        <w:overflowPunct/>
        <w:topLinePunct w:val="0"/>
        <w:autoSpaceDE/>
        <w:autoSpaceDN/>
        <w:bidi w:val="0"/>
        <w:spacing w:line="560" w:lineRule="exact"/>
        <w:ind w:left="0" w:leftChars="0" w:firstLine="640" w:firstLineChars="200"/>
        <w:textAlignment w:val="auto"/>
        <w:rPr>
          <w:rFonts w:hint="eastAsia" w:ascii="Times New Roman" w:hAnsi="Times New Roman" w:eastAsia="仿宋_GB2312" w:cs="仿宋_GB2312"/>
          <w:b w:val="0"/>
          <w:bCs w:val="0"/>
          <w:kern w:val="0"/>
          <w:position w:val="0"/>
          <w:sz w:val="32"/>
          <w:szCs w:val="32"/>
          <w:highlight w:val="none"/>
          <w:lang w:val="zh-CN" w:eastAsia="zh-CN" w:bidi="ar-SA"/>
        </w:rPr>
      </w:pPr>
    </w:p>
    <w:p w14:paraId="085754D2">
      <w:pPr>
        <w:pStyle w:val="8"/>
        <w:keepNext w:val="0"/>
        <w:keepLines w:val="0"/>
        <w:pageBreakBefore w:val="0"/>
        <w:widowControl w:val="0"/>
        <w:kinsoku/>
        <w:wordWrap/>
        <w:overflowPunct/>
        <w:topLinePunct w:val="0"/>
        <w:autoSpaceDE/>
        <w:autoSpaceDN/>
        <w:bidi w:val="0"/>
        <w:spacing w:line="560" w:lineRule="exact"/>
        <w:textAlignment w:val="auto"/>
        <w:rPr>
          <w:rFonts w:hint="eastAsia" w:ascii="Times New Roman" w:hAnsi="Times New Roman" w:cs="Times New Roman"/>
          <w:sz w:val="32"/>
          <w:szCs w:val="32"/>
          <w:highlight w:val="yellow"/>
          <w:lang w:val="zh-CN" w:eastAsia="zh-CN"/>
        </w:rPr>
      </w:pPr>
    </w:p>
    <w:p w14:paraId="4580F6EA">
      <w:r>
        <w:rPr>
          <w:rFonts w:hint="eastAsia" w:ascii="Times New Roman" w:hAnsi="Times New Roman" w:eastAsia="黑体" w:cs="黑体"/>
          <w:color w:val="auto"/>
          <w:kern w:val="0"/>
          <w:sz w:val="32"/>
          <w:szCs w:val="32"/>
          <w:highlight w:val="none"/>
          <w:shd w:val="clear" w:color="auto" w:fill="FFFFFF"/>
          <w:lang w:val="zh-CN"/>
        </w:rPr>
        <w:br w:type="page"/>
      </w:r>
      <w:r>
        <w:drawing>
          <wp:inline distT="0" distB="0" distL="114300" distR="114300">
            <wp:extent cx="5810250" cy="6423025"/>
            <wp:effectExtent l="0" t="0" r="0" b="15875"/>
            <wp:docPr id="1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5"/>
                    <pic:cNvPicPr>
                      <a:picLocks noChangeAspect="1"/>
                    </pic:cNvPicPr>
                  </pic:nvPicPr>
                  <pic:blipFill>
                    <a:blip r:embed="rId27"/>
                    <a:stretch>
                      <a:fillRect/>
                    </a:stretch>
                  </pic:blipFill>
                  <pic:spPr>
                    <a:xfrm>
                      <a:off x="0" y="0"/>
                      <a:ext cx="5810250" cy="6423025"/>
                    </a:xfrm>
                    <a:prstGeom prst="rect">
                      <a:avLst/>
                    </a:prstGeom>
                    <a:noFill/>
                    <a:ln>
                      <a:noFill/>
                    </a:ln>
                  </pic:spPr>
                </pic:pic>
              </a:graphicData>
            </a:graphic>
          </wp:inline>
        </w:drawing>
      </w:r>
    </w:p>
    <w:p w14:paraId="144A70E3">
      <w:r>
        <w:rPr>
          <w:rFonts w:hint="eastAsia"/>
          <w:lang w:val="zh-CN"/>
        </w:rPr>
        <w:br w:type="page"/>
      </w:r>
      <w:r>
        <w:drawing>
          <wp:inline distT="0" distB="0" distL="114300" distR="114300">
            <wp:extent cx="5368925" cy="6395720"/>
            <wp:effectExtent l="0" t="0" r="3175" b="5080"/>
            <wp:docPr id="1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6"/>
                    <pic:cNvPicPr>
                      <a:picLocks noChangeAspect="1"/>
                    </pic:cNvPicPr>
                  </pic:nvPicPr>
                  <pic:blipFill>
                    <a:blip r:embed="rId28"/>
                    <a:stretch>
                      <a:fillRect/>
                    </a:stretch>
                  </pic:blipFill>
                  <pic:spPr>
                    <a:xfrm>
                      <a:off x="0" y="0"/>
                      <a:ext cx="5368925" cy="6395720"/>
                    </a:xfrm>
                    <a:prstGeom prst="rect">
                      <a:avLst/>
                    </a:prstGeom>
                    <a:noFill/>
                    <a:ln>
                      <a:noFill/>
                    </a:ln>
                  </pic:spPr>
                </pic:pic>
              </a:graphicData>
            </a:graphic>
          </wp:inline>
        </w:drawing>
      </w:r>
    </w:p>
    <w:p w14:paraId="0FEDB933">
      <w:r>
        <w:br w:type="page"/>
      </w:r>
    </w:p>
    <w:p w14:paraId="027D0B98">
      <w:pPr>
        <w:rPr>
          <w:rFonts w:hint="eastAsia"/>
          <w:lang w:val="zh-CN"/>
        </w:rPr>
      </w:pPr>
      <w:r>
        <w:drawing>
          <wp:inline distT="0" distB="0" distL="114300" distR="114300">
            <wp:extent cx="5113020" cy="6097270"/>
            <wp:effectExtent l="0" t="0" r="11430" b="17780"/>
            <wp:docPr id="1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7"/>
                    <pic:cNvPicPr>
                      <a:picLocks noChangeAspect="1"/>
                    </pic:cNvPicPr>
                  </pic:nvPicPr>
                  <pic:blipFill>
                    <a:blip r:embed="rId29"/>
                    <a:stretch>
                      <a:fillRect/>
                    </a:stretch>
                  </pic:blipFill>
                  <pic:spPr>
                    <a:xfrm>
                      <a:off x="0" y="0"/>
                      <a:ext cx="5113020" cy="6097270"/>
                    </a:xfrm>
                    <a:prstGeom prst="rect">
                      <a:avLst/>
                    </a:prstGeom>
                    <a:noFill/>
                    <a:ln>
                      <a:noFill/>
                    </a:ln>
                  </pic:spPr>
                </pic:pic>
              </a:graphicData>
            </a:graphic>
          </wp:inline>
        </w:drawing>
      </w:r>
    </w:p>
    <w:p w14:paraId="4E4A4598">
      <w:pPr>
        <w:rPr>
          <w:rFonts w:hint="eastAsia"/>
          <w:lang w:val="zh-CN"/>
        </w:rPr>
      </w:pPr>
    </w:p>
    <w:p w14:paraId="3C9F2A92">
      <w:pPr>
        <w:rPr>
          <w:rFonts w:hint="eastAsia" w:ascii="Times New Roman" w:hAnsi="Times New Roman" w:eastAsia="黑体"/>
          <w:color w:val="auto"/>
          <w:sz w:val="44"/>
          <w:szCs w:val="44"/>
          <w:highlight w:val="none"/>
        </w:rPr>
      </w:pPr>
      <w:bookmarkStart w:id="57" w:name="_Toc15396618"/>
      <w:r>
        <w:rPr>
          <w:rFonts w:hint="eastAsia" w:ascii="Times New Roman" w:hAnsi="Times New Roman" w:eastAsia="黑体"/>
          <w:color w:val="auto"/>
          <w:sz w:val="44"/>
          <w:szCs w:val="44"/>
          <w:highlight w:val="none"/>
        </w:rPr>
        <w:br w:type="page"/>
      </w:r>
    </w:p>
    <w:p w14:paraId="51BAB1B5">
      <w:pPr>
        <w:widowControl/>
        <w:jc w:val="center"/>
        <w:outlineLvl w:val="0"/>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21"/>
          <w:rFonts w:hint="eastAsia" w:ascii="Times New Roman" w:hAnsi="Times New Roman" w:eastAsia="黑体"/>
          <w:b w:val="0"/>
          <w:color w:val="auto"/>
          <w:highlight w:val="none"/>
        </w:rPr>
        <w:t>五部分 附表</w:t>
      </w:r>
      <w:bookmarkEnd w:id="55"/>
      <w:bookmarkEnd w:id="57"/>
      <w:bookmarkStart w:id="58" w:name="_Toc15396619"/>
    </w:p>
    <w:p w14:paraId="5014EBB4">
      <w:pPr>
        <w:pStyle w:val="15"/>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532A71A5">
      <w:pPr>
        <w:pStyle w:val="15"/>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8"/>
    </w:p>
    <w:p w14:paraId="6F4D13CD">
      <w:pPr>
        <w:pStyle w:val="15"/>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20"/>
      <w:r>
        <w:rPr>
          <w:rFonts w:hint="eastAsia" w:ascii="Times New Roman" w:hAnsi="Times New Roman" w:eastAsia="仿宋_GB2312" w:cs="仿宋_GB2312"/>
          <w:color w:val="auto"/>
          <w:sz w:val="32"/>
          <w:szCs w:val="32"/>
          <w:highlight w:val="none"/>
        </w:rPr>
        <w:t>二、收入决算表</w:t>
      </w:r>
      <w:bookmarkEnd w:id="59"/>
    </w:p>
    <w:p w14:paraId="32056A3B">
      <w:pPr>
        <w:pStyle w:val="15"/>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0" w:name="_Toc15396621"/>
      <w:r>
        <w:rPr>
          <w:rFonts w:hint="eastAsia" w:ascii="Times New Roman" w:hAnsi="Times New Roman" w:eastAsia="仿宋_GB2312" w:cs="仿宋_GB2312"/>
          <w:color w:val="auto"/>
          <w:sz w:val="32"/>
          <w:szCs w:val="32"/>
          <w:highlight w:val="none"/>
        </w:rPr>
        <w:t>三、支出决算表</w:t>
      </w:r>
      <w:bookmarkEnd w:id="60"/>
    </w:p>
    <w:p w14:paraId="6E22A501">
      <w:pPr>
        <w:pStyle w:val="15"/>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1" w:name="_Toc15396622"/>
      <w:r>
        <w:rPr>
          <w:rFonts w:hint="eastAsia" w:ascii="Times New Roman" w:hAnsi="Times New Roman" w:eastAsia="仿宋_GB2312" w:cs="仿宋_GB2312"/>
          <w:color w:val="auto"/>
          <w:sz w:val="32"/>
          <w:szCs w:val="32"/>
          <w:highlight w:val="none"/>
        </w:rPr>
        <w:t>四、财政拨款收入支出决算总表</w:t>
      </w:r>
      <w:bookmarkEnd w:id="61"/>
    </w:p>
    <w:p w14:paraId="6E9A6748">
      <w:pPr>
        <w:pStyle w:val="15"/>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2" w:name="_Toc15396623"/>
      <w:r>
        <w:rPr>
          <w:rFonts w:hint="eastAsia" w:ascii="Times New Roman" w:hAnsi="Times New Roman" w:eastAsia="仿宋_GB2312" w:cs="仿宋_GB2312"/>
          <w:color w:val="auto"/>
          <w:sz w:val="32"/>
          <w:szCs w:val="32"/>
          <w:highlight w:val="none"/>
        </w:rPr>
        <w:t>五、财政拨款支出决算明细表</w:t>
      </w:r>
      <w:bookmarkEnd w:id="62"/>
      <w:bookmarkStart w:id="63" w:name="_Toc15396624"/>
    </w:p>
    <w:p w14:paraId="1C80B909">
      <w:pPr>
        <w:pStyle w:val="15"/>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63"/>
    </w:p>
    <w:p w14:paraId="0512B89F">
      <w:pPr>
        <w:pStyle w:val="15"/>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4" w:name="_Toc15396625"/>
      <w:r>
        <w:rPr>
          <w:rFonts w:hint="eastAsia" w:ascii="Times New Roman" w:hAnsi="Times New Roman" w:eastAsia="仿宋_GB2312" w:cs="仿宋_GB2312"/>
          <w:color w:val="auto"/>
          <w:sz w:val="32"/>
          <w:szCs w:val="32"/>
          <w:highlight w:val="none"/>
        </w:rPr>
        <w:t>七、一般公共预算财政拨款支出决算明细表</w:t>
      </w:r>
      <w:bookmarkEnd w:id="64"/>
    </w:p>
    <w:p w14:paraId="0C022A38">
      <w:pPr>
        <w:pStyle w:val="15"/>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5" w:name="_Toc15396626"/>
      <w:r>
        <w:rPr>
          <w:rFonts w:hint="eastAsia" w:ascii="Times New Roman" w:hAnsi="Times New Roman" w:eastAsia="仿宋_GB2312" w:cs="仿宋_GB2312"/>
          <w:color w:val="auto"/>
          <w:sz w:val="32"/>
          <w:szCs w:val="32"/>
          <w:highlight w:val="none"/>
        </w:rPr>
        <w:t>八、一般公共预算财政拨款基本支出决算表</w:t>
      </w:r>
      <w:bookmarkEnd w:id="65"/>
    </w:p>
    <w:p w14:paraId="55BA376D">
      <w:pPr>
        <w:pStyle w:val="15"/>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6" w:name="_Toc15396627"/>
      <w:r>
        <w:rPr>
          <w:rFonts w:hint="eastAsia" w:ascii="Times New Roman" w:hAnsi="Times New Roman" w:eastAsia="仿宋_GB2312" w:cs="仿宋_GB2312"/>
          <w:color w:val="auto"/>
          <w:sz w:val="32"/>
          <w:szCs w:val="32"/>
          <w:highlight w:val="none"/>
        </w:rPr>
        <w:t>九、一般公共预算财政拨款项目支出决算表</w:t>
      </w:r>
      <w:bookmarkEnd w:id="66"/>
    </w:p>
    <w:p w14:paraId="30D06E91">
      <w:pPr>
        <w:pStyle w:val="15"/>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7" w:name="_Toc15396628"/>
      <w:r>
        <w:rPr>
          <w:rFonts w:hint="eastAsia" w:ascii="Times New Roman" w:hAnsi="Times New Roman" w:eastAsia="仿宋_GB2312" w:cs="仿宋_GB2312"/>
          <w:color w:val="auto"/>
          <w:sz w:val="32"/>
          <w:szCs w:val="32"/>
          <w:highlight w:val="none"/>
        </w:rPr>
        <w:t>十、</w:t>
      </w:r>
      <w:bookmarkEnd w:id="67"/>
      <w:r>
        <w:rPr>
          <w:rFonts w:hint="eastAsia" w:ascii="Times New Roman" w:hAnsi="Times New Roman" w:eastAsia="仿宋_GB2312" w:cs="仿宋_GB2312"/>
          <w:color w:val="auto"/>
          <w:sz w:val="32"/>
          <w:szCs w:val="32"/>
          <w:highlight w:val="none"/>
        </w:rPr>
        <w:t>政府性基金预算财政拨款收入支出决算表</w:t>
      </w:r>
    </w:p>
    <w:p w14:paraId="5B0AF7CE">
      <w:pPr>
        <w:pStyle w:val="15"/>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8" w:name="_Toc15396629"/>
      <w:r>
        <w:rPr>
          <w:rFonts w:hint="eastAsia" w:ascii="Times New Roman" w:hAnsi="Times New Roman" w:eastAsia="仿宋_GB2312" w:cs="仿宋_GB2312"/>
          <w:color w:val="auto"/>
          <w:sz w:val="32"/>
          <w:szCs w:val="32"/>
          <w:highlight w:val="none"/>
        </w:rPr>
        <w:t>十一、</w:t>
      </w:r>
      <w:bookmarkEnd w:id="68"/>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22D2831D">
      <w:pPr>
        <w:pStyle w:val="15"/>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9" w:name="_Toc15396630"/>
      <w:r>
        <w:rPr>
          <w:rFonts w:hint="eastAsia" w:ascii="Times New Roman" w:hAnsi="Times New Roman" w:eastAsia="仿宋_GB2312" w:cs="仿宋_GB2312"/>
          <w:color w:val="auto"/>
          <w:sz w:val="32"/>
          <w:szCs w:val="32"/>
          <w:highlight w:val="none"/>
        </w:rPr>
        <w:t>十二、</w:t>
      </w:r>
      <w:bookmarkEnd w:id="69"/>
      <w:r>
        <w:rPr>
          <w:rFonts w:hint="eastAsia" w:ascii="Times New Roman" w:hAnsi="Times New Roman" w:eastAsia="仿宋_GB2312" w:cs="仿宋_GB2312"/>
          <w:color w:val="auto"/>
          <w:sz w:val="32"/>
          <w:szCs w:val="32"/>
          <w:highlight w:val="none"/>
          <w:lang w:eastAsia="zh-CN"/>
        </w:rPr>
        <w:t>国有资本经营预算财政拨款支出决算表</w:t>
      </w:r>
    </w:p>
    <w:p w14:paraId="48F279BC">
      <w:pPr>
        <w:pStyle w:val="15"/>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70" w:name="_Toc15396631"/>
      <w:r>
        <w:rPr>
          <w:rFonts w:hint="eastAsia" w:ascii="Times New Roman" w:hAnsi="Times New Roman" w:eastAsia="仿宋_GB2312" w:cs="仿宋_GB2312"/>
          <w:color w:val="auto"/>
          <w:sz w:val="32"/>
          <w:szCs w:val="32"/>
          <w:highlight w:val="none"/>
        </w:rPr>
        <w:t>十三、</w:t>
      </w:r>
      <w:bookmarkEnd w:id="70"/>
      <w:r>
        <w:rPr>
          <w:rFonts w:hint="eastAsia" w:ascii="Times New Roman" w:hAnsi="Times New Roman" w:eastAsia="仿宋_GB2312" w:cs="仿宋_GB2312"/>
          <w:color w:val="auto"/>
          <w:sz w:val="32"/>
          <w:szCs w:val="32"/>
          <w:highlight w:val="none"/>
          <w:lang w:eastAsia="zh-CN"/>
        </w:rPr>
        <w:t>财政拨款“三公”经费支出决算表</w:t>
      </w:r>
    </w:p>
    <w:p w14:paraId="1C43D20A">
      <w:pPr>
        <w:rPr>
          <w:rFonts w:hint="eastAsia" w:ascii="Times New Roman" w:hAnsi="Times New Roman"/>
          <w:lang w:eastAsia="zh-CN"/>
        </w:rPr>
      </w:pPr>
    </w:p>
    <w:sectPr>
      <w:footerReference r:id="rId6" w:type="first"/>
      <w:footerReference r:id="rId5" w:type="default"/>
      <w:pgSz w:w="11906" w:h="16838"/>
      <w:pgMar w:top="1440" w:right="1800" w:bottom="1440" w:left="1800" w:header="851" w:footer="992" w:gutter="0"/>
      <w:pgNumType w:fmt="numberInDash"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C1D104">
    <w:pPr>
      <w:pStyle w:val="11"/>
      <w:jc w:val="center"/>
    </w:pPr>
  </w:p>
  <w:p w14:paraId="4496ACF9">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0D7175">
    <w:pPr>
      <w:pStyle w:val="11"/>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93B172">
                          <w:pPr>
                            <w:pStyle w:val="11"/>
                          </w:pPr>
                          <w:r>
                            <w:fldChar w:fldCharType="begin"/>
                          </w:r>
                          <w:r>
                            <w:instrText xml:space="preserve"> PAGE  \* MERGEFORMAT </w:instrText>
                          </w:r>
                          <w:r>
                            <w:fldChar w:fldCharType="separate"/>
                          </w:r>
                          <w:r>
                            <w:t>- 2 -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5B93B172">
                    <w:pPr>
                      <w:pStyle w:val="11"/>
                    </w:pPr>
                    <w:r>
                      <w:fldChar w:fldCharType="begin"/>
                    </w:r>
                    <w:r>
                      <w:instrText xml:space="preserve"> PAGE  \* MERGEFORMAT </w:instrText>
                    </w:r>
                    <w:r>
                      <w:fldChar w:fldCharType="separate"/>
                    </w:r>
                    <w:r>
                      <w:t>- 2 -</w:t>
                    </w:r>
                    <w:r>
                      <w:fldChar w:fldCharType="end"/>
                    </w:r>
                  </w:p>
                </w:txbxContent>
              </v:textbox>
            </v:shape>
          </w:pict>
        </mc:Fallback>
      </mc:AlternateContent>
    </w:r>
  </w:p>
  <w:p w14:paraId="52F40570">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6AD0D5">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F45B63">
                          <w:pPr>
                            <w:pStyle w:val="11"/>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57F45B63">
                    <w:pPr>
                      <w:pStyle w:val="11"/>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086F2A">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01FF644"/>
    <w:multiLevelType w:val="singleLevel"/>
    <w:tmpl w:val="F01FF644"/>
    <w:lvl w:ilvl="0" w:tentative="0">
      <w:start w:val="1"/>
      <w:numFmt w:val="decimal"/>
      <w:suff w:val="nothing"/>
      <w:lvlText w:val="%1."/>
      <w:lvlJc w:val="left"/>
      <w:rPr>
        <w:rFonts w:hint="default"/>
        <w:sz w:val="32"/>
        <w:szCs w:val="32"/>
      </w:rPr>
    </w:lvl>
  </w:abstractNum>
  <w:abstractNum w:abstractNumId="1">
    <w:nsid w:val="2481520A"/>
    <w:multiLevelType w:val="multilevel"/>
    <w:tmpl w:val="2481520A"/>
    <w:lvl w:ilvl="0" w:tentative="0">
      <w:start w:val="1"/>
      <w:numFmt w:val="chineseCountingThousand"/>
      <w:lvlText w:val="%1、"/>
      <w:lvlJc w:val="left"/>
      <w:pPr>
        <w:ind w:left="640" w:hanging="640"/>
      </w:pPr>
      <w:rPr>
        <w:rFonts w:hint="eastAsia" w:eastAsia="黑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bordersDoNotSurroundHeader w:val="1"/>
  <w:bordersDoNotSurroundFooter w:val="1"/>
  <w:documentProtection w:edit="readOnly"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useFELayout/>
    <w:compatSetting w:name="compatibilityMode" w:uri="http://schemas.microsoft.com/office/word" w:val="14"/>
  </w:compat>
  <w:rsids>
    <w:rsidRoot w:val="00000000"/>
    <w:rsid w:val="09FA55C7"/>
    <w:rsid w:val="11531250"/>
    <w:rsid w:val="160A2171"/>
    <w:rsid w:val="1EAA03E9"/>
    <w:rsid w:val="215A09BE"/>
    <w:rsid w:val="293E0261"/>
    <w:rsid w:val="2AD215C5"/>
    <w:rsid w:val="3B765F9D"/>
    <w:rsid w:val="3C423F3E"/>
    <w:rsid w:val="53D22A81"/>
    <w:rsid w:val="558570B1"/>
    <w:rsid w:val="70757461"/>
    <w:rsid w:val="786C4E5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1"/>
    <w:qFormat/>
    <w:uiPriority w:val="0"/>
    <w:pPr>
      <w:keepNext/>
      <w:keepLines/>
      <w:widowControl w:val="0"/>
      <w:spacing w:before="340" w:after="330" w:line="578" w:lineRule="auto"/>
      <w:outlineLvl w:val="0"/>
    </w:pPr>
    <w:rPr>
      <w:b/>
      <w:bCs/>
      <w:kern w:val="44"/>
      <w:sz w:val="44"/>
      <w:szCs w:val="44"/>
    </w:rPr>
  </w:style>
  <w:style w:type="paragraph" w:styleId="3">
    <w:name w:val="heading 2"/>
    <w:basedOn w:val="1"/>
    <w:next w:val="1"/>
    <w:link w:val="22"/>
    <w:qFormat/>
    <w:uiPriority w:val="0"/>
    <w:pPr>
      <w:keepNext/>
      <w:keepLines/>
      <w:widowControl w:val="0"/>
      <w:spacing w:before="260" w:after="260" w:line="415" w:lineRule="auto"/>
      <w:outlineLvl w:val="1"/>
    </w:pPr>
    <w:rPr>
      <w:rFonts w:ascii="Cambria" w:hAnsi="Cambria" w:eastAsia="宋体" w:cs="Times New Roman"/>
      <w:b/>
      <w:bCs/>
      <w:sz w:val="32"/>
      <w:szCs w:val="32"/>
    </w:rPr>
  </w:style>
  <w:style w:type="paragraph" w:styleId="4">
    <w:name w:val="heading 3"/>
    <w:basedOn w:val="1"/>
    <w:next w:val="1"/>
    <w:qFormat/>
    <w:uiPriority w:val="0"/>
    <w:pPr>
      <w:keepNext/>
      <w:keepLines/>
      <w:widowControl w:val="0"/>
      <w:spacing w:before="260" w:after="260" w:line="415" w:lineRule="auto"/>
      <w:outlineLvl w:val="2"/>
    </w:pPr>
    <w:rPr>
      <w:b/>
      <w:bCs/>
      <w:sz w:val="32"/>
      <w:szCs w:val="32"/>
    </w:rPr>
  </w:style>
  <w:style w:type="character" w:default="1" w:styleId="17">
    <w:name w:val="Default Paragraph Font"/>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ind w:firstLine="680"/>
    </w:pPr>
  </w:style>
  <w:style w:type="paragraph" w:styleId="6">
    <w:name w:val="Body Text"/>
    <w:basedOn w:val="1"/>
    <w:qFormat/>
    <w:uiPriority w:val="0"/>
    <w:pPr>
      <w:spacing w:before="30" w:beforeLines="30"/>
    </w:pPr>
    <w:rPr>
      <w:rFonts w:ascii="仿宋_GB2312" w:eastAsia="仿宋_GB2312"/>
      <w:kern w:val="0"/>
      <w:sz w:val="30"/>
    </w:rPr>
  </w:style>
  <w:style w:type="paragraph" w:styleId="7">
    <w:name w:val="Body Text Indent"/>
    <w:basedOn w:val="1"/>
    <w:next w:val="8"/>
    <w:qFormat/>
    <w:uiPriority w:val="0"/>
    <w:pPr>
      <w:spacing w:after="120"/>
      <w:ind w:left="200" w:leftChars="200"/>
    </w:pPr>
    <w:rPr>
      <w:rFonts w:ascii="仿宋_GB2312" w:hAnsi="仿宋_GB2312"/>
      <w:szCs w:val="32"/>
    </w:rPr>
  </w:style>
  <w:style w:type="paragraph" w:styleId="8">
    <w:name w:val="Body Text First Indent 2"/>
    <w:basedOn w:val="7"/>
    <w:qFormat/>
    <w:uiPriority w:val="0"/>
    <w:pPr>
      <w:ind w:firstLine="200" w:firstLineChars="200"/>
    </w:pPr>
  </w:style>
  <w:style w:type="paragraph" w:styleId="9">
    <w:name w:val="toc 3"/>
    <w:basedOn w:val="1"/>
    <w:next w:val="1"/>
    <w:qFormat/>
    <w:uiPriority w:val="0"/>
    <w:pPr>
      <w:tabs>
        <w:tab w:val="right" w:leader="dot" w:pos="8296"/>
      </w:tabs>
      <w:ind w:left="400" w:leftChars="400"/>
    </w:pPr>
  </w:style>
  <w:style w:type="paragraph" w:styleId="10">
    <w:name w:val="Balloon Text"/>
    <w:basedOn w:val="1"/>
    <w:qFormat/>
    <w:uiPriority w:val="0"/>
    <w:rPr>
      <w:sz w:val="18"/>
      <w:szCs w:val="18"/>
    </w:rPr>
  </w:style>
  <w:style w:type="paragraph" w:styleId="11">
    <w:name w:val="footer"/>
    <w:basedOn w:val="1"/>
    <w:qFormat/>
    <w:uiPriority w:val="0"/>
    <w:pPr>
      <w:tabs>
        <w:tab w:val="center" w:pos="4153"/>
        <w:tab w:val="right" w:pos="8306"/>
      </w:tabs>
      <w:snapToGrid w:val="0"/>
      <w:jc w:val="left"/>
    </w:pPr>
    <w:rPr>
      <w:rFonts w:ascii="Calibri" w:hAnsi="Calibri"/>
      <w:kern w:val="0"/>
      <w:sz w:val="18"/>
      <w:szCs w:val="18"/>
    </w:rPr>
  </w:style>
  <w:style w:type="paragraph" w:styleId="12">
    <w:name w:val="header"/>
    <w:basedOn w:val="1"/>
    <w:qFormat/>
    <w:uiPriority w:val="0"/>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qFormat/>
    <w:uiPriority w:val="0"/>
    <w:pPr>
      <w:tabs>
        <w:tab w:val="right" w:leader="dot" w:pos="8296"/>
      </w:tabs>
      <w:spacing w:before="93"/>
      <w:jc w:val="center"/>
    </w:pPr>
    <w:rPr>
      <w:rFonts w:ascii="仿宋" w:eastAsia="仿宋"/>
      <w:sz w:val="28"/>
      <w:szCs w:val="28"/>
    </w:rPr>
  </w:style>
  <w:style w:type="paragraph" w:styleId="14">
    <w:name w:val="footnote text"/>
    <w:basedOn w:val="1"/>
    <w:next w:val="8"/>
    <w:qFormat/>
    <w:uiPriority w:val="0"/>
    <w:pPr>
      <w:snapToGrid w:val="0"/>
      <w:jc w:val="left"/>
    </w:pPr>
    <w:rPr>
      <w:sz w:val="18"/>
      <w:szCs w:val="18"/>
    </w:rPr>
  </w:style>
  <w:style w:type="paragraph" w:styleId="15">
    <w:name w:val="toc 2"/>
    <w:basedOn w:val="1"/>
    <w:next w:val="1"/>
    <w:qFormat/>
    <w:uiPriority w:val="0"/>
    <w:pPr>
      <w:tabs>
        <w:tab w:val="right" w:leader="dot" w:pos="8296"/>
      </w:tabs>
      <w:ind w:left="200" w:leftChars="200"/>
    </w:pPr>
  </w:style>
  <w:style w:type="character" w:styleId="18">
    <w:name w:val="Strong"/>
    <w:basedOn w:val="17"/>
    <w:qFormat/>
    <w:uiPriority w:val="0"/>
    <w:rPr>
      <w:b/>
    </w:rPr>
  </w:style>
  <w:style w:type="character" w:styleId="19">
    <w:name w:val="Hyperlink"/>
    <w:basedOn w:val="17"/>
    <w:qFormat/>
    <w:uiPriority w:val="0"/>
    <w:rPr>
      <w:color w:val="0000FF"/>
      <w:u w:val="single"/>
    </w:rPr>
  </w:style>
  <w:style w:type="paragraph" w:customStyle="1" w:styleId="20">
    <w:name w:val="标题 5（有编号）（绿盟科技）"/>
    <w:next w:val="1"/>
    <w:qFormat/>
    <w:uiPriority w:val="0"/>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1">
    <w:name w:val="heading 1 Char"/>
    <w:basedOn w:val="17"/>
    <w:link w:val="2"/>
    <w:qFormat/>
    <w:uiPriority w:val="0"/>
    <w:rPr>
      <w:rFonts w:ascii="Times New Roman" w:hAnsi="Times New Roman" w:eastAsia="宋体" w:cs="Times New Roman"/>
      <w:b/>
      <w:bCs/>
      <w:kern w:val="44"/>
      <w:sz w:val="44"/>
      <w:szCs w:val="44"/>
      <w:lang w:val="en-US" w:eastAsia="zh-CN" w:bidi="ar-SA"/>
    </w:rPr>
  </w:style>
  <w:style w:type="character" w:customStyle="1" w:styleId="22">
    <w:name w:val="heading 2 Char"/>
    <w:basedOn w:val="17"/>
    <w:link w:val="3"/>
    <w:qFormat/>
    <w:uiPriority w:val="0"/>
    <w:rPr>
      <w:rFonts w:ascii="Cambria" w:hAnsi="Cambria" w:eastAsia="宋体" w:cs="Times New Roman"/>
      <w:b/>
      <w:bCs/>
      <w:kern w:val="2"/>
      <w:sz w:val="32"/>
      <w:szCs w:val="32"/>
      <w:lang w:val="en-US" w:eastAsia="zh-CN" w:bidi="ar-SA"/>
    </w:rPr>
  </w:style>
  <w:style w:type="character" w:customStyle="1" w:styleId="23">
    <w:name w:val="Header Char"/>
    <w:basedOn w:val="17"/>
    <w:qFormat/>
    <w:uiPriority w:val="0"/>
    <w:rPr>
      <w:rFonts w:ascii="Times New Roman" w:hAnsi="Times New Roman"/>
      <w:sz w:val="18"/>
      <w:szCs w:val="18"/>
    </w:rPr>
  </w:style>
  <w:style w:type="character" w:customStyle="1" w:styleId="24">
    <w:name w:val="Footer Char"/>
    <w:basedOn w:val="17"/>
    <w:qFormat/>
    <w:uiPriority w:val="0"/>
    <w:rPr>
      <w:rFonts w:ascii="Times New Roman" w:hAnsi="Times New Roman"/>
      <w:sz w:val="18"/>
      <w:szCs w:val="18"/>
    </w:rPr>
  </w:style>
  <w:style w:type="character" w:customStyle="1" w:styleId="25">
    <w:name w:val="Body Text Char"/>
    <w:basedOn w:val="17"/>
    <w:qFormat/>
    <w:uiPriority w:val="0"/>
    <w:rPr>
      <w:rFonts w:ascii="Times New Roman" w:hAnsi="Times New Roman"/>
      <w:szCs w:val="24"/>
    </w:rPr>
  </w:style>
  <w:style w:type="paragraph" w:customStyle="1" w:styleId="26">
    <w:name w:val="Default"/>
    <w:qFormat/>
    <w:uiPriority w:val="0"/>
    <w:pPr>
      <w:widowControl w:val="0"/>
      <w:autoSpaceDE w:val="0"/>
      <w:autoSpaceDN w:val="0"/>
      <w:adjustRightInd w:val="0"/>
    </w:pPr>
    <w:rPr>
      <w:rFonts w:ascii="仿宋" w:hAnsi="Times New Roman" w:eastAsia="仿宋" w:cs="仿宋"/>
      <w:color w:val="000000"/>
      <w:sz w:val="24"/>
      <w:szCs w:val="24"/>
      <w:lang w:val="en-US" w:eastAsia="zh-CN" w:bidi="ar-SA"/>
    </w:rPr>
  </w:style>
  <w:style w:type="paragraph" w:styleId="27">
    <w:name w:val="List Paragraph"/>
    <w:basedOn w:val="1"/>
    <w:qFormat/>
    <w:uiPriority w:val="0"/>
    <w:pPr>
      <w:ind w:firstLine="200" w:firstLineChars="200"/>
    </w:pPr>
  </w:style>
  <w:style w:type="paragraph" w:customStyle="1" w:styleId="28">
    <w:name w:val="TOC 标题1"/>
    <w:basedOn w:val="2"/>
    <w:next w:val="1"/>
    <w:qFormat/>
    <w:uiPriority w:val="0"/>
    <w:pPr>
      <w:keepNext/>
      <w:keepLines/>
      <w:widowControl/>
      <w:spacing w:before="480" w:after="0" w:line="276" w:lineRule="auto"/>
      <w:jc w:val="left"/>
      <w:outlineLvl w:val="9"/>
    </w:pPr>
    <w:rPr>
      <w:rFonts w:ascii="Cambria" w:hAnsi="Cambria" w:eastAsia="宋体" w:cs="Times New Roman"/>
      <w:color w:val="376092"/>
      <w:kern w:val="0"/>
      <w:sz w:val="28"/>
      <w:szCs w:val="28"/>
    </w:rPr>
  </w:style>
  <w:style w:type="paragraph" w:customStyle="1" w:styleId="29">
    <w:name w:val="TOC Heading"/>
    <w:basedOn w:val="2"/>
    <w:next w:val="1"/>
    <w:qFormat/>
    <w:uiPriority w:val="0"/>
    <w:pPr>
      <w:keepNext/>
      <w:keepLines/>
      <w:widowControl/>
      <w:spacing w:before="480" w:after="0" w:line="276" w:lineRule="auto"/>
      <w:jc w:val="left"/>
      <w:outlineLvl w:val="9"/>
    </w:pPr>
    <w:rPr>
      <w:rFonts w:ascii="Cambria" w:hAnsi="Cambria" w:eastAsia="宋体" w:cs="Times New Roman"/>
      <w:color w:val="376092"/>
      <w:kern w:val="0"/>
      <w:sz w:val="28"/>
      <w:szCs w:val="28"/>
    </w:rPr>
  </w:style>
  <w:style w:type="paragraph" w:customStyle="1" w:styleId="30">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1.emf"/><Relationship Id="rId8" Type="http://schemas.openxmlformats.org/officeDocument/2006/relationships/oleObject" Target="embeddings/oleObject1.bin"/><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2" Type="http://schemas.openxmlformats.org/officeDocument/2006/relationships/fontTable" Target="fontTable.xml"/><Relationship Id="rId31" Type="http://schemas.openxmlformats.org/officeDocument/2006/relationships/numbering" Target="numbering.xml"/><Relationship Id="rId30" Type="http://schemas.openxmlformats.org/officeDocument/2006/relationships/customXml" Target="../customXml/item1.xml"/><Relationship Id="rId3" Type="http://schemas.openxmlformats.org/officeDocument/2006/relationships/header" Target="header1.xml"/><Relationship Id="rId29" Type="http://schemas.openxmlformats.org/officeDocument/2006/relationships/image" Target="media/image15.png"/><Relationship Id="rId28" Type="http://schemas.openxmlformats.org/officeDocument/2006/relationships/image" Target="media/image14.png"/><Relationship Id="rId27" Type="http://schemas.openxmlformats.org/officeDocument/2006/relationships/image" Target="media/image13.png"/><Relationship Id="rId26" Type="http://schemas.openxmlformats.org/officeDocument/2006/relationships/image" Target="media/image12.png"/><Relationship Id="rId25" Type="http://schemas.openxmlformats.org/officeDocument/2006/relationships/image" Target="media/image11.png"/><Relationship Id="rId24" Type="http://schemas.openxmlformats.org/officeDocument/2006/relationships/image" Target="media/image10.png"/><Relationship Id="rId23" Type="http://schemas.openxmlformats.org/officeDocument/2006/relationships/image" Target="media/image9.png"/><Relationship Id="rId22" Type="http://schemas.openxmlformats.org/officeDocument/2006/relationships/image" Target="media/image8.png"/><Relationship Id="rId21" Type="http://schemas.openxmlformats.org/officeDocument/2006/relationships/image" Target="media/image7.png"/><Relationship Id="rId20" Type="http://schemas.openxmlformats.org/officeDocument/2006/relationships/chart" Target="charts/chart1.xml"/><Relationship Id="rId2" Type="http://schemas.openxmlformats.org/officeDocument/2006/relationships/settings" Target="settings.xml"/><Relationship Id="rId19" Type="http://schemas.openxmlformats.org/officeDocument/2006/relationships/image" Target="media/image6.emf"/><Relationship Id="rId18" Type="http://schemas.openxmlformats.org/officeDocument/2006/relationships/oleObject" Target="embeddings/oleObject6.bin"/><Relationship Id="rId17" Type="http://schemas.openxmlformats.org/officeDocument/2006/relationships/image" Target="media/image5.emf"/><Relationship Id="rId16" Type="http://schemas.openxmlformats.org/officeDocument/2006/relationships/oleObject" Target="embeddings/oleObject5.bin"/><Relationship Id="rId15" Type="http://schemas.openxmlformats.org/officeDocument/2006/relationships/image" Target="media/image4.emf"/><Relationship Id="rId14" Type="http://schemas.openxmlformats.org/officeDocument/2006/relationships/oleObject" Target="embeddings/oleObject4.bin"/><Relationship Id="rId13" Type="http://schemas.openxmlformats.org/officeDocument/2006/relationships/image" Target="media/image3.emf"/><Relationship Id="rId12" Type="http://schemas.openxmlformats.org/officeDocument/2006/relationships/oleObject" Target="embeddings/oleObject3.bin"/><Relationship Id="rId11" Type="http://schemas.openxmlformats.org/officeDocument/2006/relationships/image" Target="media/image2.emf"/><Relationship Id="rId10" Type="http://schemas.openxmlformats.org/officeDocument/2006/relationships/oleObject" Target="embeddings/oleObject2.bin"/><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销售额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dLbl>
              <c:idx val="0"/>
              <c:layout/>
              <c:numFmt formatCode="#,##0.00_);[Red]\(#,##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1"/>
              <c:layout/>
              <c:numFmt formatCode="#,##0.00_);[Red]\(#,##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2"/>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2"/>
              <c:layout>
                <c:manualLayout>
                  <c:x val="0.212007731336072"/>
                  <c:y val="0.0350616234594135"/>
                </c:manualLayout>
              </c:layout>
              <c:numFmt formatCode="#,##0.00_);[Red]\(#,##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3"/>
                      </a:solidFill>
                      <a:latin typeface="+mn-lt"/>
                      <a:ea typeface="+mn-ea"/>
                      <a:cs typeface="+mn-cs"/>
                    </a:defRPr>
                  </a:pPr>
                </a:p>
              </c:txPr>
              <c:dLblPos val="bestFit"/>
              <c:showLegendKey val="0"/>
              <c:showVal val="1"/>
              <c:showCatName val="1"/>
              <c:showSerName val="0"/>
              <c:showPercent val="0"/>
              <c:showBubbleSize val="0"/>
              <c:extLst>
                <c:ext xmlns:c15="http://schemas.microsoft.com/office/drawing/2012/chart" uri="{CE6537A1-D6FC-4f65-9D91-7224C49458BB}">
                  <c15:layout/>
                </c:ext>
              </c:extLst>
            </c:dLbl>
            <c:numFmt formatCode="#,##0.00_);[Red]\(#,##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公务用车购置费</c:v>
                </c:pt>
                <c:pt idx="1">
                  <c:v>公务用车运行维护费</c:v>
                </c:pt>
                <c:pt idx="2">
                  <c:v>公务接待费</c:v>
                </c:pt>
              </c:strCache>
            </c:strRef>
          </c:cat>
          <c:val>
            <c:numRef>
              <c:f>Sheet1!$B$2:$B$4</c:f>
              <c:numCache>
                <c:formatCode>General</c:formatCode>
                <c:ptCount val="3"/>
                <c:pt idx="0">
                  <c:v>38.1</c:v>
                </c:pt>
                <c:pt idx="1">
                  <c:v>5.04</c:v>
                </c:pt>
                <c:pt idx="2">
                  <c:v>0.63</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extLst>
      <c:ext uri="{0b15fc19-7d7d-44ad-8c2d-2c3a37ce22c3}">
        <chartProps xmlns="https://web.wps.cn/et/2018/main" chartId="{afd45e4a-d102-4b82-9f21-fc0af3b7f9db}"/>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4">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cs:styleClr val="auto"/>
    </cs:fontRef>
    <cs:defRPr sz="1000" b="1" i="0" u="none" strike="noStrike" kern="1200" spc="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Info spid="_x0000_s1027"/>
    <customShpInfo spid="_x0000_s103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Company>四川省财政厅</Company>
  <Pages>32</Pages>
  <Words>26</Words>
  <Characters>29</Characters>
  <Lines>440</Lines>
  <Paragraphs>219</Paragraphs>
  <TotalTime>3</TotalTime>
  <ScaleCrop>false</ScaleCrop>
  <LinksUpToDate>false</LinksUpToDate>
  <CharactersWithSpaces>29</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若、</cp:lastModifiedBy>
  <cp:lastPrinted>2025-08-06T17:34:00Z</cp:lastPrinted>
  <dcterms:modified xsi:type="dcterms:W3CDTF">2026-09-15T01:18:28Z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04787F2533EB45DC91BCDE4AB213247F</vt:lpwstr>
  </property>
  <property fmtid="{D5CDD505-2E9C-101B-9397-08002B2CF9AE}" pid="4" name="KSOTemplateDocerSaveRecord">
    <vt:lpwstr>eyJoZGlkIjoiNjY3ZDZmYzcwZmVjNzYwYTY2NzUwNzRjNDU5MDYxNjQiLCJ1c2VySWQiOiIyNzg4NjIxMzcifQ==</vt:lpwstr>
  </property>
</Properties>
</file>