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D79E05">
      <w:pPr>
        <w:pStyle w:val="5"/>
        <w:rPr>
          <w:rFonts w:hint="eastAsia" w:ascii="Times New Roman" w:hAnsi="Times New Roman" w:eastAsia="方正小标宋简体" w:cs="Times New Roman"/>
          <w:color w:val="auto"/>
          <w:kern w:val="2"/>
          <w:sz w:val="72"/>
          <w:szCs w:val="72"/>
          <w:highlight w:val="none"/>
          <w:lang w:val="en-US" w:eastAsia="zh-CN" w:bidi="ar-SA"/>
        </w:rPr>
      </w:pPr>
      <w:bookmarkStart w:id="0" w:name="_Toc15378441"/>
      <w:bookmarkStart w:id="1" w:name="_Toc15396597"/>
      <w:bookmarkStart w:id="2" w:name="_Toc15377193"/>
      <w:bookmarkStart w:id="3" w:name="_Toc15396475"/>
      <w:bookmarkStart w:id="4" w:name="_Toc15377425"/>
      <w:bookmarkStart w:id="5" w:name="_Toc15306267"/>
    </w:p>
    <w:p w14:paraId="34D1CE35">
      <w:pPr>
        <w:pStyle w:val="5"/>
        <w:rPr>
          <w:rFonts w:hint="eastAsia" w:ascii="Times New Roman" w:hAnsi="Times New Roman" w:eastAsia="方正小标宋简体" w:cs="Times New Roman"/>
          <w:color w:val="auto"/>
          <w:kern w:val="2"/>
          <w:sz w:val="72"/>
          <w:szCs w:val="72"/>
          <w:highlight w:val="none"/>
          <w:lang w:val="en-US" w:eastAsia="zh-CN" w:bidi="ar-SA"/>
        </w:rPr>
      </w:pPr>
    </w:p>
    <w:p w14:paraId="0C664B04">
      <w:pPr>
        <w:rPr>
          <w:rFonts w:ascii="Times New Roman" w:hAnsi="Times New Roman"/>
        </w:rPr>
      </w:pPr>
    </w:p>
    <w:p w14:paraId="01006711">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4661CA40">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46952985">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339BD4AA">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361EA2F6">
      <w:pPr>
        <w:pStyle w:val="5"/>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96476"/>
      <w:bookmarkStart w:id="7" w:name="_Toc15396598"/>
      <w:bookmarkStart w:id="8" w:name="_Toc15378442"/>
      <w:bookmarkStart w:id="9" w:name="_Toc15377194"/>
      <w:bookmarkStart w:id="10" w:name="_Toc15377426"/>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r>
        <w:rPr>
          <w:rFonts w:hint="eastAsia" w:ascii="Times New Roman" w:eastAsia="方正小标宋简体" w:cs="Times New Roman"/>
          <w:color w:val="auto"/>
          <w:kern w:val="2"/>
          <w:sz w:val="44"/>
          <w:szCs w:val="44"/>
          <w:highlight w:val="none"/>
          <w:lang w:val="en-US" w:eastAsia="zh-CN" w:bidi="ar-SA"/>
        </w:rPr>
        <w:t>阿坝州</w:t>
      </w:r>
      <w:bookmarkEnd w:id="5"/>
      <w:bookmarkStart w:id="11" w:name="_Toc15306268"/>
      <w:r>
        <w:rPr>
          <w:rFonts w:hint="default" w:ascii="Times New Roman" w:eastAsia="方正小标宋简体" w:cs="Times New Roman"/>
          <w:color w:val="auto"/>
          <w:kern w:val="2"/>
          <w:sz w:val="44"/>
          <w:szCs w:val="44"/>
          <w:highlight w:val="none"/>
          <w:lang w:eastAsia="zh-CN" w:bidi="ar-SA"/>
        </w:rPr>
        <w:t>少年儿童体育学校</w:t>
      </w:r>
      <w:r>
        <w:rPr>
          <w:rFonts w:hint="eastAsia" w:ascii="Times New Roman" w:hAnsi="Times New Roman" w:eastAsia="方正小标宋简体" w:cs="Times New Roman"/>
          <w:color w:val="auto"/>
          <w:kern w:val="2"/>
          <w:sz w:val="44"/>
          <w:szCs w:val="44"/>
          <w:highlight w:val="none"/>
          <w:lang w:val="en-US" w:eastAsia="zh-CN" w:bidi="ar-SA"/>
        </w:rPr>
        <w:t>决算</w:t>
      </w:r>
      <w:bookmarkEnd w:id="6"/>
      <w:bookmarkEnd w:id="7"/>
      <w:bookmarkEnd w:id="8"/>
      <w:bookmarkEnd w:id="9"/>
      <w:bookmarkEnd w:id="10"/>
      <w:bookmarkEnd w:id="11"/>
    </w:p>
    <w:p w14:paraId="79865B5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（注：</w:t>
      </w:r>
      <w:r>
        <w:rPr>
          <w:rFonts w:hint="eastAsia" w:eastAsia="仿宋_GB2312" w:cs="仿宋_GB2312"/>
          <w:color w:val="auto"/>
          <w:sz w:val="32"/>
          <w:szCs w:val="32"/>
          <w:highlight w:val="none"/>
          <w:lang w:val="en-US" w:eastAsia="zh-CN"/>
        </w:rPr>
        <w:t>以下为部门公开范本。单位公开内容应参照部门公开内容和报表格式，并与部门公开内容做好衔接）</w:t>
      </w:r>
    </w:p>
    <w:p w14:paraId="27439903">
      <w:pPr>
        <w:widowControl/>
        <w:jc w:val="center"/>
        <w:rPr>
          <w:rFonts w:hint="eastAsia" w:ascii="Times New Roman" w:hAnsi="Times New Roman" w:eastAsia="黑体"/>
          <w:color w:val="auto"/>
          <w:sz w:val="48"/>
          <w:szCs w:val="48"/>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2EC5FD0A">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7733B912">
      <w:pPr>
        <w:widowControl/>
        <w:jc w:val="center"/>
        <w:rPr>
          <w:rFonts w:ascii="Times New Roman" w:hAnsi="Times New Roman" w:eastAsia="黑体" w:cstheme="minorBidi"/>
          <w:color w:val="auto"/>
          <w:sz w:val="28"/>
          <w:szCs w:val="28"/>
          <w:highlight w:val="none"/>
        </w:rPr>
      </w:pPr>
    </w:p>
    <w:p w14:paraId="3A5B6098">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10 </w:t>
      </w:r>
      <w:r>
        <w:rPr>
          <w:rFonts w:hint="eastAsia" w:ascii="Times New Roman" w:hAnsi="Times New Roman" w:eastAsia="仿宋_GB2312" w:cs="仿宋_GB2312"/>
          <w:color w:val="auto"/>
          <w:sz w:val="32"/>
          <w:szCs w:val="32"/>
          <w:highlight w:val="none"/>
        </w:rPr>
        <w:t>日</w:t>
      </w:r>
    </w:p>
    <w:p w14:paraId="77140DD9">
      <w:pPr>
        <w:rPr>
          <w:rFonts w:ascii="Times New Roman" w:hAnsi="Times New Roman"/>
          <w:color w:val="auto"/>
          <w:highlight w:val="none"/>
        </w:rPr>
      </w:pPr>
    </w:p>
    <w:p w14:paraId="23043208">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28E57E2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6E47042A">
      <w:pPr>
        <w:pStyle w:val="14"/>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仿宋_GB2312" w:hAnsi="仿宋_GB2312" w:eastAsia="仿宋_GB2312" w:cs="仿宋_GB2312"/>
          <w:sz w:val="32"/>
          <w:szCs w:val="32"/>
        </w:rPr>
      </w:pPr>
      <w:r>
        <w:rPr>
          <w:rFonts w:hint="eastAsia" w:ascii="Times New Roman" w:hAnsi="Times New Roman" w:eastAsia="仿宋_GB2312" w:cs="仿宋_GB2312"/>
          <w:color w:val="auto"/>
          <w:sz w:val="32"/>
          <w:szCs w:val="32"/>
          <w:highlight w:val="none"/>
        </w:rPr>
        <w:t>机构设置</w:t>
      </w:r>
    </w:p>
    <w:p w14:paraId="692D9F8A">
      <w:pPr>
        <w:numPr>
          <w:ilvl w:val="0"/>
          <w:numId w:val="0"/>
        </w:numPr>
        <w:rPr>
          <w:rFonts w:hint="eastAsia"/>
        </w:rPr>
      </w:pPr>
    </w:p>
    <w:p w14:paraId="771186B7">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34E0C8F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3BBC8FC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1E95D36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743C105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78AC313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1CD5595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6721348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0AB95DA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2243FFA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70243B7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033D1956">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6919BD2B">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28BC513F">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6B8CA8C1">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63B64D8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3CA388C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469BDFC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4CEF5CA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50C5171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076D7DF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4B83B90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33055C23">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EE7DDE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78ACC18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5F7FA78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283A63D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7FD50B3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58E71B94">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77196"/>
      <w:bookmarkStart w:id="13" w:name="_Toc15396599"/>
      <w:r>
        <w:rPr>
          <w:rFonts w:hint="eastAsia" w:ascii="Times New Roman" w:hAnsi="Times New Roman" w:eastAsia="仿宋_GB2312" w:cs="仿宋_GB2312"/>
          <w:b/>
          <w:color w:val="auto"/>
          <w:sz w:val="32"/>
          <w:szCs w:val="32"/>
          <w:highlight w:val="none"/>
        </w:rPr>
        <w:br w:type="page"/>
      </w:r>
    </w:p>
    <w:p w14:paraId="55E0E30A">
      <w:pPr>
        <w:pStyle w:val="2"/>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6D244B3F">
      <w:pPr>
        <w:widowControl/>
        <w:jc w:val="left"/>
        <w:rPr>
          <w:rFonts w:ascii="Times New Roman" w:hAnsi="Times New Roman" w:eastAsia="黑体"/>
          <w:color w:val="auto"/>
          <w:sz w:val="32"/>
          <w:szCs w:val="32"/>
          <w:highlight w:val="none"/>
        </w:rPr>
      </w:pPr>
    </w:p>
    <w:p w14:paraId="7B7DC90C">
      <w:pPr>
        <w:pStyle w:val="3"/>
        <w:numPr>
          <w:ilvl w:val="0"/>
          <w:numId w:val="2"/>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7D997D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阿坝州少年儿童体育学校（简称州少年儿童体育学校）为州教育和体育局所属正科级公益一类事业单位。</w:t>
      </w:r>
    </w:p>
    <w:p w14:paraId="5B331E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主要职责是：负责积极开展各类体育项目活动锻炼，组织举办形式多样的竞赛活动，通过竞赛推动青少年儿童体育训练的普及和提高。</w:t>
      </w:r>
    </w:p>
    <w:p w14:paraId="7A407E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州少年儿童体育学校事业编制24名，其中：正科级领导职数1名，副科级领导职数2名。</w:t>
      </w:r>
    </w:p>
    <w:p w14:paraId="28E14361">
      <w:pPr>
        <w:numPr>
          <w:ilvl w:val="0"/>
          <w:numId w:val="0"/>
        </w:numPr>
        <w:rPr>
          <w:rFonts w:hint="eastAsia"/>
          <w:lang w:eastAsia="zh-CN"/>
        </w:rPr>
      </w:pPr>
    </w:p>
    <w:p w14:paraId="3599AD4A">
      <w:pPr>
        <w:pStyle w:val="3"/>
        <w:rPr>
          <w:rStyle w:val="29"/>
          <w:rFonts w:ascii="Times New Roman" w:hAnsi="Times New Roman"/>
          <w:b w:val="0"/>
          <w:bCs w:val="0"/>
          <w:color w:val="auto"/>
          <w:highlight w:val="none"/>
        </w:rPr>
      </w:pPr>
      <w:bookmarkStart w:id="14" w:name="_Toc15396601"/>
      <w:bookmarkStart w:id="15"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4"/>
      <w:bookmarkEnd w:id="15"/>
    </w:p>
    <w:p w14:paraId="61109698">
      <w:pPr>
        <w:ind w:firstLine="800" w:firstLineChars="250"/>
        <w:rPr>
          <w:rFonts w:hint="eastAsia" w:ascii="Times New Roman" w:hAnsi="Times New Roman" w:eastAsia="仿宋_GB2312" w:cs="仿宋_GB2312"/>
          <w:color w:val="auto"/>
          <w:sz w:val="32"/>
          <w:szCs w:val="32"/>
          <w:highlight w:val="none"/>
        </w:rPr>
      </w:pPr>
      <w:r>
        <w:rPr>
          <w:rFonts w:hint="eastAsia" w:ascii="仿宋_GB2312" w:hAnsi="仿宋_GB2312" w:eastAsia="仿宋_GB2312" w:cs="仿宋_GB2312"/>
          <w:sz w:val="32"/>
          <w:szCs w:val="32"/>
          <w:lang w:val="en-US" w:eastAsia="zh-CN"/>
        </w:rPr>
        <w:t>阿坝州少年儿童体育学校（简称州少年儿童体育学校）为州教育和体育局所属正科级公益一类事业单位。</w:t>
      </w:r>
    </w:p>
    <w:p w14:paraId="549464D9">
      <w:pPr>
        <w:pStyle w:val="5"/>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lang w:eastAsia="zh-CN"/>
        </w:rPr>
      </w:pPr>
      <w:r>
        <w:rPr>
          <w:rFonts w:hint="eastAsia" w:ascii="Times New Roman" w:cs="仿宋_GB2312"/>
          <w:color w:val="auto"/>
          <w:sz w:val="32"/>
          <w:szCs w:val="32"/>
          <w:highlight w:val="none"/>
          <w:lang w:eastAsia="zh-CN"/>
        </w:rPr>
        <w:t>无</w:t>
      </w:r>
      <w:r>
        <w:rPr>
          <w:rFonts w:hint="eastAsia" w:ascii="Times New Roman" w:hAnsi="Times New Roman" w:eastAsia="仿宋_GB2312" w:cs="仿宋_GB2312"/>
          <w:color w:val="auto"/>
          <w:sz w:val="32"/>
          <w:szCs w:val="32"/>
          <w:highlight w:val="none"/>
        </w:rPr>
        <w:t>纳入</w:t>
      </w:r>
      <w:r>
        <w:rPr>
          <w:rFonts w:hint="eastAsia" w:ascii="Times New Roman" w:cs="仿宋_GB2312"/>
          <w:color w:val="auto"/>
          <w:sz w:val="32"/>
          <w:szCs w:val="32"/>
          <w:highlight w:val="none"/>
          <w:lang w:eastAsia="zh-CN"/>
        </w:rPr>
        <w:t>州体校2025年度</w:t>
      </w:r>
      <w:r>
        <w:rPr>
          <w:rFonts w:hint="eastAsia" w:ascii="Times New Roman" w:hAnsi="Times New Roman" w:eastAsia="仿宋_GB2312" w:cs="仿宋_GB2312"/>
          <w:color w:val="auto"/>
          <w:sz w:val="32"/>
          <w:szCs w:val="32"/>
          <w:highlight w:val="none"/>
        </w:rPr>
        <w:t>部门决算编制范围的二级预算单位</w:t>
      </w:r>
      <w:r>
        <w:rPr>
          <w:rFonts w:hint="eastAsia" w:ascii="Times New Roman" w:cs="仿宋_GB2312"/>
          <w:color w:val="auto"/>
          <w:sz w:val="32"/>
          <w:szCs w:val="32"/>
          <w:highlight w:val="none"/>
          <w:lang w:eastAsia="zh-CN"/>
        </w:rPr>
        <w:t>。</w:t>
      </w:r>
    </w:p>
    <w:p w14:paraId="21817FDD">
      <w:pPr>
        <w:pStyle w:val="2"/>
        <w:jc w:val="center"/>
        <w:rPr>
          <w:rFonts w:hint="eastAsia" w:ascii="Times New Roman" w:hAnsi="Times New Roman" w:eastAsia="方正小标宋简体" w:cs="方正小标宋简体"/>
          <w:b w:val="0"/>
          <w:color w:val="auto"/>
          <w:highlight w:val="none"/>
        </w:rPr>
      </w:pPr>
      <w:bookmarkStart w:id="16" w:name="_Toc15396602"/>
      <w:bookmarkStart w:id="17"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64478E84">
      <w:pPr>
        <w:rPr>
          <w:rFonts w:ascii="Times New Roman" w:hAnsi="Times New Roman"/>
          <w:color w:val="auto"/>
          <w:highlight w:val="none"/>
        </w:rPr>
      </w:pPr>
    </w:p>
    <w:p w14:paraId="27A7C57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8"/>
      <w:bookmarkEnd w:id="19"/>
    </w:p>
    <w:p w14:paraId="26870A1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927.63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47.58</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5.41</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：一是一般公共预算财政收入增加</w:t>
      </w:r>
      <w:r>
        <w:rPr>
          <w:rFonts w:hint="eastAsia" w:eastAsia="仿宋_GB2312" w:cs="仿宋_GB2312"/>
          <w:color w:val="auto"/>
          <w:sz w:val="32"/>
          <w:szCs w:val="32"/>
          <w:highlight w:val="none"/>
          <w:lang w:val="en-US" w:eastAsia="zh-CN"/>
        </w:rPr>
        <w:t>20.94万元，原因是2025年度单位人员增加，新进三名工作人员、调入两名工作人员，单位共计增加5名工作人员，相对应的增加了单元的人员经费支出与公用经费支出；二是政府性基金预算财政拨款收入增加26.64万元，原因是2025年度单位中途收到一笔省级部门下达的用于体育事业彩票公益金。</w:t>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082868C3">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3609975" cy="3067050"/>
            <wp:effectExtent l="0" t="0" r="9525" b="0"/>
            <wp:docPr id="1" name="图片 1" descr="收支总计变动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收支总计变动表"/>
                    <pic:cNvPicPr>
                      <a:picLocks noChangeAspect="1"/>
                    </pic:cNvPicPr>
                  </pic:nvPicPr>
                  <pic:blipFill>
                    <a:blip r:embed="rId9"/>
                    <a:stretch>
                      <a:fillRect/>
                    </a:stretch>
                  </pic:blipFill>
                  <pic:spPr>
                    <a:xfrm>
                      <a:off x="0" y="0"/>
                      <a:ext cx="3609975" cy="3067050"/>
                    </a:xfrm>
                    <a:prstGeom prst="rect">
                      <a:avLst/>
                    </a:prstGeom>
                  </pic:spPr>
                </pic:pic>
              </a:graphicData>
            </a:graphic>
          </wp:inline>
        </w:drawing>
      </w:r>
    </w:p>
    <w:p w14:paraId="7A584EA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0" w:name="_Toc15377206"/>
      <w:bookmarkStart w:id="21" w:name="_Toc15396604"/>
      <w:r>
        <w:rPr>
          <w:rFonts w:hint="eastAsia" w:ascii="Times New Roman" w:hAnsi="Times New Roman" w:eastAsia="黑体"/>
          <w:color w:val="auto"/>
          <w:sz w:val="32"/>
          <w:szCs w:val="32"/>
          <w:highlight w:val="none"/>
          <w:lang w:eastAsia="zh-CN"/>
        </w:rPr>
        <w:t>二、收入决算情况说明</w:t>
      </w:r>
      <w:bookmarkEnd w:id="20"/>
      <w:bookmarkEnd w:id="21"/>
    </w:p>
    <w:p w14:paraId="14659C4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927.63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886.05</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95.52</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41.58</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4.48</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4297FF1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7DA65875">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3533775" cy="3048000"/>
            <wp:effectExtent l="0" t="0" r="9525" b="0"/>
            <wp:docPr id="3" name="图片 3" descr="收入决算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收入决算结构图"/>
                    <pic:cNvPicPr>
                      <a:picLocks noChangeAspect="1"/>
                    </pic:cNvPicPr>
                  </pic:nvPicPr>
                  <pic:blipFill>
                    <a:blip r:embed="rId10"/>
                    <a:stretch>
                      <a:fillRect/>
                    </a:stretch>
                  </pic:blipFill>
                  <pic:spPr>
                    <a:xfrm>
                      <a:off x="0" y="0"/>
                      <a:ext cx="3533775" cy="3048000"/>
                    </a:xfrm>
                    <a:prstGeom prst="rect">
                      <a:avLst/>
                    </a:prstGeom>
                  </pic:spPr>
                </pic:pic>
              </a:graphicData>
            </a:graphic>
          </wp:inline>
        </w:drawing>
      </w:r>
    </w:p>
    <w:p w14:paraId="29AD9C4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5396605"/>
      <w:bookmarkStart w:id="2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2"/>
      <w:bookmarkEnd w:id="23"/>
    </w:p>
    <w:p w14:paraId="5B9FDAC5">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927.63</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639.46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68.93</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288.17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31.07</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3107680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2D6EF857">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5268595" cy="4403725"/>
            <wp:effectExtent l="0" t="0" r="8255" b="15875"/>
            <wp:docPr id="7" name="图片 7" descr="支出决算结构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支出决算结构图"/>
                    <pic:cNvPicPr>
                      <a:picLocks noChangeAspect="1"/>
                    </pic:cNvPicPr>
                  </pic:nvPicPr>
                  <pic:blipFill>
                    <a:blip r:embed="rId11"/>
                    <a:stretch>
                      <a:fillRect/>
                    </a:stretch>
                  </pic:blipFill>
                  <pic:spPr>
                    <a:xfrm>
                      <a:off x="0" y="0"/>
                      <a:ext cx="5268595" cy="4403725"/>
                    </a:xfrm>
                    <a:prstGeom prst="rect">
                      <a:avLst/>
                    </a:prstGeom>
                  </pic:spPr>
                </pic:pic>
              </a:graphicData>
            </a:graphic>
          </wp:inline>
        </w:drawing>
      </w:r>
    </w:p>
    <w:p w14:paraId="6ED65384">
      <w:pPr>
        <w:spacing w:line="600" w:lineRule="exact"/>
        <w:ind w:firstLine="640" w:firstLineChars="200"/>
        <w:outlineLvl w:val="1"/>
        <w:rPr>
          <w:rStyle w:val="29"/>
          <w:rFonts w:ascii="Times New Roman" w:hAnsi="Times New Roman" w:eastAsia="黑体"/>
          <w:b w:val="0"/>
          <w:color w:val="auto"/>
          <w:highlight w:val="none"/>
        </w:rPr>
      </w:pPr>
      <w:bookmarkStart w:id="24" w:name="_Toc15377208"/>
      <w:bookmarkStart w:id="25"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4"/>
      <w:bookmarkEnd w:id="25"/>
    </w:p>
    <w:p w14:paraId="47169A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927.63</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47.58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5.41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eastAsia="zh-CN"/>
        </w:rPr>
        <w:t>一般公共预算财政收入增加</w:t>
      </w:r>
      <w:r>
        <w:rPr>
          <w:rFonts w:hint="eastAsia" w:eastAsia="仿宋_GB2312" w:cs="仿宋_GB2312"/>
          <w:color w:val="auto"/>
          <w:sz w:val="32"/>
          <w:szCs w:val="32"/>
          <w:highlight w:val="none"/>
          <w:lang w:val="en-US" w:eastAsia="zh-CN"/>
        </w:rPr>
        <w:t>20.94万元，政府性基金预算财政拨款收入增加26.64万元。</w:t>
      </w:r>
    </w:p>
    <w:p w14:paraId="70341FCB">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11DD5929">
      <w:pPr>
        <w:spacing w:line="240" w:lineRule="auto"/>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067175" cy="3426460"/>
            <wp:effectExtent l="0" t="0" r="9525" b="2540"/>
            <wp:docPr id="10" name="图片 10" descr="收支总计变动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收支总计变动表"/>
                    <pic:cNvPicPr>
                      <a:picLocks noChangeAspect="1"/>
                    </pic:cNvPicPr>
                  </pic:nvPicPr>
                  <pic:blipFill>
                    <a:blip r:embed="rId9"/>
                    <a:stretch>
                      <a:fillRect/>
                    </a:stretch>
                  </pic:blipFill>
                  <pic:spPr>
                    <a:xfrm>
                      <a:off x="0" y="0"/>
                      <a:ext cx="4067175" cy="3426460"/>
                    </a:xfrm>
                    <a:prstGeom prst="rect">
                      <a:avLst/>
                    </a:prstGeom>
                  </pic:spPr>
                </pic:pic>
              </a:graphicData>
            </a:graphic>
          </wp:inline>
        </w:drawing>
      </w:r>
    </w:p>
    <w:p w14:paraId="29936F96">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7BBEE4CE">
      <w:pPr>
        <w:spacing w:line="600" w:lineRule="exact"/>
        <w:ind w:firstLine="640" w:firstLineChars="200"/>
        <w:outlineLvl w:val="1"/>
        <w:rPr>
          <w:rStyle w:val="29"/>
          <w:rFonts w:ascii="Times New Roman" w:hAnsi="Times New Roman" w:eastAsia="黑体"/>
          <w:b w:val="0"/>
          <w:color w:val="auto"/>
          <w:highlight w:val="none"/>
        </w:rPr>
      </w:pPr>
      <w:bookmarkStart w:id="26" w:name="_Toc15377209"/>
      <w:bookmarkStart w:id="27"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6"/>
      <w:bookmarkEnd w:id="27"/>
    </w:p>
    <w:p w14:paraId="4C77BD8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5F49A97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886.05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95.52</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20.94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2.42</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2025年度单位人员增加，新进三名工作人员、调入两名工作人员，共计增加五位工作人员，相对应的增加了单元的人员经费支出与公用经费支出。</w:t>
      </w: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376CCEF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873A965">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5CECE9A1">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927.63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87.14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9.39</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646.48</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69.69</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82.33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8.88</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30.47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3.28</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39.62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4.28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其他支出41.58万元，占4.48%。</w:t>
      </w: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357A903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59264" behindDoc="0" locked="0" layoutInCell="1" allowOverlap="1">
            <wp:simplePos x="0" y="0"/>
            <wp:positionH relativeFrom="column">
              <wp:posOffset>488950</wp:posOffset>
            </wp:positionH>
            <wp:positionV relativeFrom="paragraph">
              <wp:posOffset>918845</wp:posOffset>
            </wp:positionV>
            <wp:extent cx="4387215" cy="3016250"/>
            <wp:effectExtent l="4445" t="5080" r="8890" b="7620"/>
            <wp:wrapTopAndBottom/>
            <wp:docPr id="2"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3D755019">
      <w:pPr>
        <w:spacing w:line="600" w:lineRule="exact"/>
        <w:rPr>
          <w:rFonts w:hint="eastAsia"/>
          <w:lang w:val="en-US" w:eastAsia="zh-CN"/>
        </w:rPr>
      </w:pPr>
    </w:p>
    <w:p w14:paraId="6C3BA0C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792FDA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8460"/>
      <w:bookmarkStart w:id="32" w:name="_Toc15377213"/>
      <w:bookmarkStart w:id="33" w:name="_Toc15377444"/>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886.05</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61EEE0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单位不涉及一般公共服务支出。</w:t>
      </w:r>
    </w:p>
    <w:p w14:paraId="2DBFBC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2.教育（类）</w:t>
      </w:r>
      <w:r>
        <w:rPr>
          <w:rFonts w:hint="eastAsia" w:eastAsia="仿宋_GB2312" w:cs="仿宋_GB2312"/>
          <w:color w:val="auto"/>
          <w:kern w:val="2"/>
          <w:sz w:val="32"/>
          <w:szCs w:val="32"/>
          <w:highlight w:val="none"/>
          <w:lang w:val="en-US" w:eastAsia="zh-CN" w:bidi="ar-SA"/>
        </w:rPr>
        <w:t>2059999其他教育支出</w:t>
      </w:r>
      <w:r>
        <w:rPr>
          <w:rFonts w:hint="eastAsia" w:ascii="Times New Roman" w:hAnsi="Times New Roman" w:eastAsia="仿宋_GB2312" w:cs="仿宋_GB2312"/>
          <w:color w:val="auto"/>
          <w:kern w:val="2"/>
          <w:sz w:val="32"/>
          <w:szCs w:val="32"/>
          <w:highlight w:val="none"/>
          <w:lang w:val="en-US" w:eastAsia="zh-CN" w:bidi="ar-SA"/>
        </w:rPr>
        <w:t>: 支出决算为</w:t>
      </w:r>
      <w:r>
        <w:rPr>
          <w:rFonts w:hint="eastAsia" w:eastAsia="仿宋_GB2312" w:cs="仿宋_GB2312"/>
          <w:color w:val="auto"/>
          <w:kern w:val="2"/>
          <w:sz w:val="32"/>
          <w:szCs w:val="32"/>
          <w:highlight w:val="none"/>
          <w:lang w:val="en-US" w:eastAsia="zh-CN" w:bidi="ar-SA"/>
        </w:rPr>
        <w:t>87.14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本年度</w:t>
      </w:r>
      <w:r>
        <w:rPr>
          <w:rFonts w:hint="eastAsia" w:ascii="Times New Roman" w:hAnsi="Times New Roman" w:eastAsia="仿宋_GB2312" w:cs="仿宋_GB2312"/>
          <w:color w:val="auto"/>
          <w:kern w:val="2"/>
          <w:sz w:val="32"/>
          <w:szCs w:val="32"/>
          <w:highlight w:val="none"/>
          <w:lang w:val="en-US" w:eastAsia="zh-CN" w:bidi="ar-SA"/>
        </w:rPr>
        <w:t>决算数</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预算数</w:t>
      </w:r>
      <w:r>
        <w:rPr>
          <w:rFonts w:hint="eastAsia" w:eastAsia="仿宋_GB2312" w:cs="仿宋_GB2312"/>
          <w:color w:val="auto"/>
          <w:kern w:val="2"/>
          <w:sz w:val="32"/>
          <w:szCs w:val="32"/>
          <w:highlight w:val="none"/>
          <w:lang w:val="en-US" w:eastAsia="zh-CN" w:bidi="ar-SA"/>
        </w:rPr>
        <w:t>持平。</w:t>
      </w:r>
    </w:p>
    <w:p w14:paraId="400ECCE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3.科学技术</w:t>
      </w:r>
      <w:r>
        <w:rPr>
          <w:rFonts w:hint="eastAsia" w:eastAsia="仿宋_GB2312" w:cs="仿宋_GB2312"/>
          <w:color w:val="auto"/>
          <w:kern w:val="2"/>
          <w:sz w:val="32"/>
          <w:szCs w:val="32"/>
          <w:highlight w:val="none"/>
          <w:lang w:val="en-US" w:eastAsia="zh-CN" w:bidi="ar-SA"/>
        </w:rPr>
        <w:t>支出：</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%，决算数等于预算数的主要原因是</w:t>
      </w:r>
      <w:r>
        <w:rPr>
          <w:rFonts w:hint="eastAsia" w:eastAsia="仿宋_GB2312" w:cs="仿宋_GB2312"/>
          <w:color w:val="auto"/>
          <w:kern w:val="2"/>
          <w:sz w:val="32"/>
          <w:szCs w:val="32"/>
          <w:highlight w:val="none"/>
          <w:lang w:val="en-US" w:eastAsia="zh-CN" w:bidi="ar-SA"/>
        </w:rPr>
        <w:t>单位本年度不涉及科学技术支出。</w:t>
      </w:r>
    </w:p>
    <w:p w14:paraId="35C8BFF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4.文化旅游体育与传媒（类）</w:t>
      </w:r>
      <w:r>
        <w:rPr>
          <w:rFonts w:hint="eastAsia" w:eastAsia="仿宋_GB2312" w:cs="仿宋_GB2312"/>
          <w:color w:val="auto"/>
          <w:kern w:val="2"/>
          <w:sz w:val="32"/>
          <w:szCs w:val="32"/>
          <w:highlight w:val="none"/>
          <w:lang w:val="en-US" w:eastAsia="zh-CN" w:bidi="ar-SA"/>
        </w:rPr>
        <w:t>2070399其他体育支出：</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646.48</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本年度</w:t>
      </w:r>
      <w:r>
        <w:rPr>
          <w:rFonts w:hint="eastAsia" w:ascii="Times New Roman" w:hAnsi="Times New Roman" w:eastAsia="仿宋_GB2312" w:cs="仿宋_GB2312"/>
          <w:color w:val="auto"/>
          <w:kern w:val="2"/>
          <w:sz w:val="32"/>
          <w:szCs w:val="32"/>
          <w:highlight w:val="none"/>
          <w:lang w:val="en-US" w:eastAsia="zh-CN" w:bidi="ar-SA"/>
        </w:rPr>
        <w:t>决算数</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预算数</w:t>
      </w:r>
      <w:r>
        <w:rPr>
          <w:rFonts w:hint="eastAsia" w:eastAsia="仿宋_GB2312" w:cs="仿宋_GB2312"/>
          <w:color w:val="auto"/>
          <w:kern w:val="2"/>
          <w:sz w:val="32"/>
          <w:szCs w:val="32"/>
          <w:highlight w:val="none"/>
          <w:lang w:val="en-US" w:eastAsia="zh-CN" w:bidi="ar-SA"/>
        </w:rPr>
        <w:t>持平。</w:t>
      </w:r>
    </w:p>
    <w:p w14:paraId="5BE4933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w:t>
      </w:r>
      <w:r>
        <w:rPr>
          <w:rFonts w:hint="eastAsia" w:eastAsia="仿宋_GB2312" w:cs="仿宋_GB2312"/>
          <w:color w:val="auto"/>
          <w:kern w:val="2"/>
          <w:sz w:val="32"/>
          <w:szCs w:val="32"/>
          <w:highlight w:val="none"/>
          <w:lang w:val="en-US" w:eastAsia="zh-CN" w:bidi="ar-SA"/>
        </w:rPr>
        <w:t>（类）20805行政事业单位养老支出：</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82.33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本年度</w:t>
      </w:r>
      <w:r>
        <w:rPr>
          <w:rFonts w:hint="eastAsia" w:ascii="Times New Roman" w:hAnsi="Times New Roman" w:eastAsia="仿宋_GB2312" w:cs="仿宋_GB2312"/>
          <w:color w:val="auto"/>
          <w:kern w:val="2"/>
          <w:sz w:val="32"/>
          <w:szCs w:val="32"/>
          <w:highlight w:val="none"/>
          <w:lang w:val="en-US" w:eastAsia="zh-CN" w:bidi="ar-SA"/>
        </w:rPr>
        <w:t>决算数</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预算数</w:t>
      </w:r>
      <w:r>
        <w:rPr>
          <w:rFonts w:hint="eastAsia" w:eastAsia="仿宋_GB2312" w:cs="仿宋_GB2312"/>
          <w:color w:val="auto"/>
          <w:kern w:val="2"/>
          <w:sz w:val="32"/>
          <w:szCs w:val="32"/>
          <w:highlight w:val="none"/>
          <w:lang w:val="en-US" w:eastAsia="zh-CN" w:bidi="ar-SA"/>
        </w:rPr>
        <w:t>持平。</w:t>
      </w:r>
    </w:p>
    <w:p w14:paraId="652D8E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6.卫生健康（类）</w:t>
      </w:r>
      <w:r>
        <w:rPr>
          <w:rFonts w:hint="eastAsia" w:eastAsia="仿宋_GB2312" w:cs="仿宋_GB2312"/>
          <w:color w:val="auto"/>
          <w:kern w:val="2"/>
          <w:sz w:val="32"/>
          <w:szCs w:val="32"/>
          <w:highlight w:val="none"/>
          <w:lang w:val="en-US" w:eastAsia="zh-CN" w:bidi="ar-SA"/>
        </w:rPr>
        <w:t>21011行政事业单位医疗：</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30.47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本年度</w:t>
      </w:r>
      <w:r>
        <w:rPr>
          <w:rFonts w:hint="eastAsia" w:ascii="Times New Roman" w:hAnsi="Times New Roman" w:eastAsia="仿宋_GB2312" w:cs="仿宋_GB2312"/>
          <w:color w:val="auto"/>
          <w:kern w:val="2"/>
          <w:sz w:val="32"/>
          <w:szCs w:val="32"/>
          <w:highlight w:val="none"/>
          <w:lang w:val="en-US" w:eastAsia="zh-CN" w:bidi="ar-SA"/>
        </w:rPr>
        <w:t>决算数</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预算数</w:t>
      </w:r>
      <w:r>
        <w:rPr>
          <w:rFonts w:hint="eastAsia" w:eastAsia="仿宋_GB2312" w:cs="仿宋_GB2312"/>
          <w:color w:val="auto"/>
          <w:kern w:val="2"/>
          <w:sz w:val="32"/>
          <w:szCs w:val="32"/>
          <w:highlight w:val="none"/>
          <w:lang w:val="en-US" w:eastAsia="zh-CN" w:bidi="ar-SA"/>
        </w:rPr>
        <w:t>持平。</w:t>
      </w:r>
    </w:p>
    <w:p w14:paraId="4A869F6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（注：仅罗列本部门涉及的全部功能分类科目，至项级。上述“预算”口径为全年预算数。增减变动原因为决算数&lt;项级&gt;和全年预算数&lt;项级&gt;比较，与预算数持平可以不写原因）</w:t>
      </w:r>
    </w:p>
    <w:p w14:paraId="106576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3B76C6E">
      <w:pPr>
        <w:tabs>
          <w:tab w:val="right" w:pos="8306"/>
        </w:tabs>
        <w:spacing w:line="600" w:lineRule="exact"/>
        <w:ind w:firstLine="640"/>
        <w:outlineLvl w:val="1"/>
        <w:rPr>
          <w:rStyle w:val="29"/>
          <w:rFonts w:ascii="Times New Roman" w:hAnsi="Times New Roman"/>
          <w:color w:val="auto"/>
          <w:highlight w:val="none"/>
        </w:rPr>
      </w:pPr>
      <w:bookmarkStart w:id="34" w:name="_Toc15377214"/>
      <w:bookmarkStart w:id="35"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4"/>
      <w:bookmarkEnd w:id="35"/>
      <w:r>
        <w:rPr>
          <w:rStyle w:val="29"/>
          <w:rFonts w:ascii="Times New Roman" w:hAnsi="Times New Roman" w:eastAsia="黑体"/>
          <w:b w:val="0"/>
          <w:color w:val="auto"/>
          <w:highlight w:val="none"/>
        </w:rPr>
        <w:tab/>
      </w:r>
    </w:p>
    <w:p w14:paraId="6CD5E3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639.46</w:t>
      </w:r>
      <w:r>
        <w:rPr>
          <w:rFonts w:hint="eastAsia" w:ascii="Times New Roman" w:hAnsi="Times New Roman" w:eastAsia="仿宋_GB2312" w:cs="仿宋_GB2312"/>
          <w:color w:val="auto"/>
          <w:kern w:val="2"/>
          <w:sz w:val="32"/>
          <w:szCs w:val="32"/>
          <w:highlight w:val="none"/>
          <w:lang w:val="en-US" w:eastAsia="zh-CN" w:bidi="ar-SA"/>
        </w:rPr>
        <w:t>万元，其中：</w:t>
      </w:r>
    </w:p>
    <w:p w14:paraId="2D3CA35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w:t>
      </w:r>
      <w:r>
        <w:rPr>
          <w:rFonts w:hint="eastAsia" w:eastAsia="仿宋_GB2312" w:cs="仿宋_GB2312"/>
          <w:color w:val="auto"/>
          <w:kern w:val="2"/>
          <w:sz w:val="32"/>
          <w:szCs w:val="32"/>
          <w:highlight w:val="none"/>
          <w:lang w:val="en-US" w:eastAsia="zh-CN" w:bidi="ar-SA"/>
        </w:rPr>
        <w:t>591.76</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47.4</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256BB9A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162D63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5828D3C">
      <w:pPr>
        <w:spacing w:line="600" w:lineRule="exact"/>
        <w:ind w:firstLine="640"/>
        <w:outlineLvl w:val="1"/>
        <w:rPr>
          <w:rStyle w:val="29"/>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6"/>
      <w:bookmarkEnd w:id="37"/>
    </w:p>
    <w:p w14:paraId="61155CF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70113B1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%。决算数预算预算数持平的主要原因是</w:t>
      </w:r>
      <w:r>
        <w:rPr>
          <w:rFonts w:hint="eastAsia" w:eastAsia="仿宋_GB2312" w:cs="仿宋_GB2312"/>
          <w:color w:val="auto"/>
          <w:kern w:val="2"/>
          <w:sz w:val="32"/>
          <w:szCs w:val="32"/>
          <w:highlight w:val="none"/>
          <w:lang w:val="en-US" w:eastAsia="zh-CN" w:bidi="ar-SA"/>
        </w:rPr>
        <w:t>2025年度单位不涉及因公出国出境事项、无公务用车车辆、无公务接待。</w:t>
      </w:r>
    </w:p>
    <w:p w14:paraId="45859CD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2CE21BA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735934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69AF93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725A33E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1.因公出国（境）经费支出万</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党委不涉及因公出国出境事宜。</w:t>
      </w:r>
    </w:p>
    <w:p w14:paraId="525C24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w:t>
      </w:r>
      <w:r>
        <w:rPr>
          <w:rFonts w:hint="eastAsia" w:eastAsia="仿宋_GB2312" w:cs="仿宋_GB2312"/>
          <w:color w:val="auto"/>
          <w:kern w:val="2"/>
          <w:sz w:val="32"/>
          <w:szCs w:val="32"/>
          <w:highlight w:val="none"/>
          <w:lang w:val="en-US" w:eastAsia="zh-CN" w:bidi="ar-SA"/>
        </w:rPr>
        <w:t>无</w:t>
      </w:r>
      <w:r>
        <w:rPr>
          <w:rFonts w:hint="eastAsia" w:ascii="Times New Roman" w:hAnsi="Times New Roman" w:eastAsia="仿宋_GB2312" w:cs="仿宋_GB2312"/>
          <w:color w:val="auto"/>
          <w:kern w:val="2"/>
          <w:sz w:val="32"/>
          <w:szCs w:val="32"/>
          <w:highlight w:val="none"/>
          <w:lang w:val="en-US" w:eastAsia="zh-CN" w:bidi="ar-SA"/>
        </w:rPr>
        <w:t>（团组名称、出访地点、取得成效等）</w:t>
      </w:r>
    </w:p>
    <w:p w14:paraId="6A9BFF3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单位无公务用车车辆。</w:t>
      </w:r>
    </w:p>
    <w:p w14:paraId="523BEAD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4AFF037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万元。主要用于……（具体工作）所需的公务用车燃料费、维修费、过路过桥费、保险费等支出。</w:t>
      </w:r>
    </w:p>
    <w:p w14:paraId="1F87691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单位无独立食堂，没有进行公务接待的条件</w:t>
      </w:r>
      <w:r>
        <w:rPr>
          <w:rFonts w:hint="eastAsia" w:ascii="Times New Roman" w:hAnsi="Times New Roman" w:eastAsia="仿宋_GB2312" w:cs="仿宋_GB2312"/>
          <w:color w:val="auto"/>
          <w:kern w:val="2"/>
          <w:sz w:val="32"/>
          <w:szCs w:val="32"/>
          <w:highlight w:val="none"/>
          <w:lang w:val="en-US" w:eastAsia="zh-CN" w:bidi="ar-SA"/>
        </w:rPr>
        <w:t>。其中：</w:t>
      </w:r>
    </w:p>
    <w:p w14:paraId="572EC3A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4A33ADE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402CE3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0" w:name="_Toc15396610"/>
      <w:bookmarkStart w:id="41" w:name="_Toc15377218"/>
    </w:p>
    <w:p w14:paraId="71D3ED1C">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0"/>
      <w:bookmarkEnd w:id="41"/>
    </w:p>
    <w:p w14:paraId="4632CD77">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41.58</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4.48</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26.64</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178.31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原因是2025年度单位中途收到一笔省级部门下达的用于体育事业彩票公益金，资金用于发放学生助学金以及采购新的训练设备。</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46CB032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85D4893">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2" w:name="_Toc15396611"/>
      <w:bookmarkStart w:id="43"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2"/>
      <w:bookmarkEnd w:id="43"/>
    </w:p>
    <w:p w14:paraId="0A3CF11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本年度与上一年度持平，且单位无国有资本经营预算财政拨款收入。</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405D69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D619166">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4" w:name="_Toc15396612"/>
      <w:bookmarkStart w:id="45"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4"/>
      <w:bookmarkEnd w:id="45"/>
    </w:p>
    <w:p w14:paraId="7CE67D5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6A529B6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州体校</w:t>
      </w:r>
      <w:r>
        <w:rPr>
          <w:rFonts w:hint="eastAsia" w:ascii="Times New Roman" w:hAnsi="Times New Roman" w:eastAsia="仿宋_GB2312" w:cs="仿宋_GB2312"/>
          <w:color w:val="auto"/>
          <w:kern w:val="2"/>
          <w:sz w:val="32"/>
          <w:szCs w:val="32"/>
          <w:highlight w:val="none"/>
          <w:lang w:val="en-US" w:eastAsia="zh-CN" w:bidi="ar-SA"/>
        </w:rPr>
        <w:t>运行经费支出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年度决算数持平。主要原因是</w:t>
      </w:r>
      <w:r>
        <w:rPr>
          <w:rFonts w:hint="eastAsia" w:eastAsia="仿宋_GB2312" w:cs="仿宋_GB2312"/>
          <w:color w:val="auto"/>
          <w:kern w:val="2"/>
          <w:sz w:val="32"/>
          <w:szCs w:val="32"/>
          <w:highlight w:val="none"/>
          <w:lang w:val="en-US" w:eastAsia="zh-CN" w:bidi="ar-SA"/>
        </w:rPr>
        <w:t>单位不涉及机关运行经费。</w:t>
      </w:r>
      <w:r>
        <w:rPr>
          <w:rFonts w:hint="eastAsia" w:ascii="Times New Roman" w:hAnsi="Times New Roman" w:eastAsia="仿宋_GB2312" w:cs="仿宋_GB2312"/>
          <w:b/>
          <w:bCs/>
          <w:color w:val="auto"/>
          <w:kern w:val="2"/>
          <w:sz w:val="32"/>
          <w:szCs w:val="32"/>
          <w:highlight w:val="none"/>
          <w:lang w:val="en-US" w:eastAsia="zh-CN" w:bidi="ar-SA"/>
        </w:rPr>
        <w:t>（注：支出数与上年持平可以不写原因）</w:t>
      </w:r>
    </w:p>
    <w:p w14:paraId="5C3C90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100B787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7260827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7F1648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FD9F98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3C23A7B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州体校</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18ECAB4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824F111">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2DF6CE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州体校</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常年业训经费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385.74</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1BF5D5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w:t>
      </w:r>
      <w:r>
        <w:rPr>
          <w:rFonts w:hint="eastAsia" w:eastAsia="仿宋_GB2312" w:cs="仿宋_GB2312"/>
          <w:color w:val="auto"/>
          <w:kern w:val="2"/>
          <w:sz w:val="32"/>
          <w:szCs w:val="32"/>
          <w:highlight w:val="none"/>
          <w:lang w:val="en-US" w:eastAsia="zh-CN" w:bidi="ar-SA"/>
        </w:rPr>
        <w:t>州体校</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部门预算（含部门预算项目）绩效自评报告（此项单位不涉及）、</w:t>
      </w:r>
      <w:r>
        <w:rPr>
          <w:rFonts w:hint="eastAsia" w:eastAsia="仿宋_GB2312" w:cs="仿宋_GB2312"/>
          <w:color w:val="auto"/>
          <w:kern w:val="2"/>
          <w:sz w:val="32"/>
          <w:szCs w:val="32"/>
          <w:highlight w:val="none"/>
          <w:lang w:val="en-US" w:eastAsia="zh-CN" w:bidi="ar-SA"/>
        </w:rPr>
        <w:t>参加各级各类比赛</w:t>
      </w:r>
      <w:r>
        <w:rPr>
          <w:rFonts w:hint="eastAsia" w:ascii="Times New Roman" w:hAnsi="Times New Roman" w:eastAsia="仿宋_GB2312" w:cs="仿宋_GB2312"/>
          <w:color w:val="auto"/>
          <w:kern w:val="2"/>
          <w:sz w:val="32"/>
          <w:szCs w:val="32"/>
          <w:highlight w:val="none"/>
          <w:lang w:val="en-US" w:eastAsia="zh-CN" w:bidi="ar-SA"/>
        </w:rPr>
        <w:t>专项预算项目绩效自评报告，其中，</w:t>
      </w:r>
      <w:r>
        <w:rPr>
          <w:rFonts w:hint="eastAsia" w:eastAsia="仿宋_GB2312" w:cs="仿宋_GB2312"/>
          <w:color w:val="auto"/>
          <w:kern w:val="2"/>
          <w:sz w:val="32"/>
          <w:szCs w:val="32"/>
          <w:highlight w:val="none"/>
          <w:lang w:val="en-US" w:eastAsia="zh-CN" w:bidi="ar-SA"/>
        </w:rPr>
        <w:t>州体校</w:t>
      </w:r>
      <w:r>
        <w:rPr>
          <w:rFonts w:hint="eastAsia" w:ascii="Times New Roman" w:hAnsi="Times New Roman" w:eastAsia="仿宋_GB2312" w:cs="仿宋_GB2312"/>
          <w:color w:val="auto"/>
          <w:kern w:val="2"/>
          <w:sz w:val="32"/>
          <w:szCs w:val="32"/>
          <w:highlight w:val="none"/>
          <w:lang w:val="en-US" w:eastAsia="zh-CN" w:bidi="ar-SA"/>
        </w:rPr>
        <w:t>部门预算（含部门预算项目）绩效自评得分为</w:t>
      </w:r>
      <w:r>
        <w:rPr>
          <w:rFonts w:hint="eastAsia" w:eastAsia="仿宋_GB2312" w:cs="仿宋_GB2312"/>
          <w:color w:val="auto"/>
          <w:kern w:val="2"/>
          <w:sz w:val="32"/>
          <w:szCs w:val="32"/>
          <w:highlight w:val="none"/>
          <w:lang w:val="en-US" w:eastAsia="zh-CN" w:bidi="ar-SA"/>
        </w:rPr>
        <w:t>96</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保障州体校各项工作有序开展</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参加各级各类比赛、常年业训经费等</w:t>
      </w:r>
      <w:r>
        <w:rPr>
          <w:rFonts w:hint="eastAsia" w:ascii="Times New Roman" w:hAnsi="Times New Roman" w:eastAsia="仿宋_GB2312" w:cs="仿宋_GB2312"/>
          <w:color w:val="auto"/>
          <w:kern w:val="2"/>
          <w:sz w:val="32"/>
          <w:szCs w:val="32"/>
          <w:highlight w:val="none"/>
          <w:lang w:val="en-US" w:eastAsia="zh-CN" w:bidi="ar-SA"/>
        </w:rPr>
        <w:t>专项预算项目绩效自评</w:t>
      </w:r>
      <w:r>
        <w:rPr>
          <w:rFonts w:hint="eastAsia" w:eastAsia="仿宋_GB2312" w:cs="仿宋_GB2312"/>
          <w:color w:val="auto"/>
          <w:kern w:val="2"/>
          <w:sz w:val="32"/>
          <w:szCs w:val="32"/>
          <w:highlight w:val="none"/>
          <w:lang w:val="en-US" w:eastAsia="zh-CN" w:bidi="ar-SA"/>
        </w:rPr>
        <w:t>平均</w:t>
      </w:r>
      <w:r>
        <w:rPr>
          <w:rFonts w:hint="eastAsia" w:ascii="Times New Roman" w:hAnsi="Times New Roman" w:eastAsia="仿宋_GB2312" w:cs="仿宋_GB2312"/>
          <w:color w:val="auto"/>
          <w:kern w:val="2"/>
          <w:sz w:val="32"/>
          <w:szCs w:val="32"/>
          <w:highlight w:val="none"/>
          <w:lang w:val="en-US" w:eastAsia="zh-CN" w:bidi="ar-SA"/>
        </w:rPr>
        <w:t>得分为</w:t>
      </w:r>
      <w:r>
        <w:rPr>
          <w:rFonts w:hint="eastAsia" w:eastAsia="仿宋_GB2312" w:cs="仿宋_GB2312"/>
          <w:color w:val="auto"/>
          <w:kern w:val="2"/>
          <w:sz w:val="32"/>
          <w:szCs w:val="32"/>
          <w:highlight w:val="none"/>
          <w:lang w:val="en-US" w:eastAsia="zh-CN" w:bidi="ar-SA"/>
        </w:rPr>
        <w:t>96</w:t>
      </w:r>
      <w:r>
        <w:rPr>
          <w:rFonts w:hint="eastAsia" w:ascii="Times New Roman" w:hAnsi="Times New Roman" w:eastAsia="仿宋_GB2312" w:cs="仿宋_GB2312"/>
          <w:color w:val="auto"/>
          <w:kern w:val="2"/>
          <w:sz w:val="32"/>
          <w:szCs w:val="32"/>
          <w:highlight w:val="none"/>
          <w:lang w:val="en-US" w:eastAsia="zh-CN" w:bidi="ar-SA"/>
        </w:rPr>
        <w:t>分，绩效自评综述</w:t>
      </w:r>
      <w:r>
        <w:rPr>
          <w:rFonts w:hint="eastAsia" w:eastAsia="仿宋_GB2312" w:cs="仿宋_GB2312"/>
          <w:color w:val="auto"/>
          <w:kern w:val="2"/>
          <w:sz w:val="32"/>
          <w:szCs w:val="32"/>
          <w:highlight w:val="none"/>
          <w:lang w:val="en-US" w:eastAsia="zh-CN" w:bidi="ar-SA"/>
        </w:rPr>
        <w:t>：各项目</w:t>
      </w:r>
      <w:r>
        <w:rPr>
          <w:rFonts w:hint="eastAsia" w:ascii="Times New Roman" w:hAnsi="Times New Roman" w:eastAsia="仿宋_GB2312" w:cs="仿宋_GB2312"/>
          <w:color w:val="auto"/>
          <w:kern w:val="2"/>
          <w:sz w:val="32"/>
          <w:szCs w:val="32"/>
          <w:highlight w:val="none"/>
          <w:lang w:val="en-US" w:eastAsia="zh-CN" w:bidi="ar-SA"/>
        </w:rPr>
        <w:t>按照有关文件等要求，合理、合规及合法</w:t>
      </w:r>
      <w:r>
        <w:rPr>
          <w:rFonts w:hint="eastAsia" w:eastAsia="仿宋_GB2312" w:cs="仿宋_GB2312"/>
          <w:color w:val="auto"/>
          <w:kern w:val="2"/>
          <w:sz w:val="32"/>
          <w:szCs w:val="32"/>
          <w:highlight w:val="none"/>
          <w:lang w:val="en-US" w:eastAsia="zh-CN" w:bidi="ar-SA"/>
        </w:rPr>
        <w:t>地进行支出，</w:t>
      </w:r>
      <w:r>
        <w:rPr>
          <w:rFonts w:hint="eastAsia" w:ascii="Times New Roman" w:hAnsi="Times New Roman" w:eastAsia="仿宋_GB2312" w:cs="仿宋_GB2312"/>
          <w:color w:val="auto"/>
          <w:kern w:val="2"/>
          <w:sz w:val="32"/>
          <w:szCs w:val="32"/>
          <w:highlight w:val="none"/>
          <w:lang w:val="en-US" w:eastAsia="zh-CN" w:bidi="ar-SA"/>
        </w:rPr>
        <w:t>保障州体校的</w:t>
      </w:r>
      <w:r>
        <w:rPr>
          <w:rFonts w:hint="eastAsia" w:eastAsia="仿宋_GB2312" w:cs="仿宋_GB2312"/>
          <w:color w:val="auto"/>
          <w:kern w:val="2"/>
          <w:sz w:val="32"/>
          <w:szCs w:val="32"/>
          <w:highlight w:val="none"/>
          <w:lang w:val="en-US" w:eastAsia="zh-CN" w:bidi="ar-SA"/>
        </w:rPr>
        <w:t>学生训练</w:t>
      </w:r>
      <w:r>
        <w:rPr>
          <w:rFonts w:hint="eastAsia" w:ascii="Times New Roman" w:hAnsi="Times New Roman" w:eastAsia="仿宋_GB2312" w:cs="仿宋_GB2312"/>
          <w:color w:val="auto"/>
          <w:kern w:val="2"/>
          <w:sz w:val="32"/>
          <w:szCs w:val="32"/>
          <w:highlight w:val="none"/>
          <w:lang w:val="en-US" w:eastAsia="zh-CN" w:bidi="ar-SA"/>
        </w:rPr>
        <w:t>工作</w:t>
      </w:r>
      <w:r>
        <w:rPr>
          <w:rFonts w:hint="eastAsia" w:eastAsia="仿宋_GB2312" w:cs="仿宋_GB2312"/>
          <w:color w:val="auto"/>
          <w:kern w:val="2"/>
          <w:sz w:val="32"/>
          <w:szCs w:val="32"/>
          <w:highlight w:val="none"/>
          <w:lang w:val="en-US" w:eastAsia="zh-CN" w:bidi="ar-SA"/>
        </w:rPr>
        <w:t>、各项参赛工作、后勤保障工作</w:t>
      </w:r>
      <w:r>
        <w:rPr>
          <w:rFonts w:hint="eastAsia" w:ascii="Times New Roman" w:hAnsi="Times New Roman" w:eastAsia="仿宋_GB2312" w:cs="仿宋_GB2312"/>
          <w:color w:val="auto"/>
          <w:kern w:val="2"/>
          <w:sz w:val="32"/>
          <w:szCs w:val="32"/>
          <w:highlight w:val="none"/>
          <w:lang w:val="en-US" w:eastAsia="zh-CN" w:bidi="ar-SA"/>
        </w:rPr>
        <w:t>有序开展。绩效自评报告详见附件。（注：如不涉及，可根据实际修改表述。）</w:t>
      </w:r>
    </w:p>
    <w:p w14:paraId="41650A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EA4CFA9">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77225"/>
      <w:bookmarkStart w:id="50"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58B59074">
      <w:pPr>
        <w:spacing w:line="600" w:lineRule="exact"/>
        <w:jc w:val="left"/>
        <w:rPr>
          <w:rFonts w:ascii="Times New Roman" w:hAnsi="Times New Roman"/>
          <w:b/>
          <w:color w:val="auto"/>
          <w:sz w:val="44"/>
          <w:szCs w:val="44"/>
          <w:highlight w:val="none"/>
        </w:rPr>
      </w:pPr>
    </w:p>
    <w:p w14:paraId="5F4E57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12FF7C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025AAEF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312C571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2FFCA28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3CD693E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268013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396A020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0141637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14:paraId="36C8102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35E5919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6BB4DB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31CFBFE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7E58D9F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5185DE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3FABF4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1603E0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00001F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5881B4E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41BE83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417F604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338E9B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7FA839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345EF0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7988EAC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6A23C4D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314F1D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78493A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668F041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59E3D6B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3017666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5E4EE8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DE5FAD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67FD2C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394AEAE6">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59A4E802">
      <w:pPr>
        <w:spacing w:line="600" w:lineRule="exact"/>
        <w:jc w:val="center"/>
        <w:rPr>
          <w:rStyle w:val="28"/>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28FB7B9D">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3AE463FA">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315A02D2">
      <w:pPr>
        <w:widowControl/>
        <w:spacing w:line="578" w:lineRule="exact"/>
        <w:contextualSpacing/>
        <w:jc w:val="center"/>
        <w:rPr>
          <w:rFonts w:eastAsia="方正小标宋简体"/>
          <w:bCs/>
          <w:sz w:val="44"/>
          <w:szCs w:val="44"/>
          <w:shd w:val="clear" w:color="auto" w:fill="FFFFFF"/>
        </w:rPr>
      </w:pPr>
      <w:r>
        <w:rPr>
          <w:rFonts w:hint="eastAsia" w:eastAsia="方正小标宋简体"/>
          <w:bCs/>
          <w:sz w:val="44"/>
          <w:szCs w:val="44"/>
          <w:shd w:val="clear" w:color="auto" w:fill="FFFFFF"/>
          <w:lang w:eastAsia="zh-CN"/>
        </w:rPr>
        <w:t>阿坝州少年儿童体育学校</w:t>
      </w:r>
      <w:r>
        <w:rPr>
          <w:rFonts w:eastAsia="方正小标宋简体"/>
          <w:bCs/>
          <w:sz w:val="44"/>
          <w:szCs w:val="44"/>
          <w:shd w:val="clear" w:color="auto" w:fill="FFFFFF"/>
        </w:rPr>
        <w:t>预算绩效</w:t>
      </w:r>
      <w:r>
        <w:rPr>
          <w:rFonts w:hint="eastAsia" w:eastAsia="方正小标宋简体"/>
          <w:bCs/>
          <w:sz w:val="44"/>
          <w:szCs w:val="44"/>
          <w:shd w:val="clear" w:color="auto" w:fill="FFFFFF"/>
        </w:rPr>
        <w:t>自评</w:t>
      </w:r>
      <w:r>
        <w:rPr>
          <w:rFonts w:eastAsia="方正小标宋简体"/>
          <w:bCs/>
          <w:sz w:val="44"/>
          <w:szCs w:val="44"/>
          <w:shd w:val="clear" w:color="auto" w:fill="FFFFFF"/>
        </w:rPr>
        <w:t>报告</w:t>
      </w:r>
    </w:p>
    <w:p w14:paraId="17545BE8">
      <w:pPr>
        <w:widowControl/>
        <w:spacing w:line="578" w:lineRule="exact"/>
        <w:contextualSpacing/>
        <w:jc w:val="center"/>
        <w:rPr>
          <w:rFonts w:hint="eastAsia"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shd w:val="clear" w:color="auto" w:fill="FFFFFF"/>
        </w:rPr>
        <w:t>（报告范围包括机关和下属单位）</w:t>
      </w:r>
    </w:p>
    <w:p w14:paraId="7B0CC38E">
      <w:pPr>
        <w:widowControl/>
        <w:adjustRightInd w:val="0"/>
        <w:snapToGrid w:val="0"/>
        <w:spacing w:line="578"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rPr>
      </w:pPr>
    </w:p>
    <w:p w14:paraId="2C4E1E93">
      <w:pPr>
        <w:widowControl/>
        <w:adjustRightInd w:val="0"/>
        <w:snapToGrid w:val="0"/>
        <w:spacing w:line="578" w:lineRule="exact"/>
        <w:ind w:firstLine="640" w:firstLineChars="200"/>
        <w:contextualSpacing/>
        <w:jc w:val="left"/>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shd w:val="clear" w:color="auto" w:fill="FFFFFF"/>
          <w:lang w:val="zh-CN"/>
        </w:rPr>
        <w:t>一、部门（单位）基本情况</w:t>
      </w:r>
    </w:p>
    <w:p w14:paraId="40E5C2FB">
      <w:pPr>
        <w:widowControl/>
        <w:adjustRightInd w:val="0"/>
        <w:snapToGrid w:val="0"/>
        <w:spacing w:line="578" w:lineRule="exact"/>
        <w:ind w:firstLine="643" w:firstLineChars="200"/>
        <w:contextualSpacing/>
        <w:jc w:val="left"/>
        <w:rPr>
          <w:rFonts w:hint="eastAsia" w:ascii="仿宋_GB2312" w:hAnsi="仿宋_GB2312" w:eastAsia="仿宋_GB2312" w:cs="仿宋_GB2312"/>
          <w:sz w:val="32"/>
          <w:szCs w:val="32"/>
        </w:rPr>
      </w:pPr>
      <w:r>
        <w:rPr>
          <w:rFonts w:hint="eastAsia" w:ascii="仿宋_GB2312" w:hAnsi="仿宋_GB2312" w:eastAsia="仿宋_GB2312" w:cs="仿宋_GB2312"/>
          <w:b/>
          <w:bCs/>
          <w:color w:val="000000"/>
          <w:kern w:val="0"/>
          <w:sz w:val="32"/>
          <w:szCs w:val="32"/>
          <w:shd w:val="clear" w:color="auto" w:fill="FFFFFF"/>
          <w:lang w:val="zh-CN"/>
        </w:rPr>
        <w:t>（一）机构组成。</w:t>
      </w:r>
      <w:r>
        <w:rPr>
          <w:rFonts w:hint="eastAsia" w:ascii="仿宋_GB2312" w:hAnsi="仿宋_GB2312" w:eastAsia="仿宋_GB2312" w:cs="仿宋_GB2312"/>
          <w:sz w:val="32"/>
          <w:szCs w:val="32"/>
          <w:lang w:val="zh-CN"/>
        </w:rPr>
        <w:t>阿坝州少年儿童体育学校</w:t>
      </w:r>
      <w:r>
        <w:rPr>
          <w:rFonts w:hint="eastAsia" w:ascii="仿宋_GB2312" w:hAnsi="仿宋_GB2312" w:eastAsia="仿宋_GB2312" w:cs="仿宋_GB2312"/>
          <w:sz w:val="32"/>
          <w:szCs w:val="32"/>
        </w:rPr>
        <w:t>内设</w:t>
      </w:r>
      <w:r>
        <w:rPr>
          <w:rFonts w:hint="eastAsia" w:ascii="仿宋_GB2312" w:hAnsi="仿宋_GB2312" w:eastAsia="仿宋_GB2312" w:cs="仿宋_GB2312"/>
          <w:sz w:val="32"/>
          <w:szCs w:val="32"/>
          <w:lang w:eastAsia="zh-CN"/>
        </w:rPr>
        <w:t>办公室、教务处、后勤处</w:t>
      </w:r>
      <w:r>
        <w:rPr>
          <w:rFonts w:hint="eastAsia" w:ascii="仿宋_GB2312" w:hAnsi="仿宋_GB2312" w:eastAsia="仿宋_GB2312" w:cs="仿宋_GB2312"/>
          <w:sz w:val="32"/>
          <w:szCs w:val="32"/>
        </w:rPr>
        <w:t>。</w:t>
      </w:r>
    </w:p>
    <w:p w14:paraId="1B6012A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color w:val="000000"/>
          <w:kern w:val="0"/>
          <w:sz w:val="32"/>
          <w:szCs w:val="32"/>
          <w:shd w:val="clear" w:color="auto" w:fill="FFFFFF"/>
          <w:lang w:val="zh-CN"/>
        </w:rPr>
        <w:t>（二）机构职能。</w:t>
      </w:r>
      <w:r>
        <w:rPr>
          <w:rFonts w:hint="eastAsia" w:ascii="仿宋_GB2312" w:hAnsi="仿宋_GB2312" w:eastAsia="仿宋_GB2312" w:cs="仿宋_GB2312"/>
          <w:sz w:val="32"/>
          <w:szCs w:val="32"/>
          <w:lang w:val="zh-CN"/>
        </w:rPr>
        <w:t>阿坝州少年儿童体育学校</w:t>
      </w:r>
      <w:r>
        <w:rPr>
          <w:rFonts w:hint="eastAsia" w:ascii="仿宋_GB2312" w:hAnsi="仿宋_GB2312" w:eastAsia="仿宋_GB2312" w:cs="仿宋_GB2312"/>
          <w:sz w:val="32"/>
          <w:szCs w:val="32"/>
          <w:lang w:val="en-US" w:eastAsia="zh-CN"/>
        </w:rPr>
        <w:t>负责积极开展各类体育项目活动锻炼，组织举办形式多样的竞赛活动，通过竞赛推动青少年儿童体育训练的普及和提高。</w:t>
      </w:r>
    </w:p>
    <w:p w14:paraId="01A424E3">
      <w:pPr>
        <w:spacing w:line="578" w:lineRule="exact"/>
        <w:ind w:firstLine="643"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b/>
          <w:bCs/>
          <w:color w:val="000000"/>
          <w:kern w:val="0"/>
          <w:sz w:val="32"/>
          <w:szCs w:val="32"/>
          <w:shd w:val="clear" w:color="auto" w:fill="FFFFFF"/>
          <w:lang w:val="zh-CN"/>
        </w:rPr>
        <w:t>（三）人员概况。</w:t>
      </w:r>
      <w:r>
        <w:rPr>
          <w:rFonts w:hint="eastAsia" w:ascii="仿宋_GB2312" w:hAnsi="仿宋_GB2312" w:eastAsia="仿宋_GB2312" w:cs="仿宋_GB2312"/>
          <w:sz w:val="32"/>
          <w:szCs w:val="32"/>
        </w:rPr>
        <w:t>截至2025年末，</w:t>
      </w:r>
      <w:r>
        <w:rPr>
          <w:rFonts w:hint="eastAsia" w:ascii="仿宋_GB2312" w:hAnsi="仿宋_GB2312" w:eastAsia="仿宋_GB2312" w:cs="仿宋_GB2312"/>
          <w:sz w:val="32"/>
          <w:szCs w:val="32"/>
          <w:lang w:val="zh-CN"/>
        </w:rPr>
        <w:t>阿坝州少年儿童体育学校</w:t>
      </w:r>
      <w:r>
        <w:rPr>
          <w:rFonts w:hint="eastAsia" w:ascii="仿宋_GB2312" w:hAnsi="仿宋_GB2312" w:eastAsia="仿宋_GB2312" w:cs="仿宋_GB2312"/>
          <w:sz w:val="32"/>
          <w:szCs w:val="32"/>
        </w:rPr>
        <w:t>（单位）</w:t>
      </w:r>
      <w:r>
        <w:rPr>
          <w:rFonts w:hint="eastAsia" w:ascii="仿宋_GB2312" w:hAnsi="仿宋_GB2312" w:eastAsia="仿宋_GB2312" w:cs="仿宋_GB2312"/>
          <w:sz w:val="32"/>
          <w:szCs w:val="32"/>
          <w:lang w:eastAsia="zh-CN"/>
        </w:rPr>
        <w:t>事业编制</w:t>
      </w:r>
      <w:r>
        <w:rPr>
          <w:rFonts w:hint="eastAsia" w:ascii="仿宋_GB2312" w:hAnsi="仿宋_GB2312" w:eastAsia="仿宋_GB2312" w:cs="仿宋_GB2312"/>
          <w:sz w:val="32"/>
          <w:szCs w:val="32"/>
          <w:lang w:val="en-US" w:eastAsia="zh-CN"/>
        </w:rPr>
        <w:t>24名，其中正科级领导职数1名，副科级领导职数2名，</w:t>
      </w:r>
      <w:r>
        <w:rPr>
          <w:rFonts w:hint="eastAsia" w:ascii="仿宋_GB2312" w:hAnsi="仿宋_GB2312" w:eastAsia="仿宋_GB2312" w:cs="仿宋_GB2312"/>
          <w:sz w:val="32"/>
          <w:szCs w:val="32"/>
        </w:rPr>
        <w:t>年末实有人数</w:t>
      </w:r>
      <w:r>
        <w:rPr>
          <w:rFonts w:hint="eastAsia" w:ascii="仿宋_GB2312" w:hAnsi="仿宋_GB2312" w:eastAsia="仿宋_GB2312" w:cs="仿宋_GB2312"/>
          <w:sz w:val="32"/>
          <w:szCs w:val="32"/>
          <w:lang w:val="en-US" w:eastAsia="zh-CN"/>
        </w:rPr>
        <w:t>23人</w:t>
      </w:r>
      <w:r>
        <w:rPr>
          <w:rFonts w:hint="eastAsia" w:ascii="仿宋_GB2312" w:hAnsi="仿宋_GB2312" w:eastAsia="仿宋_GB2312" w:cs="仿宋_GB2312"/>
          <w:sz w:val="32"/>
          <w:szCs w:val="32"/>
        </w:rPr>
        <w:t>。</w:t>
      </w:r>
    </w:p>
    <w:p w14:paraId="6312F706">
      <w:pPr>
        <w:widowControl/>
        <w:adjustRightInd w:val="0"/>
        <w:snapToGrid w:val="0"/>
        <w:spacing w:line="578"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二、部门资金收支情况</w:t>
      </w:r>
    </w:p>
    <w:p w14:paraId="18DCC272">
      <w:pPr>
        <w:widowControl/>
        <w:adjustRightInd w:val="0"/>
        <w:snapToGrid w:val="0"/>
        <w:spacing w:line="578" w:lineRule="exact"/>
        <w:ind w:firstLine="643" w:firstLineChars="200"/>
        <w:contextualSpacing/>
        <w:jc w:val="left"/>
        <w:rPr>
          <w:rFonts w:hint="eastAsia" w:ascii="仿宋_GB2312" w:hAnsi="仿宋_GB2312" w:eastAsia="仿宋_GB2312" w:cs="仿宋_GB2312"/>
          <w:b/>
          <w:bCs/>
          <w:color w:val="000000"/>
          <w:kern w:val="0"/>
          <w:sz w:val="32"/>
          <w:szCs w:val="32"/>
          <w:shd w:val="clear" w:color="auto" w:fill="FFFFFF"/>
        </w:rPr>
      </w:pPr>
      <w:r>
        <w:rPr>
          <w:rFonts w:hint="eastAsia" w:ascii="仿宋_GB2312" w:hAnsi="仿宋_GB2312" w:eastAsia="仿宋_GB2312" w:cs="仿宋_GB2312"/>
          <w:b/>
          <w:bCs/>
          <w:color w:val="000000"/>
          <w:kern w:val="0"/>
          <w:sz w:val="32"/>
          <w:szCs w:val="32"/>
          <w:shd w:val="clear" w:color="auto" w:fill="FFFFFF"/>
          <w:lang w:val="zh-CN"/>
        </w:rPr>
        <w:t>（一）收入情况。</w:t>
      </w:r>
      <w:r>
        <w:rPr>
          <w:rFonts w:hint="eastAsia" w:ascii="仿宋_GB2312" w:hAnsi="仿宋_GB2312" w:eastAsia="仿宋_GB2312" w:cs="仿宋_GB2312"/>
          <w:sz w:val="32"/>
          <w:szCs w:val="32"/>
          <w:lang w:val="zh-CN"/>
        </w:rPr>
        <w:t>阿坝州少年儿童体育学校</w:t>
      </w:r>
      <w:r>
        <w:rPr>
          <w:rFonts w:hint="eastAsia" w:ascii="仿宋_GB2312" w:hAnsi="仿宋_GB2312" w:eastAsia="仿宋_GB2312" w:cs="仿宋_GB2312"/>
          <w:sz w:val="32"/>
          <w:szCs w:val="32"/>
        </w:rPr>
        <w:t>2025年年初预算收入</w:t>
      </w:r>
      <w:r>
        <w:rPr>
          <w:rFonts w:hint="eastAsia" w:ascii="仿宋_GB2312" w:hAnsi="仿宋_GB2312" w:eastAsia="仿宋_GB2312" w:cs="仿宋_GB2312"/>
          <w:sz w:val="32"/>
          <w:szCs w:val="32"/>
          <w:lang w:val="en-US" w:eastAsia="zh-CN"/>
        </w:rPr>
        <w:t>9276298.94元</w:t>
      </w:r>
      <w:r>
        <w:rPr>
          <w:rFonts w:hint="eastAsia" w:ascii="仿宋_GB2312" w:hAnsi="仿宋_GB2312" w:eastAsia="仿宋_GB2312" w:cs="仿宋_GB2312"/>
          <w:sz w:val="32"/>
          <w:szCs w:val="32"/>
        </w:rPr>
        <w:t>、决算报表收入</w:t>
      </w:r>
      <w:r>
        <w:rPr>
          <w:rFonts w:hint="eastAsia" w:ascii="仿宋_GB2312" w:hAnsi="仿宋_GB2312" w:eastAsia="仿宋_GB2312" w:cs="仿宋_GB2312"/>
          <w:sz w:val="32"/>
          <w:szCs w:val="32"/>
          <w:lang w:val="en-US" w:eastAsia="zh-CN"/>
        </w:rPr>
        <w:t>9276298.94元</w:t>
      </w:r>
      <w:r>
        <w:rPr>
          <w:rFonts w:hint="eastAsia" w:ascii="仿宋_GB2312" w:hAnsi="仿宋_GB2312" w:eastAsia="仿宋_GB2312" w:cs="仿宋_GB2312"/>
          <w:sz w:val="32"/>
          <w:szCs w:val="32"/>
        </w:rPr>
        <w:t>。</w:t>
      </w:r>
    </w:p>
    <w:p w14:paraId="56565288">
      <w:pPr>
        <w:ind w:firstLine="643"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b/>
          <w:bCs/>
          <w:color w:val="000000"/>
          <w:kern w:val="0"/>
          <w:sz w:val="32"/>
          <w:szCs w:val="32"/>
          <w:shd w:val="clear" w:color="auto" w:fill="FFFFFF"/>
          <w:lang w:val="zh-CN"/>
        </w:rPr>
        <w:t>（二）支出情况。</w:t>
      </w:r>
      <w:r>
        <w:rPr>
          <w:rFonts w:hint="eastAsia" w:ascii="仿宋_GB2312" w:hAnsi="仿宋_GB2312" w:eastAsia="仿宋_GB2312" w:cs="仿宋_GB2312"/>
          <w:sz w:val="32"/>
          <w:szCs w:val="32"/>
          <w:lang w:val="zh-CN"/>
        </w:rPr>
        <w:t>阿坝州少年儿童体育学校</w:t>
      </w:r>
      <w:r>
        <w:rPr>
          <w:rFonts w:hint="eastAsia" w:ascii="仿宋_GB2312" w:hAnsi="仿宋_GB2312" w:eastAsia="仿宋_GB2312" w:cs="仿宋_GB2312"/>
          <w:sz w:val="32"/>
          <w:szCs w:val="32"/>
        </w:rPr>
        <w:t>2025年年初预算支出</w:t>
      </w:r>
      <w:r>
        <w:rPr>
          <w:rFonts w:hint="eastAsia" w:ascii="仿宋_GB2312" w:hAnsi="仿宋_GB2312" w:eastAsia="仿宋_GB2312" w:cs="仿宋_GB2312"/>
          <w:sz w:val="32"/>
          <w:szCs w:val="32"/>
          <w:lang w:val="en-US" w:eastAsia="zh-CN"/>
        </w:rPr>
        <w:t>9276298.94元</w:t>
      </w:r>
      <w:r>
        <w:rPr>
          <w:rFonts w:hint="eastAsia" w:ascii="仿宋_GB2312" w:hAnsi="仿宋_GB2312" w:eastAsia="仿宋_GB2312" w:cs="仿宋_GB2312"/>
          <w:sz w:val="32"/>
          <w:szCs w:val="32"/>
        </w:rPr>
        <w:t>、决算报表支出</w:t>
      </w:r>
      <w:r>
        <w:rPr>
          <w:rFonts w:hint="eastAsia" w:ascii="仿宋_GB2312" w:hAnsi="仿宋_GB2312" w:eastAsia="仿宋_GB2312" w:cs="仿宋_GB2312"/>
          <w:sz w:val="32"/>
          <w:szCs w:val="32"/>
          <w:lang w:val="en-US" w:eastAsia="zh-CN"/>
        </w:rPr>
        <w:t>9276298.94元</w:t>
      </w:r>
      <w:r>
        <w:rPr>
          <w:rFonts w:hint="eastAsia" w:ascii="仿宋_GB2312" w:hAnsi="仿宋_GB2312" w:eastAsia="仿宋_GB2312" w:cs="仿宋_GB2312"/>
          <w:sz w:val="32"/>
          <w:szCs w:val="32"/>
        </w:rPr>
        <w:t>，主要包括</w:t>
      </w:r>
      <w:r>
        <w:rPr>
          <w:rFonts w:hint="eastAsia" w:ascii="仿宋_GB2312" w:hAnsi="仿宋_GB2312" w:eastAsia="仿宋_GB2312" w:cs="仿宋_GB2312"/>
          <w:sz w:val="32"/>
          <w:szCs w:val="32"/>
          <w:lang w:eastAsia="zh-CN"/>
        </w:rPr>
        <w:t>完成参加各级各类比赛任务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恩波格斗抽调教师生活补助及房屋租赁经费、常年业训经费任务、以及单位职工工资福利经费等，各教练员带领学生参赛了以“三大球”为重点的</w:t>
      </w:r>
      <w:r>
        <w:rPr>
          <w:rFonts w:hint="eastAsia" w:ascii="仿宋_GB2312" w:hAnsi="仿宋_GB2312" w:eastAsia="仿宋_GB2312" w:cs="仿宋_GB2312"/>
          <w:sz w:val="32"/>
          <w:szCs w:val="32"/>
          <w:lang w:val="en-US" w:eastAsia="zh-CN"/>
        </w:rPr>
        <w:t>10个大项17个小项的比赛项目</w:t>
      </w:r>
      <w:r>
        <w:rPr>
          <w:rFonts w:hint="eastAsia" w:ascii="仿宋_GB2312" w:hAnsi="仿宋_GB2312" w:eastAsia="仿宋_GB2312" w:cs="仿宋_GB2312"/>
          <w:sz w:val="32"/>
          <w:szCs w:val="32"/>
          <w:lang w:eastAsia="zh-CN"/>
        </w:rPr>
        <w:t>，最终单项成绩我州共收获</w:t>
      </w:r>
      <w:r>
        <w:rPr>
          <w:rFonts w:hint="eastAsia" w:ascii="仿宋_GB2312" w:hAnsi="仿宋_GB2312" w:eastAsia="仿宋_GB2312" w:cs="仿宋_GB2312"/>
          <w:sz w:val="32"/>
          <w:szCs w:val="32"/>
          <w:lang w:val="en-US" w:eastAsia="zh-CN"/>
        </w:rPr>
        <w:t>41枚奖牌，其中金牌11枚、银牌12枚、铜牌18枚，</w:t>
      </w:r>
      <w:r>
        <w:rPr>
          <w:rFonts w:hint="eastAsia" w:ascii="仿宋_GB2312" w:hAnsi="仿宋_GB2312" w:eastAsia="仿宋_GB2312" w:cs="仿宋_GB2312"/>
          <w:color w:val="auto"/>
          <w:sz w:val="32"/>
          <w:szCs w:val="32"/>
          <w:lang w:val="en-US" w:eastAsia="zh-CN"/>
        </w:rPr>
        <w:t>团体项目获得三人篮球乙组第五、篮球男子甲组第七、篮球女子丙组第六、篮球女子乙组第八的战绩，为我州赢得了崇高的荣誉</w:t>
      </w:r>
      <w:r>
        <w:rPr>
          <w:rFonts w:hint="eastAsia" w:ascii="仿宋_GB2312" w:hAnsi="仿宋_GB2312" w:eastAsia="仿宋_GB2312" w:cs="仿宋_GB2312"/>
          <w:sz w:val="32"/>
          <w:szCs w:val="32"/>
        </w:rPr>
        <w:t>。</w:t>
      </w:r>
    </w:p>
    <w:p w14:paraId="651E8161">
      <w:pPr>
        <w:widowControl/>
        <w:adjustRightInd w:val="0"/>
        <w:snapToGrid w:val="0"/>
        <w:spacing w:line="578" w:lineRule="exact"/>
        <w:ind w:firstLine="643" w:firstLineChars="200"/>
        <w:contextualSpacing/>
        <w:jc w:val="left"/>
        <w:rPr>
          <w:rFonts w:hint="eastAsia" w:ascii="仿宋_GB2312" w:hAnsi="仿宋_GB2312" w:eastAsia="仿宋_GB2312" w:cs="仿宋_GB2312"/>
          <w:color w:val="000000"/>
          <w:kern w:val="0"/>
          <w:sz w:val="32"/>
          <w:szCs w:val="32"/>
          <w:shd w:val="clear" w:color="auto" w:fill="FFFFFF"/>
          <w:lang w:val="zh-CN" w:eastAsia="zh-CN"/>
        </w:rPr>
      </w:pPr>
      <w:r>
        <w:rPr>
          <w:rFonts w:hint="eastAsia" w:ascii="仿宋_GB2312" w:hAnsi="仿宋_GB2312" w:eastAsia="仿宋_GB2312" w:cs="仿宋_GB2312"/>
          <w:b/>
          <w:bCs/>
          <w:color w:val="000000"/>
          <w:kern w:val="0"/>
          <w:sz w:val="32"/>
          <w:szCs w:val="32"/>
          <w:shd w:val="clear" w:color="auto" w:fill="FFFFFF"/>
          <w:lang w:val="zh-CN"/>
        </w:rPr>
        <w:t>（三）</w:t>
      </w:r>
      <w:r>
        <w:rPr>
          <w:rFonts w:hint="eastAsia" w:ascii="仿宋_GB2312" w:hAnsi="仿宋_GB2312" w:eastAsia="仿宋_GB2312" w:cs="仿宋_GB2312"/>
          <w:b/>
          <w:sz w:val="32"/>
          <w:szCs w:val="32"/>
        </w:rPr>
        <w:t>结余分配和结转结余情况。</w:t>
      </w:r>
      <w:r>
        <w:rPr>
          <w:rFonts w:hint="eastAsia" w:ascii="仿宋_GB2312" w:hAnsi="仿宋_GB2312" w:eastAsia="仿宋_GB2312" w:cs="仿宋_GB2312"/>
          <w:sz w:val="32"/>
          <w:szCs w:val="32"/>
          <w:lang w:val="zh-CN"/>
        </w:rPr>
        <w:t>阿坝州少年儿童体育学校</w:t>
      </w:r>
      <w:r>
        <w:rPr>
          <w:rFonts w:hint="eastAsia" w:ascii="仿宋_GB2312" w:hAnsi="仿宋_GB2312" w:eastAsia="仿宋_GB2312" w:cs="仿宋_GB2312"/>
          <w:sz w:val="32"/>
          <w:szCs w:val="32"/>
        </w:rPr>
        <w:t>2025年决算报表</w:t>
      </w:r>
      <w:r>
        <w:rPr>
          <w:rFonts w:hint="eastAsia" w:ascii="仿宋_GB2312" w:hAnsi="仿宋_GB2312" w:eastAsia="仿宋_GB2312" w:cs="仿宋_GB2312"/>
          <w:color w:val="000000"/>
          <w:kern w:val="0"/>
          <w:sz w:val="32"/>
          <w:szCs w:val="32"/>
          <w:shd w:val="clear" w:color="auto" w:fill="FFFFFF"/>
        </w:rPr>
        <w:t>结转</w:t>
      </w:r>
      <w:r>
        <w:rPr>
          <w:rFonts w:hint="eastAsia" w:ascii="仿宋_GB2312" w:hAnsi="仿宋_GB2312" w:eastAsia="仿宋_GB2312" w:cs="仿宋_GB2312"/>
          <w:color w:val="000000"/>
          <w:kern w:val="0"/>
          <w:sz w:val="32"/>
          <w:szCs w:val="32"/>
          <w:shd w:val="clear" w:color="auto" w:fill="FFFFFF"/>
          <w:lang w:eastAsia="zh-CN"/>
        </w:rPr>
        <w:t>资金</w:t>
      </w:r>
      <w:r>
        <w:rPr>
          <w:rFonts w:hint="eastAsia" w:ascii="仿宋_GB2312" w:hAnsi="仿宋_GB2312" w:eastAsia="仿宋_GB2312" w:cs="仿宋_GB2312"/>
          <w:color w:val="000000"/>
          <w:kern w:val="0"/>
          <w:sz w:val="32"/>
          <w:szCs w:val="32"/>
          <w:shd w:val="clear" w:color="auto" w:fill="FFFFFF"/>
          <w:lang w:val="en-US" w:eastAsia="zh-CN"/>
        </w:rPr>
        <w:t>37.87万元，其中涉及编外长聘人员工资跨年支付金额4.2万元，跨年采购项目资金结转33.67万元</w:t>
      </w:r>
      <w:r>
        <w:rPr>
          <w:rFonts w:hint="eastAsia" w:ascii="仿宋_GB2312" w:hAnsi="仿宋_GB2312" w:eastAsia="仿宋_GB2312" w:cs="仿宋_GB2312"/>
          <w:color w:val="000000"/>
          <w:kern w:val="0"/>
          <w:sz w:val="32"/>
          <w:szCs w:val="32"/>
          <w:shd w:val="clear" w:color="auto" w:fill="FFFFFF"/>
        </w:rPr>
        <w:t>。</w:t>
      </w:r>
      <w:r>
        <w:rPr>
          <w:rFonts w:hint="eastAsia" w:ascii="仿宋_GB2312" w:hAnsi="仿宋_GB2312" w:eastAsia="仿宋_GB2312" w:cs="仿宋_GB2312"/>
          <w:color w:val="000000"/>
          <w:kern w:val="0"/>
          <w:sz w:val="32"/>
          <w:szCs w:val="32"/>
          <w:shd w:val="clear" w:color="auto" w:fill="FFFFFF"/>
          <w:lang w:eastAsia="zh-CN"/>
        </w:rPr>
        <w:t>不涉及资金结余情况。</w:t>
      </w:r>
    </w:p>
    <w:p w14:paraId="13A75873">
      <w:pPr>
        <w:widowControl/>
        <w:adjustRightInd w:val="0"/>
        <w:snapToGrid w:val="0"/>
        <w:spacing w:line="578" w:lineRule="exact"/>
        <w:ind w:firstLine="640" w:firstLineChars="200"/>
        <w:contextualSpacing/>
        <w:jc w:val="left"/>
        <w:rPr>
          <w:rFonts w:hint="eastAsia" w:ascii="仿宋_GB2312" w:hAnsi="仿宋_GB2312" w:eastAsia="仿宋_GB2312" w:cs="仿宋_GB2312"/>
          <w:color w:val="000000" w:themeColor="text1"/>
          <w:kern w:val="0"/>
          <w:sz w:val="32"/>
          <w:szCs w:val="32"/>
          <w:shd w:val="clear" w:color="auto" w:fill="FFFFFF"/>
          <w14:textFill>
            <w14:solidFill>
              <w14:schemeClr w14:val="tx1"/>
            </w14:solidFill>
          </w14:textFill>
        </w:rPr>
      </w:pPr>
      <w:r>
        <w:rPr>
          <w:rFonts w:hint="eastAsia" w:ascii="仿宋_GB2312" w:hAnsi="仿宋_GB2312" w:eastAsia="仿宋_GB2312" w:cs="仿宋_GB2312"/>
          <w:color w:val="000000"/>
          <w:kern w:val="0"/>
          <w:sz w:val="32"/>
          <w:szCs w:val="32"/>
          <w:shd w:val="clear" w:color="auto" w:fill="FFFFFF"/>
        </w:rPr>
        <w:t>三、部门预算绩效分析</w:t>
      </w:r>
    </w:p>
    <w:p w14:paraId="7D403A71">
      <w:pPr>
        <w:adjustRightInd w:val="0"/>
        <w:snapToGrid w:val="0"/>
        <w:spacing w:line="578" w:lineRule="exact"/>
        <w:ind w:firstLine="643"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（一）部门预算总体绩效分析。</w:t>
      </w:r>
      <w:r>
        <w:rPr>
          <w:rFonts w:hint="eastAsia" w:ascii="仿宋_GB2312" w:hAnsi="仿宋_GB2312" w:eastAsia="仿宋_GB2312" w:cs="仿宋_GB2312"/>
          <w:color w:val="000000"/>
          <w:kern w:val="0"/>
          <w:sz w:val="32"/>
          <w:szCs w:val="32"/>
          <w:shd w:val="clear" w:color="auto" w:fill="FFFFFF"/>
          <w:lang w:val="zh-CN"/>
        </w:rPr>
        <w:t>根据部门预算绩效评价指标体系“总体绩效”涉及二、三级指标进行逐项绩效分析并评分，依次包括履职效能、预算管理、财务管理、资产管理、采购管理等情况。</w:t>
      </w:r>
    </w:p>
    <w:p w14:paraId="05B2CDB0">
      <w:pPr>
        <w:adjustRightInd w:val="0"/>
        <w:snapToGrid w:val="0"/>
        <w:spacing w:line="578"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1.</w:t>
      </w:r>
      <w:r>
        <w:rPr>
          <w:rFonts w:hint="eastAsia" w:ascii="仿宋_GB2312" w:hAnsi="仿宋_GB2312" w:eastAsia="仿宋_GB2312" w:cs="仿宋_GB2312"/>
          <w:color w:val="000000"/>
          <w:kern w:val="0"/>
          <w:sz w:val="32"/>
          <w:szCs w:val="32"/>
          <w:shd w:val="clear" w:color="auto" w:fill="FFFFFF"/>
          <w:lang w:val="zh-CN"/>
        </w:rPr>
        <w:t>履职效能。部门整体绩效目标中选定3—5个核心职能目标，对职能目标完成效果情况绩效分析。</w:t>
      </w:r>
    </w:p>
    <w:p w14:paraId="60F31FE4">
      <w:pPr>
        <w:adjustRightInd w:val="0"/>
        <w:snapToGrid w:val="0"/>
        <w:spacing w:line="578"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2.</w:t>
      </w:r>
      <w:r>
        <w:rPr>
          <w:rFonts w:hint="eastAsia" w:ascii="仿宋_GB2312" w:hAnsi="仿宋_GB2312" w:eastAsia="仿宋_GB2312" w:cs="仿宋_GB2312"/>
          <w:color w:val="000000"/>
          <w:kern w:val="0"/>
          <w:sz w:val="32"/>
          <w:szCs w:val="32"/>
          <w:shd w:val="clear" w:color="auto" w:fill="FFFFFF"/>
          <w:lang w:val="zh-CN"/>
        </w:rPr>
        <w:t>预算管理。围绕预算编制质量、单位收入统筹、支出执行管理、预算年终结余、严控一般性支出、预决算公开进行绩效分析。</w:t>
      </w:r>
    </w:p>
    <w:p w14:paraId="5869FBC3">
      <w:pPr>
        <w:adjustRightInd w:val="0"/>
        <w:snapToGrid w:val="0"/>
        <w:spacing w:line="578"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3.</w:t>
      </w:r>
      <w:r>
        <w:rPr>
          <w:rFonts w:hint="eastAsia" w:ascii="仿宋_GB2312" w:hAnsi="仿宋_GB2312" w:eastAsia="仿宋_GB2312" w:cs="仿宋_GB2312"/>
          <w:color w:val="000000"/>
          <w:kern w:val="0"/>
          <w:sz w:val="32"/>
          <w:szCs w:val="32"/>
          <w:shd w:val="clear" w:color="auto" w:fill="FFFFFF"/>
          <w:lang w:val="zh-CN"/>
        </w:rPr>
        <w:t>财务管理。围绕财务管理制度、财务岗位设置、资金使用规范进行绩效分析。</w:t>
      </w:r>
    </w:p>
    <w:p w14:paraId="6648BEB6">
      <w:pPr>
        <w:adjustRightInd w:val="0"/>
        <w:snapToGrid w:val="0"/>
        <w:spacing w:line="578"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4.</w:t>
      </w:r>
      <w:r>
        <w:rPr>
          <w:rFonts w:hint="eastAsia" w:ascii="仿宋_GB2312" w:hAnsi="仿宋_GB2312" w:eastAsia="仿宋_GB2312" w:cs="仿宋_GB2312"/>
          <w:color w:val="000000"/>
          <w:kern w:val="0"/>
          <w:sz w:val="32"/>
          <w:szCs w:val="32"/>
          <w:shd w:val="clear" w:color="auto" w:fill="FFFFFF"/>
          <w:lang w:val="zh-CN"/>
        </w:rPr>
        <w:t>资产管理。围绕人均资产变化率、资产利用率、资产盘活率进行绩效分析。</w:t>
      </w:r>
    </w:p>
    <w:p w14:paraId="0F7662C3">
      <w:pPr>
        <w:adjustRightInd w:val="0"/>
        <w:snapToGrid w:val="0"/>
        <w:spacing w:line="578"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5.</w:t>
      </w:r>
      <w:r>
        <w:rPr>
          <w:rFonts w:hint="eastAsia" w:ascii="仿宋_GB2312" w:hAnsi="仿宋_GB2312" w:eastAsia="仿宋_GB2312" w:cs="仿宋_GB2312"/>
          <w:color w:val="000000"/>
          <w:kern w:val="0"/>
          <w:sz w:val="32"/>
          <w:szCs w:val="32"/>
          <w:shd w:val="clear" w:color="auto" w:fill="FFFFFF"/>
          <w:lang w:val="zh-CN"/>
        </w:rPr>
        <w:t>采购管理。围绕支持中小企业发展、采购执行率进行绩效分析。</w:t>
      </w:r>
    </w:p>
    <w:p w14:paraId="6089B8E3">
      <w:pPr>
        <w:widowControl/>
        <w:adjustRightInd w:val="0"/>
        <w:snapToGrid w:val="0"/>
        <w:spacing w:line="578" w:lineRule="exact"/>
        <w:ind w:firstLine="643" w:firstLineChars="200"/>
        <w:contextualSpacing/>
        <w:jc w:val="left"/>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b/>
          <w:bCs/>
          <w:color w:val="000000"/>
          <w:kern w:val="0"/>
          <w:sz w:val="32"/>
          <w:szCs w:val="32"/>
          <w:shd w:val="clear" w:color="auto" w:fill="FFFFFF"/>
          <w:lang w:val="zh-CN"/>
        </w:rPr>
        <w:t>（二）部门预算项目绩效分析。</w:t>
      </w:r>
      <w:r>
        <w:rPr>
          <w:rFonts w:hint="eastAsia" w:ascii="仿宋_GB2312" w:hAnsi="仿宋_GB2312" w:eastAsia="仿宋_GB2312" w:cs="仿宋_GB2312"/>
          <w:color w:val="000000"/>
          <w:kern w:val="0"/>
          <w:sz w:val="32"/>
          <w:szCs w:val="32"/>
          <w:shd w:val="clear" w:color="auto" w:fill="FFFFFF"/>
          <w:lang w:val="zh-CN"/>
        </w:rPr>
        <w:t>填报以下数据，并根据部门预算绩效评价指标体系“项目绩效”涉及二、三级指标进行逐项绩效分析并评分，依次包括项目</w:t>
      </w:r>
      <w:r>
        <w:rPr>
          <w:rFonts w:hint="eastAsia" w:ascii="仿宋_GB2312" w:hAnsi="仿宋_GB2312" w:eastAsia="仿宋_GB2312" w:cs="仿宋_GB2312"/>
          <w:color w:val="000000"/>
          <w:kern w:val="0"/>
          <w:sz w:val="32"/>
          <w:szCs w:val="32"/>
          <w:shd w:val="clear" w:color="auto" w:fill="FFFFFF"/>
        </w:rPr>
        <w:t>决策、项目执行、目标实现等情况。</w:t>
      </w:r>
    </w:p>
    <w:p w14:paraId="6AEA7332">
      <w:pPr>
        <w:adjustRightInd w:val="0"/>
        <w:snapToGrid w:val="0"/>
        <w:spacing w:line="578"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常年项目绩效分析。</w:t>
      </w:r>
      <w:r>
        <w:rPr>
          <w:rFonts w:hint="eastAsia" w:ascii="仿宋_GB2312" w:hAnsi="仿宋_GB2312" w:eastAsia="仿宋_GB2312" w:cs="仿宋_GB2312"/>
          <w:color w:val="000000"/>
          <w:kern w:val="0"/>
          <w:sz w:val="32"/>
          <w:szCs w:val="32"/>
          <w:shd w:val="clear" w:color="auto" w:fill="FFFFFF"/>
          <w:lang w:val="zh-CN"/>
        </w:rPr>
        <w:t>该类项目总数</w:t>
      </w:r>
      <w:r>
        <w:rPr>
          <w:rFonts w:hint="eastAsia" w:ascii="仿宋_GB2312" w:hAnsi="仿宋_GB2312" w:eastAsia="仿宋_GB2312" w:cs="仿宋_GB2312"/>
          <w:color w:val="000000"/>
          <w:kern w:val="0"/>
          <w:sz w:val="32"/>
          <w:szCs w:val="32"/>
          <w:shd w:val="clear" w:color="auto" w:fill="FFFFFF"/>
          <w:lang w:val="en-US" w:eastAsia="zh-CN"/>
        </w:rPr>
        <w:t>3</w:t>
      </w:r>
      <w:r>
        <w:rPr>
          <w:rFonts w:hint="eastAsia" w:ascii="仿宋_GB2312" w:hAnsi="仿宋_GB2312" w:eastAsia="仿宋_GB2312" w:cs="仿宋_GB2312"/>
          <w:color w:val="000000"/>
          <w:kern w:val="0"/>
          <w:sz w:val="32"/>
          <w:szCs w:val="32"/>
          <w:shd w:val="clear" w:color="auto" w:fill="FFFFFF"/>
          <w:lang w:val="zh-CN"/>
        </w:rPr>
        <w:t>个，涉及预算总金额</w:t>
      </w:r>
      <w:r>
        <w:rPr>
          <w:rFonts w:hint="eastAsia" w:ascii="仿宋_GB2312" w:hAnsi="仿宋_GB2312" w:eastAsia="仿宋_GB2312" w:cs="仿宋_GB2312"/>
          <w:color w:val="000000"/>
          <w:kern w:val="0"/>
          <w:sz w:val="32"/>
          <w:szCs w:val="32"/>
          <w:shd w:val="clear" w:color="auto" w:fill="FFFFFF"/>
          <w:lang w:val="en-US" w:eastAsia="zh-CN"/>
        </w:rPr>
        <w:t>275.92</w:t>
      </w:r>
      <w:r>
        <w:rPr>
          <w:rFonts w:hint="eastAsia" w:ascii="仿宋_GB2312" w:hAnsi="仿宋_GB2312" w:eastAsia="仿宋_GB2312" w:cs="仿宋_GB2312"/>
          <w:color w:val="000000"/>
          <w:kern w:val="0"/>
          <w:sz w:val="32"/>
          <w:szCs w:val="32"/>
          <w:shd w:val="clear" w:color="auto" w:fill="FFFFFF"/>
          <w:lang w:val="zh-CN"/>
        </w:rPr>
        <w:t>万元，1—1</w:t>
      </w:r>
      <w:r>
        <w:rPr>
          <w:rFonts w:hint="eastAsia" w:ascii="仿宋_GB2312" w:hAnsi="仿宋_GB2312" w:eastAsia="仿宋_GB2312" w:cs="仿宋_GB2312"/>
          <w:color w:val="000000"/>
          <w:kern w:val="0"/>
          <w:sz w:val="32"/>
          <w:szCs w:val="32"/>
          <w:shd w:val="clear" w:color="auto" w:fill="FFFFFF"/>
        </w:rPr>
        <w:t>2</w:t>
      </w:r>
      <w:r>
        <w:rPr>
          <w:rFonts w:hint="eastAsia" w:ascii="仿宋_GB2312" w:hAnsi="仿宋_GB2312" w:eastAsia="仿宋_GB2312" w:cs="仿宋_GB2312"/>
          <w:color w:val="000000"/>
          <w:kern w:val="0"/>
          <w:sz w:val="32"/>
          <w:szCs w:val="32"/>
          <w:shd w:val="clear" w:color="auto" w:fill="FFFFFF"/>
          <w:lang w:val="zh-CN"/>
        </w:rPr>
        <w:t>月预算执行总体进度为</w:t>
      </w:r>
      <w:r>
        <w:rPr>
          <w:rFonts w:hint="eastAsia" w:ascii="仿宋_GB2312" w:hAnsi="仿宋_GB2312" w:eastAsia="仿宋_GB2312" w:cs="仿宋_GB2312"/>
          <w:color w:val="000000"/>
          <w:kern w:val="0"/>
          <w:sz w:val="32"/>
          <w:szCs w:val="32"/>
          <w:shd w:val="clear" w:color="auto" w:fill="FFFFFF"/>
          <w:lang w:val="en-US" w:eastAsia="zh-CN"/>
        </w:rPr>
        <w:t>94.84</w:t>
      </w:r>
      <w:r>
        <w:rPr>
          <w:rFonts w:hint="eastAsia" w:ascii="仿宋_GB2312" w:hAnsi="仿宋_GB2312" w:eastAsia="仿宋_GB2312" w:cs="仿宋_GB2312"/>
          <w:color w:val="000000"/>
          <w:kern w:val="0"/>
          <w:sz w:val="32"/>
          <w:szCs w:val="32"/>
          <w:shd w:val="clear" w:color="auto" w:fill="FFFFFF"/>
          <w:lang w:val="zh-CN"/>
        </w:rPr>
        <w:t>%，其中：预算结余率大于</w:t>
      </w:r>
      <w:r>
        <w:rPr>
          <w:rFonts w:hint="eastAsia" w:ascii="仿宋_GB2312" w:hAnsi="仿宋_GB2312" w:eastAsia="仿宋_GB2312" w:cs="仿宋_GB2312"/>
          <w:color w:val="000000"/>
          <w:kern w:val="0"/>
          <w:sz w:val="32"/>
          <w:szCs w:val="32"/>
          <w:shd w:val="clear" w:color="auto" w:fill="FFFFFF"/>
        </w:rPr>
        <w:t>10%</w:t>
      </w:r>
      <w:r>
        <w:rPr>
          <w:rFonts w:hint="eastAsia" w:ascii="仿宋_GB2312" w:hAnsi="仿宋_GB2312" w:eastAsia="仿宋_GB2312" w:cs="仿宋_GB2312"/>
          <w:color w:val="000000"/>
          <w:kern w:val="0"/>
          <w:sz w:val="32"/>
          <w:szCs w:val="32"/>
          <w:shd w:val="clear" w:color="auto" w:fill="FFFFFF"/>
          <w:lang w:val="zh-CN"/>
        </w:rPr>
        <w:t>的项目共计</w:t>
      </w:r>
      <w:r>
        <w:rPr>
          <w:rFonts w:hint="eastAsia" w:ascii="仿宋_GB2312" w:hAnsi="仿宋_GB2312" w:eastAsia="仿宋_GB2312" w:cs="仿宋_GB2312"/>
          <w:color w:val="000000"/>
          <w:kern w:val="0"/>
          <w:sz w:val="32"/>
          <w:szCs w:val="32"/>
          <w:shd w:val="clear" w:color="auto" w:fill="FFFFFF"/>
          <w:lang w:val="en-US" w:eastAsia="zh-CN"/>
        </w:rPr>
        <w:t>0</w:t>
      </w:r>
      <w:r>
        <w:rPr>
          <w:rFonts w:hint="eastAsia" w:ascii="仿宋_GB2312" w:hAnsi="仿宋_GB2312" w:eastAsia="仿宋_GB2312" w:cs="仿宋_GB2312"/>
          <w:color w:val="000000"/>
          <w:kern w:val="0"/>
          <w:sz w:val="32"/>
          <w:szCs w:val="32"/>
          <w:shd w:val="clear" w:color="auto" w:fill="FFFFFF"/>
          <w:lang w:val="zh-CN"/>
        </w:rPr>
        <w:t>个。</w:t>
      </w:r>
    </w:p>
    <w:p w14:paraId="71A0B51A">
      <w:pPr>
        <w:adjustRightInd w:val="0"/>
        <w:snapToGrid w:val="0"/>
        <w:spacing w:line="578"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阶段（含一次性）项目绩效分析。</w:t>
      </w:r>
      <w:r>
        <w:rPr>
          <w:rFonts w:hint="eastAsia" w:ascii="仿宋_GB2312" w:hAnsi="仿宋_GB2312" w:eastAsia="仿宋_GB2312" w:cs="仿宋_GB2312"/>
          <w:color w:val="000000"/>
          <w:kern w:val="0"/>
          <w:sz w:val="32"/>
          <w:szCs w:val="32"/>
          <w:shd w:val="clear" w:color="auto" w:fill="FFFFFF"/>
          <w:lang w:val="zh-CN"/>
        </w:rPr>
        <w:t>该类项目总数</w:t>
      </w:r>
      <w:r>
        <w:rPr>
          <w:rFonts w:hint="eastAsia" w:ascii="仿宋_GB2312" w:hAnsi="仿宋_GB2312" w:eastAsia="仿宋_GB2312" w:cs="仿宋_GB2312"/>
          <w:color w:val="000000"/>
          <w:kern w:val="0"/>
          <w:sz w:val="32"/>
          <w:szCs w:val="32"/>
          <w:shd w:val="clear" w:color="auto" w:fill="FFFFFF"/>
          <w:lang w:val="en-US" w:eastAsia="zh-CN"/>
        </w:rPr>
        <w:t>4</w:t>
      </w:r>
      <w:r>
        <w:rPr>
          <w:rFonts w:hint="eastAsia" w:ascii="仿宋_GB2312" w:hAnsi="仿宋_GB2312" w:eastAsia="仿宋_GB2312" w:cs="仿宋_GB2312"/>
          <w:color w:val="000000"/>
          <w:kern w:val="0"/>
          <w:sz w:val="32"/>
          <w:szCs w:val="32"/>
          <w:shd w:val="clear" w:color="auto" w:fill="FFFFFF"/>
          <w:lang w:val="zh-CN"/>
        </w:rPr>
        <w:t>个，涉及预算总金额</w:t>
      </w:r>
      <w:r>
        <w:rPr>
          <w:rFonts w:hint="eastAsia" w:ascii="仿宋_GB2312" w:hAnsi="仿宋_GB2312" w:eastAsia="仿宋_GB2312" w:cs="仿宋_GB2312"/>
          <w:color w:val="000000"/>
          <w:kern w:val="0"/>
          <w:sz w:val="32"/>
          <w:szCs w:val="32"/>
          <w:shd w:val="clear" w:color="auto" w:fill="FFFFFF"/>
          <w:lang w:val="en-US" w:eastAsia="zh-CN"/>
        </w:rPr>
        <w:t>385.74</w:t>
      </w:r>
      <w:r>
        <w:rPr>
          <w:rFonts w:hint="eastAsia" w:ascii="仿宋_GB2312" w:hAnsi="仿宋_GB2312" w:eastAsia="仿宋_GB2312" w:cs="仿宋_GB2312"/>
          <w:color w:val="000000"/>
          <w:kern w:val="0"/>
          <w:sz w:val="32"/>
          <w:szCs w:val="32"/>
          <w:shd w:val="clear" w:color="auto" w:fill="FFFFFF"/>
          <w:lang w:val="zh-CN"/>
        </w:rPr>
        <w:t>万元，1—1</w:t>
      </w:r>
      <w:r>
        <w:rPr>
          <w:rFonts w:hint="eastAsia" w:ascii="仿宋_GB2312" w:hAnsi="仿宋_GB2312" w:eastAsia="仿宋_GB2312" w:cs="仿宋_GB2312"/>
          <w:color w:val="000000"/>
          <w:kern w:val="0"/>
          <w:sz w:val="32"/>
          <w:szCs w:val="32"/>
          <w:shd w:val="clear" w:color="auto" w:fill="FFFFFF"/>
        </w:rPr>
        <w:t>2</w:t>
      </w:r>
      <w:r>
        <w:rPr>
          <w:rFonts w:hint="eastAsia" w:ascii="仿宋_GB2312" w:hAnsi="仿宋_GB2312" w:eastAsia="仿宋_GB2312" w:cs="仿宋_GB2312"/>
          <w:color w:val="000000"/>
          <w:kern w:val="0"/>
          <w:sz w:val="32"/>
          <w:szCs w:val="32"/>
          <w:shd w:val="clear" w:color="auto" w:fill="FFFFFF"/>
          <w:lang w:val="zh-CN"/>
        </w:rPr>
        <w:t>月预算执行总体进度为</w:t>
      </w:r>
      <w:r>
        <w:rPr>
          <w:rFonts w:hint="eastAsia" w:ascii="仿宋_GB2312" w:hAnsi="仿宋_GB2312" w:eastAsia="仿宋_GB2312" w:cs="仿宋_GB2312"/>
          <w:color w:val="000000"/>
          <w:kern w:val="0"/>
          <w:sz w:val="32"/>
          <w:szCs w:val="32"/>
          <w:shd w:val="clear" w:color="auto" w:fill="FFFFFF"/>
          <w:lang w:val="en-US" w:eastAsia="zh-CN"/>
        </w:rPr>
        <w:t>91.4</w:t>
      </w:r>
      <w:r>
        <w:rPr>
          <w:rFonts w:hint="eastAsia" w:ascii="仿宋_GB2312" w:hAnsi="仿宋_GB2312" w:eastAsia="仿宋_GB2312" w:cs="仿宋_GB2312"/>
          <w:color w:val="000000"/>
          <w:kern w:val="0"/>
          <w:sz w:val="32"/>
          <w:szCs w:val="32"/>
          <w:shd w:val="clear" w:color="auto" w:fill="FFFFFF"/>
          <w:lang w:val="zh-CN"/>
        </w:rPr>
        <w:t>%，其中：预算结余率大于</w:t>
      </w:r>
      <w:r>
        <w:rPr>
          <w:rFonts w:hint="eastAsia" w:ascii="仿宋_GB2312" w:hAnsi="仿宋_GB2312" w:eastAsia="仿宋_GB2312" w:cs="仿宋_GB2312"/>
          <w:color w:val="000000"/>
          <w:kern w:val="0"/>
          <w:sz w:val="32"/>
          <w:szCs w:val="32"/>
          <w:shd w:val="clear" w:color="auto" w:fill="FFFFFF"/>
        </w:rPr>
        <w:t>10%</w:t>
      </w:r>
      <w:r>
        <w:rPr>
          <w:rFonts w:hint="eastAsia" w:ascii="仿宋_GB2312" w:hAnsi="仿宋_GB2312" w:eastAsia="仿宋_GB2312" w:cs="仿宋_GB2312"/>
          <w:color w:val="000000"/>
          <w:kern w:val="0"/>
          <w:sz w:val="32"/>
          <w:szCs w:val="32"/>
          <w:shd w:val="clear" w:color="auto" w:fill="FFFFFF"/>
          <w:lang w:val="zh-CN"/>
        </w:rPr>
        <w:t>的项目共计</w:t>
      </w:r>
      <w:r>
        <w:rPr>
          <w:rFonts w:hint="eastAsia" w:ascii="仿宋_GB2312" w:hAnsi="仿宋_GB2312" w:eastAsia="仿宋_GB2312" w:cs="仿宋_GB2312"/>
          <w:color w:val="000000"/>
          <w:kern w:val="0"/>
          <w:sz w:val="32"/>
          <w:szCs w:val="32"/>
          <w:shd w:val="clear" w:color="auto" w:fill="FFFFFF"/>
          <w:lang w:val="en-US" w:eastAsia="zh-CN"/>
        </w:rPr>
        <w:t>0</w:t>
      </w:r>
      <w:r>
        <w:rPr>
          <w:rFonts w:hint="eastAsia" w:ascii="仿宋_GB2312" w:hAnsi="仿宋_GB2312" w:eastAsia="仿宋_GB2312" w:cs="仿宋_GB2312"/>
          <w:color w:val="000000"/>
          <w:kern w:val="0"/>
          <w:sz w:val="32"/>
          <w:szCs w:val="32"/>
          <w:shd w:val="clear" w:color="auto" w:fill="FFFFFF"/>
          <w:lang w:val="zh-CN"/>
        </w:rPr>
        <w:t>个。</w:t>
      </w:r>
    </w:p>
    <w:p w14:paraId="1A214C98">
      <w:pPr>
        <w:adjustRightInd w:val="0"/>
        <w:snapToGrid w:val="0"/>
        <w:spacing w:line="578"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1.</w:t>
      </w:r>
      <w:r>
        <w:rPr>
          <w:rFonts w:hint="eastAsia" w:ascii="仿宋_GB2312" w:hAnsi="仿宋_GB2312" w:eastAsia="仿宋_GB2312" w:cs="仿宋_GB2312"/>
          <w:color w:val="000000"/>
          <w:kern w:val="0"/>
          <w:sz w:val="32"/>
          <w:szCs w:val="32"/>
          <w:shd w:val="clear" w:color="auto" w:fill="FFFFFF"/>
          <w:lang w:val="zh-CN"/>
        </w:rPr>
        <w:t>项目决策。围绕决策程序、目标设置、项目入库进行绩效分析。</w:t>
      </w:r>
    </w:p>
    <w:p w14:paraId="3068F50B">
      <w:pPr>
        <w:adjustRightInd w:val="0"/>
        <w:snapToGrid w:val="0"/>
        <w:spacing w:line="578"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2.项目执行</w:t>
      </w:r>
      <w:r>
        <w:rPr>
          <w:rFonts w:hint="eastAsia" w:ascii="仿宋_GB2312" w:hAnsi="仿宋_GB2312" w:eastAsia="仿宋_GB2312" w:cs="仿宋_GB2312"/>
          <w:color w:val="000000"/>
          <w:kern w:val="0"/>
          <w:sz w:val="32"/>
          <w:szCs w:val="32"/>
          <w:shd w:val="clear" w:color="auto" w:fill="FFFFFF"/>
          <w:lang w:val="zh-CN"/>
        </w:rPr>
        <w:t>。围绕资金执行同向、项目调整、执行结果进行绩效分析。</w:t>
      </w:r>
    </w:p>
    <w:p w14:paraId="6E0ADB93">
      <w:pPr>
        <w:adjustRightInd w:val="0"/>
        <w:snapToGrid w:val="0"/>
        <w:spacing w:line="578"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color w:val="000000"/>
          <w:kern w:val="0"/>
          <w:sz w:val="32"/>
          <w:szCs w:val="32"/>
          <w:shd w:val="clear" w:color="auto" w:fill="FFFFFF"/>
        </w:rPr>
        <w:t>3.</w:t>
      </w:r>
      <w:r>
        <w:rPr>
          <w:rFonts w:hint="eastAsia" w:ascii="仿宋_GB2312" w:hAnsi="仿宋_GB2312" w:eastAsia="仿宋_GB2312" w:cs="仿宋_GB2312"/>
          <w:color w:val="000000"/>
          <w:kern w:val="0"/>
          <w:sz w:val="32"/>
          <w:szCs w:val="32"/>
          <w:shd w:val="clear" w:color="auto" w:fill="FFFFFF"/>
          <w:lang w:val="zh-CN"/>
        </w:rPr>
        <w:t>目标实现。围绕目标完成、目标偏离、实现效果进行绩效分析。</w:t>
      </w:r>
    </w:p>
    <w:p w14:paraId="3186B0C4">
      <w:pPr>
        <w:spacing w:line="578" w:lineRule="exact"/>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州级部门对一般公共预算、政府性基金预算、国有资本经营预算安排的常年项目、阶段项目绩效目标完成情况，以及债券资金、政府购买服务有关情况进行梳理阐述。</w:t>
      </w:r>
    </w:p>
    <w:p w14:paraId="2827323E">
      <w:pPr>
        <w:snapToGrid w:val="0"/>
        <w:spacing w:line="578" w:lineRule="exact"/>
        <w:ind w:firstLine="643" w:firstLineChars="200"/>
        <w:jc w:val="left"/>
        <w:rPr>
          <w:rFonts w:hint="eastAsia" w:ascii="仿宋_GB2312" w:hAnsi="仿宋_GB2312" w:eastAsia="仿宋_GB2312" w:cs="仿宋_GB2312"/>
          <w:b/>
          <w:sz w:val="32"/>
          <w:szCs w:val="32"/>
        </w:rPr>
      </w:pPr>
      <w:r>
        <w:rPr>
          <w:rFonts w:hint="eastAsia" w:ascii="仿宋_GB2312" w:hAnsi="仿宋_GB2312" w:eastAsia="仿宋_GB2312" w:cs="仿宋_GB2312"/>
          <w:b/>
          <w:bCs/>
          <w:color w:val="000000"/>
          <w:kern w:val="0"/>
          <w:sz w:val="32"/>
          <w:szCs w:val="32"/>
          <w:shd w:val="clear" w:color="auto" w:fill="FFFFFF"/>
          <w:lang w:val="zh-CN"/>
        </w:rPr>
        <w:t>（三）</w:t>
      </w:r>
      <w:r>
        <w:rPr>
          <w:rFonts w:hint="eastAsia" w:ascii="仿宋_GB2312" w:hAnsi="仿宋_GB2312" w:eastAsia="仿宋_GB2312" w:cs="仿宋_GB2312"/>
          <w:b/>
          <w:bCs/>
          <w:sz w:val="32"/>
          <w:szCs w:val="32"/>
          <w:lang w:val="zh-CN"/>
        </w:rPr>
        <w:t>绩效结果应用情况。</w:t>
      </w:r>
      <w:r>
        <w:rPr>
          <w:rFonts w:hint="eastAsia" w:ascii="仿宋_GB2312" w:hAnsi="仿宋_GB2312" w:eastAsia="仿宋_GB2312" w:cs="仿宋_GB2312"/>
          <w:color w:val="000000"/>
          <w:kern w:val="0"/>
          <w:sz w:val="32"/>
          <w:szCs w:val="32"/>
          <w:shd w:val="clear" w:color="auto" w:fill="FFFFFF"/>
          <w:lang w:val="zh-CN"/>
        </w:rPr>
        <w:t>围绕内部应用情况、信息公开情况、整改反馈情况进行分析。</w:t>
      </w:r>
    </w:p>
    <w:p w14:paraId="49963263">
      <w:pPr>
        <w:widowControl/>
        <w:adjustRightInd w:val="0"/>
        <w:snapToGrid w:val="0"/>
        <w:spacing w:line="578" w:lineRule="exact"/>
        <w:ind w:firstLine="640" w:firstLineChars="200"/>
        <w:contextualSpacing/>
        <w:jc w:val="left"/>
        <w:rPr>
          <w:rFonts w:hint="eastAsia" w:ascii="仿宋_GB2312" w:hAnsi="仿宋_GB2312" w:eastAsia="仿宋_GB2312" w:cs="仿宋_GB2312"/>
          <w:color w:val="000000"/>
          <w:kern w:val="0"/>
          <w:sz w:val="32"/>
          <w:szCs w:val="32"/>
          <w:shd w:val="clear" w:color="auto" w:fill="FFFFFF"/>
        </w:rPr>
      </w:pPr>
      <w:r>
        <w:rPr>
          <w:rFonts w:hint="eastAsia" w:ascii="仿宋_GB2312" w:hAnsi="仿宋_GB2312" w:eastAsia="仿宋_GB2312" w:cs="仿宋_GB2312"/>
          <w:color w:val="000000"/>
          <w:kern w:val="0"/>
          <w:sz w:val="32"/>
          <w:szCs w:val="32"/>
          <w:shd w:val="clear" w:color="auto" w:fill="FFFFFF"/>
        </w:rPr>
        <w:t>四、评价结论及建议</w:t>
      </w:r>
    </w:p>
    <w:p w14:paraId="36844EA0">
      <w:pPr>
        <w:widowControl/>
        <w:adjustRightInd w:val="0"/>
        <w:snapToGrid w:val="0"/>
        <w:spacing w:line="578" w:lineRule="exact"/>
        <w:ind w:firstLine="643" w:firstLineChars="200"/>
        <w:contextualSpacing/>
        <w:jc w:val="left"/>
        <w:rPr>
          <w:rFonts w:hint="eastAsia" w:ascii="仿宋_GB2312" w:hAnsi="仿宋_GB2312" w:eastAsia="仿宋_GB2312" w:cs="仿宋_GB2312"/>
          <w:b/>
          <w:bCs/>
          <w:color w:val="000000"/>
          <w:kern w:val="0"/>
          <w:sz w:val="32"/>
          <w:szCs w:val="32"/>
          <w:shd w:val="clear" w:color="auto" w:fill="FFFFFF"/>
          <w:lang w:val="en-US" w:eastAsia="zh-CN"/>
        </w:rPr>
      </w:pPr>
      <w:r>
        <w:rPr>
          <w:rFonts w:hint="eastAsia" w:ascii="仿宋_GB2312" w:hAnsi="仿宋_GB2312" w:eastAsia="仿宋_GB2312" w:cs="仿宋_GB2312"/>
          <w:b/>
          <w:bCs/>
          <w:color w:val="000000"/>
          <w:kern w:val="0"/>
          <w:sz w:val="32"/>
          <w:szCs w:val="32"/>
          <w:shd w:val="clear" w:color="auto" w:fill="FFFFFF"/>
          <w:lang w:val="zh-CN"/>
        </w:rPr>
        <w:t>（一）评价结论。</w:t>
      </w:r>
      <w:r>
        <w:rPr>
          <w:rFonts w:hint="eastAsia" w:ascii="仿宋_GB2312" w:hAnsi="仿宋_GB2312" w:eastAsia="仿宋_GB2312" w:cs="仿宋_GB2312"/>
          <w:kern w:val="0"/>
          <w:sz w:val="32"/>
          <w:szCs w:val="32"/>
        </w:rPr>
        <w:t>简要阐述</w:t>
      </w:r>
      <w:r>
        <w:rPr>
          <w:rFonts w:hint="eastAsia" w:ascii="仿宋_GB2312" w:hAnsi="仿宋_GB2312" w:eastAsia="仿宋_GB2312" w:cs="仿宋_GB2312"/>
          <w:w w:val="95"/>
          <w:kern w:val="0"/>
          <w:sz w:val="32"/>
          <w:szCs w:val="32"/>
        </w:rPr>
        <w:t>部门预算绩效自评</w:t>
      </w:r>
      <w:r>
        <w:rPr>
          <w:rFonts w:hint="eastAsia" w:ascii="仿宋_GB2312" w:hAnsi="仿宋_GB2312" w:eastAsia="仿宋_GB2312" w:cs="仿宋_GB2312"/>
          <w:kern w:val="0"/>
          <w:sz w:val="32"/>
          <w:szCs w:val="32"/>
        </w:rPr>
        <w:t>总体结论，其中必须包含自评得分。</w:t>
      </w:r>
      <w:r>
        <w:rPr>
          <w:rFonts w:hint="eastAsia" w:ascii="仿宋_GB2312" w:hAnsi="仿宋_GB2312" w:eastAsia="仿宋_GB2312" w:cs="仿宋_GB2312"/>
          <w:kern w:val="0"/>
          <w:sz w:val="32"/>
          <w:szCs w:val="32"/>
          <w:lang w:eastAsia="zh-CN"/>
        </w:rPr>
        <w:t>单位预算绩效自评得分</w:t>
      </w:r>
      <w:r>
        <w:rPr>
          <w:rFonts w:hint="eastAsia" w:ascii="仿宋_GB2312" w:hAnsi="仿宋_GB2312" w:eastAsia="仿宋_GB2312" w:cs="仿宋_GB2312"/>
          <w:kern w:val="0"/>
          <w:sz w:val="32"/>
          <w:szCs w:val="32"/>
          <w:lang w:val="en-US" w:eastAsia="zh-CN"/>
        </w:rPr>
        <w:t>96分，主要涉及到食堂跨年采购项目，所以部分食堂伙食费代管资金支付进度有待提高，加上每月食堂报销费用需要在下一个月执行，12月食堂费用报销时，财政已经关账，无法进行12月的伙食费报销，使得常年业训经费项目执行进度减缓。</w:t>
      </w:r>
    </w:p>
    <w:p w14:paraId="39658F77">
      <w:pPr>
        <w:widowControl/>
        <w:adjustRightInd w:val="0"/>
        <w:snapToGrid w:val="0"/>
        <w:spacing w:line="578" w:lineRule="exact"/>
        <w:ind w:firstLine="643" w:firstLineChars="200"/>
        <w:contextualSpacing/>
        <w:jc w:val="left"/>
        <w:rPr>
          <w:rFonts w:hint="eastAsia" w:ascii="仿宋_GB2312" w:hAnsi="仿宋_GB2312" w:eastAsia="仿宋_GB2312" w:cs="仿宋_GB2312"/>
          <w:b/>
          <w:bCs/>
          <w:color w:val="000000"/>
          <w:kern w:val="0"/>
          <w:sz w:val="32"/>
          <w:szCs w:val="32"/>
          <w:shd w:val="clear" w:color="auto" w:fill="FFFFFF"/>
          <w:lang w:val="en-US" w:eastAsia="zh-CN"/>
        </w:rPr>
      </w:pPr>
      <w:r>
        <w:rPr>
          <w:rFonts w:hint="eastAsia" w:ascii="仿宋_GB2312" w:hAnsi="仿宋_GB2312" w:eastAsia="仿宋_GB2312" w:cs="仿宋_GB2312"/>
          <w:b/>
          <w:bCs/>
          <w:color w:val="000000"/>
          <w:kern w:val="0"/>
          <w:sz w:val="32"/>
          <w:szCs w:val="32"/>
          <w:shd w:val="clear" w:color="auto" w:fill="FFFFFF"/>
          <w:lang w:val="zh-CN"/>
        </w:rPr>
        <w:t>（二）存在问题。</w:t>
      </w:r>
      <w:r>
        <w:rPr>
          <w:rFonts w:hint="eastAsia" w:ascii="仿宋_GB2312" w:hAnsi="仿宋_GB2312" w:eastAsia="仿宋_GB2312" w:cs="仿宋_GB2312"/>
          <w:w w:val="95"/>
          <w:kern w:val="0"/>
          <w:sz w:val="32"/>
          <w:szCs w:val="32"/>
        </w:rPr>
        <w:t>简要阐述部门预算绩效自评发现的主要问题。</w:t>
      </w:r>
      <w:r>
        <w:rPr>
          <w:rFonts w:hint="eastAsia" w:ascii="仿宋_GB2312" w:hAnsi="仿宋_GB2312" w:eastAsia="仿宋_GB2312" w:cs="仿宋_GB2312"/>
          <w:w w:val="95"/>
          <w:kern w:val="0"/>
          <w:sz w:val="32"/>
          <w:szCs w:val="32"/>
          <w:lang w:eastAsia="zh-CN"/>
        </w:rPr>
        <w:t>食堂伙食费用报销不及时，存在跨年支付项目减缓项目执行进度。部分项目处于下半年开展，</w:t>
      </w:r>
      <w:r>
        <w:rPr>
          <w:rFonts w:hint="eastAsia" w:ascii="仿宋_GB2312" w:hAnsi="仿宋_GB2312" w:eastAsia="仿宋_GB2312" w:cs="仿宋_GB2312"/>
          <w:w w:val="95"/>
          <w:kern w:val="0"/>
          <w:sz w:val="32"/>
          <w:szCs w:val="32"/>
          <w:lang w:val="en-US" w:eastAsia="zh-CN"/>
        </w:rPr>
        <w:t>1-10月份的执行进度缓慢。</w:t>
      </w:r>
    </w:p>
    <w:p w14:paraId="28C8F466">
      <w:pPr>
        <w:widowControl/>
        <w:adjustRightInd w:val="0"/>
        <w:snapToGrid w:val="0"/>
        <w:spacing w:line="578" w:lineRule="exact"/>
        <w:ind w:firstLine="643" w:firstLineChars="200"/>
        <w:contextualSpacing/>
        <w:jc w:val="left"/>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color w:val="000000"/>
          <w:kern w:val="0"/>
          <w:sz w:val="32"/>
          <w:szCs w:val="32"/>
          <w:shd w:val="clear" w:color="auto" w:fill="FFFFFF"/>
          <w:lang w:val="zh-CN"/>
        </w:rPr>
        <w:t>（三）改进建议。</w:t>
      </w:r>
      <w:r>
        <w:rPr>
          <w:rFonts w:hint="eastAsia" w:ascii="仿宋_GB2312" w:hAnsi="仿宋_GB2312" w:eastAsia="仿宋_GB2312" w:cs="仿宋_GB2312"/>
          <w:kern w:val="0"/>
          <w:sz w:val="32"/>
          <w:szCs w:val="32"/>
        </w:rPr>
        <w:t>简要阐述</w:t>
      </w:r>
      <w:bookmarkStart w:id="53" w:name="_Hlk110546638"/>
      <w:r>
        <w:rPr>
          <w:rFonts w:hint="eastAsia" w:ascii="仿宋_GB2312" w:hAnsi="仿宋_GB2312" w:eastAsia="仿宋_GB2312" w:cs="仿宋_GB2312"/>
          <w:kern w:val="0"/>
          <w:sz w:val="32"/>
          <w:szCs w:val="32"/>
        </w:rPr>
        <w:t>预算安排、完善政策、改进管理等方面的措施建议，其中必须对应评价发现的主要问题一一提出措施建议。</w:t>
      </w:r>
      <w:r>
        <w:rPr>
          <w:rFonts w:hint="eastAsia" w:ascii="仿宋_GB2312" w:hAnsi="仿宋_GB2312" w:eastAsia="仿宋_GB2312" w:cs="仿宋_GB2312"/>
          <w:kern w:val="0"/>
          <w:sz w:val="32"/>
          <w:szCs w:val="32"/>
          <w:lang w:eastAsia="zh-CN"/>
        </w:rPr>
        <w:t>针对</w:t>
      </w:r>
      <w:r>
        <w:rPr>
          <w:rFonts w:hint="eastAsia" w:ascii="仿宋_GB2312" w:hAnsi="仿宋_GB2312" w:eastAsia="仿宋_GB2312" w:cs="仿宋_GB2312"/>
          <w:kern w:val="0"/>
          <w:sz w:val="32"/>
          <w:szCs w:val="32"/>
          <w:lang w:val="en-US" w:eastAsia="zh-CN"/>
        </w:rPr>
        <w:t>1-10月部分项目执行进度缓慢问题，由于单位性质原因，体校选材集中在下半年11月份左右，所以常年业训经费执行进度较慢。针对以上问题，及时督促相关经办人员进行选材的提前计划，加快相关审核流程。针对伙食费报销缓慢问题，及时告知经办人员办理报销手续，加快伙食费审核签字报销等流程。</w:t>
      </w:r>
    </w:p>
    <w:bookmarkEnd w:id="53"/>
    <w:p w14:paraId="233E2DDF">
      <w:pPr>
        <w:spacing w:line="578" w:lineRule="exact"/>
        <w:contextualSpacing/>
        <w:jc w:val="left"/>
        <w:rPr>
          <w:rFonts w:eastAsia="黑体"/>
          <w:szCs w:val="32"/>
        </w:rPr>
      </w:pPr>
    </w:p>
    <w:p w14:paraId="5447DFE4">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2F2E4746">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p>
    <w:p w14:paraId="11B56EA0">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Times New Roman"/>
          <w:kern w:val="2"/>
          <w:sz w:val="32"/>
          <w:szCs w:val="32"/>
          <w:u w:val="none"/>
          <w:lang w:val="zh-CN" w:eastAsia="zh-CN" w:bidi="ar"/>
        </w:rPr>
      </w:pPr>
      <w:r>
        <w:rPr>
          <w:rFonts w:hint="eastAsia" w:ascii="Times New Roman" w:hAnsi="Times New Roman" w:eastAsia="仿宋_GB2312" w:cs="Times New Roman"/>
          <w:kern w:val="2"/>
          <w:sz w:val="32"/>
          <w:szCs w:val="32"/>
          <w:u w:val="none"/>
          <w:lang w:val="zh-CN" w:eastAsia="zh-CN" w:bidi="ar"/>
        </w:rPr>
        <w:t>附表：</w:t>
      </w:r>
      <w:r>
        <w:rPr>
          <w:rFonts w:hint="eastAsia" w:ascii="Times New Roman" w:hAnsi="Times New Roman" w:eastAsia="仿宋_GB2312" w:cs="Times New Roman"/>
          <w:kern w:val="2"/>
          <w:sz w:val="32"/>
          <w:szCs w:val="32"/>
          <w:u w:val="none"/>
          <w:lang w:val="en-US" w:eastAsia="zh-CN" w:bidi="ar"/>
        </w:rPr>
        <w:t>部门预算项目支出绩效自评表（</w:t>
      </w:r>
      <w:r>
        <w:rPr>
          <w:rFonts w:hint="eastAsia" w:ascii="Times New Roman" w:eastAsia="仿宋_GB2312" w:cs="Times New Roman"/>
          <w:kern w:val="2"/>
          <w:sz w:val="32"/>
          <w:szCs w:val="32"/>
          <w:u w:val="none"/>
          <w:lang w:val="en-US" w:eastAsia="zh-CN" w:bidi="ar"/>
        </w:rPr>
        <w:t>2025年度</w:t>
      </w:r>
      <w:r>
        <w:rPr>
          <w:rFonts w:hint="eastAsia" w:ascii="Times New Roman" w:hAnsi="Times New Roman" w:eastAsia="仿宋_GB2312" w:cs="Times New Roman"/>
          <w:kern w:val="2"/>
          <w:sz w:val="32"/>
          <w:szCs w:val="32"/>
          <w:u w:val="none"/>
          <w:lang w:val="en-US" w:eastAsia="zh-CN" w:bidi="ar"/>
        </w:rPr>
        <w:t>）</w:t>
      </w:r>
    </w:p>
    <w:p w14:paraId="3F4161CA">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（注：</w:t>
      </w:r>
      <w:r>
        <w:rPr>
          <w:rFonts w:hint="eastAsia" w:ascii="Times New Roman" w:eastAsia="仿宋_GB2312" w:cs="仿宋_GB2312"/>
          <w:b w:val="0"/>
          <w:bCs w:val="0"/>
          <w:kern w:val="0"/>
          <w:position w:val="0"/>
          <w:sz w:val="32"/>
          <w:szCs w:val="32"/>
          <w:highlight w:val="none"/>
          <w:lang w:val="en-US" w:eastAsia="zh-CN" w:bidi="ar-SA"/>
        </w:rPr>
        <w:t>部门需公开部门预算绩效自评报告和部门预算项目支出绩效自评表（2025年度），</w:t>
      </w:r>
      <w:r>
        <w:rPr>
          <w:rFonts w:hint="eastAsia" w:ascii="宋体" w:hAnsi="宋体" w:eastAsia="仿宋_GB2312" w:cs="仿宋_GB2312"/>
          <w:b w:val="0"/>
          <w:sz w:val="32"/>
          <w:szCs w:val="32"/>
          <w:highlight w:val="none"/>
          <w:u w:val="none"/>
          <w:lang w:eastAsia="zh-CN"/>
        </w:rPr>
        <w:t>部门评价项目数量</w:t>
      </w:r>
      <w:r>
        <w:rPr>
          <w:rFonts w:hint="eastAsia" w:ascii="宋体" w:hAnsi="宋体" w:cs="仿宋_GB2312"/>
          <w:b w:val="0"/>
          <w:sz w:val="32"/>
          <w:szCs w:val="32"/>
          <w:highlight w:val="none"/>
          <w:u w:val="none"/>
          <w:lang w:eastAsia="zh-CN"/>
        </w:rPr>
        <w:t>在</w:t>
      </w:r>
      <w:r>
        <w:rPr>
          <w:rFonts w:hint="eastAsia" w:ascii="宋体" w:hAnsi="宋体" w:eastAsia="仿宋_GB2312" w:cs="仿宋_GB2312"/>
          <w:b w:val="0"/>
          <w:sz w:val="32"/>
          <w:szCs w:val="32"/>
          <w:highlight w:val="none"/>
          <w:u w:val="none"/>
          <w:lang w:val="en-US" w:eastAsia="zh-CN"/>
        </w:rPr>
        <w:t>3个以内的，</w:t>
      </w:r>
      <w:r>
        <w:rPr>
          <w:rFonts w:hint="eastAsia" w:ascii="宋体" w:hAnsi="宋体" w:eastAsia="仿宋_GB2312" w:cs="仿宋_GB2312"/>
          <w:sz w:val="32"/>
          <w:szCs w:val="32"/>
          <w:highlight w:val="none"/>
          <w:u w:val="none"/>
        </w:rPr>
        <w:t>至少将1个部门评价报告向社会公开</w:t>
      </w:r>
      <w:r>
        <w:rPr>
          <w:rFonts w:hint="eastAsia" w:ascii="宋体" w:hAnsi="宋体" w:eastAsia="仿宋_GB2312" w:cs="仿宋_GB2312"/>
          <w:sz w:val="32"/>
          <w:szCs w:val="32"/>
          <w:highlight w:val="none"/>
          <w:u w:val="none"/>
          <w:lang w:eastAsia="zh-CN"/>
        </w:rPr>
        <w:t>；</w:t>
      </w:r>
      <w:r>
        <w:rPr>
          <w:rFonts w:hint="eastAsia" w:ascii="宋体" w:hAnsi="宋体" w:eastAsia="仿宋_GB2312" w:cs="仿宋_GB2312"/>
          <w:b w:val="0"/>
          <w:sz w:val="32"/>
          <w:szCs w:val="32"/>
          <w:highlight w:val="none"/>
          <w:u w:val="none"/>
          <w:lang w:eastAsia="zh-CN"/>
        </w:rPr>
        <w:t>部门评价项目数量大于</w:t>
      </w:r>
      <w:r>
        <w:rPr>
          <w:rFonts w:hint="eastAsia" w:ascii="宋体" w:hAnsi="宋体" w:eastAsia="仿宋_GB2312" w:cs="仿宋_GB2312"/>
          <w:b w:val="0"/>
          <w:sz w:val="32"/>
          <w:szCs w:val="32"/>
          <w:highlight w:val="none"/>
          <w:u w:val="none"/>
          <w:lang w:val="en-US" w:eastAsia="zh-CN"/>
        </w:rPr>
        <w:t>3个的，</w:t>
      </w:r>
      <w:r>
        <w:rPr>
          <w:rFonts w:hint="eastAsia" w:ascii="宋体" w:hAnsi="宋体" w:eastAsia="仿宋_GB2312" w:cs="仿宋_GB2312"/>
          <w:sz w:val="32"/>
          <w:szCs w:val="32"/>
          <w:highlight w:val="none"/>
          <w:u w:val="none"/>
        </w:rPr>
        <w:t>至少将</w:t>
      </w:r>
      <w:r>
        <w:rPr>
          <w:rFonts w:hint="eastAsia" w:ascii="宋体" w:hAnsi="宋体" w:eastAsia="仿宋_GB2312" w:cs="仿宋_GB2312"/>
          <w:sz w:val="32"/>
          <w:szCs w:val="32"/>
          <w:highlight w:val="none"/>
          <w:u w:val="none"/>
          <w:lang w:val="en-US" w:eastAsia="zh-CN"/>
        </w:rPr>
        <w:t>2</w:t>
      </w:r>
      <w:r>
        <w:rPr>
          <w:rFonts w:hint="eastAsia" w:ascii="宋体" w:hAnsi="宋体" w:eastAsia="仿宋_GB2312" w:cs="仿宋_GB2312"/>
          <w:sz w:val="32"/>
          <w:szCs w:val="32"/>
          <w:highlight w:val="none"/>
          <w:u w:val="none"/>
        </w:rPr>
        <w:t>个部门评价报告向社会公开</w:t>
      </w:r>
      <w:r>
        <w:rPr>
          <w:rFonts w:hint="eastAsia" w:ascii="宋体" w:hAnsi="宋体" w:eastAsia="仿宋_GB2312" w:cs="仿宋_GB2312"/>
          <w:sz w:val="32"/>
          <w:szCs w:val="32"/>
          <w:highlight w:val="none"/>
          <w:u w:val="none"/>
          <w:lang w:eastAsia="zh-CN"/>
        </w:rPr>
        <w:t>。</w:t>
      </w:r>
      <w:r>
        <w:rPr>
          <w:rFonts w:hint="eastAsia" w:ascii="Times New Roman" w:eastAsia="仿宋_GB2312" w:cs="仿宋_GB2312"/>
          <w:b w:val="0"/>
          <w:bCs w:val="0"/>
          <w:kern w:val="0"/>
          <w:position w:val="0"/>
          <w:sz w:val="32"/>
          <w:szCs w:val="32"/>
          <w:highlight w:val="none"/>
          <w:lang w:val="en-US" w:eastAsia="zh-CN" w:bidi="ar-SA"/>
        </w:rPr>
        <w:t>各下属单位需公开部门预算项目支出绩效自评表（2025年度）。</w:t>
      </w:r>
    </w:p>
    <w:p w14:paraId="5720356A">
      <w:pPr>
        <w:pStyle w:val="7"/>
        <w:keepNext w:val="0"/>
        <w:keepLines w:val="0"/>
        <w:pageBreakBefore w:val="0"/>
        <w:numPr>
          <w:ilvl w:val="0"/>
          <w:numId w:val="0"/>
        </w:numPr>
        <w:kinsoku/>
        <w:wordWrap/>
        <w:overflowPunct/>
        <w:topLinePunct w:val="0"/>
        <w:autoSpaceDE/>
        <w:autoSpaceDN/>
        <w:bidi w:val="0"/>
        <w:spacing w:line="560" w:lineRule="exact"/>
        <w:ind w:firstLine="640" w:firstLineChars="200"/>
        <w:textAlignment w:val="auto"/>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部门预算项目支出绩效自评表（2025年度）</w:t>
      </w:r>
      <w:r>
        <w:rPr>
          <w:rFonts w:hint="eastAsia" w:ascii="Times New Roman" w:eastAsia="仿宋_GB2312" w:cs="仿宋_GB2312"/>
          <w:b w:val="0"/>
          <w:bCs w:val="0"/>
          <w:kern w:val="0"/>
          <w:position w:val="0"/>
          <w:sz w:val="32"/>
          <w:szCs w:val="32"/>
          <w:highlight w:val="none"/>
          <w:lang w:val="en-US" w:eastAsia="zh-CN" w:bidi="ar-SA"/>
        </w:rPr>
        <w:t>为各部门在预算管理一体化系统绩效自评模块上传的表格，</w:t>
      </w:r>
      <w:r>
        <w:rPr>
          <w:rFonts w:hint="eastAsia" w:ascii="Times New Roman" w:hAnsi="Times New Roman" w:eastAsia="仿宋_GB2312" w:cs="仿宋_GB2312"/>
          <w:b w:val="0"/>
          <w:bCs w:val="0"/>
          <w:kern w:val="0"/>
          <w:position w:val="0"/>
          <w:sz w:val="32"/>
          <w:szCs w:val="32"/>
          <w:highlight w:val="none"/>
          <w:lang w:val="en-US" w:eastAsia="zh-CN" w:bidi="ar-SA"/>
        </w:rPr>
        <w:t>该表格应作为附表予以公开）</w:t>
      </w:r>
    </w:p>
    <w:p w14:paraId="6F608770">
      <w:pPr>
        <w:rPr>
          <w:rFonts w:hint="eastAsia" w:ascii="Times New Roman" w:hAnsi="Times New Roman" w:eastAsia="仿宋_GB2312" w:cs="仿宋_GB2312"/>
          <w:b w:val="0"/>
          <w:bCs w:val="0"/>
          <w:kern w:val="0"/>
          <w:position w:val="0"/>
          <w:sz w:val="32"/>
          <w:szCs w:val="32"/>
          <w:highlight w:val="none"/>
          <w:lang w:val="en-US" w:eastAsia="zh-CN" w:bidi="ar-SA"/>
        </w:rPr>
      </w:pPr>
    </w:p>
    <w:p w14:paraId="331A2F1D">
      <w:pPr>
        <w:rPr>
          <w:rFonts w:hint="eastAsia" w:ascii="Times New Roman" w:hAnsi="Times New Roman" w:eastAsia="仿宋_GB2312" w:cs="仿宋_GB2312"/>
          <w:b w:val="0"/>
          <w:bCs w:val="0"/>
          <w:kern w:val="0"/>
          <w:position w:val="0"/>
          <w:sz w:val="32"/>
          <w:szCs w:val="32"/>
          <w:highlight w:val="none"/>
          <w:lang w:val="en-US" w:eastAsia="zh-CN" w:bidi="ar-SA"/>
        </w:rPr>
      </w:pPr>
    </w:p>
    <w:p w14:paraId="37E16734">
      <w:pPr>
        <w:rPr>
          <w:rFonts w:hint="eastAsia" w:ascii="Times New Roman" w:hAnsi="Times New Roman" w:eastAsia="仿宋_GB2312" w:cs="仿宋_GB2312"/>
          <w:b w:val="0"/>
          <w:bCs w:val="0"/>
          <w:kern w:val="0"/>
          <w:position w:val="0"/>
          <w:sz w:val="32"/>
          <w:szCs w:val="32"/>
          <w:highlight w:val="none"/>
          <w:lang w:val="en-US" w:eastAsia="zh-CN" w:bidi="ar-SA"/>
        </w:rPr>
      </w:pPr>
    </w:p>
    <w:p w14:paraId="4CD5DC6E">
      <w:pPr>
        <w:rPr>
          <w:rFonts w:hint="eastAsia" w:ascii="Times New Roman" w:hAnsi="Times New Roman" w:eastAsia="仿宋_GB2312" w:cs="仿宋_GB2312"/>
          <w:b w:val="0"/>
          <w:bCs w:val="0"/>
          <w:kern w:val="0"/>
          <w:position w:val="0"/>
          <w:sz w:val="32"/>
          <w:szCs w:val="32"/>
          <w:highlight w:val="none"/>
          <w:lang w:val="en-US" w:eastAsia="zh-CN" w:bidi="ar-SA"/>
        </w:rPr>
      </w:pPr>
    </w:p>
    <w:p w14:paraId="445D25AB">
      <w:pPr>
        <w:rPr>
          <w:rFonts w:hint="eastAsia" w:ascii="Times New Roman" w:hAnsi="Times New Roman" w:eastAsia="仿宋_GB2312" w:cs="仿宋_GB2312"/>
          <w:b w:val="0"/>
          <w:bCs w:val="0"/>
          <w:kern w:val="0"/>
          <w:position w:val="0"/>
          <w:sz w:val="32"/>
          <w:szCs w:val="32"/>
          <w:highlight w:val="none"/>
          <w:lang w:val="en-US" w:eastAsia="zh-CN" w:bidi="ar-SA"/>
        </w:rPr>
      </w:pPr>
    </w:p>
    <w:p w14:paraId="356A0ABD">
      <w:pPr>
        <w:rPr>
          <w:rFonts w:hint="eastAsia" w:ascii="Times New Roman" w:hAnsi="Times New Roman" w:eastAsia="仿宋_GB2312" w:cs="仿宋_GB2312"/>
          <w:b w:val="0"/>
          <w:bCs w:val="0"/>
          <w:kern w:val="0"/>
          <w:position w:val="0"/>
          <w:sz w:val="32"/>
          <w:szCs w:val="32"/>
          <w:highlight w:val="none"/>
          <w:lang w:val="en-US" w:eastAsia="zh-CN" w:bidi="ar-SA"/>
        </w:rPr>
      </w:pPr>
    </w:p>
    <w:p w14:paraId="07C61AB7">
      <w:pPr>
        <w:rPr>
          <w:rFonts w:hint="eastAsia" w:ascii="Times New Roman" w:hAnsi="Times New Roman" w:eastAsia="仿宋_GB2312" w:cs="仿宋_GB2312"/>
          <w:b w:val="0"/>
          <w:bCs w:val="0"/>
          <w:kern w:val="0"/>
          <w:position w:val="0"/>
          <w:sz w:val="32"/>
          <w:szCs w:val="32"/>
          <w:highlight w:val="none"/>
          <w:lang w:val="en-US" w:eastAsia="zh-CN" w:bidi="ar-SA"/>
        </w:rPr>
      </w:pPr>
    </w:p>
    <w:p w14:paraId="59B3CA8B">
      <w:pPr>
        <w:rPr>
          <w:rFonts w:hint="eastAsia" w:ascii="Times New Roman" w:hAnsi="Times New Roman" w:eastAsia="仿宋_GB2312" w:cs="仿宋_GB2312"/>
          <w:b w:val="0"/>
          <w:bCs w:val="0"/>
          <w:kern w:val="0"/>
          <w:position w:val="0"/>
          <w:sz w:val="32"/>
          <w:szCs w:val="32"/>
          <w:highlight w:val="none"/>
          <w:lang w:val="en-US" w:eastAsia="zh-CN" w:bidi="ar-SA"/>
        </w:rPr>
      </w:pPr>
    </w:p>
    <w:p w14:paraId="6157FD4D">
      <w:pPr>
        <w:rPr>
          <w:rFonts w:hint="eastAsia" w:ascii="Times New Roman" w:hAnsi="Times New Roman" w:eastAsia="仿宋_GB2312" w:cs="仿宋_GB2312"/>
          <w:b w:val="0"/>
          <w:bCs w:val="0"/>
          <w:kern w:val="0"/>
          <w:position w:val="0"/>
          <w:sz w:val="32"/>
          <w:szCs w:val="32"/>
          <w:highlight w:val="none"/>
          <w:lang w:val="en-US" w:eastAsia="zh-CN" w:bidi="ar-SA"/>
        </w:rPr>
      </w:pPr>
    </w:p>
    <w:p w14:paraId="7E5682ED">
      <w:pPr>
        <w:rPr>
          <w:rFonts w:hint="eastAsia" w:ascii="Times New Roman" w:hAnsi="Times New Roman" w:eastAsia="仿宋_GB2312" w:cs="仿宋_GB2312"/>
          <w:b w:val="0"/>
          <w:bCs w:val="0"/>
          <w:kern w:val="0"/>
          <w:position w:val="0"/>
          <w:sz w:val="32"/>
          <w:szCs w:val="32"/>
          <w:highlight w:val="none"/>
          <w:lang w:val="en-US" w:eastAsia="zh-CN" w:bidi="ar-SA"/>
        </w:rPr>
      </w:pPr>
    </w:p>
    <w:p w14:paraId="4E3BDE5F">
      <w:pPr>
        <w:rPr>
          <w:rFonts w:hint="eastAsia" w:ascii="Times New Roman" w:hAnsi="Times New Roman" w:eastAsia="仿宋_GB2312" w:cs="仿宋_GB2312"/>
          <w:b w:val="0"/>
          <w:bCs w:val="0"/>
          <w:kern w:val="0"/>
          <w:position w:val="0"/>
          <w:sz w:val="32"/>
          <w:szCs w:val="32"/>
          <w:highlight w:val="none"/>
          <w:lang w:val="en-US" w:eastAsia="zh-CN" w:bidi="ar-SA"/>
        </w:rPr>
      </w:pPr>
    </w:p>
    <w:p w14:paraId="07A480F7">
      <w:pPr>
        <w:rPr>
          <w:rFonts w:hint="eastAsia" w:ascii="Times New Roman" w:hAnsi="Times New Roman" w:eastAsia="仿宋_GB2312" w:cs="仿宋_GB2312"/>
          <w:b w:val="0"/>
          <w:bCs w:val="0"/>
          <w:kern w:val="0"/>
          <w:position w:val="0"/>
          <w:sz w:val="32"/>
          <w:szCs w:val="32"/>
          <w:highlight w:val="none"/>
          <w:lang w:val="en-US" w:eastAsia="zh-CN" w:bidi="ar-SA"/>
        </w:rPr>
      </w:pPr>
    </w:p>
    <w:p w14:paraId="27C228D5">
      <w:pPr>
        <w:rPr>
          <w:rFonts w:hint="eastAsia" w:ascii="Times New Roman" w:hAnsi="Times New Roman" w:eastAsia="仿宋_GB2312" w:cs="仿宋_GB2312"/>
          <w:b w:val="0"/>
          <w:bCs w:val="0"/>
          <w:kern w:val="0"/>
          <w:position w:val="0"/>
          <w:sz w:val="32"/>
          <w:szCs w:val="32"/>
          <w:highlight w:val="none"/>
          <w:lang w:val="en-US" w:eastAsia="zh-CN" w:bidi="ar-SA"/>
        </w:rPr>
      </w:pPr>
    </w:p>
    <w:p w14:paraId="4D75D181">
      <w:pPr>
        <w:rPr>
          <w:rFonts w:hint="eastAsia" w:ascii="Times New Roman" w:hAnsi="Times New Roman" w:eastAsia="仿宋_GB2312" w:cs="仿宋_GB2312"/>
          <w:b w:val="0"/>
          <w:bCs w:val="0"/>
          <w:kern w:val="0"/>
          <w:position w:val="0"/>
          <w:sz w:val="32"/>
          <w:szCs w:val="32"/>
          <w:highlight w:val="none"/>
          <w:lang w:val="zh-CN" w:eastAsia="zh-CN" w:bidi="ar-SA"/>
        </w:rPr>
      </w:pPr>
    </w:p>
    <w:p w14:paraId="77A85604">
      <w:pPr>
        <w:spacing w:line="578" w:lineRule="exact"/>
        <w:jc w:val="left"/>
        <w:rPr>
          <w:rFonts w:eastAsia="黑体"/>
        </w:rPr>
      </w:pPr>
      <w:r>
        <w:rPr>
          <w:rFonts w:eastAsia="黑体"/>
        </w:rPr>
        <w:t>附表</w:t>
      </w:r>
      <w:r>
        <w:rPr>
          <w:rFonts w:hint="eastAsia" w:eastAsia="黑体"/>
        </w:rPr>
        <w:t>1</w:t>
      </w:r>
    </w:p>
    <w:p w14:paraId="4C409BD6">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15"/>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105F0608">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F34293">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DF9A43">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14:paraId="22839F86">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6FB11B2E">
            <w:pPr>
              <w:widowControl/>
              <w:spacing w:line="240" w:lineRule="exact"/>
              <w:jc w:val="center"/>
              <w:textAlignment w:val="center"/>
              <w:rPr>
                <w:rFonts w:ascii="黑体" w:hAnsi="宋体" w:eastAsia="黑体" w:cs="黑体"/>
                <w:color w:val="000000"/>
                <w:kern w:val="0"/>
                <w:sz w:val="24"/>
              </w:rPr>
            </w:pPr>
            <w:r>
              <w:rPr>
                <w:rFonts w:hint="eastAsia" w:ascii="黑体" w:hAnsi="宋体" w:eastAsia="黑体" w:cs="黑体"/>
                <w:color w:val="000000"/>
                <w:kern w:val="0"/>
                <w:sz w:val="24"/>
              </w:rPr>
              <w:t>备注</w:t>
            </w:r>
          </w:p>
        </w:tc>
      </w:tr>
      <w:tr w14:paraId="30686E07">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507FAA26">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F87D5">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42EA8">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E9DFA">
            <w:pPr>
              <w:widowControl/>
              <w:spacing w:line="240" w:lineRule="exact"/>
              <w:jc w:val="center"/>
              <w:textAlignment w:val="center"/>
              <w:rPr>
                <w:rFonts w:ascii="黑体" w:hAnsi="宋体" w:eastAsia="黑体" w:cs="黑体"/>
                <w:color w:val="000000"/>
                <w:sz w:val="24"/>
              </w:rPr>
            </w:pPr>
            <w:r>
              <w:rPr>
                <w:rFonts w:hint="eastAsia" w:ascii="黑体" w:hAnsi="宋体" w:eastAsia="黑体" w:cs="黑体"/>
                <w:color w:val="000000"/>
                <w:kern w:val="0"/>
                <w:sz w:val="24"/>
              </w:rPr>
              <w:t>指标</w:t>
            </w:r>
            <w:r>
              <w:rPr>
                <w:rFonts w:hint="eastAsia" w:ascii="黑体" w:hAnsi="宋体" w:eastAsia="黑体" w:cs="黑体"/>
                <w:color w:val="000000"/>
                <w:kern w:val="0"/>
                <w:sz w:val="24"/>
              </w:rPr>
              <w:br w:type="textWrapping"/>
            </w:r>
            <w:r>
              <w:rPr>
                <w:rFonts w:hint="eastAsia" w:ascii="黑体" w:hAnsi="宋体" w:eastAsia="黑体" w:cs="黑体"/>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1742D">
            <w:pPr>
              <w:widowControl/>
              <w:spacing w:line="240" w:lineRule="exact"/>
              <w:jc w:val="center"/>
              <w:rPr>
                <w:rFonts w:ascii="黑体" w:hAnsi="宋体" w:eastAsia="黑体" w:cs="黑体"/>
                <w:color w:val="00000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14:paraId="14AA5E7C">
            <w:pPr>
              <w:widowControl/>
              <w:spacing w:line="240" w:lineRule="exact"/>
              <w:jc w:val="center"/>
              <w:rPr>
                <w:rFonts w:ascii="黑体" w:hAnsi="宋体" w:eastAsia="黑体" w:cs="黑体"/>
                <w:color w:val="00000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70F1F194">
            <w:pPr>
              <w:widowControl/>
              <w:spacing w:line="240" w:lineRule="exact"/>
              <w:jc w:val="center"/>
              <w:rPr>
                <w:rFonts w:ascii="黑体" w:hAnsi="宋体" w:eastAsia="黑体" w:cs="黑体"/>
                <w:color w:val="000000"/>
                <w:sz w:val="24"/>
              </w:rPr>
            </w:pPr>
          </w:p>
        </w:tc>
      </w:tr>
      <w:tr w14:paraId="3ABE93F0">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77D72B57">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EDCDB">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C04E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lang w:eastAsia="zh-CN"/>
              </w:rPr>
              <w:t>工作人员</w:t>
            </w:r>
            <w:r>
              <w:rPr>
                <w:rFonts w:hint="eastAsia" w:ascii="宋体" w:hAnsi="宋体" w:eastAsia="宋体" w:cs="宋体"/>
                <w:color w:val="000000"/>
                <w:kern w:val="0"/>
                <w:sz w:val="24"/>
              </w:rPr>
              <w:t>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3893EE0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74F1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87E6B">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AE8E8">
            <w:pPr>
              <w:widowControl/>
              <w:spacing w:line="240" w:lineRule="exact"/>
              <w:jc w:val="left"/>
              <w:textAlignment w:val="center"/>
              <w:rPr>
                <w:rFonts w:ascii="宋体" w:hAnsi="宋体" w:eastAsia="宋体" w:cs="宋体"/>
                <w:color w:val="000000"/>
                <w:kern w:val="0"/>
                <w:sz w:val="24"/>
              </w:rPr>
            </w:pPr>
          </w:p>
        </w:tc>
      </w:tr>
      <w:tr w14:paraId="1B31517A">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00312C4">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356968AB">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B9C4E">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1523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A3B9F">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B82C2">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BC693">
            <w:pPr>
              <w:widowControl/>
              <w:spacing w:line="240" w:lineRule="exact"/>
              <w:jc w:val="left"/>
              <w:textAlignment w:val="center"/>
              <w:rPr>
                <w:rFonts w:ascii="宋体" w:hAnsi="宋体" w:eastAsia="宋体" w:cs="宋体"/>
                <w:color w:val="000000"/>
                <w:kern w:val="0"/>
                <w:sz w:val="24"/>
              </w:rPr>
            </w:pPr>
          </w:p>
        </w:tc>
      </w:tr>
      <w:tr w14:paraId="63E615B5">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0426CCF">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70576BF3">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1A96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5BF2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396BB">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6BB8C">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0E206">
            <w:pPr>
              <w:widowControl/>
              <w:spacing w:line="240" w:lineRule="exact"/>
              <w:jc w:val="left"/>
              <w:textAlignment w:val="center"/>
              <w:rPr>
                <w:rFonts w:ascii="宋体" w:hAnsi="宋体" w:eastAsia="宋体" w:cs="宋体"/>
                <w:color w:val="000000"/>
                <w:kern w:val="0"/>
                <w:sz w:val="24"/>
              </w:rPr>
            </w:pPr>
          </w:p>
        </w:tc>
      </w:tr>
      <w:tr w14:paraId="25D0B764">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49651DB">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4923B79B">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B8A9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8BB8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6CE1E">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50633">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6EB19">
            <w:pPr>
              <w:widowControl/>
              <w:spacing w:line="240" w:lineRule="exact"/>
              <w:jc w:val="left"/>
              <w:textAlignment w:val="center"/>
              <w:rPr>
                <w:rFonts w:ascii="宋体" w:hAnsi="宋体" w:eastAsia="宋体" w:cs="宋体"/>
                <w:color w:val="000000"/>
                <w:kern w:val="0"/>
                <w:sz w:val="24"/>
              </w:rPr>
            </w:pPr>
          </w:p>
        </w:tc>
      </w:tr>
      <w:tr w14:paraId="6BFF8DA6">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16C0AC1">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6B0F5B2D">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1EBA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DFA6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4D5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F998E">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45C7E">
            <w:pPr>
              <w:widowControl/>
              <w:spacing w:line="240" w:lineRule="exact"/>
              <w:jc w:val="left"/>
              <w:textAlignment w:val="center"/>
              <w:rPr>
                <w:rFonts w:ascii="宋体" w:hAnsi="宋体" w:eastAsia="宋体" w:cs="宋体"/>
                <w:color w:val="000000"/>
                <w:kern w:val="0"/>
                <w:sz w:val="24"/>
              </w:rPr>
            </w:pPr>
          </w:p>
        </w:tc>
      </w:tr>
      <w:tr w14:paraId="08805FC0">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5F94661D">
            <w:pPr>
              <w:widowControl/>
              <w:spacing w:line="240" w:lineRule="exact"/>
              <w:jc w:val="center"/>
              <w:rPr>
                <w:rFonts w:ascii="宋体" w:hAnsi="宋体" w:eastAsia="宋体" w:cs="宋体"/>
                <w:b/>
                <w:color w:val="000000"/>
                <w:sz w:val="24"/>
              </w:rPr>
            </w:pPr>
          </w:p>
        </w:tc>
        <w:tc>
          <w:tcPr>
            <w:tcW w:w="1201" w:type="dxa"/>
            <w:vMerge w:val="continue"/>
            <w:tcBorders>
              <w:left w:val="single" w:color="000000" w:sz="4" w:space="0"/>
              <w:right w:val="single" w:color="000000" w:sz="4" w:space="0"/>
            </w:tcBorders>
            <w:shd w:val="clear" w:color="auto" w:fill="auto"/>
            <w:vAlign w:val="center"/>
          </w:tcPr>
          <w:p w14:paraId="2A0698F0">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CA49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EA28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7385A">
            <w:pPr>
              <w:widowControl/>
              <w:spacing w:line="240" w:lineRule="exact"/>
              <w:jc w:val="left"/>
              <w:textAlignment w:val="center"/>
              <w:rPr>
                <w:rFonts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EAE25">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505A1">
            <w:pPr>
              <w:widowControl/>
              <w:spacing w:line="240" w:lineRule="exact"/>
              <w:jc w:val="left"/>
              <w:textAlignment w:val="center"/>
              <w:rPr>
                <w:rFonts w:ascii="宋体" w:hAnsi="宋体" w:eastAsia="宋体" w:cs="宋体"/>
                <w:color w:val="000000"/>
                <w:kern w:val="0"/>
                <w:sz w:val="24"/>
              </w:rPr>
            </w:pPr>
          </w:p>
        </w:tc>
      </w:tr>
      <w:tr w14:paraId="5CCC81D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7A4351E">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4696ED">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5063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B87F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E3B4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9677C">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E18D8">
            <w:pPr>
              <w:widowControl/>
              <w:spacing w:line="240" w:lineRule="exact"/>
              <w:jc w:val="left"/>
              <w:textAlignment w:val="center"/>
              <w:rPr>
                <w:rFonts w:ascii="宋体" w:hAnsi="宋体" w:eastAsia="宋体" w:cs="宋体"/>
                <w:color w:val="000000"/>
                <w:kern w:val="0"/>
                <w:sz w:val="24"/>
              </w:rPr>
            </w:pPr>
          </w:p>
        </w:tc>
      </w:tr>
      <w:tr w14:paraId="3A0D4918">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03B4F4D">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2A841">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5009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F899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C083">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9FEED">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65EDF">
            <w:pPr>
              <w:widowControl/>
              <w:spacing w:line="240" w:lineRule="exact"/>
              <w:jc w:val="left"/>
              <w:textAlignment w:val="center"/>
              <w:rPr>
                <w:rFonts w:ascii="宋体" w:hAnsi="宋体" w:eastAsia="宋体" w:cs="宋体"/>
                <w:color w:val="000000"/>
                <w:kern w:val="0"/>
                <w:sz w:val="24"/>
              </w:rPr>
            </w:pPr>
          </w:p>
        </w:tc>
      </w:tr>
      <w:tr w14:paraId="0D7F790F">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213F749C">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9B4A9">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4DB7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275C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CBA47">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52631">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91CB6">
            <w:pPr>
              <w:widowControl/>
              <w:spacing w:line="240" w:lineRule="exact"/>
              <w:jc w:val="left"/>
              <w:textAlignment w:val="center"/>
              <w:rPr>
                <w:rFonts w:ascii="宋体" w:hAnsi="宋体" w:eastAsia="宋体" w:cs="宋体"/>
                <w:color w:val="000000"/>
                <w:kern w:val="0"/>
                <w:sz w:val="24"/>
              </w:rPr>
            </w:pPr>
          </w:p>
        </w:tc>
      </w:tr>
      <w:tr w14:paraId="78884225">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F08F596">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DCBD5B">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A147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FCD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E0EA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78AEC">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DB82E">
            <w:pPr>
              <w:widowControl/>
              <w:spacing w:line="240" w:lineRule="exact"/>
              <w:jc w:val="left"/>
              <w:textAlignment w:val="center"/>
              <w:rPr>
                <w:rFonts w:ascii="宋体" w:hAnsi="宋体" w:eastAsia="宋体" w:cs="宋体"/>
                <w:color w:val="000000"/>
                <w:kern w:val="0"/>
                <w:sz w:val="24"/>
              </w:rPr>
            </w:pPr>
          </w:p>
        </w:tc>
      </w:tr>
      <w:tr w14:paraId="22E1C06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65D508A">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005C3">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5C89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6ADE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7F802">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8BB3C">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6C71B">
            <w:pPr>
              <w:widowControl/>
              <w:spacing w:line="240" w:lineRule="exact"/>
              <w:jc w:val="left"/>
              <w:textAlignment w:val="center"/>
              <w:rPr>
                <w:rFonts w:ascii="宋体" w:hAnsi="宋体" w:eastAsia="宋体" w:cs="宋体"/>
                <w:color w:val="000000"/>
                <w:kern w:val="0"/>
                <w:sz w:val="24"/>
              </w:rPr>
            </w:pPr>
          </w:p>
        </w:tc>
      </w:tr>
      <w:tr w14:paraId="110969C1">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EAA687F">
            <w:pPr>
              <w:widowControl/>
              <w:spacing w:line="240" w:lineRule="exact"/>
              <w:jc w:val="center"/>
              <w:textAlignment w:val="center"/>
              <w:rPr>
                <w:rFonts w:ascii="宋体" w:hAnsi="宋体" w:eastAsia="宋体" w:cs="宋体"/>
                <w:b/>
                <w:color w:val="00000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E2CC1">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80A7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7110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FDF9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23C30">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EED34">
            <w:pPr>
              <w:widowControl/>
              <w:spacing w:line="240" w:lineRule="exact"/>
              <w:jc w:val="left"/>
              <w:textAlignment w:val="center"/>
              <w:rPr>
                <w:rFonts w:ascii="宋体" w:hAnsi="宋体" w:eastAsia="宋体" w:cs="宋体"/>
                <w:color w:val="000000"/>
                <w:kern w:val="0"/>
                <w:sz w:val="24"/>
              </w:rPr>
            </w:pPr>
          </w:p>
        </w:tc>
      </w:tr>
      <w:tr w14:paraId="33E37F8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18C3558">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9B210B">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F57A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305D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2B1A9">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AE176">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592D6">
            <w:pPr>
              <w:widowControl/>
              <w:spacing w:line="240" w:lineRule="exact"/>
              <w:jc w:val="left"/>
              <w:textAlignment w:val="center"/>
              <w:rPr>
                <w:rFonts w:ascii="宋体" w:hAnsi="宋体" w:eastAsia="宋体" w:cs="宋体"/>
                <w:color w:val="000000"/>
                <w:kern w:val="0"/>
                <w:sz w:val="24"/>
              </w:rPr>
            </w:pPr>
          </w:p>
        </w:tc>
      </w:tr>
      <w:tr w14:paraId="34FDB045">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783E7CA2">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5EC45">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9BF1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74561">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65C85">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2B441">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3BE43">
            <w:pPr>
              <w:widowControl/>
              <w:spacing w:line="240" w:lineRule="exact"/>
              <w:jc w:val="left"/>
              <w:textAlignment w:val="center"/>
              <w:rPr>
                <w:rFonts w:ascii="宋体" w:hAnsi="宋体" w:eastAsia="宋体" w:cs="宋体"/>
                <w:color w:val="000000"/>
                <w:kern w:val="0"/>
                <w:sz w:val="24"/>
              </w:rPr>
            </w:pPr>
          </w:p>
        </w:tc>
      </w:tr>
      <w:tr w14:paraId="121070A4">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8D49A6">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2A2E075D">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49FB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0AEB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6424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7F391">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D68D2">
            <w:pPr>
              <w:widowControl/>
              <w:spacing w:line="240" w:lineRule="exact"/>
              <w:jc w:val="left"/>
              <w:textAlignment w:val="center"/>
              <w:rPr>
                <w:rFonts w:ascii="宋体" w:hAnsi="宋体" w:eastAsia="宋体" w:cs="宋体"/>
                <w:color w:val="000000"/>
                <w:kern w:val="0"/>
                <w:sz w:val="24"/>
              </w:rPr>
            </w:pPr>
          </w:p>
        </w:tc>
      </w:tr>
      <w:tr w14:paraId="2B3E0396">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92B2D">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5A202D7C">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4132B">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88DCD">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23FDA">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9405D">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A8102">
            <w:pPr>
              <w:widowControl/>
              <w:spacing w:line="240" w:lineRule="exact"/>
              <w:jc w:val="left"/>
              <w:textAlignment w:val="center"/>
              <w:rPr>
                <w:rFonts w:ascii="宋体" w:hAnsi="宋体" w:eastAsia="宋体" w:cs="宋体"/>
                <w:color w:val="000000"/>
                <w:kern w:val="0"/>
                <w:sz w:val="24"/>
              </w:rPr>
            </w:pPr>
          </w:p>
        </w:tc>
      </w:tr>
      <w:tr w14:paraId="29AAD22F">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80AFA">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7678227B">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0710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702F4">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DDE5A">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FF74F">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9FD64">
            <w:pPr>
              <w:widowControl/>
              <w:spacing w:line="240" w:lineRule="exact"/>
              <w:jc w:val="left"/>
              <w:textAlignment w:val="center"/>
              <w:rPr>
                <w:rFonts w:ascii="宋体" w:hAnsi="宋体" w:eastAsia="宋体" w:cs="宋体"/>
                <w:color w:val="000000"/>
                <w:kern w:val="0"/>
                <w:sz w:val="24"/>
              </w:rPr>
            </w:pPr>
          </w:p>
        </w:tc>
      </w:tr>
      <w:tr w14:paraId="1BDAF5C7">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31438">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24A1772C">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A0D4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5F07A">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8353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8ABDF">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92543">
            <w:pPr>
              <w:widowControl/>
              <w:spacing w:line="240" w:lineRule="exact"/>
              <w:jc w:val="left"/>
              <w:textAlignment w:val="center"/>
              <w:rPr>
                <w:rFonts w:ascii="宋体" w:hAnsi="宋体" w:eastAsia="宋体" w:cs="宋体"/>
                <w:color w:val="000000"/>
                <w:kern w:val="0"/>
                <w:sz w:val="24"/>
              </w:rPr>
            </w:pPr>
          </w:p>
        </w:tc>
      </w:tr>
      <w:tr w14:paraId="3E6854B9">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54069">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50E5A9C7">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14:paraId="73B4304F">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E1E90">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3F486">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ADFC8">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04BD9">
            <w:pPr>
              <w:widowControl/>
              <w:spacing w:line="240" w:lineRule="exact"/>
              <w:jc w:val="left"/>
              <w:textAlignment w:val="center"/>
              <w:rPr>
                <w:rFonts w:ascii="宋体" w:hAnsi="宋体" w:eastAsia="宋体" w:cs="宋体"/>
                <w:color w:val="000000"/>
                <w:kern w:val="0"/>
                <w:sz w:val="24"/>
              </w:rPr>
            </w:pPr>
          </w:p>
        </w:tc>
      </w:tr>
      <w:tr w14:paraId="1E1E77B3">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F1D5F">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7E37FEC0">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8BD27">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0A48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62C31">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DC5F2">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D606D">
            <w:pPr>
              <w:widowControl/>
              <w:spacing w:line="240" w:lineRule="exact"/>
              <w:jc w:val="left"/>
              <w:textAlignment w:val="center"/>
              <w:rPr>
                <w:rFonts w:ascii="宋体" w:hAnsi="宋体" w:eastAsia="宋体" w:cs="宋体"/>
                <w:color w:val="000000"/>
                <w:kern w:val="0"/>
                <w:sz w:val="24"/>
              </w:rPr>
            </w:pPr>
          </w:p>
        </w:tc>
      </w:tr>
      <w:tr w14:paraId="00F4A5F1">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AD2CD">
            <w:pPr>
              <w:widowControl/>
              <w:spacing w:line="240" w:lineRule="exact"/>
              <w:jc w:val="center"/>
              <w:rPr>
                <w:rFonts w:ascii="宋体" w:hAnsi="宋体" w:eastAsia="宋体" w:cs="宋体"/>
                <w:b/>
                <w:color w:val="00000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4F41E8">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E5C26">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6716C">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BD0C1">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92136">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32D53">
            <w:pPr>
              <w:widowControl/>
              <w:spacing w:line="240" w:lineRule="exact"/>
              <w:jc w:val="left"/>
              <w:textAlignment w:val="center"/>
              <w:rPr>
                <w:rFonts w:ascii="宋体" w:hAnsi="宋体" w:eastAsia="宋体" w:cs="宋体"/>
                <w:color w:val="000000"/>
                <w:kern w:val="0"/>
                <w:sz w:val="24"/>
              </w:rPr>
            </w:pPr>
          </w:p>
        </w:tc>
      </w:tr>
      <w:tr w14:paraId="4869957E">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B0812">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914853">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84BA8">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16F8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D4903">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DBFFF">
            <w:pPr>
              <w:widowControl/>
              <w:spacing w:line="240" w:lineRule="exact"/>
              <w:jc w:val="left"/>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6F7C4">
            <w:pPr>
              <w:widowControl/>
              <w:spacing w:line="240" w:lineRule="exact"/>
              <w:jc w:val="left"/>
              <w:textAlignment w:val="center"/>
              <w:rPr>
                <w:rFonts w:ascii="宋体" w:hAnsi="宋体" w:eastAsia="宋体" w:cs="宋体"/>
                <w:color w:val="000000"/>
                <w:kern w:val="0"/>
                <w:sz w:val="24"/>
              </w:rPr>
            </w:pPr>
          </w:p>
        </w:tc>
      </w:tr>
      <w:tr w14:paraId="1F5FA02A">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C6596">
            <w:pPr>
              <w:widowControl/>
              <w:spacing w:line="240" w:lineRule="exact"/>
              <w:jc w:val="center"/>
              <w:rPr>
                <w:rFonts w:ascii="宋体" w:hAnsi="宋体" w:eastAsia="宋体" w:cs="宋体"/>
                <w:b/>
                <w:color w:val="00000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D608C">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BA3F3">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67202">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89430">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11813">
            <w:pPr>
              <w:widowControl/>
              <w:spacing w:line="240" w:lineRule="exact"/>
              <w:jc w:val="left"/>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C4B26">
            <w:pPr>
              <w:widowControl/>
              <w:spacing w:line="240" w:lineRule="exact"/>
              <w:jc w:val="left"/>
              <w:textAlignment w:val="center"/>
              <w:rPr>
                <w:rFonts w:ascii="宋体" w:hAnsi="宋体" w:eastAsia="宋体" w:cs="宋体"/>
                <w:color w:val="000000"/>
                <w:kern w:val="0"/>
                <w:sz w:val="24"/>
              </w:rPr>
            </w:pPr>
          </w:p>
        </w:tc>
      </w:tr>
      <w:tr w14:paraId="4BA7F61B">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1B797">
            <w:pPr>
              <w:widowControl/>
              <w:spacing w:line="240" w:lineRule="exact"/>
              <w:jc w:val="center"/>
              <w:textAlignment w:val="center"/>
              <w:rPr>
                <w:rFonts w:ascii="宋体" w:hAnsi="宋体" w:eastAsia="宋体" w:cs="宋体"/>
                <w:b/>
                <w:color w:val="00000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645839">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E1D75">
            <w:pPr>
              <w:widowControl/>
              <w:spacing w:line="240" w:lineRule="exact"/>
              <w:jc w:val="center"/>
              <w:textAlignment w:val="center"/>
              <w:rPr>
                <w:rFonts w:ascii="宋体" w:hAnsi="宋体" w:eastAsia="宋体" w:cs="宋体"/>
                <w:color w:val="00000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F02EC">
            <w:pPr>
              <w:widowControl/>
              <w:spacing w:line="240" w:lineRule="exact"/>
              <w:jc w:val="left"/>
              <w:textAlignment w:val="center"/>
              <w:rPr>
                <w:rFonts w:ascii="宋体" w:hAnsi="宋体" w:eastAsia="宋体" w:cs="宋体"/>
                <w:color w:val="00000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5B82B">
            <w:pPr>
              <w:widowControl/>
              <w:spacing w:line="240" w:lineRule="exact"/>
              <w:jc w:val="left"/>
              <w:textAlignment w:val="center"/>
              <w:rPr>
                <w:rFonts w:ascii="宋体" w:hAnsi="宋体" w:eastAsia="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249E4">
            <w:pPr>
              <w:widowControl/>
              <w:spacing w:line="240" w:lineRule="exact"/>
              <w:jc w:val="left"/>
              <w:textAlignment w:val="center"/>
              <w:rPr>
                <w:rFonts w:ascii="宋体" w:hAnsi="宋体" w:eastAsia="宋体" w:cs="宋体"/>
                <w:color w:val="000000"/>
                <w:kern w:val="0"/>
                <w:sz w:val="24"/>
              </w:rPr>
            </w:pPr>
          </w:p>
        </w:tc>
      </w:tr>
    </w:tbl>
    <w:p w14:paraId="0EA3278B">
      <w:pPr>
        <w:pStyle w:val="19"/>
        <w:spacing w:line="20" w:lineRule="exact"/>
      </w:pPr>
    </w:p>
    <w:p w14:paraId="5082FD46">
      <w:pPr>
        <w:spacing w:line="20" w:lineRule="exact"/>
        <w:rPr>
          <w:rFonts w:eastAsia="黑体"/>
        </w:rPr>
      </w:pPr>
      <w:r>
        <w:rPr>
          <w:rFonts w:eastAsia="黑体"/>
        </w:rPr>
        <w:br w:type="page"/>
      </w:r>
    </w:p>
    <w:p w14:paraId="5FB808F2">
      <w:pPr>
        <w:spacing w:line="578" w:lineRule="exact"/>
        <w:jc w:val="left"/>
        <w:rPr>
          <w:rFonts w:eastAsia="黑体"/>
        </w:rPr>
      </w:pPr>
      <w:r>
        <w:rPr>
          <w:rFonts w:eastAsia="黑体"/>
        </w:rPr>
        <w:t>附表</w:t>
      </w:r>
      <w:r>
        <w:rPr>
          <w:rFonts w:hint="eastAsia" w:eastAsia="黑体"/>
        </w:rPr>
        <w:t>2</w:t>
      </w:r>
    </w:p>
    <w:p w14:paraId="393D24A1">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15"/>
        <w:tblW w:w="9658" w:type="dxa"/>
        <w:jc w:val="center"/>
        <w:tblLayout w:type="fixed"/>
        <w:tblCellMar>
          <w:top w:w="0" w:type="dxa"/>
          <w:left w:w="108" w:type="dxa"/>
          <w:bottom w:w="0" w:type="dxa"/>
          <w:right w:w="108" w:type="dxa"/>
        </w:tblCellMar>
      </w:tblPr>
      <w:tblGrid>
        <w:gridCol w:w="331"/>
        <w:gridCol w:w="593"/>
        <w:gridCol w:w="803"/>
        <w:gridCol w:w="1246"/>
        <w:gridCol w:w="1119"/>
        <w:gridCol w:w="700"/>
        <w:gridCol w:w="779"/>
        <w:gridCol w:w="1045"/>
        <w:gridCol w:w="1111"/>
        <w:gridCol w:w="1931"/>
      </w:tblGrid>
      <w:tr w14:paraId="526F7070">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51B30502">
            <w:pPr>
              <w:rPr>
                <w:rFonts w:ascii="宋体" w:hAnsi="宋体" w:eastAsia="宋体" w:cs="宋体"/>
                <w:color w:val="000000"/>
                <w:kern w:val="0"/>
                <w:sz w:val="24"/>
              </w:rPr>
            </w:pPr>
            <w:r>
              <w:rPr>
                <w:rFonts w:eastAsia="黑体"/>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7DD9DC2A">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阿坝州</w:t>
            </w:r>
            <w:r>
              <w:rPr>
                <w:rFonts w:hint="eastAsia" w:ascii="宋体" w:hAnsi="宋体" w:eastAsia="宋体" w:cs="宋体"/>
                <w:color w:val="000000"/>
                <w:kern w:val="0"/>
                <w:sz w:val="24"/>
                <w:lang w:eastAsia="zh-CN"/>
              </w:rPr>
              <w:t>少年儿童体育学校</w:t>
            </w:r>
          </w:p>
        </w:tc>
      </w:tr>
      <w:tr w14:paraId="3726C700">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23DE5FA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365" w:type="dxa"/>
            <w:gridSpan w:val="2"/>
            <w:tcBorders>
              <w:top w:val="single" w:color="000000" w:sz="4" w:space="0"/>
              <w:left w:val="single" w:color="auto" w:sz="4" w:space="0"/>
              <w:bottom w:val="single" w:color="000000" w:sz="4" w:space="0"/>
              <w:right w:val="single" w:color="auto" w:sz="4" w:space="0"/>
            </w:tcBorders>
            <w:noWrap/>
            <w:vAlign w:val="center"/>
          </w:tcPr>
          <w:p w14:paraId="2065656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资金总额</w:t>
            </w:r>
          </w:p>
        </w:tc>
        <w:tc>
          <w:tcPr>
            <w:tcW w:w="1479" w:type="dxa"/>
            <w:gridSpan w:val="2"/>
            <w:tcBorders>
              <w:top w:val="single" w:color="auto" w:sz="4" w:space="0"/>
              <w:left w:val="single" w:color="auto" w:sz="4" w:space="0"/>
              <w:bottom w:val="single" w:color="auto" w:sz="4" w:space="0"/>
              <w:right w:val="single" w:color="auto" w:sz="4" w:space="0"/>
            </w:tcBorders>
            <w:noWrap/>
            <w:vAlign w:val="center"/>
          </w:tcPr>
          <w:p w14:paraId="1B57296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6AAC51D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其他资金</w:t>
            </w:r>
          </w:p>
        </w:tc>
      </w:tr>
      <w:tr w14:paraId="2361A565">
        <w:tblPrEx>
          <w:tblCellMar>
            <w:top w:w="0" w:type="dxa"/>
            <w:left w:w="108" w:type="dxa"/>
            <w:bottom w:w="0" w:type="dxa"/>
            <w:right w:w="108" w:type="dxa"/>
          </w:tblCellMar>
        </w:tblPrEx>
        <w:trPr>
          <w:trHeight w:val="180"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1DBA962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收入预算</w:t>
            </w:r>
          </w:p>
        </w:tc>
        <w:tc>
          <w:tcPr>
            <w:tcW w:w="2365" w:type="dxa"/>
            <w:gridSpan w:val="2"/>
            <w:tcBorders>
              <w:top w:val="single" w:color="000000" w:sz="4" w:space="0"/>
              <w:left w:val="single" w:color="auto" w:sz="4" w:space="0"/>
              <w:bottom w:val="single" w:color="000000" w:sz="4" w:space="0"/>
              <w:right w:val="single" w:color="auto" w:sz="4" w:space="0"/>
            </w:tcBorders>
            <w:noWrap/>
            <w:vAlign w:val="center"/>
          </w:tcPr>
          <w:p w14:paraId="09971113">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927.63万元</w:t>
            </w:r>
          </w:p>
        </w:tc>
        <w:tc>
          <w:tcPr>
            <w:tcW w:w="1479" w:type="dxa"/>
            <w:gridSpan w:val="2"/>
            <w:tcBorders>
              <w:top w:val="single" w:color="auto" w:sz="4" w:space="0"/>
              <w:left w:val="single" w:color="auto" w:sz="4" w:space="0"/>
              <w:bottom w:val="single" w:color="auto" w:sz="4" w:space="0"/>
              <w:right w:val="single" w:color="auto" w:sz="4" w:space="0"/>
            </w:tcBorders>
            <w:noWrap/>
            <w:vAlign w:val="center"/>
          </w:tcPr>
          <w:p w14:paraId="399D5C11">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886.05万元</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0CE5FF71">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41.58万元</w:t>
            </w:r>
          </w:p>
        </w:tc>
      </w:tr>
      <w:tr w14:paraId="44006934">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797C253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支出预算</w:t>
            </w:r>
          </w:p>
        </w:tc>
        <w:tc>
          <w:tcPr>
            <w:tcW w:w="2365" w:type="dxa"/>
            <w:gridSpan w:val="2"/>
            <w:tcBorders>
              <w:top w:val="single" w:color="000000" w:sz="4" w:space="0"/>
              <w:left w:val="single" w:color="auto" w:sz="4" w:space="0"/>
              <w:bottom w:val="single" w:color="000000" w:sz="4" w:space="0"/>
              <w:right w:val="single" w:color="000000" w:sz="4" w:space="0"/>
            </w:tcBorders>
            <w:noWrap/>
            <w:vAlign w:val="center"/>
          </w:tcPr>
          <w:p w14:paraId="487C67BE">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927.63万元</w:t>
            </w:r>
          </w:p>
        </w:tc>
        <w:tc>
          <w:tcPr>
            <w:tcW w:w="1479" w:type="dxa"/>
            <w:gridSpan w:val="2"/>
            <w:tcBorders>
              <w:top w:val="single" w:color="auto" w:sz="4" w:space="0"/>
              <w:left w:val="single" w:color="000000" w:sz="4" w:space="0"/>
              <w:bottom w:val="single" w:color="000000" w:sz="4" w:space="0"/>
              <w:right w:val="single" w:color="000000" w:sz="4" w:space="0"/>
            </w:tcBorders>
            <w:noWrap/>
            <w:vAlign w:val="center"/>
          </w:tcPr>
          <w:p w14:paraId="64E48BA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886.05万元</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5D69E6B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41.58万元</w:t>
            </w:r>
          </w:p>
        </w:tc>
      </w:tr>
      <w:tr w14:paraId="27A0164C">
        <w:tblPrEx>
          <w:tblCellMar>
            <w:top w:w="0" w:type="dxa"/>
            <w:left w:w="108" w:type="dxa"/>
            <w:bottom w:w="0" w:type="dxa"/>
            <w:right w:w="108" w:type="dxa"/>
          </w:tblCellMar>
        </w:tblPrEx>
        <w:trPr>
          <w:trHeight w:val="23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2E3DE32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61DD6AE5">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保障各类经费的合理支出和使用</w:t>
            </w:r>
          </w:p>
        </w:tc>
      </w:tr>
      <w:tr w14:paraId="60C88315">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4DEE7E9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0A629B4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5DEB003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3686418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1119" w:type="dxa"/>
            <w:vMerge w:val="restart"/>
            <w:tcBorders>
              <w:top w:val="single" w:color="000000" w:sz="4" w:space="0"/>
              <w:left w:val="single" w:color="000000" w:sz="4" w:space="0"/>
              <w:bottom w:val="single" w:color="000000" w:sz="4" w:space="0"/>
              <w:right w:val="single" w:color="000000" w:sz="4" w:space="0"/>
            </w:tcBorders>
            <w:noWrap/>
            <w:vAlign w:val="center"/>
          </w:tcPr>
          <w:p w14:paraId="5B9C7F67">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w:t>
            </w:r>
          </w:p>
        </w:tc>
        <w:tc>
          <w:tcPr>
            <w:tcW w:w="3635" w:type="dxa"/>
            <w:gridSpan w:val="4"/>
            <w:tcBorders>
              <w:top w:val="single" w:color="000000" w:sz="4" w:space="0"/>
              <w:left w:val="single" w:color="000000" w:sz="4" w:space="0"/>
              <w:bottom w:val="single" w:color="000000" w:sz="4" w:space="0"/>
              <w:right w:val="single" w:color="000000" w:sz="4" w:space="0"/>
            </w:tcBorders>
            <w:noWrap/>
            <w:vAlign w:val="center"/>
          </w:tcPr>
          <w:p w14:paraId="1A73409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373A170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6D0FA148">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4445339">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9D40E5D">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AB2CA56">
            <w:pPr>
              <w:widowControl/>
              <w:spacing w:line="240" w:lineRule="exact"/>
              <w:jc w:val="center"/>
              <w:textAlignment w:val="center"/>
              <w:rPr>
                <w:rFonts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46681045">
            <w:pPr>
              <w:widowControl/>
              <w:spacing w:line="240" w:lineRule="exact"/>
              <w:jc w:val="center"/>
              <w:textAlignment w:val="center"/>
              <w:rPr>
                <w:rFonts w:ascii="宋体" w:hAnsi="宋体" w:eastAsia="宋体" w:cs="宋体"/>
                <w:color w:val="000000"/>
                <w:kern w:val="0"/>
                <w:sz w:val="24"/>
              </w:rPr>
            </w:pPr>
          </w:p>
        </w:tc>
        <w:tc>
          <w:tcPr>
            <w:tcW w:w="1119" w:type="dxa"/>
            <w:vMerge w:val="continue"/>
            <w:tcBorders>
              <w:top w:val="single" w:color="000000" w:sz="4" w:space="0"/>
              <w:left w:val="single" w:color="000000" w:sz="4" w:space="0"/>
              <w:bottom w:val="single" w:color="000000" w:sz="4" w:space="0"/>
              <w:right w:val="single" w:color="000000" w:sz="4" w:space="0"/>
            </w:tcBorders>
            <w:noWrap/>
            <w:vAlign w:val="center"/>
          </w:tcPr>
          <w:p w14:paraId="789097BD">
            <w:pPr>
              <w:widowControl/>
              <w:spacing w:line="240" w:lineRule="exact"/>
              <w:jc w:val="center"/>
              <w:textAlignment w:val="center"/>
              <w:rPr>
                <w:rFonts w:ascii="宋体" w:hAnsi="宋体" w:eastAsia="宋体" w:cs="宋体"/>
                <w:color w:val="000000"/>
                <w:kern w:val="0"/>
                <w:sz w:val="24"/>
              </w:rPr>
            </w:pPr>
          </w:p>
        </w:tc>
        <w:tc>
          <w:tcPr>
            <w:tcW w:w="700" w:type="dxa"/>
            <w:tcBorders>
              <w:top w:val="single" w:color="000000" w:sz="4" w:space="0"/>
              <w:left w:val="single" w:color="000000" w:sz="4" w:space="0"/>
              <w:right w:val="single" w:color="000000" w:sz="4" w:space="0"/>
            </w:tcBorders>
            <w:noWrap/>
            <w:vAlign w:val="center"/>
          </w:tcPr>
          <w:p w14:paraId="2868E0D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三年</w:t>
            </w:r>
          </w:p>
          <w:p w14:paraId="29BD600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均值</w:t>
            </w:r>
          </w:p>
        </w:tc>
        <w:tc>
          <w:tcPr>
            <w:tcW w:w="779" w:type="dxa"/>
            <w:tcBorders>
              <w:top w:val="single" w:color="000000" w:sz="4" w:space="0"/>
              <w:left w:val="single" w:color="000000" w:sz="4" w:space="0"/>
              <w:bottom w:val="single" w:color="000000" w:sz="4" w:space="0"/>
              <w:right w:val="single" w:color="000000" w:sz="4" w:space="0"/>
            </w:tcBorders>
            <w:noWrap/>
            <w:vAlign w:val="center"/>
          </w:tcPr>
          <w:p w14:paraId="16490F7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2023</w:t>
            </w:r>
            <w:r>
              <w:rPr>
                <w:rFonts w:ascii="宋体" w:hAnsi="宋体" w:eastAsia="宋体" w:cs="宋体"/>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5A4C27F6">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2024</w:t>
            </w:r>
            <w:r>
              <w:rPr>
                <w:rFonts w:ascii="宋体" w:hAnsi="宋体" w:eastAsia="宋体" w:cs="宋体"/>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1704637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2025</w:t>
            </w:r>
            <w:r>
              <w:rPr>
                <w:rFonts w:ascii="宋体" w:hAnsi="宋体" w:eastAsia="宋体" w:cs="宋体"/>
                <w:color w:val="000000"/>
                <w:kern w:val="0"/>
                <w:sz w:val="24"/>
              </w:rPr>
              <w:t>年</w:t>
            </w:r>
          </w:p>
        </w:tc>
        <w:tc>
          <w:tcPr>
            <w:tcW w:w="1931" w:type="dxa"/>
            <w:vMerge w:val="continue"/>
            <w:tcBorders>
              <w:left w:val="single" w:color="000000" w:sz="4" w:space="0"/>
              <w:right w:val="single" w:color="000000" w:sz="4" w:space="0"/>
            </w:tcBorders>
            <w:noWrap/>
            <w:vAlign w:val="center"/>
          </w:tcPr>
          <w:p w14:paraId="56F28C24">
            <w:pPr>
              <w:widowControl/>
              <w:spacing w:line="240" w:lineRule="exact"/>
              <w:jc w:val="center"/>
              <w:textAlignment w:val="center"/>
              <w:rPr>
                <w:rFonts w:ascii="宋体" w:hAnsi="宋体" w:eastAsia="宋体" w:cs="宋体"/>
                <w:color w:val="000000"/>
                <w:kern w:val="0"/>
                <w:sz w:val="24"/>
              </w:rPr>
            </w:pPr>
          </w:p>
        </w:tc>
      </w:tr>
      <w:tr w14:paraId="3F96D6EB">
        <w:tblPrEx>
          <w:tblCellMar>
            <w:top w:w="0" w:type="dxa"/>
            <w:left w:w="108" w:type="dxa"/>
            <w:bottom w:w="0" w:type="dxa"/>
            <w:right w:w="108" w:type="dxa"/>
          </w:tblCellMar>
        </w:tblPrEx>
        <w:trPr>
          <w:trHeight w:val="535"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1567E8BA">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3FA4A09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4566499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F98BEC0">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财政拨款</w:t>
            </w:r>
            <w:r>
              <w:rPr>
                <w:rFonts w:ascii="宋体" w:hAnsi="宋体" w:eastAsia="宋体" w:cs="宋体"/>
                <w:color w:val="000000"/>
                <w:kern w:val="0"/>
                <w:sz w:val="24"/>
              </w:rPr>
              <w:t>预算编制偏离度</w:t>
            </w:r>
          </w:p>
        </w:tc>
        <w:tc>
          <w:tcPr>
            <w:tcW w:w="1119" w:type="dxa"/>
            <w:tcBorders>
              <w:top w:val="single" w:color="000000" w:sz="4" w:space="0"/>
              <w:left w:val="single" w:color="000000" w:sz="4" w:space="0"/>
              <w:bottom w:val="single" w:color="000000" w:sz="4" w:space="0"/>
              <w:right w:val="single" w:color="000000" w:sz="4" w:space="0"/>
            </w:tcBorders>
            <w:noWrap/>
            <w:vAlign w:val="center"/>
          </w:tcPr>
          <w:p w14:paraId="3DEEB423">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2184CDE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w:t>
            </w:r>
          </w:p>
        </w:tc>
        <w:tc>
          <w:tcPr>
            <w:tcW w:w="779" w:type="dxa"/>
            <w:tcBorders>
              <w:top w:val="single" w:color="000000" w:sz="4" w:space="0"/>
              <w:left w:val="single" w:color="000000" w:sz="4" w:space="0"/>
              <w:bottom w:val="single" w:color="000000" w:sz="4" w:space="0"/>
              <w:right w:val="single" w:color="000000" w:sz="4" w:space="0"/>
            </w:tcBorders>
            <w:noWrap/>
            <w:vAlign w:val="center"/>
          </w:tcPr>
          <w:p w14:paraId="49DD58DD">
            <w:pPr>
              <w:widowControl/>
              <w:spacing w:line="240" w:lineRule="exact"/>
              <w:jc w:val="center"/>
              <w:textAlignment w:val="center"/>
              <w:rPr>
                <w:rFonts w:hint="eastAsia" w:ascii="宋体" w:hAnsi="宋体" w:eastAsia="宋体" w:cs="宋体"/>
                <w:color w:val="000000"/>
                <w:kern w:val="0"/>
                <w:sz w:val="24"/>
                <w:lang w:val="en-US" w:eastAsia="zh-CN"/>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544B4079">
            <w:pPr>
              <w:widowControl/>
              <w:spacing w:line="240" w:lineRule="exact"/>
              <w:jc w:val="center"/>
              <w:textAlignment w:val="center"/>
              <w:rPr>
                <w:rFonts w:hint="default" w:ascii="宋体" w:hAnsi="宋体" w:eastAsia="宋体" w:cs="宋体"/>
                <w:color w:val="000000"/>
                <w:kern w:val="0"/>
                <w:sz w:val="24"/>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F4D85FF">
            <w:pPr>
              <w:widowControl/>
              <w:spacing w:line="240" w:lineRule="exact"/>
              <w:jc w:val="center"/>
              <w:textAlignment w:val="center"/>
              <w:rPr>
                <w:rFonts w:hint="default" w:ascii="宋体" w:hAnsi="宋体" w:eastAsia="宋体" w:cs="宋体"/>
                <w:color w:val="000000"/>
                <w:kern w:val="0"/>
                <w:sz w:val="24"/>
                <w:lang w:val="en-US" w:eastAsia="zh-CN"/>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8E1A479">
            <w:pPr>
              <w:widowControl/>
              <w:spacing w:line="240" w:lineRule="exact"/>
              <w:jc w:val="center"/>
              <w:textAlignment w:val="center"/>
              <w:rPr>
                <w:rFonts w:hint="default" w:ascii="宋体" w:hAnsi="宋体" w:eastAsia="宋体" w:cs="宋体"/>
                <w:color w:val="000000"/>
                <w:kern w:val="0"/>
                <w:sz w:val="24"/>
                <w:lang w:val="en-US" w:eastAsia="zh-CN"/>
              </w:rPr>
            </w:pPr>
          </w:p>
        </w:tc>
      </w:tr>
      <w:tr w14:paraId="1685000B">
        <w:tblPrEx>
          <w:tblCellMar>
            <w:top w:w="0" w:type="dxa"/>
            <w:left w:w="108" w:type="dxa"/>
            <w:bottom w:w="0" w:type="dxa"/>
            <w:right w:w="108" w:type="dxa"/>
          </w:tblCellMar>
        </w:tblPrEx>
        <w:trPr>
          <w:trHeight w:val="533"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F47CCFA">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35D8A6D">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4EAD7456">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E2B917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1119" w:type="dxa"/>
            <w:tcBorders>
              <w:top w:val="single" w:color="000000" w:sz="4" w:space="0"/>
              <w:left w:val="single" w:color="000000" w:sz="4" w:space="0"/>
              <w:bottom w:val="single" w:color="000000" w:sz="4" w:space="0"/>
              <w:right w:val="single" w:color="000000" w:sz="4" w:space="0"/>
            </w:tcBorders>
            <w:noWrap/>
            <w:vAlign w:val="center"/>
          </w:tcPr>
          <w:p w14:paraId="62213C6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x</w:t>
            </w:r>
            <w:r>
              <w:rPr>
                <w:rFonts w:hint="eastAsia" w:ascii="宋体" w:hAnsi="宋体" w:eastAsia="宋体" w:cs="宋体"/>
                <w:color w:val="000000"/>
                <w:kern w:val="0"/>
                <w:sz w:val="24"/>
              </w:rPr>
              <w:t>%</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235CA25">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x</w:t>
            </w:r>
            <w:r>
              <w:rPr>
                <w:rFonts w:ascii="宋体" w:hAnsi="宋体" w:eastAsia="宋体" w:cs="宋体"/>
                <w:color w:val="000000"/>
                <w:kern w:val="0"/>
                <w:sz w:val="24"/>
              </w:rPr>
              <w:t>%</w:t>
            </w:r>
          </w:p>
        </w:tc>
        <w:tc>
          <w:tcPr>
            <w:tcW w:w="779" w:type="dxa"/>
            <w:tcBorders>
              <w:top w:val="single" w:color="000000" w:sz="4" w:space="0"/>
              <w:left w:val="single" w:color="000000" w:sz="4" w:space="0"/>
              <w:bottom w:val="single" w:color="000000" w:sz="4" w:space="0"/>
              <w:right w:val="single" w:color="000000" w:sz="4" w:space="0"/>
            </w:tcBorders>
            <w:noWrap/>
            <w:vAlign w:val="center"/>
          </w:tcPr>
          <w:p w14:paraId="5677D347">
            <w:pPr>
              <w:widowControl/>
              <w:spacing w:line="240" w:lineRule="exact"/>
              <w:jc w:val="center"/>
              <w:textAlignment w:val="center"/>
              <w:rPr>
                <w:rFonts w:hint="eastAsia" w:ascii="宋体" w:hAnsi="宋体" w:eastAsia="宋体" w:cs="宋体"/>
                <w:color w:val="000000"/>
                <w:kern w:val="0"/>
                <w:sz w:val="24"/>
                <w:lang w:val="en-US" w:eastAsia="zh-CN"/>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AF8C232">
            <w:pPr>
              <w:widowControl/>
              <w:spacing w:line="240" w:lineRule="exact"/>
              <w:jc w:val="center"/>
              <w:textAlignment w:val="center"/>
              <w:rPr>
                <w:rFonts w:hint="default" w:ascii="宋体" w:hAnsi="宋体" w:eastAsia="宋体" w:cs="宋体"/>
                <w:color w:val="000000"/>
                <w:kern w:val="0"/>
                <w:sz w:val="24"/>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47658E75">
            <w:pPr>
              <w:widowControl/>
              <w:spacing w:line="240" w:lineRule="exact"/>
              <w:jc w:val="center"/>
              <w:textAlignment w:val="center"/>
              <w:rPr>
                <w:rFonts w:hint="default" w:ascii="宋体" w:hAnsi="宋体" w:eastAsia="宋体" w:cs="宋体"/>
                <w:color w:val="000000"/>
                <w:kern w:val="0"/>
                <w:sz w:val="24"/>
                <w:lang w:val="en-US" w:eastAsia="zh-CN"/>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56E551D">
            <w:pPr>
              <w:widowControl/>
              <w:spacing w:line="240" w:lineRule="exact"/>
              <w:jc w:val="center"/>
              <w:textAlignment w:val="center"/>
              <w:rPr>
                <w:rFonts w:ascii="宋体" w:hAnsi="宋体" w:eastAsia="宋体" w:cs="宋体"/>
                <w:color w:val="000000"/>
                <w:kern w:val="0"/>
                <w:sz w:val="24"/>
              </w:rPr>
            </w:pPr>
          </w:p>
          <w:p w14:paraId="35B2B139">
            <w:pPr>
              <w:widowControl/>
              <w:spacing w:line="240" w:lineRule="exact"/>
              <w:jc w:val="center"/>
              <w:textAlignment w:val="center"/>
              <w:rPr>
                <w:rFonts w:hint="default" w:ascii="宋体" w:hAnsi="宋体" w:eastAsia="宋体" w:cs="宋体"/>
                <w:color w:val="000000"/>
                <w:kern w:val="0"/>
                <w:sz w:val="24"/>
                <w:lang w:val="en-US" w:eastAsia="zh-CN"/>
              </w:rPr>
            </w:pPr>
          </w:p>
        </w:tc>
      </w:tr>
      <w:tr w14:paraId="2D946CBF">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2C3D76D">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C5113AB">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3357BB2D">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2DE5A0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预算年终结余</w:t>
            </w:r>
            <w:r>
              <w:rPr>
                <w:rFonts w:ascii="宋体" w:hAnsi="宋体" w:eastAsia="宋体" w:cs="宋体"/>
                <w:color w:val="000000"/>
                <w:kern w:val="0"/>
                <w:sz w:val="24"/>
              </w:rPr>
              <w:t>率</w:t>
            </w:r>
          </w:p>
        </w:tc>
        <w:tc>
          <w:tcPr>
            <w:tcW w:w="1119" w:type="dxa"/>
            <w:tcBorders>
              <w:top w:val="single" w:color="000000" w:sz="4" w:space="0"/>
              <w:left w:val="single" w:color="000000" w:sz="4" w:space="0"/>
              <w:bottom w:val="single" w:color="000000" w:sz="4" w:space="0"/>
              <w:right w:val="single" w:color="000000" w:sz="4" w:space="0"/>
            </w:tcBorders>
            <w:noWrap/>
            <w:vAlign w:val="center"/>
          </w:tcPr>
          <w:p w14:paraId="22A21E0F">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0</w:t>
            </w:r>
            <w:r>
              <w:rPr>
                <w:rFonts w:hint="eastAsia" w:ascii="宋体" w:hAnsi="宋体" w:eastAsia="宋体" w:cs="宋体"/>
                <w:color w:val="000000"/>
                <w:kern w:val="0"/>
                <w:sz w:val="24"/>
              </w:rPr>
              <w:t>%</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60E889A4">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0</w:t>
            </w:r>
            <w:r>
              <w:rPr>
                <w:rFonts w:ascii="宋体" w:hAnsi="宋体" w:eastAsia="宋体" w:cs="宋体"/>
                <w:color w:val="000000"/>
                <w:kern w:val="0"/>
                <w:sz w:val="24"/>
              </w:rPr>
              <w:t>%</w:t>
            </w:r>
          </w:p>
        </w:tc>
        <w:tc>
          <w:tcPr>
            <w:tcW w:w="779" w:type="dxa"/>
            <w:tcBorders>
              <w:top w:val="single" w:color="000000" w:sz="4" w:space="0"/>
              <w:left w:val="single" w:color="000000" w:sz="4" w:space="0"/>
              <w:bottom w:val="single" w:color="000000" w:sz="4" w:space="0"/>
              <w:right w:val="single" w:color="000000" w:sz="4" w:space="0"/>
            </w:tcBorders>
            <w:noWrap/>
            <w:vAlign w:val="center"/>
          </w:tcPr>
          <w:p w14:paraId="59356C0F">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413E0DC3">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23995EC0">
            <w:pPr>
              <w:widowControl/>
              <w:spacing w:line="240" w:lineRule="exact"/>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B61896D">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609F997D">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229D7D79">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A8156FB">
            <w:pPr>
              <w:widowControl/>
              <w:spacing w:line="240" w:lineRule="exact"/>
              <w:jc w:val="center"/>
              <w:textAlignment w:val="center"/>
              <w:rPr>
                <w:rFonts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7012A18D">
            <w:pPr>
              <w:widowControl/>
              <w:spacing w:line="240" w:lineRule="exact"/>
              <w:jc w:val="center"/>
              <w:textAlignment w:val="center"/>
              <w:rPr>
                <w:rFonts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EB3F3C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一般性支出</w:t>
            </w:r>
            <w:r>
              <w:rPr>
                <w:rFonts w:ascii="宋体" w:hAnsi="宋体" w:eastAsia="宋体" w:cs="宋体"/>
                <w:color w:val="000000"/>
                <w:kern w:val="0"/>
                <w:sz w:val="24"/>
              </w:rPr>
              <w:t>金额</w:t>
            </w:r>
          </w:p>
        </w:tc>
        <w:tc>
          <w:tcPr>
            <w:tcW w:w="1119" w:type="dxa"/>
            <w:tcBorders>
              <w:top w:val="single" w:color="000000" w:sz="4" w:space="0"/>
              <w:left w:val="single" w:color="000000" w:sz="4" w:space="0"/>
              <w:bottom w:val="single" w:color="000000" w:sz="4" w:space="0"/>
              <w:right w:val="single" w:color="000000" w:sz="4" w:space="0"/>
            </w:tcBorders>
            <w:noWrap/>
            <w:vAlign w:val="center"/>
          </w:tcPr>
          <w:p w14:paraId="4E158E2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886.05</w:t>
            </w:r>
            <w:r>
              <w:rPr>
                <w:rFonts w:ascii="宋体" w:hAnsi="宋体" w:eastAsia="宋体" w:cs="宋体"/>
                <w:color w:val="000000"/>
                <w:kern w:val="0"/>
                <w:sz w:val="24"/>
              </w:rPr>
              <w:t>万元</w:t>
            </w:r>
          </w:p>
        </w:tc>
        <w:tc>
          <w:tcPr>
            <w:tcW w:w="3635" w:type="dxa"/>
            <w:gridSpan w:val="4"/>
            <w:tcBorders>
              <w:top w:val="single" w:color="000000" w:sz="4" w:space="0"/>
              <w:left w:val="single" w:color="000000" w:sz="4" w:space="0"/>
              <w:bottom w:val="single" w:color="000000" w:sz="4" w:space="0"/>
              <w:right w:val="single" w:color="000000" w:sz="4" w:space="0"/>
            </w:tcBorders>
            <w:noWrap/>
            <w:vAlign w:val="center"/>
          </w:tcPr>
          <w:p w14:paraId="471D830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886.05万元</w:t>
            </w:r>
            <w:r>
              <w:rPr>
                <w:rFonts w:ascii="宋体" w:hAnsi="宋体" w:eastAsia="宋体" w:cs="宋体"/>
                <w:color w:val="000000"/>
                <w:kern w:val="0"/>
                <w:sz w:val="24"/>
              </w:rPr>
              <w:t>为上年一般性支出金额</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030B9A3">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47A6B422">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7A5F954">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468D2D7">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714A399">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E388F1C">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1119" w:type="dxa"/>
            <w:tcBorders>
              <w:top w:val="single" w:color="000000" w:sz="4" w:space="0"/>
              <w:left w:val="single" w:color="000000" w:sz="4" w:space="0"/>
              <w:bottom w:val="single" w:color="000000" w:sz="4" w:space="0"/>
              <w:right w:val="single" w:color="000000" w:sz="4" w:space="0"/>
            </w:tcBorders>
            <w:noWrap/>
            <w:vAlign w:val="center"/>
          </w:tcPr>
          <w:p w14:paraId="3A5E6103">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良</w:t>
            </w:r>
          </w:p>
        </w:tc>
        <w:tc>
          <w:tcPr>
            <w:tcW w:w="3635" w:type="dxa"/>
            <w:gridSpan w:val="4"/>
            <w:tcBorders>
              <w:top w:val="single" w:color="000000" w:sz="4" w:space="0"/>
              <w:left w:val="single" w:color="000000" w:sz="4" w:space="0"/>
              <w:bottom w:val="single" w:color="000000" w:sz="4" w:space="0"/>
              <w:right w:val="single" w:color="000000" w:sz="4" w:space="0"/>
            </w:tcBorders>
            <w:noWrap/>
            <w:vAlign w:val="center"/>
          </w:tcPr>
          <w:p w14:paraId="7DB8CC4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为“优”“良”“中”或“差”</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F24C9A3">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r>
      <w:tr w14:paraId="26EBD21C">
        <w:tblPrEx>
          <w:tblCellMar>
            <w:top w:w="0" w:type="dxa"/>
            <w:left w:w="108" w:type="dxa"/>
            <w:bottom w:w="0" w:type="dxa"/>
            <w:right w:w="108" w:type="dxa"/>
          </w:tblCellMar>
        </w:tblPrEx>
        <w:trPr>
          <w:trHeight w:val="498"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242743B">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E54406B">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4DA2FFD">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375FEE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1119" w:type="dxa"/>
            <w:tcBorders>
              <w:top w:val="single" w:color="000000" w:sz="4" w:space="0"/>
              <w:left w:val="single" w:color="000000" w:sz="4" w:space="0"/>
              <w:bottom w:val="single" w:color="000000" w:sz="4" w:space="0"/>
              <w:right w:val="single" w:color="000000" w:sz="4" w:space="0"/>
            </w:tcBorders>
            <w:noWrap/>
            <w:vAlign w:val="center"/>
          </w:tcPr>
          <w:p w14:paraId="4348CE0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1DF9689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x</w:t>
            </w:r>
            <w:r>
              <w:rPr>
                <w:rFonts w:ascii="宋体" w:hAnsi="宋体" w:eastAsia="宋体" w:cs="宋体"/>
                <w:color w:val="000000"/>
                <w:kern w:val="0"/>
                <w:sz w:val="24"/>
              </w:rPr>
              <w:t>%</w:t>
            </w:r>
          </w:p>
        </w:tc>
        <w:tc>
          <w:tcPr>
            <w:tcW w:w="779" w:type="dxa"/>
            <w:tcBorders>
              <w:top w:val="single" w:color="000000" w:sz="4" w:space="0"/>
              <w:left w:val="single" w:color="000000" w:sz="4" w:space="0"/>
              <w:bottom w:val="single" w:color="000000" w:sz="4" w:space="0"/>
              <w:right w:val="single" w:color="000000" w:sz="4" w:space="0"/>
            </w:tcBorders>
            <w:noWrap/>
            <w:vAlign w:val="center"/>
          </w:tcPr>
          <w:p w14:paraId="1183A03B">
            <w:pPr>
              <w:widowControl/>
              <w:spacing w:line="240" w:lineRule="exact"/>
              <w:jc w:val="center"/>
              <w:textAlignment w:val="center"/>
              <w:rPr>
                <w:rFonts w:ascii="宋体" w:hAnsi="宋体" w:eastAsia="宋体" w:cs="宋体"/>
                <w:color w:val="000000"/>
                <w:kern w:val="0"/>
                <w:sz w:val="24"/>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5C7AE28D">
            <w:pPr>
              <w:widowControl/>
              <w:spacing w:line="240" w:lineRule="exact"/>
              <w:jc w:val="center"/>
              <w:textAlignment w:val="center"/>
              <w:rPr>
                <w:rFonts w:ascii="宋体" w:hAnsi="宋体" w:eastAsia="宋体" w:cs="宋体"/>
                <w:color w:val="000000"/>
                <w:kern w:val="0"/>
                <w:sz w:val="24"/>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3D386C2">
            <w:pPr>
              <w:widowControl/>
              <w:spacing w:line="240" w:lineRule="exact"/>
              <w:jc w:val="center"/>
              <w:textAlignment w:val="center"/>
              <w:rPr>
                <w:rFonts w:ascii="宋体" w:hAnsi="宋体" w:eastAsia="宋体" w:cs="宋体"/>
                <w:color w:val="000000"/>
                <w:kern w:val="0"/>
                <w:sz w:val="24"/>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215A530">
            <w:pPr>
              <w:widowControl/>
              <w:spacing w:line="240" w:lineRule="exact"/>
              <w:jc w:val="center"/>
              <w:textAlignment w:val="center"/>
              <w:rPr>
                <w:rFonts w:ascii="宋体" w:hAnsi="宋体" w:eastAsia="宋体" w:cs="宋体"/>
                <w:color w:val="000000"/>
                <w:kern w:val="0"/>
                <w:sz w:val="24"/>
              </w:rPr>
            </w:pPr>
          </w:p>
        </w:tc>
      </w:tr>
      <w:tr w14:paraId="67EB7DF4">
        <w:tblPrEx>
          <w:tblCellMar>
            <w:top w:w="0" w:type="dxa"/>
            <w:left w:w="108" w:type="dxa"/>
            <w:bottom w:w="0" w:type="dxa"/>
            <w:right w:w="108" w:type="dxa"/>
          </w:tblCellMar>
        </w:tblPrEx>
        <w:trPr>
          <w:trHeight w:val="623"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FA10D6F">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7CF25DFC">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CA100B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2BCBD1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采购执行率</w:t>
            </w:r>
          </w:p>
        </w:tc>
        <w:tc>
          <w:tcPr>
            <w:tcW w:w="1119" w:type="dxa"/>
            <w:tcBorders>
              <w:top w:val="single" w:color="000000" w:sz="4" w:space="0"/>
              <w:left w:val="single" w:color="000000" w:sz="4" w:space="0"/>
              <w:bottom w:val="single" w:color="000000" w:sz="4" w:space="0"/>
              <w:right w:val="single" w:color="000000" w:sz="4" w:space="0"/>
            </w:tcBorders>
            <w:noWrap/>
            <w:vAlign w:val="center"/>
          </w:tcPr>
          <w:p w14:paraId="46651C5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w:t>
            </w:r>
            <w:r>
              <w:rPr>
                <w:rFonts w:hint="eastAsia" w:ascii="宋体" w:hAnsi="宋体" w:eastAsia="宋体" w:cs="宋体"/>
                <w:color w:val="000000"/>
                <w:kern w:val="0"/>
                <w:sz w:val="24"/>
                <w:lang w:val="en-US" w:eastAsia="zh-CN"/>
              </w:rPr>
              <w:t>x</w:t>
            </w:r>
            <w:r>
              <w:rPr>
                <w:rFonts w:hint="eastAsia" w:ascii="宋体" w:hAnsi="宋体" w:eastAsia="宋体" w:cs="宋体"/>
                <w:color w:val="000000"/>
                <w:kern w:val="0"/>
                <w:sz w:val="24"/>
              </w:rPr>
              <w:t>%</w:t>
            </w:r>
          </w:p>
        </w:tc>
        <w:tc>
          <w:tcPr>
            <w:tcW w:w="700" w:type="dxa"/>
            <w:tcBorders>
              <w:top w:val="single" w:color="000000" w:sz="4" w:space="0"/>
              <w:left w:val="single" w:color="000000" w:sz="4" w:space="0"/>
              <w:bottom w:val="single" w:color="000000" w:sz="4" w:space="0"/>
              <w:right w:val="single" w:color="000000" w:sz="4" w:space="0"/>
            </w:tcBorders>
            <w:noWrap/>
            <w:vAlign w:val="center"/>
          </w:tcPr>
          <w:p w14:paraId="79688BCE">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lang w:val="en-US" w:eastAsia="zh-CN"/>
              </w:rPr>
              <w:t>x</w:t>
            </w:r>
            <w:r>
              <w:rPr>
                <w:rFonts w:ascii="宋体" w:hAnsi="宋体" w:eastAsia="宋体" w:cs="宋体"/>
                <w:color w:val="000000"/>
                <w:kern w:val="0"/>
                <w:sz w:val="24"/>
              </w:rPr>
              <w:t>%</w:t>
            </w:r>
          </w:p>
        </w:tc>
        <w:tc>
          <w:tcPr>
            <w:tcW w:w="779" w:type="dxa"/>
            <w:tcBorders>
              <w:top w:val="single" w:color="000000" w:sz="4" w:space="0"/>
              <w:left w:val="single" w:color="000000" w:sz="4" w:space="0"/>
              <w:bottom w:val="single" w:color="000000" w:sz="4" w:space="0"/>
              <w:right w:val="single" w:color="000000" w:sz="4" w:space="0"/>
            </w:tcBorders>
            <w:noWrap/>
            <w:vAlign w:val="center"/>
          </w:tcPr>
          <w:p w14:paraId="13B2C7F7">
            <w:pPr>
              <w:widowControl/>
              <w:spacing w:line="240" w:lineRule="exact"/>
              <w:jc w:val="center"/>
              <w:textAlignment w:val="center"/>
              <w:rPr>
                <w:rFonts w:hint="default" w:ascii="宋体" w:hAnsi="宋体" w:eastAsia="宋体" w:cs="宋体"/>
                <w:color w:val="000000"/>
                <w:kern w:val="0"/>
                <w:sz w:val="24"/>
                <w:lang w:val="en-US" w:eastAsia="zh-CN"/>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4CBDF061">
            <w:pPr>
              <w:widowControl/>
              <w:spacing w:line="240" w:lineRule="exact"/>
              <w:jc w:val="center"/>
              <w:textAlignment w:val="center"/>
              <w:rPr>
                <w:rFonts w:hint="default" w:ascii="宋体" w:hAnsi="宋体" w:eastAsia="宋体" w:cs="宋体"/>
                <w:color w:val="000000"/>
                <w:kern w:val="0"/>
                <w:sz w:val="24"/>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5D3AFEC8">
            <w:pPr>
              <w:widowControl/>
              <w:spacing w:line="240" w:lineRule="exact"/>
              <w:jc w:val="center"/>
              <w:textAlignment w:val="center"/>
              <w:rPr>
                <w:rFonts w:hint="default" w:ascii="宋体" w:hAnsi="宋体" w:eastAsia="宋体" w:cs="宋体"/>
                <w:color w:val="000000"/>
                <w:kern w:val="0"/>
                <w:sz w:val="24"/>
                <w:lang w:val="en-US" w:eastAsia="zh-CN"/>
              </w:rPr>
            </w:pP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15B4A71">
            <w:pPr>
              <w:widowControl/>
              <w:spacing w:line="240" w:lineRule="exact"/>
              <w:jc w:val="center"/>
              <w:textAlignment w:val="center"/>
              <w:rPr>
                <w:rFonts w:hint="default" w:ascii="宋体" w:hAnsi="宋体" w:eastAsia="宋体" w:cs="宋体"/>
                <w:color w:val="000000"/>
                <w:kern w:val="0"/>
                <w:sz w:val="24"/>
                <w:lang w:val="en-US" w:eastAsia="zh-CN"/>
              </w:rPr>
            </w:pPr>
          </w:p>
        </w:tc>
      </w:tr>
      <w:tr w14:paraId="6B053392">
        <w:tblPrEx>
          <w:tblCellMar>
            <w:top w:w="0" w:type="dxa"/>
            <w:left w:w="108" w:type="dxa"/>
            <w:bottom w:w="0" w:type="dxa"/>
            <w:right w:w="108" w:type="dxa"/>
          </w:tblCellMar>
        </w:tblPrEx>
        <w:trPr>
          <w:trHeight w:val="675"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21A4D5D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249A5B1A">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22B96A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F0D0CC1">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248958BB">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2ABB080">
            <w:pPr>
              <w:widowControl/>
              <w:spacing w:line="240" w:lineRule="exact"/>
              <w:jc w:val="center"/>
              <w:textAlignment w:val="center"/>
              <w:rPr>
                <w:rFonts w:ascii="宋体" w:hAnsi="宋体" w:eastAsia="宋体" w:cs="宋体"/>
                <w:color w:val="000000"/>
                <w:kern w:val="0"/>
                <w:sz w:val="24"/>
              </w:rPr>
            </w:pPr>
          </w:p>
        </w:tc>
      </w:tr>
      <w:tr w14:paraId="666A50DE">
        <w:tblPrEx>
          <w:tblCellMar>
            <w:top w:w="0" w:type="dxa"/>
            <w:left w:w="108" w:type="dxa"/>
            <w:bottom w:w="0" w:type="dxa"/>
            <w:right w:w="108" w:type="dxa"/>
          </w:tblCellMar>
        </w:tblPrEx>
        <w:trPr>
          <w:trHeight w:val="775"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574612C0">
            <w:pPr>
              <w:widowControl/>
              <w:spacing w:line="240" w:lineRule="exact"/>
              <w:jc w:val="center"/>
              <w:textAlignment w:val="center"/>
              <w:rPr>
                <w:rFonts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27E94992">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705F78C">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B45F367">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组织参加各类各级比赛赛项目</w:t>
            </w:r>
            <w:r>
              <w:rPr>
                <w:rFonts w:hint="eastAsia" w:ascii="宋体" w:hAnsi="宋体" w:eastAsia="宋体" w:cs="宋体"/>
                <w:color w:val="000000"/>
                <w:kern w:val="0"/>
                <w:sz w:val="24"/>
                <w:lang w:eastAsia="zh-CN"/>
              </w:rPr>
              <w:t>数量</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D86948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不少于10个小项目</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F6F94B6">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11E38A1F">
        <w:tblPrEx>
          <w:tblCellMar>
            <w:top w:w="0" w:type="dxa"/>
            <w:left w:w="108" w:type="dxa"/>
            <w:bottom w:w="0" w:type="dxa"/>
            <w:right w:w="108" w:type="dxa"/>
          </w:tblCellMar>
        </w:tblPrEx>
        <w:trPr>
          <w:trHeight w:val="697"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D5FCBF7">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4875B85">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4612DA8D">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D455596">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学生享受训练补助的天数</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0681C760">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eastAsia="zh-CN"/>
              </w:rPr>
              <w:t>不得少于</w:t>
            </w:r>
            <w:r>
              <w:rPr>
                <w:rFonts w:hint="eastAsia" w:ascii="宋体" w:hAnsi="宋体" w:eastAsia="宋体" w:cs="宋体"/>
                <w:color w:val="000000"/>
                <w:kern w:val="0"/>
                <w:sz w:val="24"/>
                <w:lang w:val="en-US" w:eastAsia="zh-CN"/>
              </w:rPr>
              <w:t>243天</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F0D5E79">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482A20C6">
        <w:tblPrEx>
          <w:tblCellMar>
            <w:top w:w="0" w:type="dxa"/>
            <w:left w:w="108" w:type="dxa"/>
            <w:bottom w:w="0" w:type="dxa"/>
            <w:right w:w="108" w:type="dxa"/>
          </w:tblCellMar>
        </w:tblPrEx>
        <w:trPr>
          <w:trHeight w:val="697"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9BAC51D">
            <w:pPr>
              <w:widowControl/>
              <w:spacing w:line="240" w:lineRule="exact"/>
              <w:jc w:val="center"/>
              <w:textAlignment w:val="center"/>
              <w:rPr>
                <w:rFonts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32A2B54">
            <w:pPr>
              <w:widowControl/>
              <w:spacing w:line="240" w:lineRule="exact"/>
              <w:jc w:val="center"/>
              <w:textAlignment w:val="center"/>
              <w:rPr>
                <w:rFonts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2AC541F">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810E715">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保证职工社保缴纳及时性</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B8CEF31">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eastAsia="zh-CN"/>
              </w:rPr>
              <w:t>在</w:t>
            </w:r>
            <w:r>
              <w:rPr>
                <w:rFonts w:hint="eastAsia" w:ascii="宋体" w:hAnsi="宋体" w:eastAsia="宋体" w:cs="宋体"/>
                <w:color w:val="000000"/>
                <w:kern w:val="0"/>
                <w:sz w:val="24"/>
                <w:lang w:val="en-US" w:eastAsia="zh-CN"/>
              </w:rPr>
              <w:t>15天之内缴纳</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7807A9A">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7D5650D4">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806DF48">
            <w:pPr>
              <w:widowControl/>
              <w:spacing w:line="240" w:lineRule="exact"/>
              <w:jc w:val="center"/>
              <w:textAlignment w:val="center"/>
              <w:rPr>
                <w:rFonts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2A6E7118">
            <w:pPr>
              <w:widowControl/>
              <w:spacing w:line="240" w:lineRule="exact"/>
              <w:jc w:val="center"/>
              <w:textAlignment w:val="center"/>
              <w:rPr>
                <w:rFonts w:ascii="宋体" w:hAnsi="宋体" w:eastAsia="宋体" w:cs="宋体"/>
                <w:color w:val="000000"/>
                <w:kern w:val="0"/>
                <w:sz w:val="24"/>
              </w:rPr>
            </w:pPr>
            <w:r>
              <w:rPr>
                <w:rFonts w:hint="eastAsia" w:ascii="宋体" w:hAnsi="宋体" w:eastAsia="宋体" w:cs="宋体"/>
                <w:color w:val="000000"/>
                <w:kern w:val="0"/>
                <w:sz w:val="24"/>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8E71DB0">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lang w:eastAsia="zh-CN"/>
              </w:rPr>
              <w:t>社会效益</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C7A3CE1">
            <w:pPr>
              <w:widowControl/>
              <w:spacing w:line="240" w:lineRule="exact"/>
              <w:jc w:val="center"/>
              <w:textAlignment w:val="center"/>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向上级运动队输送和培养后备人才</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9C6BD48">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eastAsia="zh-CN"/>
              </w:rPr>
              <w:t>向上级运动队输送和培养至少</w:t>
            </w:r>
            <w:r>
              <w:rPr>
                <w:rFonts w:hint="eastAsia" w:ascii="宋体" w:hAnsi="宋体" w:eastAsia="宋体" w:cs="宋体"/>
                <w:color w:val="000000"/>
                <w:kern w:val="0"/>
                <w:sz w:val="24"/>
                <w:lang w:val="en-US" w:eastAsia="zh-CN"/>
              </w:rPr>
              <w:t>20名</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7BB5E7F">
            <w:pPr>
              <w:widowControl/>
              <w:spacing w:line="240" w:lineRule="exact"/>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bl>
    <w:p w14:paraId="15C39428">
      <w:pPr>
        <w:spacing w:line="578" w:lineRule="exact"/>
        <w:contextualSpacing/>
        <w:jc w:val="left"/>
        <w:rPr>
          <w:rFonts w:eastAsia="黑体"/>
          <w:szCs w:val="32"/>
        </w:rPr>
      </w:pPr>
    </w:p>
    <w:p w14:paraId="0690D5E0">
      <w:pPr>
        <w:pStyle w:val="5"/>
        <w:rPr>
          <w:rFonts w:hint="eastAsia" w:ascii="Times New Roman" w:hAnsi="Times New Roman" w:cs="宋体"/>
          <w:color w:val="FF0000"/>
          <w:kern w:val="0"/>
          <w:sz w:val="32"/>
          <w:szCs w:val="32"/>
          <w:highlight w:val="yellow"/>
          <w:shd w:val="clear" w:color="auto" w:fill="FFFFFF"/>
          <w:lang w:val="zh-CN"/>
        </w:rPr>
      </w:pPr>
    </w:p>
    <w:p w14:paraId="785CE689">
      <w:pPr>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br w:type="page"/>
      </w: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32B04C00">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331A86AB">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14:paraId="4180639A">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7B95FDFF">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0BFC7591">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项目设立原因及背景，</w:t>
      </w:r>
      <w:r>
        <w:rPr>
          <w:rFonts w:hint="eastAsia" w:ascii="Times New Roman" w:hAnsi="Times New Roman" w:eastAsia="仿宋_GB2312" w:cs="仿宋_GB2312"/>
          <w:b w:val="0"/>
          <w:bCs w:val="0"/>
          <w:kern w:val="0"/>
          <w:position w:val="0"/>
          <w:sz w:val="32"/>
          <w:szCs w:val="32"/>
          <w:highlight w:val="none"/>
          <w:lang w:val="zh-CN" w:eastAsia="zh-CN" w:bidi="ar-SA"/>
        </w:rPr>
        <w:t>项目立项、资金申报的依据，项目主要内容</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主管部门职能</w:t>
      </w:r>
      <w:r>
        <w:rPr>
          <w:rFonts w:hint="eastAsia" w:ascii="Times New Roman" w:hAnsi="Times New Roman" w:eastAsia="仿宋_GB2312" w:cs="仿宋_GB2312"/>
          <w:color w:val="auto"/>
          <w:kern w:val="0"/>
          <w:sz w:val="32"/>
          <w:szCs w:val="32"/>
          <w:highlight w:val="none"/>
          <w:u w:val="none"/>
          <w:shd w:val="clear" w:color="auto" w:fill="FFFFFF"/>
          <w:lang w:val="zh-CN"/>
        </w:rPr>
        <w:t>。</w:t>
      </w:r>
    </w:p>
    <w:p w14:paraId="555BB0DA">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项目资金</w:t>
      </w:r>
      <w:r>
        <w:rPr>
          <w:rFonts w:hint="eastAsia" w:ascii="Times New Roman" w:hAnsi="Times New Roman" w:eastAsia="仿宋_GB2312" w:cs="仿宋_GB2312"/>
          <w:b w:val="0"/>
          <w:bCs w:val="0"/>
          <w:kern w:val="0"/>
          <w:position w:val="0"/>
          <w:sz w:val="32"/>
          <w:szCs w:val="32"/>
          <w:highlight w:val="none"/>
          <w:lang w:val="zh-CN" w:eastAsia="zh-CN" w:bidi="ar-SA"/>
        </w:rPr>
        <w:t>管理办法制定情况，项目实施目的和主要工作任务，项目支持方向。</w:t>
      </w:r>
    </w:p>
    <w:p w14:paraId="0C60B20D">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项目预算安排情况，项目资金分配原则及考虑因素，项目资金分配情况。</w:t>
      </w:r>
    </w:p>
    <w:p w14:paraId="3F379551">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项目整体、区域和具体绩效目标设置情况，项目自评工作开展情况。</w:t>
      </w:r>
    </w:p>
    <w:p w14:paraId="19A0574A">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7081FB3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通过项目绩效自评要实现的目的。</w:t>
      </w:r>
    </w:p>
    <w:p w14:paraId="73A753C8">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14:paraId="6406CFAC">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zh-CN" w:eastAsia="zh-CN" w:bidi="ar-SA"/>
        </w:rPr>
        <w:t>项目绩效自评所抽样点位情况。每个专项预算项目应选取专项资金分配涉及市县总数的20%、总计不超过20个的市县点位进行实地踏勘，且点位清单应作为自评附表。</w:t>
      </w:r>
    </w:p>
    <w:p w14:paraId="136D6DC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根据项目情况和评价重点，用来收集相关材料和开展具体评价的方法。包括：采用成本效益分析法、标杆管理法、案卷研究法、单位自评法、实地勘察法、问卷调查法、座谈调研法等多种方法。</w:t>
      </w:r>
    </w:p>
    <w:p w14:paraId="0E70B53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评价组人员构成和职责分工。</w:t>
      </w:r>
    </w:p>
    <w:p w14:paraId="0B98E23B">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0AA559E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14:paraId="64DA691E">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3E25C16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项目决策。围绕决策程序、规划论证、资金投向进行绩效分析。</w:t>
      </w:r>
    </w:p>
    <w:p w14:paraId="36F3FDD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项目管理。围绕制度办法、分配管理、绩效监管进行绩效分析。</w:t>
      </w:r>
    </w:p>
    <w:p w14:paraId="12CE86F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围绕预算执行、资金使用进行绩效分析。</w:t>
      </w:r>
    </w:p>
    <w:p w14:paraId="30EB7A11">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4.项目结果。围绕</w:t>
      </w:r>
      <w:r>
        <w:rPr>
          <w:rFonts w:hint="eastAsia" w:ascii="Times New Roman" w:hAnsi="Times New Roman" w:eastAsia="仿宋_GB2312" w:cs="仿宋_GB2312"/>
          <w:b w:val="0"/>
          <w:bCs w:val="0"/>
          <w:kern w:val="0"/>
          <w:position w:val="0"/>
          <w:sz w:val="32"/>
          <w:szCs w:val="32"/>
          <w:highlight w:val="none"/>
          <w:lang w:val="zh-CN" w:eastAsia="zh-CN" w:bidi="ar-SA"/>
        </w:rPr>
        <w:t>目标完成、完成时效进行绩效分析。</w:t>
      </w:r>
    </w:p>
    <w:p w14:paraId="4EED430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14:paraId="4720406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1.产业发展。围绕符合性、成长性、经济性进行绩效分析。</w:t>
      </w:r>
    </w:p>
    <w:p w14:paraId="25EB37D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r>
        <w:rPr>
          <w:rFonts w:hint="eastAsia" w:ascii="Times New Roman" w:hAnsi="Times New Roman" w:eastAsia="仿宋_GB2312" w:cs="仿宋_GB2312"/>
          <w:b w:val="0"/>
          <w:bCs w:val="0"/>
          <w:kern w:val="0"/>
          <w:position w:val="0"/>
          <w:sz w:val="32"/>
          <w:szCs w:val="32"/>
          <w:highlight w:val="none"/>
          <w:lang w:val="en-US" w:eastAsia="zh-CN" w:bidi="ar-SA"/>
        </w:rPr>
        <w:t>围绕区域均衡性、对象精准性、标准合理性、群众满意度进行绩效分析。</w:t>
      </w:r>
    </w:p>
    <w:p w14:paraId="5BF2BF2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3.基础设施。在建项目围绕工程进度和资金拨付进行绩效分析；建成项目围绕项目验收、功能实现、后续管护进行</w:t>
      </w:r>
      <w:r>
        <w:rPr>
          <w:rFonts w:hint="eastAsia" w:ascii="Times New Roman" w:hAnsi="Times New Roman" w:eastAsia="仿宋_GB2312" w:cs="仿宋_GB2312"/>
          <w:b w:val="0"/>
          <w:bCs w:val="0"/>
          <w:kern w:val="0"/>
          <w:position w:val="0"/>
          <w:sz w:val="32"/>
          <w:szCs w:val="32"/>
          <w:highlight w:val="none"/>
          <w:lang w:val="zh-CN" w:eastAsia="zh-CN" w:bidi="ar-SA"/>
        </w:rPr>
        <w:t>绩效分析。</w:t>
      </w:r>
    </w:p>
    <w:p w14:paraId="7A2212C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行政运转。围绕用途合规性、程序合规性、标准合规性进行绩效分析。</w:t>
      </w:r>
    </w:p>
    <w:p w14:paraId="78A06066">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根据项目个性自行设定部分指标，反映该项指标执行完成情况。</w:t>
      </w:r>
    </w:p>
    <w:p w14:paraId="59BEE10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4AC69784">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简要阐述专项预算项目绩效自评总体结论，包含评价总分、</w:t>
      </w:r>
      <w:r>
        <w:rPr>
          <w:rFonts w:hint="eastAsia" w:ascii="Times New Roman" w:hAnsi="Times New Roman" w:eastAsia="仿宋_GB2312" w:cs="仿宋_GB2312"/>
          <w:b w:val="0"/>
          <w:bCs w:val="0"/>
          <w:kern w:val="0"/>
          <w:position w:val="0"/>
          <w:sz w:val="32"/>
          <w:szCs w:val="32"/>
          <w:highlight w:val="none"/>
          <w:lang w:val="zh-CN" w:eastAsia="zh-CN" w:bidi="ar-SA"/>
        </w:rPr>
        <w:t>项目实施情况。</w:t>
      </w:r>
    </w:p>
    <w:p w14:paraId="2B45741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5BF6F78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简要阐述专项预算项目绩效自评发现的主要问题。</w:t>
      </w:r>
    </w:p>
    <w:p w14:paraId="6EDCA3D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653DE9D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简要阐述专项预算项目在</w:t>
      </w:r>
      <w:r>
        <w:rPr>
          <w:rFonts w:hint="eastAsia" w:ascii="Times New Roman" w:hAnsi="Times New Roman" w:eastAsia="仿宋_GB2312" w:cs="仿宋_GB2312"/>
          <w:b w:val="0"/>
          <w:bCs w:val="0"/>
          <w:kern w:val="0"/>
          <w:position w:val="0"/>
          <w:sz w:val="32"/>
          <w:szCs w:val="32"/>
          <w:highlight w:val="none"/>
          <w:lang w:val="en" w:eastAsia="zh-CN" w:bidi="ar-SA"/>
        </w:rPr>
        <w:t>预算安排、完善政策、改进管理等方面的</w:t>
      </w:r>
      <w:r>
        <w:rPr>
          <w:rFonts w:hint="eastAsia" w:ascii="Times New Roman" w:hAnsi="Times New Roman" w:eastAsia="仿宋_GB2312" w:cs="仿宋_GB2312"/>
          <w:b w:val="0"/>
          <w:bCs w:val="0"/>
          <w:kern w:val="0"/>
          <w:position w:val="0"/>
          <w:sz w:val="32"/>
          <w:szCs w:val="32"/>
          <w:highlight w:val="none"/>
          <w:lang w:val="en-US" w:eastAsia="zh-CN" w:bidi="ar-SA"/>
        </w:rPr>
        <w:t>措施</w:t>
      </w:r>
      <w:r>
        <w:rPr>
          <w:rFonts w:hint="eastAsia" w:ascii="Times New Roman" w:hAnsi="Times New Roman" w:eastAsia="仿宋_GB2312" w:cs="仿宋_GB2312"/>
          <w:b w:val="0"/>
          <w:bCs w:val="0"/>
          <w:kern w:val="0"/>
          <w:position w:val="0"/>
          <w:sz w:val="32"/>
          <w:szCs w:val="32"/>
          <w:highlight w:val="none"/>
          <w:lang w:val="en" w:eastAsia="zh-CN" w:bidi="ar-SA"/>
        </w:rPr>
        <w:t>建议，其中</w:t>
      </w:r>
      <w:r>
        <w:rPr>
          <w:rFonts w:hint="eastAsia" w:ascii="Times New Roman" w:hAnsi="Times New Roman" w:eastAsia="仿宋_GB2312" w:cs="仿宋_GB2312"/>
          <w:b w:val="0"/>
          <w:bCs w:val="0"/>
          <w:kern w:val="0"/>
          <w:position w:val="0"/>
          <w:sz w:val="32"/>
          <w:szCs w:val="32"/>
          <w:highlight w:val="none"/>
          <w:lang w:val="en-US" w:eastAsia="zh-CN" w:bidi="ar-SA"/>
        </w:rPr>
        <w:t>必须对应评价发现的主要问题一一提出措施建议。</w:t>
      </w:r>
    </w:p>
    <w:p w14:paraId="347EE87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以上绩效自评报告，除涉密敏感内容外，原则上都应予以公开）</w:t>
      </w:r>
    </w:p>
    <w:p w14:paraId="5DD9799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0261D02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1E87D12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4"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2D93081A">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1"/>
      <w:bookmarkEnd w:id="54"/>
      <w:bookmarkStart w:id="55" w:name="_Toc15396619"/>
    </w:p>
    <w:p w14:paraId="1C4A7F9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7E62EE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14:paraId="3202D50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14:paraId="608104A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14:paraId="7FFF5E0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14:paraId="7187E3C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14:paraId="2CF331E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14:paraId="65D624E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14:paraId="22E5ECD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14:paraId="56E1402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14:paraId="0289D10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14:paraId="0D4E140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0EECE12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14:paraId="514ED32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14:paraId="59705279">
      <w:pPr>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附件：1. 2025年度州体校项目自评报告</w:t>
      </w:r>
      <w:r>
        <w:rPr>
          <w:rFonts w:hint="eastAsia" w:ascii="Times New Roman" w:hAnsi="Times New Roman" w:eastAsia="仿宋_GB2312" w:cs="仿宋_GB2312"/>
          <w:color w:val="auto"/>
          <w:kern w:val="2"/>
          <w:sz w:val="32"/>
          <w:szCs w:val="32"/>
          <w:highlight w:val="none"/>
          <w:lang w:val="en-US" w:eastAsia="zh-CN" w:bidi="ar-SA"/>
        </w:rPr>
        <w:object>
          <v:shape id="_x0000_i1025" o:spt="75" type="#_x0000_t75" style="height:66pt;width:72.75pt;" o:ole="t" filled="f" o:preferrelative="t" stroked="f" coordsize="21600,21600">
            <v:path/>
            <v:fill on="f" focussize="0,0"/>
            <v:stroke on="f"/>
            <v:imagedata r:id="rId14" o:title=""/>
            <o:lock v:ext="edit" aspectratio="t"/>
            <w10:wrap type="none"/>
            <w10:anchorlock/>
          </v:shape>
          <o:OLEObject Type="Embed" ProgID="Word.Document.12" ShapeID="_x0000_i1025" DrawAspect="Icon" ObjectID="_1468075725" r:id="rId13">
            <o:LockedField>false</o:LockedField>
          </o:OLEObject>
        </w:object>
      </w:r>
    </w:p>
    <w:p w14:paraId="6C2BB00D">
      <w:pPr>
        <w:numPr>
          <w:ilvl w:val="0"/>
          <w:numId w:val="3"/>
        </w:numPr>
        <w:ind w:firstLine="960" w:firstLineChars="3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2025年度州体校决算公开表</w:t>
      </w:r>
      <w:r>
        <w:rPr>
          <w:rFonts w:hint="eastAsia" w:ascii="Times New Roman" w:hAnsi="Times New Roman" w:eastAsia="仿宋_GB2312" w:cs="仿宋_GB2312"/>
          <w:color w:val="auto"/>
          <w:kern w:val="2"/>
          <w:sz w:val="32"/>
          <w:szCs w:val="32"/>
          <w:highlight w:val="none"/>
          <w:lang w:val="en-US" w:eastAsia="zh-CN" w:bidi="ar-SA"/>
        </w:rPr>
        <w:object>
          <v:shape id="_x0000_i1026" o:spt="75" type="#_x0000_t75" style="height:66pt;width:72.75pt;" o:ole="t" filled="f" o:preferrelative="t" stroked="f" coordsize="21600,21600">
            <v:path/>
            <v:fill on="f" focussize="0,0"/>
            <v:stroke on="f"/>
            <v:imagedata r:id="rId16" o:title=""/>
            <o:lock v:ext="edit" aspectratio="t"/>
            <w10:wrap type="none"/>
            <w10:anchorlock/>
          </v:shape>
          <o:OLEObject Type="Embed" ProgID="Excel.Sheet.8" ShapeID="_x0000_i1026" DrawAspect="Icon" ObjectID="_1468075726" r:id="rId15">
            <o:LockedField>false</o:LockedField>
          </o:OLEObject>
        </w:object>
      </w:r>
    </w:p>
    <w:p w14:paraId="69400096">
      <w:pPr>
        <w:numPr>
          <w:ilvl w:val="0"/>
          <w:numId w:val="3"/>
        </w:numPr>
        <w:ind w:left="0" w:leftChars="0" w:firstLine="960" w:firstLineChars="3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2025年度州体校决算批复表</w:t>
      </w:r>
      <w:r>
        <w:rPr>
          <w:rFonts w:hint="eastAsia" w:ascii="Times New Roman" w:hAnsi="Times New Roman" w:eastAsia="仿宋_GB2312" w:cs="仿宋_GB2312"/>
          <w:color w:val="auto"/>
          <w:kern w:val="2"/>
          <w:sz w:val="32"/>
          <w:szCs w:val="32"/>
          <w:highlight w:val="none"/>
          <w:lang w:val="en-US" w:eastAsia="zh-CN" w:bidi="ar-SA"/>
        </w:rPr>
        <w:object>
          <v:shape id="_x0000_i1027" o:spt="75" type="#_x0000_t75" style="height:66pt;width:72.75pt;" o:ole="t" filled="f" o:preferrelative="t" stroked="f" coordsize="21600,21600">
            <v:path/>
            <v:fill on="f" focussize="0,0"/>
            <v:stroke on="f"/>
            <v:imagedata r:id="rId18" o:title=""/>
            <o:lock v:ext="edit" aspectratio="t"/>
            <w10:wrap type="none"/>
            <w10:anchorlock/>
          </v:shape>
          <o:OLEObject Type="Embed" ProgID="Excel.Sheet.8" ShapeID="_x0000_i1027" DrawAspect="Icon" ObjectID="_1468075727" r:id="rId17">
            <o:LockedField>false</o:LockedField>
          </o:OLEObject>
        </w:object>
      </w: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仿宋"/>
    <w:panose1 w:val="00000000000000000000"/>
    <w:charset w:val="00"/>
    <w:family w:val="roman"/>
    <w:pitch w:val="default"/>
    <w:sig w:usb0="00000000" w:usb1="00000000" w:usb2="00000000" w:usb3="00000000" w:csb0="00000000" w:csb1="0000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134BB">
    <w:pPr>
      <w:pStyle w:val="10"/>
      <w:jc w:val="center"/>
    </w:pPr>
  </w:p>
  <w:p w14:paraId="1586FFB4">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02717">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301FF">
    <w:pPr>
      <w:pStyle w:val="10"/>
      <w:jc w:val="center"/>
    </w:pPr>
  </w:p>
  <w:p w14:paraId="01310E5B">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309B4">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ED7A81">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55ED7A81">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86545">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E4F01E"/>
    <w:multiLevelType w:val="singleLevel"/>
    <w:tmpl w:val="93E4F01E"/>
    <w:lvl w:ilvl="0" w:tentative="0">
      <w:start w:val="2"/>
      <w:numFmt w:val="decimal"/>
      <w:suff w:val="space"/>
      <w:lvlText w:val="%1."/>
      <w:lvlJc w:val="left"/>
    </w:lvl>
  </w:abstractNum>
  <w:abstractNum w:abstractNumId="1">
    <w:nsid w:val="4561DDDF"/>
    <w:multiLevelType w:val="singleLevel"/>
    <w:tmpl w:val="4561DDDF"/>
    <w:lvl w:ilvl="0" w:tentative="0">
      <w:start w:val="1"/>
      <w:numFmt w:val="chineseCounting"/>
      <w:suff w:val="nothing"/>
      <w:lvlText w:val="%1、"/>
      <w:lvlJc w:val="left"/>
      <w:rPr>
        <w:rFonts w:hint="eastAsia"/>
      </w:rPr>
    </w:lvl>
  </w:abstractNum>
  <w:abstractNum w:abstractNumId="2">
    <w:nsid w:val="596AA694"/>
    <w:multiLevelType w:val="singleLevel"/>
    <w:tmpl w:val="596AA694"/>
    <w:lvl w:ilvl="0" w:tentative="0">
      <w:start w:val="2"/>
      <w:numFmt w:val="chineseCounting"/>
      <w:suff w:val="nothing"/>
      <w:lvlText w:val="%1、"/>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A1AC9"/>
    <w:rsid w:val="01DD3C4D"/>
    <w:rsid w:val="02317B1B"/>
    <w:rsid w:val="024E26F8"/>
    <w:rsid w:val="02FEBE30"/>
    <w:rsid w:val="03E5503B"/>
    <w:rsid w:val="04697A1A"/>
    <w:rsid w:val="061E35DE"/>
    <w:rsid w:val="066E0107"/>
    <w:rsid w:val="0721340C"/>
    <w:rsid w:val="07996F6E"/>
    <w:rsid w:val="07DFD8BA"/>
    <w:rsid w:val="08DB07E4"/>
    <w:rsid w:val="09867E8F"/>
    <w:rsid w:val="0A2032A3"/>
    <w:rsid w:val="0AF85654"/>
    <w:rsid w:val="0B6608D2"/>
    <w:rsid w:val="0C2C3CE9"/>
    <w:rsid w:val="0C6C4794"/>
    <w:rsid w:val="0CA8290A"/>
    <w:rsid w:val="0D35B1ED"/>
    <w:rsid w:val="0DE07E2B"/>
    <w:rsid w:val="0F98263C"/>
    <w:rsid w:val="101860EC"/>
    <w:rsid w:val="10C055FF"/>
    <w:rsid w:val="11772AA4"/>
    <w:rsid w:val="118107EC"/>
    <w:rsid w:val="13D50BC4"/>
    <w:rsid w:val="14022904"/>
    <w:rsid w:val="14B20F69"/>
    <w:rsid w:val="152F2A07"/>
    <w:rsid w:val="16500A3A"/>
    <w:rsid w:val="165E0673"/>
    <w:rsid w:val="16BB723D"/>
    <w:rsid w:val="186504BB"/>
    <w:rsid w:val="18D21031"/>
    <w:rsid w:val="1938089F"/>
    <w:rsid w:val="19A445FC"/>
    <w:rsid w:val="1AD11A1D"/>
    <w:rsid w:val="1B7D550C"/>
    <w:rsid w:val="1BE8440E"/>
    <w:rsid w:val="1C846D0A"/>
    <w:rsid w:val="1D155CEE"/>
    <w:rsid w:val="1D4D7A81"/>
    <w:rsid w:val="1E740ACF"/>
    <w:rsid w:val="1F62156A"/>
    <w:rsid w:val="1FF35744"/>
    <w:rsid w:val="1FF6BC77"/>
    <w:rsid w:val="21962A9E"/>
    <w:rsid w:val="21AE7C77"/>
    <w:rsid w:val="22BC3C41"/>
    <w:rsid w:val="23860B96"/>
    <w:rsid w:val="240371BF"/>
    <w:rsid w:val="24EF7670"/>
    <w:rsid w:val="260F557C"/>
    <w:rsid w:val="26C863CA"/>
    <w:rsid w:val="281408E2"/>
    <w:rsid w:val="29FD04D3"/>
    <w:rsid w:val="2BAC0068"/>
    <w:rsid w:val="2BFF7BC6"/>
    <w:rsid w:val="2C8A61B5"/>
    <w:rsid w:val="2D2E01CF"/>
    <w:rsid w:val="2DF04E50"/>
    <w:rsid w:val="2E9545B0"/>
    <w:rsid w:val="2F040D46"/>
    <w:rsid w:val="2FAE5751"/>
    <w:rsid w:val="2FB1A395"/>
    <w:rsid w:val="2FD9A7D8"/>
    <w:rsid w:val="319F7F4E"/>
    <w:rsid w:val="321B2544"/>
    <w:rsid w:val="32472899"/>
    <w:rsid w:val="3304709D"/>
    <w:rsid w:val="34281836"/>
    <w:rsid w:val="349D6851"/>
    <w:rsid w:val="35BA6CAF"/>
    <w:rsid w:val="364D14C1"/>
    <w:rsid w:val="36AA5135"/>
    <w:rsid w:val="36BE0DA7"/>
    <w:rsid w:val="376B6AA6"/>
    <w:rsid w:val="376D39B2"/>
    <w:rsid w:val="377E4FAF"/>
    <w:rsid w:val="37E16F03"/>
    <w:rsid w:val="37F53A3B"/>
    <w:rsid w:val="389B6C89"/>
    <w:rsid w:val="38D469F0"/>
    <w:rsid w:val="39627CCD"/>
    <w:rsid w:val="397BAF1F"/>
    <w:rsid w:val="3AB79AF3"/>
    <w:rsid w:val="3B7EF35A"/>
    <w:rsid w:val="3B911029"/>
    <w:rsid w:val="3B9FDB6C"/>
    <w:rsid w:val="3BF5BC2F"/>
    <w:rsid w:val="3CDE1BF7"/>
    <w:rsid w:val="3CEBA265"/>
    <w:rsid w:val="3D98207C"/>
    <w:rsid w:val="3D9B0D99"/>
    <w:rsid w:val="3DC5466D"/>
    <w:rsid w:val="3DEE7CF3"/>
    <w:rsid w:val="3DF02244"/>
    <w:rsid w:val="3E78745D"/>
    <w:rsid w:val="3FF4CAE0"/>
    <w:rsid w:val="3FF7B227"/>
    <w:rsid w:val="40E54C45"/>
    <w:rsid w:val="433C5D1E"/>
    <w:rsid w:val="43A407DF"/>
    <w:rsid w:val="44515BEA"/>
    <w:rsid w:val="44B33DBE"/>
    <w:rsid w:val="44E268DA"/>
    <w:rsid w:val="453F7E5B"/>
    <w:rsid w:val="46D87B0C"/>
    <w:rsid w:val="47F70466"/>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6118CC"/>
    <w:rsid w:val="56E47B74"/>
    <w:rsid w:val="56F20776"/>
    <w:rsid w:val="57BD3DD4"/>
    <w:rsid w:val="58AB32D2"/>
    <w:rsid w:val="5A405C9C"/>
    <w:rsid w:val="5AE26D53"/>
    <w:rsid w:val="5AF92295"/>
    <w:rsid w:val="5BD91063"/>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43CB7"/>
    <w:rsid w:val="62BF3928"/>
    <w:rsid w:val="635852CB"/>
    <w:rsid w:val="647F5392"/>
    <w:rsid w:val="664B1D71"/>
    <w:rsid w:val="671B5AC7"/>
    <w:rsid w:val="67717B8F"/>
    <w:rsid w:val="67AA3209"/>
    <w:rsid w:val="681C4F0D"/>
    <w:rsid w:val="68365147"/>
    <w:rsid w:val="6881195A"/>
    <w:rsid w:val="69046D0F"/>
    <w:rsid w:val="698D0931"/>
    <w:rsid w:val="6A993CED"/>
    <w:rsid w:val="6AC972F4"/>
    <w:rsid w:val="6B053271"/>
    <w:rsid w:val="6BCE6674"/>
    <w:rsid w:val="6C4A05C8"/>
    <w:rsid w:val="6C8742B8"/>
    <w:rsid w:val="6C8A170F"/>
    <w:rsid w:val="6CB54609"/>
    <w:rsid w:val="6D8048D6"/>
    <w:rsid w:val="6DBF5E93"/>
    <w:rsid w:val="6DFF077E"/>
    <w:rsid w:val="6E7E3605"/>
    <w:rsid w:val="6E7FDCC7"/>
    <w:rsid w:val="6ED6A62E"/>
    <w:rsid w:val="6EE00B15"/>
    <w:rsid w:val="6F544B20"/>
    <w:rsid w:val="6F6FB3EB"/>
    <w:rsid w:val="6F784160"/>
    <w:rsid w:val="6F8731EA"/>
    <w:rsid w:val="6FBD3BBF"/>
    <w:rsid w:val="6FCE6052"/>
    <w:rsid w:val="6FD57C00"/>
    <w:rsid w:val="6FEFFFD8"/>
    <w:rsid w:val="6FF5CC65"/>
    <w:rsid w:val="6FFB47EC"/>
    <w:rsid w:val="6FFF034A"/>
    <w:rsid w:val="7000585A"/>
    <w:rsid w:val="70496804"/>
    <w:rsid w:val="712A28F1"/>
    <w:rsid w:val="715C0E4B"/>
    <w:rsid w:val="72233669"/>
    <w:rsid w:val="72734D90"/>
    <w:rsid w:val="7332FE48"/>
    <w:rsid w:val="73AB61DA"/>
    <w:rsid w:val="73AD73D5"/>
    <w:rsid w:val="73B6EB34"/>
    <w:rsid w:val="73FA497D"/>
    <w:rsid w:val="73FB10FB"/>
    <w:rsid w:val="744731E5"/>
    <w:rsid w:val="74527205"/>
    <w:rsid w:val="74BBD01D"/>
    <w:rsid w:val="74ED5379"/>
    <w:rsid w:val="74FC2395"/>
    <w:rsid w:val="75371D1E"/>
    <w:rsid w:val="757FC651"/>
    <w:rsid w:val="75DEEEC2"/>
    <w:rsid w:val="7697559C"/>
    <w:rsid w:val="76E3355F"/>
    <w:rsid w:val="76FF5125"/>
    <w:rsid w:val="771B741D"/>
    <w:rsid w:val="776F6FFA"/>
    <w:rsid w:val="778769C8"/>
    <w:rsid w:val="77DC22F5"/>
    <w:rsid w:val="79086DAD"/>
    <w:rsid w:val="797B7924"/>
    <w:rsid w:val="79974F09"/>
    <w:rsid w:val="79D7FD79"/>
    <w:rsid w:val="79EE5BA4"/>
    <w:rsid w:val="7A894339"/>
    <w:rsid w:val="7AFF7572"/>
    <w:rsid w:val="7B6C7DFB"/>
    <w:rsid w:val="7BBFBED0"/>
    <w:rsid w:val="7BC3E394"/>
    <w:rsid w:val="7C1F3737"/>
    <w:rsid w:val="7CBFC87B"/>
    <w:rsid w:val="7CFE0F48"/>
    <w:rsid w:val="7D7EC23E"/>
    <w:rsid w:val="7D916348"/>
    <w:rsid w:val="7E152E1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6.emf"/><Relationship Id="rId17" Type="http://schemas.openxmlformats.org/officeDocument/2006/relationships/oleObject" Target="embeddings/oleObject3.bin"/><Relationship Id="rId16" Type="http://schemas.openxmlformats.org/officeDocument/2006/relationships/image" Target="media/image5.emf"/><Relationship Id="rId15" Type="http://schemas.openxmlformats.org/officeDocument/2006/relationships/oleObject" Target="embeddings/oleObject2.bin"/><Relationship Id="rId14" Type="http://schemas.openxmlformats.org/officeDocument/2006/relationships/image" Target="media/image4.emf"/><Relationship Id="rId13" Type="http://schemas.openxmlformats.org/officeDocument/2006/relationships/oleObject" Target="embeddings/oleObject1.bin"/><Relationship Id="rId12" Type="http://schemas.openxmlformats.org/officeDocument/2006/relationships/chart" Target="charts/chart1.xml"/><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34920;&#2668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0"/>
          <c:order val="0"/>
          <c:tx>
            <c:strRef>
              <c:f>[表格.xlsx]Sheet1!$C$1</c:f>
              <c:strCache>
                <c:ptCount val="1"/>
                <c:pt idx="0">
                  <c:v>占比</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[表格.xlsx]Sheet1!$A$2:$B$6</c:f>
              <c:multiLvlStrCache>
                <c:ptCount val="5"/>
                <c:lvl>
                  <c:pt idx="0">
                    <c:v>646.48万元</c:v>
                  </c:pt>
                  <c:pt idx="1">
                    <c:v>87.14万元</c:v>
                  </c:pt>
                  <c:pt idx="2">
                    <c:v>82.33万元</c:v>
                  </c:pt>
                  <c:pt idx="3">
                    <c:v>39.62万元</c:v>
                  </c:pt>
                  <c:pt idx="4">
                    <c:v>72.05万元</c:v>
                  </c:pt>
                </c:lvl>
                <c:lvl>
                  <c:pt idx="0">
                    <c:v>文化旅游与传媒支出</c:v>
                  </c:pt>
                  <c:pt idx="1">
                    <c:v>教育支出</c:v>
                  </c:pt>
                  <c:pt idx="2">
                    <c:v>社会保障和就业支出</c:v>
                  </c:pt>
                  <c:pt idx="3">
                    <c:v>住房保障支出</c:v>
                  </c:pt>
                  <c:pt idx="4">
                    <c:v>其他支出（含卫生健康）</c:v>
                  </c:pt>
                </c:lvl>
              </c:multiLvlStrCache>
            </c:multiLvlStrRef>
          </c:cat>
          <c:val>
            <c:numRef>
              <c:f>[表格.xlsx]Sheet1!$C$2:$C$6</c:f>
              <c:numCache>
                <c:formatCode>0.00%</c:formatCode>
                <c:ptCount val="5"/>
                <c:pt idx="0">
                  <c:v>0.6969</c:v>
                </c:pt>
                <c:pt idx="1">
                  <c:v>0.0939</c:v>
                </c:pt>
                <c:pt idx="2">
                  <c:v>0.0888</c:v>
                </c:pt>
                <c:pt idx="3">
                  <c:v>0.0428</c:v>
                </c:pt>
                <c:pt idx="4">
                  <c:v>0.0777</c:v>
                </c:pt>
              </c:numCache>
            </c:numRef>
          </c:val>
        </c:ser>
        <c:ser>
          <c:idx val="1"/>
          <c:order val="1"/>
          <c:tx>
            <c:strRef>
              <c:f>[表格.xlsx]Sheet1!$A$1</c:f>
              <c:strCache>
                <c:ptCount val="1"/>
                <c:pt idx="0">
                  <c:v>支出项目</c:v>
                </c:pt>
              </c:strCache>
            </c:strRef>
          </c:tx>
          <c:spPr/>
          <c:explosion val="0"/>
          <c:dPt>
            <c:idx val="0"/>
            <c:bubble3D val="0"/>
            <c:spPr>
              <a:solidFill>
                <a:schemeClr val="accent1"/>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multiLvlStrRef>
              <c:f>[表格.xlsx]Sheet1!$A$2:$B$6</c:f>
              <c:multiLvlStrCache>
                <c:ptCount val="5"/>
                <c:lvl>
                  <c:pt idx="0">
                    <c:v>646.48万元</c:v>
                  </c:pt>
                  <c:pt idx="1">
                    <c:v>87.14万元</c:v>
                  </c:pt>
                  <c:pt idx="2">
                    <c:v>82.33万元</c:v>
                  </c:pt>
                  <c:pt idx="3">
                    <c:v>39.62万元</c:v>
                  </c:pt>
                  <c:pt idx="4">
                    <c:v>72.05万元</c:v>
                  </c:pt>
                </c:lvl>
                <c:lvl>
                  <c:pt idx="0">
                    <c:v>文化旅游与传媒支出</c:v>
                  </c:pt>
                  <c:pt idx="1">
                    <c:v>教育支出</c:v>
                  </c:pt>
                  <c:pt idx="2">
                    <c:v>社会保障和就业支出</c:v>
                  </c:pt>
                  <c:pt idx="3">
                    <c:v>住房保障支出</c:v>
                  </c:pt>
                  <c:pt idx="4">
                    <c:v>其他支出（含卫生健康）</c:v>
                  </c:pt>
                </c:lvl>
              </c:multiLvlStrCache>
            </c:multiLvlStrRef>
          </c:cat>
          <c:val>
            <c:numRef>
              <c:f>{1}</c:f>
              <c:numCache>
                <c:formatCode>General</c:formatCode>
                <c:ptCount val="1"/>
                <c:pt idx="0">
                  <c:v>1</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a375883-3164-4c1c-b6ca-6d8fbfdc210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29</Pages>
  <Words>6796</Words>
  <Characters>7315</Characters>
  <Lines>61</Lines>
  <Paragraphs>17</Paragraphs>
  <TotalTime>17</TotalTime>
  <ScaleCrop>false</ScaleCrop>
  <LinksUpToDate>false</LinksUpToDate>
  <CharactersWithSpaces>7339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老曾Z </cp:lastModifiedBy>
  <cp:lastPrinted>2026-08-03T17:27:00Z</cp:lastPrinted>
  <dcterms:modified xsi:type="dcterms:W3CDTF">2026-09-11T01:18:56Z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eyJoZGlkIjoiNWNkNTBmMjM2ZTcyOWY2NmE4OTU2ZTk1MWIwOWVhYmEiLCJ1c2VySWQiOiIzNDU0ODU4MzYifQ==</vt:lpwstr>
  </property>
</Properties>
</file>