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rPr>
          <w:rFonts w:hint="eastAsia" w:ascii="Times New Roman" w:hAnsi="Times New Roman" w:eastAsia="方正小标宋简体" w:cs="Times New Roman"/>
          <w:color w:val="auto"/>
          <w:kern w:val="2"/>
          <w:sz w:val="72"/>
          <w:szCs w:val="72"/>
          <w:highlight w:val="none"/>
          <w:lang w:val="en-US" w:eastAsia="zh-CN" w:bidi="ar-SA"/>
        </w:rPr>
      </w:pPr>
      <w:bookmarkStart w:id="0" w:name="_Toc15396475"/>
      <w:bookmarkStart w:id="1" w:name="_Toc15378441"/>
      <w:bookmarkStart w:id="2" w:name="_Toc15306267"/>
      <w:bookmarkStart w:id="3" w:name="_Toc15377425"/>
      <w:bookmarkStart w:id="4" w:name="_Toc15396597"/>
      <w:bookmarkStart w:id="5" w:name="_Toc15377193"/>
    </w:p>
    <w:p>
      <w:pPr>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202</w:t>
      </w:r>
      <w:r>
        <w:rPr>
          <w:rFonts w:hint="eastAsia" w:ascii="方正小标宋_GBK" w:hAnsi="方正小标宋_GBK" w:eastAsia="方正小标宋_GBK" w:cs="方正小标宋_GBK"/>
          <w:sz w:val="72"/>
          <w:szCs w:val="72"/>
          <w:lang w:val="en-US" w:eastAsia="zh-CN"/>
        </w:rPr>
        <w:t>5</w:t>
      </w:r>
      <w:r>
        <w:rPr>
          <w:rFonts w:hint="eastAsia" w:ascii="方正小标宋_GBK" w:hAnsi="方正小标宋_GBK" w:eastAsia="方正小标宋_GBK" w:cs="方正小标宋_GBK"/>
          <w:sz w:val="72"/>
          <w:szCs w:val="72"/>
        </w:rPr>
        <w:t>年度</w:t>
      </w:r>
    </w:p>
    <w:p>
      <w:pPr>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四川省阿坝州</w:t>
      </w:r>
      <w:r>
        <w:rPr>
          <w:rFonts w:hint="eastAsia" w:ascii="方正小标宋_GBK" w:hAnsi="方正小标宋_GBK" w:eastAsia="方正小标宋_GBK" w:cs="方正小标宋_GBK"/>
          <w:sz w:val="72"/>
          <w:szCs w:val="72"/>
          <w:lang w:val="en-US" w:eastAsia="zh-CN"/>
        </w:rPr>
        <w:t>中等职业技术学校</w:t>
      </w:r>
      <w:r>
        <w:rPr>
          <w:rFonts w:hint="eastAsia" w:ascii="方正小标宋_GBK" w:hAnsi="方正小标宋_GBK" w:eastAsia="方正小标宋_GBK" w:cs="方正小标宋_GBK"/>
          <w:sz w:val="72"/>
          <w:szCs w:val="72"/>
        </w:rPr>
        <w:t>部门决算</w:t>
      </w:r>
    </w:p>
    <w:p>
      <w:pPr>
        <w:rPr>
          <w:rFonts w:ascii="方正小标宋简体" w:eastAsia="方正小标宋简体"/>
          <w:sz w:val="36"/>
          <w:szCs w:val="36"/>
        </w:rPr>
      </w:pPr>
    </w:p>
    <w:p>
      <w:pPr>
        <w:autoSpaceDE w:val="0"/>
        <w:autoSpaceDN w:val="0"/>
        <w:adjustRightInd w:val="0"/>
        <w:ind w:firstLine="320" w:firstLineChars="100"/>
        <w:jc w:val="left"/>
        <w:rPr>
          <w:rFonts w:hint="eastAsia" w:ascii="宋体" w:cs="仿宋_GB2312"/>
          <w:sz w:val="32"/>
          <w:szCs w:val="32"/>
        </w:rPr>
      </w:pPr>
    </w:p>
    <w:p>
      <w:pPr>
        <w:autoSpaceDE w:val="0"/>
        <w:autoSpaceDN w:val="0"/>
        <w:adjustRightInd w:val="0"/>
        <w:ind w:firstLine="320" w:firstLineChars="100"/>
        <w:jc w:val="left"/>
        <w:rPr>
          <w:rFonts w:hint="eastAsia" w:ascii="宋体" w:cs="仿宋_GB2312"/>
          <w:sz w:val="32"/>
          <w:szCs w:val="32"/>
        </w:rPr>
      </w:pPr>
    </w:p>
    <w:p>
      <w:pPr>
        <w:autoSpaceDE w:val="0"/>
        <w:autoSpaceDN w:val="0"/>
        <w:adjustRightInd w:val="0"/>
        <w:ind w:firstLine="320" w:firstLineChars="100"/>
        <w:jc w:val="left"/>
        <w:rPr>
          <w:rFonts w:hint="eastAsia" w:ascii="宋体" w:cs="仿宋_GB2312"/>
          <w:sz w:val="32"/>
          <w:szCs w:val="32"/>
        </w:rPr>
      </w:pPr>
    </w:p>
    <w:p>
      <w:pPr>
        <w:autoSpaceDE w:val="0"/>
        <w:autoSpaceDN w:val="0"/>
        <w:adjustRightInd w:val="0"/>
        <w:ind w:firstLine="320" w:firstLineChars="100"/>
        <w:jc w:val="left"/>
        <w:rPr>
          <w:rFonts w:hint="eastAsia" w:ascii="宋体" w:cs="仿宋_GB2312"/>
          <w:sz w:val="32"/>
          <w:szCs w:val="32"/>
        </w:rPr>
      </w:pPr>
    </w:p>
    <w:p>
      <w:pPr>
        <w:autoSpaceDE w:val="0"/>
        <w:autoSpaceDN w:val="0"/>
        <w:adjustRightInd w:val="0"/>
        <w:ind w:firstLine="320" w:firstLineChars="100"/>
        <w:jc w:val="left"/>
        <w:rPr>
          <w:rFonts w:hint="eastAsia" w:ascii="宋体" w:cs="仿宋_GB2312"/>
          <w:sz w:val="32"/>
          <w:szCs w:val="32"/>
        </w:rPr>
      </w:pPr>
    </w:p>
    <w:p>
      <w:pPr>
        <w:autoSpaceDE w:val="0"/>
        <w:autoSpaceDN w:val="0"/>
        <w:adjustRightInd w:val="0"/>
        <w:ind w:firstLine="320" w:firstLineChars="100"/>
        <w:jc w:val="left"/>
        <w:rPr>
          <w:rFonts w:hint="eastAsia" w:ascii="宋体" w:cs="仿宋_GB2312"/>
          <w:sz w:val="32"/>
          <w:szCs w:val="32"/>
        </w:rPr>
      </w:pPr>
    </w:p>
    <w:p>
      <w:pPr>
        <w:autoSpaceDE w:val="0"/>
        <w:autoSpaceDN w:val="0"/>
        <w:adjustRightInd w:val="0"/>
        <w:ind w:firstLine="320" w:firstLineChars="100"/>
        <w:jc w:val="left"/>
        <w:rPr>
          <w:rFonts w:hint="eastAsia" w:ascii="宋体" w:cs="仿宋_GB2312"/>
          <w:sz w:val="32"/>
          <w:szCs w:val="32"/>
        </w:rPr>
      </w:pPr>
    </w:p>
    <w:p>
      <w:pPr>
        <w:autoSpaceDE w:val="0"/>
        <w:autoSpaceDN w:val="0"/>
        <w:adjustRightInd w:val="0"/>
        <w:ind w:firstLine="320" w:firstLineChars="100"/>
        <w:jc w:val="left"/>
        <w:rPr>
          <w:rFonts w:hint="eastAsia" w:ascii="宋体" w:cs="仿宋_GB2312"/>
          <w:sz w:val="32"/>
          <w:szCs w:val="32"/>
        </w:rPr>
      </w:pPr>
    </w:p>
    <w:p>
      <w:pPr>
        <w:autoSpaceDE w:val="0"/>
        <w:autoSpaceDN w:val="0"/>
        <w:adjustRightInd w:val="0"/>
        <w:ind w:firstLine="320" w:firstLineChars="100"/>
        <w:jc w:val="left"/>
        <w:rPr>
          <w:rFonts w:hint="eastAsia" w:ascii="宋体" w:cs="仿宋_GB2312"/>
          <w:sz w:val="32"/>
          <w:szCs w:val="32"/>
        </w:rPr>
      </w:pPr>
    </w:p>
    <w:p>
      <w:pPr>
        <w:pStyle w:val="2"/>
        <w:rPr>
          <w:rFonts w:hint="eastAsia" w:ascii="宋体" w:cs="仿宋_GB2312"/>
          <w:sz w:val="32"/>
          <w:szCs w:val="32"/>
        </w:rPr>
      </w:pPr>
    </w:p>
    <w:p>
      <w:pPr>
        <w:pStyle w:val="2"/>
        <w:rPr>
          <w:rFonts w:hint="eastAsia" w:ascii="宋体" w:cs="仿宋_GB2312"/>
          <w:sz w:val="32"/>
          <w:szCs w:val="32"/>
        </w:rPr>
      </w:pPr>
    </w:p>
    <w:p>
      <w:pPr>
        <w:autoSpaceDE w:val="0"/>
        <w:autoSpaceDN w:val="0"/>
        <w:adjustRightInd w:val="0"/>
        <w:jc w:val="left"/>
        <w:rPr>
          <w:rFonts w:ascii="宋体"/>
          <w:sz w:val="32"/>
          <w:szCs w:val="32"/>
        </w:rPr>
      </w:pPr>
      <w:r>
        <w:rPr>
          <w:rFonts w:hint="eastAsia" w:ascii="宋体" w:cs="仿宋_GB2312"/>
          <w:sz w:val="32"/>
          <w:szCs w:val="32"/>
        </w:rPr>
        <w:t>保密审查情况：已审查，内容审定</w:t>
      </w:r>
    </w:p>
    <w:p>
      <w:pPr>
        <w:autoSpaceDE w:val="0"/>
        <w:autoSpaceDN w:val="0"/>
        <w:adjustRightInd w:val="0"/>
        <w:jc w:val="left"/>
        <w:rPr>
          <w:rFonts w:ascii="宋体"/>
          <w:sz w:val="32"/>
          <w:szCs w:val="32"/>
        </w:rPr>
      </w:pPr>
      <w:r>
        <w:rPr>
          <w:rFonts w:hint="eastAsia" w:ascii="宋体" w:cs="仿宋_GB2312"/>
          <w:sz w:val="32"/>
          <w:szCs w:val="32"/>
          <w:lang w:eastAsia="zh-CN"/>
        </w:rPr>
        <w:t>单位</w:t>
      </w:r>
      <w:r>
        <w:rPr>
          <w:rFonts w:hint="eastAsia" w:ascii="宋体" w:cs="仿宋_GB2312"/>
          <w:sz w:val="32"/>
          <w:szCs w:val="32"/>
        </w:rPr>
        <w:t>主要负责人审签情况：已审签，同意对外公开</w:t>
      </w:r>
    </w:p>
    <w:p>
      <w:pPr>
        <w:pStyle w:val="20"/>
        <w:rPr>
          <w:rFonts w:ascii="Times New Roman" w:hAnsi="Times New Roman"/>
        </w:rPr>
        <w:sectPr>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pPr>
    </w:p>
    <w:p>
      <w:pPr>
        <w:rPr>
          <w:rFonts w:ascii="Times New Roman" w:hAnsi="Times New Roman"/>
        </w:rPr>
      </w:pPr>
    </w:p>
    <w:bookmarkEnd w:id="0"/>
    <w:bookmarkEnd w:id="1"/>
    <w:bookmarkEnd w:id="2"/>
    <w:bookmarkEnd w:id="3"/>
    <w:bookmarkEnd w:id="4"/>
    <w:bookmarkEnd w:id="5"/>
    <w:p>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p>
    <w:p>
      <w:pPr>
        <w:pStyle w:val="13"/>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公开时间：20</w:t>
      </w:r>
      <w:r>
        <w:rPr>
          <w:rFonts w:hint="eastAsia" w:ascii="仿宋_GB2312" w:hAnsi="仿宋_GB2312" w:eastAsia="仿宋_GB2312" w:cs="仿宋_GB2312"/>
          <w:color w:val="auto"/>
          <w:sz w:val="32"/>
          <w:szCs w:val="32"/>
          <w:highlight w:val="none"/>
          <w:lang w:val="en-US" w:eastAsia="zh-CN"/>
        </w:rPr>
        <w:t>26</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val="en" w:eastAsia="zh-CN"/>
        </w:rPr>
        <w:t>9</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rPr>
        <w:t>日</w:t>
      </w:r>
    </w:p>
    <w:p>
      <w:pPr>
        <w:rPr>
          <w:rFonts w:ascii="Times New Roman" w:hAnsi="Times New Roman"/>
          <w:color w:val="auto"/>
          <w:highlight w:val="none"/>
        </w:rPr>
      </w:pP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bookmarkStart w:id="63" w:name="_GoBack"/>
      <w:bookmarkEnd w:id="63"/>
      <w:r>
        <w:rPr>
          <w:rFonts w:hint="eastAsia" w:ascii="Times New Roman" w:hAnsi="Times New Roman" w:eastAsia="仿宋_GB2312" w:cs="仿宋_GB2312"/>
          <w:color w:val="auto"/>
          <w:sz w:val="32"/>
          <w:szCs w:val="32"/>
          <w:highlight w:val="none"/>
        </w:rPr>
        <w:t>一、收入支出决算总体情况说明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一、收入支出决算总表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二、收入决算表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三、支出决算表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四、财政拨款收入支出决算总表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五、财政拨款支出决算明细表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六、一般公共预算财政拨款支出决算表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七、一般公共预算财政拨款支出决算明细表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八、一般公共预算财政拨款基本支出决算</w:t>
      </w:r>
      <w:r>
        <w:rPr>
          <w:rFonts w:hint="eastAsia" w:ascii="仿宋_GB2312" w:hAnsi="仿宋_GB2312" w:eastAsia="仿宋_GB2312" w:cs="仿宋_GB2312"/>
          <w:color w:val="auto"/>
          <w:sz w:val="32"/>
          <w:szCs w:val="32"/>
          <w:highlight w:val="none"/>
          <w:lang w:eastAsia="zh-CN"/>
        </w:rPr>
        <w:t>明细</w:t>
      </w:r>
      <w:r>
        <w:rPr>
          <w:rFonts w:hint="eastAsia" w:ascii="仿宋_GB2312" w:hAnsi="仿宋_GB2312" w:eastAsia="仿宋_GB2312" w:cs="仿宋_GB2312"/>
          <w:color w:val="auto"/>
          <w:sz w:val="32"/>
          <w:szCs w:val="32"/>
          <w:highlight w:val="none"/>
        </w:rPr>
        <w:t>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九、一般公共预算财政拨款项目支出决算表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十、政府性基金预算财政拨款收入支出决算表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十一、国有资本经营预算财政拨款收入支出决算表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十二、</w:t>
      </w:r>
      <w:r>
        <w:rPr>
          <w:rFonts w:hint="eastAsia" w:ascii="仿宋_GB2312" w:hAnsi="仿宋_GB2312" w:eastAsia="仿宋_GB2312" w:cs="仿宋_GB2312"/>
          <w:color w:val="auto"/>
          <w:sz w:val="32"/>
          <w:szCs w:val="32"/>
          <w:highlight w:val="none"/>
          <w:lang w:val="en-US" w:eastAsia="zh-CN"/>
        </w:rPr>
        <w:t>国有资本经营预算财政拨款支出决算表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十三、财政拨款“三公”经费支出决算表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2"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96599"/>
      <w:bookmarkStart w:id="7" w:name="_Toc15377196"/>
      <w:r>
        <w:rPr>
          <w:rFonts w:hint="eastAsia" w:ascii="Times New Roman" w:hAnsi="Times New Roman" w:eastAsia="仿宋_GB2312" w:cs="仿宋_GB2312"/>
          <w:b/>
          <w:color w:val="auto"/>
          <w:sz w:val="32"/>
          <w:szCs w:val="32"/>
          <w:highlight w:val="none"/>
        </w:rPr>
        <w:br w:type="page"/>
      </w:r>
    </w:p>
    <w:p>
      <w:pPr>
        <w:pStyle w:val="3"/>
        <w:jc w:val="center"/>
        <w:rPr>
          <w:rStyle w:val="28"/>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6"/>
      <w:bookmarkEnd w:id="7"/>
    </w:p>
    <w:p>
      <w:pPr>
        <w:widowControl/>
        <w:jc w:val="left"/>
        <w:rPr>
          <w:rFonts w:ascii="Times New Roman" w:hAnsi="Times New Roman" w:eastAsia="黑体"/>
          <w:color w:val="auto"/>
          <w:sz w:val="32"/>
          <w:szCs w:val="32"/>
          <w:highlight w:val="none"/>
        </w:rPr>
      </w:pPr>
    </w:p>
    <w:p>
      <w:pPr>
        <w:pStyle w:val="4"/>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pPr>
        <w:pStyle w:val="6"/>
        <w:adjustRightInd w:val="0"/>
        <w:snapToGrid w:val="0"/>
        <w:spacing w:before="93" w:line="600" w:lineRule="exact"/>
        <w:ind w:firstLine="672" w:firstLineChars="21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1、认真贯彻执行党和国家的职业教育方针，完成职业教育，以就业为导向，努力培养和造就适应市场需要的有一技之长的专业人才，并为各类高校输送培养合格的中专职业学员。</w:t>
      </w:r>
    </w:p>
    <w:p>
      <w:pPr>
        <w:pStyle w:val="6"/>
        <w:adjustRightInd w:val="0"/>
        <w:snapToGrid w:val="0"/>
        <w:spacing w:before="93" w:line="600" w:lineRule="exact"/>
        <w:ind w:firstLine="672" w:firstLineChars="21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2、对在职的农牧技术人员、财政经营人员、旅游服务人员、农业机械、电子电器电脑等方面的人员进行培训提高。</w:t>
      </w:r>
    </w:p>
    <w:p>
      <w:pPr>
        <w:pStyle w:val="6"/>
        <w:adjustRightInd w:val="0"/>
        <w:snapToGrid w:val="0"/>
        <w:spacing w:before="93" w:line="600" w:lineRule="exact"/>
        <w:ind w:firstLine="672" w:firstLineChars="21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3、对农牧民进行实用技术培训，培养致富能手和明白人。</w:t>
      </w:r>
    </w:p>
    <w:p>
      <w:pPr>
        <w:pStyle w:val="6"/>
        <w:adjustRightInd w:val="0"/>
        <w:snapToGrid w:val="0"/>
        <w:spacing w:before="93" w:line="600" w:lineRule="exact"/>
        <w:ind w:firstLine="672" w:firstLineChars="21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4、为农村劳动力转移，为农民进城务工培训相关技能。</w:t>
      </w:r>
    </w:p>
    <w:p>
      <w:pPr>
        <w:pStyle w:val="6"/>
        <w:adjustRightInd w:val="0"/>
        <w:snapToGrid w:val="0"/>
        <w:spacing w:before="93" w:line="600" w:lineRule="exact"/>
        <w:ind w:firstLine="672" w:firstLineChars="21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5、成人继续教育。</w:t>
      </w:r>
    </w:p>
    <w:p>
      <w:pPr>
        <w:pStyle w:val="6"/>
        <w:adjustRightInd w:val="0"/>
        <w:snapToGrid w:val="0"/>
        <w:spacing w:before="93" w:line="600" w:lineRule="exact"/>
        <w:ind w:firstLine="672" w:firstLineChars="21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6、驾驶技能培训。</w:t>
      </w:r>
    </w:p>
    <w:p>
      <w:pPr>
        <w:pStyle w:val="6"/>
        <w:adjustRightInd w:val="0"/>
        <w:snapToGrid w:val="0"/>
        <w:spacing w:before="93" w:line="600" w:lineRule="exact"/>
        <w:ind w:firstLine="672" w:firstLineChars="210"/>
        <w:rPr>
          <w:rFonts w:hint="eastAsia" w:ascii="仿宋_GB2312" w:hAnsi="仿宋_GB2312" w:eastAsia="仿宋_GB2312" w:cs="仿宋_GB2312"/>
          <w:sz w:val="32"/>
          <w:szCs w:val="32"/>
          <w:lang w:eastAsia="zh-CN"/>
        </w:rPr>
      </w:pPr>
      <w:r>
        <w:rPr>
          <w:rFonts w:hint="eastAsia" w:ascii="仿宋_GB2312" w:hAnsi="仿宋_GB2312" w:eastAsia="仿宋_GB2312" w:cs="仿宋_GB2312"/>
          <w:kern w:val="2"/>
          <w:sz w:val="32"/>
          <w:szCs w:val="32"/>
          <w:lang w:val="en-US" w:eastAsia="zh-CN" w:bidi="ar-SA"/>
        </w:rPr>
        <w:t>7、完成上级下达的其他任务。</w:t>
      </w:r>
    </w:p>
    <w:p>
      <w:pPr>
        <w:pStyle w:val="4"/>
        <w:rPr>
          <w:rStyle w:val="29"/>
          <w:rFonts w:ascii="Times New Roman" w:hAnsi="Times New Roman"/>
          <w:b w:val="0"/>
          <w:bCs w:val="0"/>
          <w:color w:val="auto"/>
          <w:highlight w:val="none"/>
        </w:rPr>
      </w:pPr>
      <w:bookmarkStart w:id="8" w:name="_Toc15396601"/>
      <w:bookmarkStart w:id="9" w:name="_Toc15377200"/>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8"/>
      <w:bookmarkEnd w:id="9"/>
    </w:p>
    <w:p>
      <w:pPr>
        <w:ind w:firstLine="800" w:firstLineChars="25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阿坝藏族羌族自治州中等职业技术学校下属二级</w:t>
      </w:r>
      <w:r>
        <w:rPr>
          <w:rFonts w:hint="eastAsia" w:ascii="仿宋_GB2312" w:hAnsi="仿宋_GB2312" w:eastAsia="仿宋_GB2312" w:cs="仿宋_GB2312"/>
          <w:color w:val="auto"/>
          <w:sz w:val="32"/>
          <w:szCs w:val="32"/>
          <w:highlight w:val="none"/>
          <w:lang w:eastAsia="zh-CN"/>
        </w:rPr>
        <w:t>预算</w:t>
      </w:r>
      <w:r>
        <w:rPr>
          <w:rFonts w:hint="eastAsia" w:ascii="仿宋_GB2312" w:hAnsi="仿宋_GB2312" w:eastAsia="仿宋_GB2312" w:cs="仿宋_GB2312"/>
          <w:color w:val="auto"/>
          <w:sz w:val="32"/>
          <w:szCs w:val="32"/>
          <w:highlight w:val="none"/>
        </w:rPr>
        <w:t>单位</w:t>
      </w:r>
      <w:r>
        <w:rPr>
          <w:rFonts w:hint="eastAsia" w:ascii="仿宋_GB2312" w:hAnsi="仿宋_GB2312" w:eastAsia="仿宋_GB2312" w:cs="仿宋_GB2312"/>
          <w:color w:val="auto"/>
          <w:sz w:val="32"/>
          <w:szCs w:val="32"/>
          <w:highlight w:val="none"/>
          <w:lang w:val="en"/>
        </w:rPr>
        <w:t>0</w:t>
      </w:r>
      <w:r>
        <w:rPr>
          <w:rFonts w:hint="eastAsia" w:ascii="仿宋_GB2312" w:hAnsi="仿宋_GB2312" w:eastAsia="仿宋_GB2312" w:cs="仿宋_GB2312"/>
          <w:color w:val="auto"/>
          <w:sz w:val="32"/>
          <w:szCs w:val="32"/>
          <w:highlight w:val="none"/>
        </w:rPr>
        <w:t>个，其中行政单位</w:t>
      </w:r>
      <w:r>
        <w:rPr>
          <w:rFonts w:hint="eastAsia" w:ascii="仿宋_GB2312" w:hAnsi="仿宋_GB2312" w:eastAsia="仿宋_GB2312" w:cs="仿宋_GB2312"/>
          <w:color w:val="auto"/>
          <w:sz w:val="32"/>
          <w:szCs w:val="32"/>
          <w:highlight w:val="none"/>
          <w:lang w:val="en"/>
        </w:rPr>
        <w:t>0</w:t>
      </w:r>
      <w:r>
        <w:rPr>
          <w:rFonts w:hint="eastAsia" w:ascii="仿宋_GB2312" w:hAnsi="仿宋_GB2312" w:eastAsia="仿宋_GB2312" w:cs="仿宋_GB2312"/>
          <w:color w:val="auto"/>
          <w:sz w:val="32"/>
          <w:szCs w:val="32"/>
          <w:highlight w:val="none"/>
        </w:rPr>
        <w:t>个，参照公务员法管理的事业单位</w:t>
      </w:r>
      <w:r>
        <w:rPr>
          <w:rFonts w:hint="eastAsia" w:ascii="仿宋_GB2312" w:hAnsi="仿宋_GB2312" w:eastAsia="仿宋_GB2312" w:cs="仿宋_GB2312"/>
          <w:bCs/>
          <w:color w:val="auto"/>
          <w:sz w:val="32"/>
          <w:szCs w:val="32"/>
          <w:highlight w:val="none"/>
          <w:lang w:val="en"/>
        </w:rPr>
        <w:t>0</w:t>
      </w:r>
      <w:r>
        <w:rPr>
          <w:rFonts w:hint="eastAsia" w:ascii="仿宋_GB2312" w:hAnsi="仿宋_GB2312" w:eastAsia="仿宋_GB2312" w:cs="仿宋_GB2312"/>
          <w:color w:val="auto"/>
          <w:sz w:val="32"/>
          <w:szCs w:val="32"/>
          <w:highlight w:val="none"/>
        </w:rPr>
        <w:t>个，其他事业单位</w:t>
      </w:r>
      <w:r>
        <w:rPr>
          <w:rFonts w:hint="eastAsia" w:ascii="仿宋_GB2312" w:hAnsi="仿宋_GB2312" w:eastAsia="仿宋_GB2312" w:cs="仿宋_GB2312"/>
          <w:color w:val="auto"/>
          <w:sz w:val="32"/>
          <w:szCs w:val="32"/>
          <w:highlight w:val="none"/>
          <w:lang w:val="en"/>
        </w:rPr>
        <w:t>0</w:t>
      </w:r>
      <w:r>
        <w:rPr>
          <w:rFonts w:hint="eastAsia" w:ascii="仿宋_GB2312" w:hAnsi="仿宋_GB2312" w:eastAsia="仿宋_GB2312" w:cs="仿宋_GB2312"/>
          <w:color w:val="auto"/>
          <w:sz w:val="32"/>
          <w:szCs w:val="32"/>
          <w:highlight w:val="none"/>
        </w:rPr>
        <w:t>个。</w:t>
      </w:r>
    </w:p>
    <w:p>
      <w:pPr>
        <w:pStyle w:val="6"/>
        <w:adjustRightInd w:val="0"/>
        <w:snapToGrid w:val="0"/>
        <w:spacing w:before="93" w:line="600" w:lineRule="exact"/>
        <w:ind w:firstLine="672" w:firstLineChars="210"/>
        <w:rPr>
          <w:rFonts w:hint="eastAsia" w:ascii="仿宋_GB2312" w:hAnsi="仿宋_GB2312" w:eastAsia="仿宋_GB2312" w:cs="仿宋_GB2312"/>
          <w:color w:val="auto"/>
          <w:sz w:val="32"/>
          <w:szCs w:val="32"/>
          <w:highlight w:val="none"/>
          <w:lang w:val="en" w:eastAsia="zh-CN"/>
        </w:rPr>
      </w:pPr>
      <w:r>
        <w:rPr>
          <w:rFonts w:hint="eastAsia" w:ascii="仿宋_GB2312" w:hAnsi="仿宋_GB2312" w:eastAsia="仿宋_GB2312" w:cs="仿宋_GB2312"/>
          <w:color w:val="auto"/>
          <w:sz w:val="32"/>
          <w:szCs w:val="32"/>
          <w:highlight w:val="none"/>
        </w:rPr>
        <w:t>纳入</w:t>
      </w:r>
      <w:r>
        <w:rPr>
          <w:rFonts w:hint="eastAsia" w:ascii="仿宋_GB2312" w:hAnsi="仿宋_GB2312" w:eastAsia="仿宋_GB2312" w:cs="仿宋_GB2312"/>
          <w:sz w:val="32"/>
          <w:szCs w:val="32"/>
        </w:rPr>
        <w:t>阿坝藏族羌族自治州中等职业技术学校</w:t>
      </w: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年度</w:t>
      </w:r>
      <w:r>
        <w:rPr>
          <w:rFonts w:hint="eastAsia" w:ascii="仿宋_GB2312" w:hAnsi="仿宋_GB2312" w:eastAsia="仿宋_GB2312" w:cs="仿宋_GB2312"/>
          <w:color w:val="auto"/>
          <w:sz w:val="32"/>
          <w:szCs w:val="32"/>
          <w:highlight w:val="none"/>
        </w:rPr>
        <w:t>部门决算编制范围的二级预算单位包括：</w:t>
      </w:r>
      <w:r>
        <w:rPr>
          <w:rFonts w:hint="eastAsia" w:ascii="仿宋_GB2312" w:hAnsi="仿宋_GB2312" w:eastAsia="仿宋_GB2312" w:cs="仿宋_GB2312"/>
          <w:color w:val="auto"/>
          <w:sz w:val="32"/>
          <w:szCs w:val="32"/>
          <w:highlight w:val="none"/>
          <w:lang w:eastAsia="zh-CN"/>
        </w:rPr>
        <w:t>无</w:t>
      </w:r>
    </w:p>
    <w:p>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pPr>
        <w:pStyle w:val="3"/>
        <w:jc w:val="center"/>
        <w:rPr>
          <w:rFonts w:hint="eastAsia" w:ascii="Times New Roman" w:hAnsi="Times New Roman" w:eastAsia="方正小标宋简体" w:cs="方正小标宋简体"/>
          <w:b w:val="0"/>
          <w:color w:val="auto"/>
          <w:highlight w:val="none"/>
        </w:rPr>
      </w:pPr>
      <w:bookmarkStart w:id="10" w:name="_Toc15396602"/>
      <w:bookmarkStart w:id="11"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ascii="Times New Roman" w:hAnsi="Times New Roman" w:eastAsia="方正小标宋简体" w:cs="方正小标宋简体"/>
          <w:b w:val="0"/>
          <w:color w:val="auto"/>
          <w:highlight w:val="none"/>
          <w:lang w:val="en-US" w:eastAsia="zh-CN"/>
        </w:rPr>
        <w:t>202</w:t>
      </w:r>
      <w:r>
        <w:rPr>
          <w:rFonts w:hint="eastAsia" w:eastAsia="方正小标宋简体" w:cs="方正小标宋简体"/>
          <w:b w:val="0"/>
          <w:color w:val="auto"/>
          <w:highlight w:val="none"/>
          <w:lang w:val="en-US" w:eastAsia="zh-CN"/>
        </w:rPr>
        <w:t>5</w:t>
      </w:r>
      <w:r>
        <w:rPr>
          <w:rFonts w:hint="eastAsia" w:ascii="Times New Roman" w:hAnsi="Times New Roman" w:eastAsia="方正小标宋简体" w:cs="方正小标宋简体"/>
          <w:b w:val="0"/>
          <w:color w:val="auto"/>
          <w:highlight w:val="none"/>
          <w:lang w:val="en-US" w:eastAsia="zh-CN"/>
        </w:rPr>
        <w:t>年度</w:t>
      </w:r>
      <w:r>
        <w:rPr>
          <w:rFonts w:hint="eastAsia" w:ascii="Times New Roman" w:hAnsi="Times New Roman" w:eastAsia="方正小标宋简体" w:cs="方正小标宋简体"/>
          <w:b w:val="0"/>
          <w:color w:val="auto"/>
          <w:highlight w:val="none"/>
        </w:rPr>
        <w:t>部门决算情况说明</w:t>
      </w:r>
      <w:bookmarkEnd w:id="10"/>
      <w:bookmarkEnd w:id="11"/>
    </w:p>
    <w:p>
      <w:pPr>
        <w:rPr>
          <w:rFonts w:ascii="Times New Roman" w:hAnsi="Times New Roman"/>
          <w:color w:val="auto"/>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2" w:name="_Toc15396603"/>
      <w:bookmarkStart w:id="13"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2"/>
      <w:bookmarkEnd w:id="13"/>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年度收入</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支出</w:t>
      </w:r>
      <w:r>
        <w:rPr>
          <w:rFonts w:hint="eastAsia" w:ascii="仿宋_GB2312" w:hAnsi="仿宋_GB2312" w:eastAsia="仿宋_GB2312" w:cs="仿宋_GB2312"/>
          <w:color w:val="auto"/>
          <w:sz w:val="32"/>
          <w:szCs w:val="32"/>
          <w:highlight w:val="none"/>
        </w:rPr>
        <w:t>总计</w:t>
      </w:r>
      <w:r>
        <w:rPr>
          <w:rFonts w:hint="eastAsia" w:ascii="仿宋_GB2312" w:hAnsi="仿宋_GB2312" w:eastAsia="仿宋_GB2312" w:cs="仿宋_GB2312"/>
          <w:color w:val="auto"/>
          <w:sz w:val="32"/>
          <w:szCs w:val="32"/>
          <w:highlight w:val="none"/>
          <w:lang w:eastAsia="zh-CN"/>
        </w:rPr>
        <w:t>均为</w:t>
      </w:r>
      <w:r>
        <w:rPr>
          <w:rFonts w:hint="eastAsia" w:ascii="仿宋_GB2312" w:hAnsi="仿宋_GB2312" w:eastAsia="仿宋_GB2312" w:cs="仿宋_GB2312"/>
          <w:sz w:val="32"/>
          <w:szCs w:val="32"/>
          <w:lang w:val="en-US" w:eastAsia="zh-CN"/>
        </w:rPr>
        <w:t>4557.14</w:t>
      </w:r>
      <w:r>
        <w:rPr>
          <w:rFonts w:hint="eastAsia" w:ascii="仿宋_GB2312" w:hAnsi="仿宋_GB2312" w:eastAsia="仿宋_GB2312" w:cs="仿宋_GB2312"/>
          <w:color w:val="auto"/>
          <w:sz w:val="32"/>
          <w:szCs w:val="32"/>
          <w:highlight w:val="none"/>
        </w:rPr>
        <w:t>万元。与</w:t>
      </w: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eastAsia="zh-CN"/>
        </w:rPr>
        <w:t>度</w:t>
      </w:r>
      <w:r>
        <w:rPr>
          <w:rFonts w:hint="eastAsia" w:ascii="仿宋_GB2312" w:hAnsi="仿宋_GB2312" w:eastAsia="仿宋_GB2312" w:cs="仿宋_GB2312"/>
          <w:color w:val="auto"/>
          <w:sz w:val="32"/>
          <w:szCs w:val="32"/>
          <w:highlight w:val="none"/>
        </w:rPr>
        <w:t>相比，</w:t>
      </w:r>
      <w:r>
        <w:rPr>
          <w:rFonts w:hint="eastAsia" w:ascii="仿宋_GB2312" w:hAnsi="仿宋_GB2312" w:eastAsia="仿宋_GB2312" w:cs="仿宋_GB2312"/>
          <w:color w:val="auto"/>
          <w:sz w:val="32"/>
          <w:szCs w:val="32"/>
          <w:highlight w:val="none"/>
          <w:lang w:eastAsia="zh-CN"/>
        </w:rPr>
        <w:t>收入</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支出</w:t>
      </w:r>
      <w:r>
        <w:rPr>
          <w:rFonts w:hint="eastAsia" w:ascii="仿宋_GB2312" w:hAnsi="仿宋_GB2312" w:eastAsia="仿宋_GB2312" w:cs="仿宋_GB2312"/>
          <w:color w:val="auto"/>
          <w:sz w:val="32"/>
          <w:szCs w:val="32"/>
          <w:highlight w:val="none"/>
        </w:rPr>
        <w:t>总计各</w:t>
      </w:r>
      <w:r>
        <w:rPr>
          <w:rFonts w:hint="eastAsia" w:ascii="仿宋_GB2312" w:hAnsi="仿宋_GB2312" w:eastAsia="仿宋_GB2312" w:cs="仿宋_GB2312"/>
          <w:color w:val="auto"/>
          <w:sz w:val="32"/>
          <w:szCs w:val="32"/>
          <w:highlight w:val="none"/>
          <w:lang w:eastAsia="zh-CN"/>
        </w:rPr>
        <w:t>增加</w:t>
      </w:r>
      <w:r>
        <w:rPr>
          <w:rFonts w:hint="eastAsia" w:ascii="仿宋_GB2312" w:hAnsi="仿宋_GB2312" w:eastAsia="仿宋_GB2312" w:cs="仿宋_GB2312"/>
          <w:color w:val="auto"/>
          <w:sz w:val="32"/>
          <w:szCs w:val="32"/>
          <w:highlight w:val="none"/>
          <w:lang w:val="en-US" w:eastAsia="zh-CN"/>
        </w:rPr>
        <w:t>248.8</w:t>
      </w:r>
      <w:r>
        <w:rPr>
          <w:rFonts w:hint="eastAsia" w:ascii="仿宋_GB2312" w:hAnsi="仿宋_GB2312" w:eastAsia="仿宋_GB2312" w:cs="仿宋_GB2312"/>
          <w:color w:val="auto"/>
          <w:sz w:val="32"/>
          <w:szCs w:val="32"/>
          <w:highlight w:val="none"/>
        </w:rPr>
        <w:t>万元，</w:t>
      </w:r>
      <w:r>
        <w:rPr>
          <w:rFonts w:hint="eastAsia" w:ascii="仿宋_GB2312" w:hAnsi="仿宋_GB2312" w:eastAsia="仿宋_GB2312" w:cs="仿宋_GB2312"/>
          <w:color w:val="auto"/>
          <w:sz w:val="32"/>
          <w:szCs w:val="32"/>
          <w:highlight w:val="none"/>
          <w:lang w:eastAsia="zh-CN"/>
        </w:rPr>
        <w:t>增长</w:t>
      </w:r>
      <w:r>
        <w:rPr>
          <w:rFonts w:hint="eastAsia" w:ascii="仿宋_GB2312" w:hAnsi="仿宋_GB2312" w:eastAsia="仿宋_GB2312" w:cs="仿宋_GB2312"/>
          <w:color w:val="auto"/>
          <w:sz w:val="32"/>
          <w:szCs w:val="32"/>
          <w:highlight w:val="none"/>
          <w:lang w:val="en-US" w:eastAsia="zh-CN"/>
        </w:rPr>
        <w:t>5.45</w:t>
      </w:r>
      <w:r>
        <w:rPr>
          <w:rFonts w:hint="eastAsia" w:ascii="仿宋_GB2312" w:hAnsi="仿宋_GB2312" w:eastAsia="仿宋_GB2312" w:cs="仿宋_GB2312"/>
          <w:color w:val="auto"/>
          <w:sz w:val="32"/>
          <w:szCs w:val="32"/>
          <w:highlight w:val="none"/>
        </w:rPr>
        <w:t>%。主要变动原因是</w:t>
      </w:r>
      <w:r>
        <w:rPr>
          <w:rFonts w:hint="eastAsia" w:ascii="仿宋_GB2312" w:hAnsi="仿宋_GB2312" w:eastAsia="仿宋_GB2312" w:cs="仿宋_GB2312"/>
          <w:color w:val="auto"/>
          <w:sz w:val="32"/>
          <w:szCs w:val="32"/>
          <w:highlight w:val="none"/>
          <w:lang w:eastAsia="zh-CN"/>
        </w:rPr>
        <w:t>人员流动资金正常浮动。</w:t>
      </w:r>
    </w:p>
    <w:p>
      <w:pPr>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drawing>
          <wp:inline distT="0" distB="0" distL="114300" distR="114300">
            <wp:extent cx="5080000" cy="3810000"/>
            <wp:effectExtent l="4445" t="4445" r="20955" b="14605"/>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4" w:name="_Toc15396604"/>
      <w:bookmarkStart w:id="15" w:name="_Toc15377206"/>
      <w:r>
        <w:rPr>
          <w:rFonts w:hint="eastAsia" w:ascii="Times New Roman" w:hAnsi="Times New Roman" w:eastAsia="黑体"/>
          <w:color w:val="auto"/>
          <w:sz w:val="32"/>
          <w:szCs w:val="32"/>
          <w:highlight w:val="none"/>
          <w:lang w:eastAsia="zh-CN"/>
        </w:rPr>
        <w:t>二、收入决算情况说明</w:t>
      </w:r>
      <w:bookmarkEnd w:id="14"/>
      <w:bookmarkEnd w:id="15"/>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年度本年收入合计</w:t>
      </w:r>
      <w:r>
        <w:rPr>
          <w:rFonts w:hint="eastAsia" w:ascii="仿宋_GB2312" w:hAnsi="仿宋_GB2312" w:eastAsia="仿宋_GB2312" w:cs="仿宋_GB2312"/>
          <w:sz w:val="32"/>
          <w:szCs w:val="32"/>
        </w:rPr>
        <w:t>4557.14万元，其中：一般公共预算财政拨款收入4542.77</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99.68</w:t>
      </w:r>
      <w:r>
        <w:rPr>
          <w:rFonts w:hint="eastAsia" w:ascii="仿宋_GB2312" w:hAnsi="仿宋_GB2312"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lang w:val="en-US" w:eastAsia="zh-CN"/>
        </w:rPr>
        <w:t>14.38</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0.32</w:t>
      </w:r>
      <w:r>
        <w:rPr>
          <w:rFonts w:hint="eastAsia" w:ascii="仿宋_GB2312" w:hAnsi="仿宋_GB2312"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outlineLvl w:val="1"/>
        <w:rPr>
          <w:rFonts w:hint="eastAsia" w:ascii="仿宋_GB2312" w:hAnsi="仿宋_GB2312" w:eastAsia="仿宋_GB2312" w:cs="仿宋_GB2312"/>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drawing>
          <wp:anchor distT="0" distB="0" distL="114300" distR="114300" simplePos="0" relativeHeight="251662336" behindDoc="0" locked="0" layoutInCell="1" allowOverlap="1">
            <wp:simplePos x="0" y="0"/>
            <wp:positionH relativeFrom="column">
              <wp:posOffset>544195</wp:posOffset>
            </wp:positionH>
            <wp:positionV relativeFrom="paragraph">
              <wp:posOffset>265430</wp:posOffset>
            </wp:positionV>
            <wp:extent cx="3956685" cy="3565525"/>
            <wp:effectExtent l="4445" t="4445" r="20320" b="11430"/>
            <wp:wrapNone/>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仿宋_GB2312" w:hAnsi="仿宋_GB2312"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仿宋_GB2312" w:hAnsi="仿宋_GB2312"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仿宋_GB2312" w:hAnsi="仿宋_GB2312"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仿宋_GB2312" w:hAnsi="仿宋_GB2312"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仿宋_GB2312" w:hAnsi="仿宋_GB2312"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仿宋_GB2312" w:hAnsi="仿宋_GB2312"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仿宋_GB2312" w:hAnsi="仿宋_GB2312"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outlineLvl w:val="1"/>
        <w:rPr>
          <w:rFonts w:hint="eastAsia" w:ascii="Times New Roman" w:hAnsi="Times New Roman" w:eastAsia="仿宋_GB2312" w:cs="仿宋_GB2312"/>
          <w:b/>
          <w:bCs/>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outlineLvl w:val="1"/>
        <w:rPr>
          <w:rFonts w:hint="eastAsia" w:ascii="Times New Roman" w:hAnsi="Times New Roman" w:eastAsia="仿宋_GB2312" w:cs="仿宋_GB2312"/>
          <w:b/>
          <w:bCs/>
          <w:color w:val="auto"/>
          <w:sz w:val="32"/>
          <w:szCs w:val="32"/>
          <w:highlight w:val="none"/>
          <w:lang w:eastAsia="zh-CN"/>
        </w:rPr>
      </w:pPr>
    </w:p>
    <w:p>
      <w:pPr>
        <w:ind w:firstLine="803" w:firstLineChars="250"/>
        <w:rPr>
          <w:rFonts w:hint="eastAsia" w:ascii="Times New Roman" w:hAnsi="Times New Roman" w:eastAsia="仿宋_GB2312" w:cs="仿宋_GB2312"/>
          <w:b/>
          <w:bCs/>
          <w:color w:val="auto"/>
          <w:sz w:val="32"/>
          <w:szCs w:val="32"/>
          <w:highlight w:val="none"/>
          <w:lang w:eastAsia="zh-CN"/>
        </w:rPr>
      </w:pPr>
    </w:p>
    <w:p>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textAlignment w:val="auto"/>
        <w:outlineLvl w:val="1"/>
        <w:rPr>
          <w:rFonts w:hint="eastAsia" w:eastAsia="黑体"/>
          <w:color w:val="auto"/>
          <w:sz w:val="32"/>
          <w:szCs w:val="32"/>
          <w:highlight w:val="none"/>
          <w:lang w:eastAsia="zh-CN"/>
        </w:rPr>
      </w:pPr>
      <w:bookmarkStart w:id="16" w:name="_Toc15396605"/>
      <w:bookmarkStart w:id="17" w:name="_Toc15377207"/>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textAlignment w:val="auto"/>
        <w:outlineLvl w:val="1"/>
        <w:rPr>
          <w:rStyle w:val="29"/>
          <w:rFonts w:hint="eastAsia" w:ascii="Times New Roman" w:hAnsi="Times New Roman" w:eastAsia="黑体"/>
          <w:b w:val="0"/>
          <w:color w:val="auto"/>
          <w:highlight w:val="none"/>
        </w:rPr>
      </w:pPr>
      <w:r>
        <w:rPr>
          <w:rFonts w:hint="eastAsia"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16"/>
      <w:bookmarkEnd w:id="17"/>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年度本年支出合计</w:t>
      </w:r>
      <w:r>
        <w:rPr>
          <w:rFonts w:hint="eastAsia" w:ascii="仿宋_GB2312" w:hAnsi="仿宋_GB2312" w:eastAsia="仿宋_GB2312" w:cs="仿宋_GB2312"/>
          <w:sz w:val="32"/>
          <w:szCs w:val="32"/>
        </w:rPr>
        <w:t>4557.14</w:t>
      </w:r>
      <w:r>
        <w:rPr>
          <w:rFonts w:hint="eastAsia" w:ascii="仿宋_GB2312" w:hAnsi="仿宋_GB2312"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36</w:t>
      </w:r>
      <w:r>
        <w:rPr>
          <w:rFonts w:hint="eastAsia" w:ascii="仿宋_GB2312" w:hAnsi="仿宋_GB2312" w:eastAsia="仿宋_GB2312" w:cs="仿宋_GB2312"/>
          <w:sz w:val="32"/>
          <w:szCs w:val="32"/>
          <w:lang w:val="en-US" w:eastAsia="zh-CN"/>
        </w:rPr>
        <w:t>55.18</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80.2</w:t>
      </w:r>
      <w:r>
        <w:rPr>
          <w:rFonts w:hint="eastAsia" w:ascii="仿宋_GB2312" w:hAnsi="仿宋_GB2312"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lang w:val="en-US" w:eastAsia="zh-CN"/>
        </w:rPr>
        <w:t>901.96</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19.8</w:t>
      </w:r>
      <w:r>
        <w:rPr>
          <w:rFonts w:hint="eastAsia" w:ascii="仿宋_GB2312" w:hAnsi="仿宋_GB2312"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仿宋_GB2312" w:hAnsi="仿宋_GB2312"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仿宋_GB2312" w:hAnsi="仿宋_GB2312"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58240" behindDoc="0" locked="0" layoutInCell="1" allowOverlap="1">
            <wp:simplePos x="0" y="0"/>
            <wp:positionH relativeFrom="column">
              <wp:posOffset>321945</wp:posOffset>
            </wp:positionH>
            <wp:positionV relativeFrom="paragraph">
              <wp:posOffset>173355</wp:posOffset>
            </wp:positionV>
            <wp:extent cx="5080000" cy="3810000"/>
            <wp:effectExtent l="4445" t="4445" r="20955" b="14605"/>
            <wp:wrapNone/>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outlineLvl w:val="1"/>
        <w:rPr>
          <w:rFonts w:hint="eastAsia" w:ascii="Times New Roman" w:hAnsi="Times New Roman" w:eastAsia="仿宋_GB2312" w:cs="仿宋_GB2312"/>
          <w:b/>
          <w:bCs/>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outlineLvl w:val="1"/>
        <w:rPr>
          <w:rFonts w:hint="eastAsia" w:ascii="Times New Roman" w:hAnsi="Times New Roman" w:eastAsia="仿宋_GB2312" w:cs="仿宋_GB2312"/>
          <w:b/>
          <w:bCs/>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outlineLvl w:val="1"/>
        <w:rPr>
          <w:rFonts w:hint="eastAsia" w:ascii="Times New Roman" w:hAnsi="Times New Roman" w:eastAsia="仿宋_GB2312" w:cs="仿宋_GB2312"/>
          <w:b/>
          <w:bCs/>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outlineLvl w:val="1"/>
        <w:rPr>
          <w:rFonts w:hint="eastAsia" w:ascii="Times New Roman" w:hAnsi="Times New Roman" w:eastAsia="仿宋_GB2312" w:cs="仿宋_GB2312"/>
          <w:b/>
          <w:bCs/>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outlineLvl w:val="1"/>
        <w:rPr>
          <w:rFonts w:hint="eastAsia" w:ascii="Times New Roman" w:hAnsi="Times New Roman" w:eastAsia="仿宋_GB2312" w:cs="仿宋_GB2312"/>
          <w:b/>
          <w:bCs/>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outlineLvl w:val="1"/>
        <w:rPr>
          <w:rFonts w:hint="eastAsia" w:ascii="Times New Roman" w:hAnsi="Times New Roman" w:eastAsia="仿宋_GB2312" w:cs="仿宋_GB2312"/>
          <w:b/>
          <w:bCs/>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outlineLvl w:val="1"/>
        <w:rPr>
          <w:rFonts w:hint="eastAsia" w:ascii="Times New Roman" w:hAnsi="Times New Roman" w:eastAsia="仿宋_GB2312" w:cs="仿宋_GB2312"/>
          <w:b/>
          <w:bCs/>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outlineLvl w:val="1"/>
        <w:rPr>
          <w:rFonts w:hint="eastAsia" w:ascii="Times New Roman" w:hAnsi="Times New Roman" w:eastAsia="仿宋_GB2312" w:cs="仿宋_GB2312"/>
          <w:b/>
          <w:bCs/>
          <w:color w:val="auto"/>
          <w:sz w:val="32"/>
          <w:szCs w:val="32"/>
          <w:highlight w:val="none"/>
          <w:lang w:eastAsia="zh-CN"/>
        </w:rPr>
      </w:pPr>
    </w:p>
    <w:p>
      <w:pPr>
        <w:rPr>
          <w:rFonts w:hint="eastAsia" w:ascii="Times New Roman" w:hAnsi="Times New Roman" w:eastAsia="仿宋_GB2312" w:cs="仿宋_GB2312"/>
          <w:color w:val="auto"/>
          <w:sz w:val="32"/>
          <w:szCs w:val="32"/>
          <w:highlight w:val="none"/>
          <w:lang w:eastAsia="zh-CN"/>
        </w:rPr>
      </w:pPr>
    </w:p>
    <w:p>
      <w:pPr>
        <w:pStyle w:val="2"/>
        <w:rPr>
          <w:rFonts w:hint="eastAsia"/>
          <w:lang w:eastAsia="zh-CN"/>
        </w:rPr>
      </w:pPr>
    </w:p>
    <w:p>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bookmarkStart w:id="18" w:name="_Toc15396606"/>
      <w:bookmarkStart w:id="19" w:name="_Toc15377208"/>
    </w:p>
    <w:p>
      <w:pPr>
        <w:pStyle w:val="2"/>
        <w:rPr>
          <w:rFonts w:hint="eastAsia"/>
        </w:rPr>
      </w:pPr>
    </w:p>
    <w:p>
      <w:pPr>
        <w:spacing w:line="600" w:lineRule="exact"/>
        <w:ind w:firstLine="640" w:firstLineChars="200"/>
        <w:outlineLvl w:val="1"/>
        <w:rPr>
          <w:rStyle w:val="29"/>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18"/>
      <w:bookmarkEnd w:id="19"/>
    </w:p>
    <w:p>
      <w:pPr>
        <w:spacing w:line="600" w:lineRule="exact"/>
        <w:ind w:firstLine="640"/>
        <w:rPr>
          <w:rFonts w:hint="eastAsia" w:ascii="方正仿宋_GBK" w:hAnsi="方正仿宋_GBK" w:eastAsia="方正仿宋_GBK" w:cs="方正仿宋_GBK"/>
          <w:color w:val="auto"/>
          <w:kern w:val="2"/>
          <w:sz w:val="32"/>
          <w:szCs w:val="32"/>
          <w:highlight w:val="none"/>
          <w:lang w:val="en-US" w:eastAsia="zh-CN" w:bidi="ar-SA"/>
        </w:rPr>
      </w:pPr>
    </w:p>
    <w:p>
      <w:pPr>
        <w:spacing w:line="600" w:lineRule="exact"/>
        <w:ind w:firstLine="64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kern w:val="2"/>
          <w:sz w:val="32"/>
          <w:szCs w:val="32"/>
          <w:highlight w:val="none"/>
          <w:lang w:val="en-US" w:eastAsia="zh-CN" w:bidi="ar-SA"/>
        </w:rPr>
        <w:t>2025年度财政拨款收入、支出总计均为</w:t>
      </w:r>
      <w:r>
        <w:rPr>
          <w:rFonts w:hint="eastAsia" w:ascii="仿宋_GB2312" w:hAnsi="仿宋_GB2312" w:eastAsia="仿宋_GB2312" w:cs="仿宋_GB2312"/>
          <w:sz w:val="32"/>
          <w:szCs w:val="32"/>
        </w:rPr>
        <w:t>4542.77</w:t>
      </w:r>
      <w:r>
        <w:rPr>
          <w:rFonts w:hint="eastAsia" w:ascii="仿宋_GB2312" w:hAnsi="仿宋_GB2312" w:eastAsia="仿宋_GB2312" w:cs="仿宋_GB2312"/>
          <w:color w:val="auto"/>
          <w:kern w:val="2"/>
          <w:sz w:val="32"/>
          <w:szCs w:val="32"/>
          <w:highlight w:val="none"/>
          <w:lang w:val="en-US" w:eastAsia="zh-CN" w:bidi="ar-SA"/>
        </w:rPr>
        <w:t>万元。与2024年度相比，财政拨款收入总计、支出总计增加286.53万元，增长6.3%。主要变动原因是</w:t>
      </w:r>
      <w:r>
        <w:rPr>
          <w:rFonts w:hint="eastAsia" w:ascii="仿宋_GB2312" w:hAnsi="仿宋_GB2312" w:eastAsia="仿宋_GB2312" w:cs="仿宋_GB2312"/>
          <w:color w:val="auto"/>
          <w:sz w:val="32"/>
          <w:szCs w:val="32"/>
          <w:highlight w:val="none"/>
          <w:lang w:eastAsia="zh-CN"/>
        </w:rPr>
        <w:t>人员流动资金正常浮</w:t>
      </w:r>
      <w:r>
        <w:rPr>
          <w:rFonts w:hint="eastAsia" w:ascii="仿宋_GB2312" w:hAnsi="仿宋_GB2312" w:eastAsia="仿宋_GB2312" w:cs="仿宋_GB2312"/>
          <w:color w:val="auto"/>
          <w:sz w:val="32"/>
          <w:szCs w:val="32"/>
          <w:highlight w:val="none"/>
          <w:lang w:val="en-US" w:eastAsia="zh-CN"/>
        </w:rPr>
        <w:t>动</w:t>
      </w:r>
    </w:p>
    <w:p>
      <w:pPr>
        <w:pStyle w:val="2"/>
        <w:rPr>
          <w:rFonts w:hint="eastAsia"/>
          <w:lang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59264" behindDoc="0" locked="0" layoutInCell="1" allowOverlap="1">
            <wp:simplePos x="0" y="0"/>
            <wp:positionH relativeFrom="column">
              <wp:posOffset>410845</wp:posOffset>
            </wp:positionH>
            <wp:positionV relativeFrom="paragraph">
              <wp:posOffset>-260350</wp:posOffset>
            </wp:positionV>
            <wp:extent cx="4742815" cy="3207385"/>
            <wp:effectExtent l="4445" t="4445" r="15240" b="7620"/>
            <wp:wrapNone/>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pPr>
        <w:pStyle w:val="2"/>
        <w:rPr>
          <w:rFonts w:hint="eastAsia"/>
          <w:lang w:val="en-US" w:eastAsia="zh-CN"/>
        </w:rPr>
      </w:pP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pPr>
        <w:spacing w:line="600" w:lineRule="exact"/>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pPr>
        <w:spacing w:line="600" w:lineRule="exact"/>
        <w:ind w:firstLine="640" w:firstLineChars="200"/>
        <w:outlineLvl w:val="1"/>
        <w:rPr>
          <w:rStyle w:val="29"/>
          <w:rFonts w:ascii="Times New Roman" w:hAnsi="Times New Roman" w:eastAsia="黑体"/>
          <w:b w:val="0"/>
          <w:color w:val="auto"/>
          <w:highlight w:val="none"/>
        </w:rPr>
      </w:pPr>
      <w:bookmarkStart w:id="20" w:name="_Toc15396607"/>
      <w:bookmarkStart w:id="21"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20"/>
      <w:bookmarkEnd w:id="21"/>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2"/>
    </w:p>
    <w:p>
      <w:pPr>
        <w:spacing w:line="600" w:lineRule="exact"/>
        <w:ind w:firstLine="64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kern w:val="2"/>
          <w:sz w:val="32"/>
          <w:szCs w:val="32"/>
          <w:highlight w:val="none"/>
          <w:lang w:val="en-US" w:eastAsia="zh-CN" w:bidi="ar-SA"/>
        </w:rPr>
        <w:t>2025年度一般公共预算财政拨款支出</w:t>
      </w:r>
      <w:r>
        <w:rPr>
          <w:rFonts w:hint="eastAsia" w:ascii="仿宋_GB2312" w:hAnsi="仿宋_GB2312" w:eastAsia="仿宋_GB2312" w:cs="仿宋_GB2312"/>
          <w:sz w:val="32"/>
          <w:szCs w:val="32"/>
        </w:rPr>
        <w:t>4542.77</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lang w:val="en-US" w:eastAsia="zh-CN"/>
        </w:rPr>
        <w:t>99.68</w:t>
      </w:r>
      <w:r>
        <w:rPr>
          <w:rFonts w:hint="eastAsia" w:ascii="仿宋_GB2312" w:hAnsi="仿宋_GB2312" w:eastAsia="仿宋_GB2312" w:cs="仿宋_GB2312"/>
          <w:color w:val="auto"/>
          <w:kern w:val="2"/>
          <w:sz w:val="32"/>
          <w:szCs w:val="32"/>
          <w:highlight w:val="none"/>
          <w:lang w:val="en-US" w:eastAsia="zh-CN" w:bidi="ar-SA"/>
        </w:rPr>
        <w:t>%。与2024年度相比，一般公共预算财政拨款支出增加286.53万元，增长6.3%。主要变动原因是</w:t>
      </w:r>
      <w:r>
        <w:rPr>
          <w:rFonts w:hint="eastAsia" w:ascii="仿宋_GB2312" w:hAnsi="仿宋_GB2312" w:eastAsia="仿宋_GB2312" w:cs="仿宋_GB2312"/>
          <w:color w:val="auto"/>
          <w:sz w:val="32"/>
          <w:szCs w:val="32"/>
          <w:highlight w:val="none"/>
          <w:lang w:eastAsia="zh-CN"/>
        </w:rPr>
        <w:t>人员流动资金正常浮动</w:t>
      </w:r>
    </w:p>
    <w:p>
      <w:pPr>
        <w:pStyle w:val="2"/>
        <w:rPr>
          <w:rFonts w:hint="eastAsia"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drawing>
          <wp:anchor distT="0" distB="0" distL="114300" distR="114300" simplePos="0" relativeHeight="251660288" behindDoc="0" locked="0" layoutInCell="1" allowOverlap="1">
            <wp:simplePos x="0" y="0"/>
            <wp:positionH relativeFrom="column">
              <wp:posOffset>130810</wp:posOffset>
            </wp:positionH>
            <wp:positionV relativeFrom="paragraph">
              <wp:posOffset>14605</wp:posOffset>
            </wp:positionV>
            <wp:extent cx="5292090" cy="2443480"/>
            <wp:effectExtent l="4445" t="4445" r="18415" b="9525"/>
            <wp:wrapNone/>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pPr>
        <w:pStyle w:val="2"/>
        <w:rPr>
          <w:rFonts w:hint="eastAsia" w:eastAsia="仿宋_GB2312" w:cs="仿宋_GB2312"/>
          <w:color w:val="auto"/>
          <w:sz w:val="32"/>
          <w:szCs w:val="32"/>
          <w:highlight w:val="none"/>
          <w:lang w:eastAsia="zh-CN"/>
        </w:rPr>
      </w:pPr>
    </w:p>
    <w:p>
      <w:pPr>
        <w:pStyle w:val="2"/>
        <w:rPr>
          <w:rFonts w:hint="eastAsia" w:eastAsia="仿宋_GB2312" w:cs="仿宋_GB2312"/>
          <w:color w:val="auto"/>
          <w:sz w:val="32"/>
          <w:szCs w:val="32"/>
          <w:highlight w:val="none"/>
          <w:lang w:eastAsia="zh-CN"/>
        </w:rPr>
      </w:pPr>
    </w:p>
    <w:p>
      <w:pPr>
        <w:spacing w:line="600" w:lineRule="exact"/>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lang w:val="en-US" w:eastAsia="zh-CN"/>
        </w:rPr>
      </w:pPr>
    </w:p>
    <w:p>
      <w:pPr>
        <w:pStyle w:val="2"/>
        <w:rPr>
          <w:rFonts w:hint="eastAsia"/>
          <w:lang w:val="en-US" w:eastAsia="zh-CN"/>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3"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3"/>
    </w:p>
    <w:p>
      <w:pPr>
        <w:spacing w:line="600" w:lineRule="exact"/>
        <w:ind w:firstLine="640"/>
        <w:rPr>
          <w:rFonts w:hint="eastAsia" w:ascii="仿宋_GB2312" w:hAnsi="仿宋_GB2312"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2025年度一般公共预算财政拨款支出</w:t>
      </w:r>
      <w:r>
        <w:rPr>
          <w:rFonts w:hint="eastAsia" w:ascii="仿宋_GB2312" w:hAnsi="仿宋_GB2312" w:eastAsia="仿宋_GB2312" w:cs="仿宋_GB2312"/>
          <w:sz w:val="32"/>
          <w:szCs w:val="32"/>
        </w:rPr>
        <w:t>4542.77</w:t>
      </w:r>
      <w:r>
        <w:rPr>
          <w:rFonts w:hint="eastAsia" w:ascii="仿宋_GB2312" w:hAnsi="仿宋_GB2312" w:eastAsia="仿宋_GB2312" w:cs="仿宋_GB2312"/>
          <w:color w:val="auto"/>
          <w:kern w:val="2"/>
          <w:sz w:val="32"/>
          <w:szCs w:val="32"/>
          <w:highlight w:val="none"/>
          <w:lang w:val="en-US" w:eastAsia="zh-CN" w:bidi="ar-SA"/>
        </w:rPr>
        <w:t>万元，主要用于以下方面：教育支出3,744.75万元，占82.43%；社会保障和就业支出418.86万元，占9.22%；卫生健康支出175.62万元，占3.86%；住房保障支出203.54万元，占4.48%。</w:t>
      </w:r>
    </w:p>
    <w:p>
      <w:pPr>
        <w:pStyle w:val="2"/>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drawing>
          <wp:anchor distT="0" distB="0" distL="114300" distR="114300" simplePos="0" relativeHeight="251661312" behindDoc="0" locked="0" layoutInCell="1" allowOverlap="1">
            <wp:simplePos x="0" y="0"/>
            <wp:positionH relativeFrom="column">
              <wp:posOffset>99695</wp:posOffset>
            </wp:positionH>
            <wp:positionV relativeFrom="paragraph">
              <wp:posOffset>69850</wp:posOffset>
            </wp:positionV>
            <wp:extent cx="5080000" cy="3810000"/>
            <wp:effectExtent l="4445" t="4445" r="20955" b="14605"/>
            <wp:wrapNone/>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pPr>
        <w:pStyle w:val="2"/>
        <w:rPr>
          <w:rFonts w:hint="eastAsia" w:ascii="Times New Roman" w:hAnsi="Times New Roman" w:eastAsia="仿宋_GB2312" w:cs="仿宋_GB2312"/>
          <w:b/>
          <w:bCs/>
          <w:color w:val="auto"/>
          <w:kern w:val="2"/>
          <w:sz w:val="32"/>
          <w:szCs w:val="32"/>
          <w:highlight w:val="none"/>
          <w:lang w:val="en-US" w:eastAsia="zh-CN" w:bidi="ar-SA"/>
        </w:rPr>
      </w:pPr>
    </w:p>
    <w:p>
      <w:pPr>
        <w:pStyle w:val="2"/>
        <w:rPr>
          <w:rFonts w:hint="eastAsia" w:ascii="Times New Roman" w:hAnsi="Times New Roman" w:eastAsia="仿宋_GB2312" w:cs="仿宋_GB2312"/>
          <w:b/>
          <w:bCs/>
          <w:color w:val="auto"/>
          <w:kern w:val="2"/>
          <w:sz w:val="32"/>
          <w:szCs w:val="32"/>
          <w:highlight w:val="none"/>
          <w:lang w:val="en-US" w:eastAsia="zh-CN" w:bidi="ar-SA"/>
        </w:rPr>
      </w:pPr>
    </w:p>
    <w:p>
      <w:pPr>
        <w:pStyle w:val="2"/>
        <w:rPr>
          <w:rFonts w:hint="eastAsia" w:ascii="Times New Roman" w:hAnsi="Times New Roman" w:eastAsia="仿宋_GB2312" w:cs="仿宋_GB2312"/>
          <w:b/>
          <w:bCs/>
          <w:color w:val="auto"/>
          <w:kern w:val="2"/>
          <w:sz w:val="32"/>
          <w:szCs w:val="32"/>
          <w:highlight w:val="none"/>
          <w:lang w:val="en-US" w:eastAsia="zh-CN" w:bidi="ar-SA"/>
        </w:rPr>
      </w:pPr>
    </w:p>
    <w:p>
      <w:pPr>
        <w:pStyle w:val="2"/>
        <w:rPr>
          <w:rFonts w:hint="eastAsia" w:ascii="Times New Roman" w:hAnsi="Times New Roman" w:eastAsia="仿宋_GB2312" w:cs="仿宋_GB2312"/>
          <w:b/>
          <w:bCs/>
          <w:color w:val="auto"/>
          <w:kern w:val="2"/>
          <w:sz w:val="32"/>
          <w:szCs w:val="32"/>
          <w:highlight w:val="none"/>
          <w:lang w:val="en-US" w:eastAsia="zh-CN" w:bidi="ar-SA"/>
        </w:rPr>
      </w:pPr>
    </w:p>
    <w:p>
      <w:pPr>
        <w:pStyle w:val="2"/>
        <w:rPr>
          <w:rFonts w:hint="eastAsia" w:ascii="Times New Roman" w:hAnsi="Times New Roman" w:eastAsia="仿宋_GB2312" w:cs="仿宋_GB2312"/>
          <w:b/>
          <w:bCs/>
          <w:color w:val="auto"/>
          <w:kern w:val="2"/>
          <w:sz w:val="32"/>
          <w:szCs w:val="32"/>
          <w:highlight w:val="none"/>
          <w:lang w:val="en-US" w:eastAsia="zh-CN" w:bidi="ar-SA"/>
        </w:rPr>
      </w:pPr>
    </w:p>
    <w:p>
      <w:pPr>
        <w:pStyle w:val="2"/>
        <w:rPr>
          <w:rFonts w:hint="eastAsia" w:ascii="Times New Roman" w:hAnsi="Times New Roman" w:eastAsia="仿宋_GB2312" w:cs="仿宋_GB2312"/>
          <w:b/>
          <w:bCs/>
          <w:color w:val="auto"/>
          <w:kern w:val="2"/>
          <w:sz w:val="32"/>
          <w:szCs w:val="32"/>
          <w:highlight w:val="none"/>
          <w:lang w:val="en-US" w:eastAsia="zh-CN" w:bidi="ar-SA"/>
        </w:rPr>
      </w:pPr>
    </w:p>
    <w:p>
      <w:pPr>
        <w:pStyle w:val="2"/>
        <w:rPr>
          <w:rFonts w:hint="eastAsia" w:ascii="Times New Roman" w:hAnsi="Times New Roman" w:eastAsia="仿宋_GB2312" w:cs="仿宋_GB2312"/>
          <w:b/>
          <w:bCs/>
          <w:color w:val="auto"/>
          <w:kern w:val="2"/>
          <w:sz w:val="32"/>
          <w:szCs w:val="32"/>
          <w:highlight w:val="none"/>
          <w:lang w:val="en-US" w:eastAsia="zh-CN" w:bidi="ar-SA"/>
        </w:rPr>
      </w:pPr>
    </w:p>
    <w:p>
      <w:pPr>
        <w:pStyle w:val="2"/>
        <w:rPr>
          <w:rFonts w:hint="eastAsia" w:ascii="Times New Roman" w:hAnsi="Times New Roman" w:eastAsia="仿宋_GB2312" w:cs="仿宋_GB2312"/>
          <w:b/>
          <w:bCs/>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4"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4"/>
    </w:p>
    <w:p>
      <w:pPr>
        <w:spacing w:line="600" w:lineRule="exact"/>
        <w:ind w:firstLine="642" w:firstLineChars="200"/>
        <w:rPr>
          <w:rFonts w:hint="eastAsia" w:ascii="仿宋" w:hAnsi="仿宋" w:eastAsia="仿宋" w:cs="仿宋"/>
          <w:b/>
          <w:bCs/>
          <w:sz w:val="32"/>
          <w:szCs w:val="32"/>
        </w:rPr>
      </w:pPr>
      <w:bookmarkStart w:id="25" w:name="_Toc15378460"/>
      <w:bookmarkStart w:id="26" w:name="_Toc15377213"/>
      <w:bookmarkStart w:id="27" w:name="_Toc15377444"/>
      <w:r>
        <w:rPr>
          <w:rFonts w:hint="eastAsia" w:ascii="仿宋" w:hAnsi="仿宋" w:eastAsia="仿宋" w:cs="仿宋"/>
          <w:b/>
          <w:bCs/>
          <w:sz w:val="32"/>
          <w:szCs w:val="32"/>
        </w:rPr>
        <w:t>202</w:t>
      </w:r>
      <w:r>
        <w:rPr>
          <w:rFonts w:hint="eastAsia" w:ascii="仿宋" w:hAnsi="仿宋" w:eastAsia="仿宋" w:cs="仿宋"/>
          <w:b/>
          <w:bCs/>
          <w:sz w:val="32"/>
          <w:szCs w:val="32"/>
          <w:lang w:val="en-US" w:eastAsia="zh-CN"/>
        </w:rPr>
        <w:t>5</w:t>
      </w:r>
      <w:r>
        <w:rPr>
          <w:rFonts w:hint="eastAsia" w:ascii="仿宋" w:hAnsi="仿宋" w:eastAsia="仿宋" w:cs="仿宋"/>
          <w:b/>
          <w:bCs/>
          <w:sz w:val="32"/>
          <w:szCs w:val="32"/>
        </w:rPr>
        <w:t>年一般公共预算支出决算数为</w:t>
      </w:r>
      <w:r>
        <w:rPr>
          <w:rFonts w:hint="eastAsia" w:ascii="仿宋_GB2312" w:hAnsi="仿宋_GB2312" w:eastAsia="仿宋_GB2312" w:cs="仿宋_GB2312"/>
          <w:b/>
          <w:bCs/>
          <w:sz w:val="32"/>
          <w:szCs w:val="32"/>
        </w:rPr>
        <w:t>4,542.77</w:t>
      </w:r>
      <w:r>
        <w:rPr>
          <w:rFonts w:hint="eastAsia" w:ascii="仿宋" w:hAnsi="仿宋" w:eastAsia="仿宋" w:cs="仿宋"/>
          <w:b/>
          <w:bCs/>
          <w:sz w:val="32"/>
          <w:szCs w:val="32"/>
          <w:lang w:eastAsia="zh-CN"/>
        </w:rPr>
        <w:t>万元</w:t>
      </w:r>
      <w:r>
        <w:rPr>
          <w:rFonts w:hint="eastAsia" w:ascii="仿宋" w:hAnsi="仿宋" w:eastAsia="仿宋" w:cs="仿宋"/>
          <w:b/>
          <w:bCs/>
          <w:sz w:val="32"/>
          <w:szCs w:val="32"/>
        </w:rPr>
        <w:t>，完成预算</w:t>
      </w:r>
      <w:r>
        <w:rPr>
          <w:rFonts w:hint="eastAsia" w:ascii="仿宋" w:hAnsi="仿宋" w:eastAsia="仿宋" w:cs="仿宋"/>
          <w:b/>
          <w:bCs/>
          <w:sz w:val="32"/>
          <w:szCs w:val="32"/>
          <w:lang w:val="en-US" w:eastAsia="zh-CN"/>
        </w:rPr>
        <w:t>100</w:t>
      </w:r>
      <w:r>
        <w:rPr>
          <w:rFonts w:hint="eastAsia" w:ascii="仿宋" w:hAnsi="仿宋" w:eastAsia="仿宋" w:cs="仿宋"/>
          <w:b/>
          <w:bCs/>
          <w:sz w:val="32"/>
          <w:szCs w:val="32"/>
        </w:rPr>
        <w:t>%。其中：</w:t>
      </w:r>
      <w:bookmarkEnd w:id="25"/>
      <w:bookmarkEnd w:id="26"/>
      <w:bookmarkEnd w:id="27"/>
    </w:p>
    <w:p>
      <w:pPr>
        <w:spacing w:line="600" w:lineRule="exact"/>
        <w:ind w:firstLine="642" w:firstLineChars="200"/>
        <w:rPr>
          <w:rFonts w:hint="eastAsia" w:ascii="仿宋" w:hAnsi="仿宋" w:eastAsia="仿宋" w:cs="仿宋"/>
          <w:b/>
          <w:color w:val="000000"/>
          <w:sz w:val="32"/>
          <w:szCs w:val="32"/>
        </w:rPr>
      </w:pPr>
      <w:r>
        <w:rPr>
          <w:rStyle w:val="17"/>
          <w:rFonts w:hint="eastAsia" w:ascii="仿宋" w:hAnsi="仿宋" w:eastAsia="仿宋" w:cs="仿宋"/>
          <w:bCs/>
          <w:color w:val="000000"/>
          <w:sz w:val="32"/>
          <w:szCs w:val="32"/>
          <w:lang w:val="en-US" w:eastAsia="zh-CN"/>
        </w:rPr>
        <w:t>1</w:t>
      </w:r>
      <w:r>
        <w:rPr>
          <w:rStyle w:val="17"/>
          <w:rFonts w:hint="eastAsia" w:ascii="仿宋" w:hAnsi="仿宋" w:eastAsia="仿宋" w:cs="仿宋"/>
          <w:bCs/>
          <w:color w:val="000000"/>
          <w:sz w:val="32"/>
          <w:szCs w:val="32"/>
        </w:rPr>
        <w:t>.教育</w:t>
      </w:r>
      <w:r>
        <w:rPr>
          <w:rStyle w:val="17"/>
          <w:rFonts w:hint="eastAsia" w:ascii="仿宋" w:hAnsi="仿宋" w:eastAsia="仿宋" w:cs="仿宋"/>
          <w:bCs/>
          <w:color w:val="000000"/>
          <w:sz w:val="32"/>
          <w:szCs w:val="32"/>
          <w:lang w:val="en-US" w:eastAsia="zh-CN"/>
        </w:rPr>
        <w:t>205</w:t>
      </w:r>
      <w:r>
        <w:rPr>
          <w:rStyle w:val="17"/>
          <w:rFonts w:hint="eastAsia" w:ascii="仿宋" w:hAnsi="仿宋" w:eastAsia="仿宋" w:cs="仿宋"/>
          <w:bCs/>
          <w:color w:val="000000"/>
          <w:sz w:val="32"/>
          <w:szCs w:val="32"/>
        </w:rPr>
        <w:t>（类）</w:t>
      </w:r>
      <w:r>
        <w:rPr>
          <w:rStyle w:val="17"/>
          <w:rFonts w:hint="eastAsia" w:ascii="仿宋" w:hAnsi="仿宋" w:eastAsia="仿宋" w:cs="仿宋"/>
          <w:bCs/>
          <w:color w:val="000000"/>
          <w:sz w:val="32"/>
          <w:szCs w:val="32"/>
          <w:lang w:val="en-US" w:eastAsia="zh-CN"/>
        </w:rPr>
        <w:t>03</w:t>
      </w:r>
      <w:r>
        <w:rPr>
          <w:rStyle w:val="17"/>
          <w:rFonts w:hint="eastAsia" w:ascii="仿宋" w:hAnsi="仿宋" w:eastAsia="仿宋" w:cs="仿宋"/>
          <w:bCs/>
          <w:color w:val="000000"/>
          <w:sz w:val="32"/>
          <w:szCs w:val="32"/>
        </w:rPr>
        <w:t>（款）</w:t>
      </w:r>
      <w:r>
        <w:rPr>
          <w:rStyle w:val="17"/>
          <w:rFonts w:hint="eastAsia" w:ascii="仿宋" w:hAnsi="仿宋" w:eastAsia="仿宋" w:cs="仿宋"/>
          <w:bCs/>
          <w:color w:val="000000"/>
          <w:sz w:val="32"/>
          <w:szCs w:val="32"/>
          <w:lang w:val="en-US" w:eastAsia="zh-CN"/>
        </w:rPr>
        <w:t>02</w:t>
      </w:r>
      <w:r>
        <w:rPr>
          <w:rStyle w:val="17"/>
          <w:rFonts w:hint="eastAsia" w:ascii="仿宋" w:hAnsi="仿宋" w:eastAsia="仿宋" w:cs="仿宋"/>
          <w:bCs/>
          <w:color w:val="000000"/>
          <w:sz w:val="32"/>
          <w:szCs w:val="32"/>
        </w:rPr>
        <w:t>（项）:</w:t>
      </w:r>
      <w:r>
        <w:rPr>
          <w:rStyle w:val="17"/>
          <w:rFonts w:hint="eastAsia" w:ascii="仿宋" w:hAnsi="仿宋" w:eastAsia="仿宋" w:cs="仿宋"/>
          <w:b w:val="0"/>
          <w:bCs/>
          <w:color w:val="000000"/>
          <w:sz w:val="32"/>
          <w:szCs w:val="32"/>
        </w:rPr>
        <w:t xml:space="preserve"> </w:t>
      </w:r>
      <w:r>
        <w:rPr>
          <w:rStyle w:val="17"/>
          <w:rFonts w:hint="eastAsia" w:ascii="仿宋_GB2312" w:hAnsi="仿宋_GB2312" w:eastAsia="仿宋_GB2312" w:cs="仿宋_GB2312"/>
          <w:b w:val="0"/>
          <w:bCs/>
          <w:color w:val="000000"/>
          <w:sz w:val="32"/>
          <w:szCs w:val="32"/>
        </w:rPr>
        <w:t>支出决算为</w:t>
      </w:r>
      <w:r>
        <w:rPr>
          <w:rFonts w:hint="eastAsia" w:ascii="仿宋_GB2312" w:hAnsi="仿宋_GB2312" w:eastAsia="仿宋_GB2312" w:cs="仿宋_GB2312"/>
          <w:color w:val="auto"/>
          <w:kern w:val="2"/>
          <w:sz w:val="32"/>
          <w:szCs w:val="32"/>
          <w:highlight w:val="none"/>
          <w:lang w:val="en-US" w:eastAsia="zh-CN" w:bidi="ar-SA"/>
        </w:rPr>
        <w:t>3,744.75</w:t>
      </w:r>
      <w:r>
        <w:rPr>
          <w:rStyle w:val="17"/>
          <w:rFonts w:hint="eastAsia" w:ascii="仿宋_GB2312" w:hAnsi="仿宋_GB2312" w:eastAsia="仿宋_GB2312" w:cs="仿宋_GB2312"/>
          <w:b w:val="0"/>
          <w:bCs/>
          <w:color w:val="000000"/>
          <w:sz w:val="32"/>
          <w:szCs w:val="32"/>
        </w:rPr>
        <w:t>万元，完成预算</w:t>
      </w:r>
      <w:r>
        <w:rPr>
          <w:rStyle w:val="17"/>
          <w:rFonts w:hint="eastAsia" w:ascii="仿宋_GB2312" w:hAnsi="仿宋_GB2312" w:eastAsia="仿宋_GB2312" w:cs="仿宋_GB2312"/>
          <w:b w:val="0"/>
          <w:bCs/>
          <w:color w:val="000000"/>
          <w:sz w:val="32"/>
          <w:szCs w:val="32"/>
          <w:lang w:val="en-US" w:eastAsia="zh-CN"/>
        </w:rPr>
        <w:t>100</w:t>
      </w:r>
      <w:r>
        <w:rPr>
          <w:rStyle w:val="17"/>
          <w:rFonts w:hint="eastAsia" w:ascii="仿宋_GB2312" w:hAnsi="仿宋_GB2312" w:eastAsia="仿宋_GB2312" w:cs="仿宋_GB2312"/>
          <w:b w:val="0"/>
          <w:bCs/>
          <w:color w:val="000000"/>
          <w:sz w:val="32"/>
          <w:szCs w:val="32"/>
        </w:rPr>
        <w:t>%，决算数等于预算数的主要原因</w:t>
      </w:r>
      <w:r>
        <w:rPr>
          <w:rStyle w:val="17"/>
          <w:rFonts w:hint="eastAsia" w:ascii="仿宋_GB2312" w:hAnsi="仿宋_GB2312" w:eastAsia="仿宋_GB2312" w:cs="仿宋_GB2312"/>
          <w:b w:val="0"/>
          <w:bCs/>
          <w:color w:val="000000"/>
          <w:sz w:val="32"/>
          <w:szCs w:val="32"/>
          <w:lang w:val="en-US" w:eastAsia="zh-CN"/>
        </w:rPr>
        <w:t>是按预算完成</w:t>
      </w:r>
      <w:r>
        <w:rPr>
          <w:rStyle w:val="17"/>
          <w:rFonts w:hint="eastAsia" w:ascii="仿宋_GB2312" w:hAnsi="仿宋_GB2312" w:eastAsia="仿宋_GB2312" w:cs="仿宋_GB2312"/>
          <w:b w:val="0"/>
          <w:bCs/>
          <w:color w:val="000000"/>
          <w:sz w:val="32"/>
          <w:szCs w:val="32"/>
        </w:rPr>
        <w:t>。</w:t>
      </w:r>
    </w:p>
    <w:p>
      <w:pPr>
        <w:spacing w:line="600" w:lineRule="exact"/>
        <w:ind w:firstLine="642" w:firstLineChars="200"/>
        <w:rPr>
          <w:rFonts w:hint="eastAsia" w:ascii="仿宋" w:hAnsi="仿宋" w:eastAsia="仿宋" w:cs="仿宋"/>
          <w:b/>
          <w:color w:val="000000"/>
          <w:sz w:val="32"/>
          <w:szCs w:val="32"/>
        </w:rPr>
      </w:pPr>
      <w:r>
        <w:rPr>
          <w:rStyle w:val="17"/>
          <w:rFonts w:hint="eastAsia" w:ascii="仿宋" w:hAnsi="仿宋" w:eastAsia="仿宋" w:cs="仿宋"/>
          <w:bCs/>
          <w:color w:val="000000"/>
          <w:sz w:val="32"/>
          <w:szCs w:val="32"/>
          <w:lang w:val="en-US" w:eastAsia="zh-CN"/>
        </w:rPr>
        <w:t>2</w:t>
      </w:r>
      <w:r>
        <w:rPr>
          <w:rStyle w:val="17"/>
          <w:rFonts w:hint="eastAsia" w:ascii="仿宋" w:hAnsi="仿宋" w:eastAsia="仿宋" w:cs="仿宋"/>
          <w:bCs/>
          <w:color w:val="000000"/>
          <w:sz w:val="32"/>
          <w:szCs w:val="32"/>
        </w:rPr>
        <w:t>.社会保障和就业</w:t>
      </w:r>
      <w:r>
        <w:rPr>
          <w:rStyle w:val="17"/>
          <w:rFonts w:hint="eastAsia" w:ascii="仿宋" w:hAnsi="仿宋" w:eastAsia="仿宋" w:cs="仿宋"/>
          <w:bCs/>
          <w:color w:val="000000"/>
          <w:sz w:val="32"/>
          <w:szCs w:val="32"/>
          <w:lang w:val="en-US" w:eastAsia="zh-CN"/>
        </w:rPr>
        <w:t>208</w:t>
      </w:r>
      <w:r>
        <w:rPr>
          <w:rStyle w:val="17"/>
          <w:rFonts w:hint="eastAsia" w:ascii="仿宋" w:hAnsi="仿宋" w:eastAsia="仿宋" w:cs="仿宋"/>
          <w:bCs/>
          <w:color w:val="000000"/>
          <w:sz w:val="32"/>
          <w:szCs w:val="32"/>
        </w:rPr>
        <w:t>（类）</w:t>
      </w:r>
      <w:r>
        <w:rPr>
          <w:rStyle w:val="17"/>
          <w:rFonts w:hint="eastAsia" w:ascii="仿宋" w:hAnsi="仿宋" w:eastAsia="仿宋" w:cs="仿宋"/>
          <w:bCs/>
          <w:color w:val="000000"/>
          <w:sz w:val="32"/>
          <w:szCs w:val="32"/>
          <w:lang w:val="en-US" w:eastAsia="zh-CN"/>
        </w:rPr>
        <w:t>05</w:t>
      </w:r>
      <w:r>
        <w:rPr>
          <w:rStyle w:val="17"/>
          <w:rFonts w:hint="eastAsia" w:ascii="仿宋" w:hAnsi="仿宋" w:eastAsia="仿宋" w:cs="仿宋"/>
          <w:bCs/>
          <w:color w:val="000000"/>
          <w:sz w:val="32"/>
          <w:szCs w:val="32"/>
        </w:rPr>
        <w:t>（款）</w:t>
      </w:r>
      <w:r>
        <w:rPr>
          <w:rStyle w:val="17"/>
          <w:rFonts w:hint="eastAsia" w:ascii="仿宋" w:hAnsi="仿宋" w:eastAsia="仿宋" w:cs="仿宋"/>
          <w:bCs/>
          <w:color w:val="000000"/>
          <w:sz w:val="32"/>
          <w:szCs w:val="32"/>
          <w:lang w:val="en-US" w:eastAsia="zh-CN"/>
        </w:rPr>
        <w:t>05</w:t>
      </w:r>
      <w:r>
        <w:rPr>
          <w:rStyle w:val="17"/>
          <w:rFonts w:hint="eastAsia" w:ascii="仿宋" w:hAnsi="仿宋" w:eastAsia="仿宋" w:cs="仿宋"/>
          <w:bCs/>
          <w:color w:val="000000"/>
          <w:sz w:val="32"/>
          <w:szCs w:val="32"/>
        </w:rPr>
        <w:t>（项）:</w:t>
      </w:r>
      <w:r>
        <w:rPr>
          <w:rStyle w:val="17"/>
          <w:rFonts w:hint="eastAsia" w:ascii="仿宋_GB2312" w:hAnsi="仿宋_GB2312" w:eastAsia="仿宋_GB2312" w:cs="仿宋_GB2312"/>
          <w:b w:val="0"/>
          <w:bCs/>
          <w:color w:val="000000"/>
          <w:sz w:val="32"/>
          <w:szCs w:val="32"/>
        </w:rPr>
        <w:t>支出决算为</w:t>
      </w:r>
      <w:r>
        <w:rPr>
          <w:rFonts w:hint="eastAsia" w:ascii="仿宋_GB2312" w:hAnsi="仿宋_GB2312" w:eastAsia="仿宋_GB2312" w:cs="仿宋_GB2312"/>
          <w:color w:val="auto"/>
          <w:kern w:val="2"/>
          <w:sz w:val="32"/>
          <w:szCs w:val="32"/>
          <w:highlight w:val="none"/>
          <w:lang w:val="en-US" w:eastAsia="zh-CN" w:bidi="ar-SA"/>
        </w:rPr>
        <w:t>418.86</w:t>
      </w:r>
      <w:r>
        <w:rPr>
          <w:rStyle w:val="17"/>
          <w:rFonts w:hint="eastAsia" w:ascii="仿宋_GB2312" w:hAnsi="仿宋_GB2312" w:eastAsia="仿宋_GB2312" w:cs="仿宋_GB2312"/>
          <w:b w:val="0"/>
          <w:bCs/>
          <w:color w:val="000000"/>
          <w:sz w:val="32"/>
          <w:szCs w:val="32"/>
        </w:rPr>
        <w:t>万元，完成预算</w:t>
      </w:r>
      <w:r>
        <w:rPr>
          <w:rStyle w:val="17"/>
          <w:rFonts w:hint="eastAsia" w:ascii="仿宋_GB2312" w:hAnsi="仿宋_GB2312" w:eastAsia="仿宋_GB2312" w:cs="仿宋_GB2312"/>
          <w:b w:val="0"/>
          <w:bCs/>
          <w:color w:val="000000"/>
          <w:sz w:val="32"/>
          <w:szCs w:val="32"/>
          <w:lang w:val="en-US" w:eastAsia="zh-CN"/>
        </w:rPr>
        <w:t>100</w:t>
      </w:r>
      <w:r>
        <w:rPr>
          <w:rStyle w:val="17"/>
          <w:rFonts w:hint="eastAsia" w:ascii="仿宋_GB2312" w:hAnsi="仿宋_GB2312" w:eastAsia="仿宋_GB2312" w:cs="仿宋_GB2312"/>
          <w:b w:val="0"/>
          <w:bCs/>
          <w:color w:val="000000"/>
          <w:sz w:val="32"/>
          <w:szCs w:val="32"/>
        </w:rPr>
        <w:t>%，决算数等于预算数的主要原因是</w:t>
      </w:r>
      <w:r>
        <w:rPr>
          <w:rStyle w:val="17"/>
          <w:rFonts w:hint="eastAsia" w:ascii="仿宋_GB2312" w:hAnsi="仿宋_GB2312" w:eastAsia="仿宋_GB2312" w:cs="仿宋_GB2312"/>
          <w:b w:val="0"/>
          <w:bCs/>
          <w:color w:val="000000"/>
          <w:sz w:val="32"/>
          <w:szCs w:val="32"/>
          <w:lang w:val="en-US" w:eastAsia="zh-CN"/>
        </w:rPr>
        <w:t>按预算完成</w:t>
      </w:r>
      <w:r>
        <w:rPr>
          <w:rStyle w:val="17"/>
          <w:rFonts w:hint="eastAsia" w:ascii="仿宋_GB2312" w:hAnsi="仿宋_GB2312" w:eastAsia="仿宋_GB2312" w:cs="仿宋_GB2312"/>
          <w:b w:val="0"/>
          <w:bCs/>
          <w:color w:val="000000"/>
          <w:sz w:val="32"/>
          <w:szCs w:val="32"/>
        </w:rPr>
        <w:t>。</w:t>
      </w:r>
    </w:p>
    <w:p>
      <w:pPr>
        <w:spacing w:line="600" w:lineRule="exact"/>
        <w:ind w:firstLine="642" w:firstLineChars="200"/>
        <w:rPr>
          <w:rStyle w:val="17"/>
          <w:rFonts w:hint="eastAsia" w:ascii="仿宋" w:hAnsi="仿宋" w:eastAsia="仿宋" w:cs="仿宋"/>
          <w:b w:val="0"/>
          <w:bCs/>
          <w:color w:val="000000"/>
          <w:sz w:val="32"/>
          <w:szCs w:val="32"/>
        </w:rPr>
      </w:pPr>
      <w:r>
        <w:rPr>
          <w:rStyle w:val="17"/>
          <w:rFonts w:hint="eastAsia" w:ascii="仿宋" w:hAnsi="仿宋" w:eastAsia="仿宋" w:cs="仿宋"/>
          <w:bCs/>
          <w:color w:val="000000"/>
          <w:sz w:val="32"/>
          <w:szCs w:val="32"/>
          <w:lang w:val="en-US" w:eastAsia="zh-CN"/>
        </w:rPr>
        <w:t>3</w:t>
      </w:r>
      <w:r>
        <w:rPr>
          <w:rStyle w:val="17"/>
          <w:rFonts w:hint="eastAsia" w:ascii="仿宋" w:hAnsi="仿宋" w:eastAsia="仿宋" w:cs="仿宋"/>
          <w:bCs/>
          <w:color w:val="000000"/>
          <w:sz w:val="32"/>
          <w:szCs w:val="32"/>
        </w:rPr>
        <w:t>.</w:t>
      </w:r>
      <w:r>
        <w:rPr>
          <w:rFonts w:hint="eastAsia" w:ascii="仿宋" w:hAnsi="仿宋" w:eastAsia="仿宋" w:cs="仿宋"/>
          <w:b/>
          <w:bCs/>
          <w:color w:val="000000"/>
          <w:sz w:val="32"/>
          <w:szCs w:val="32"/>
        </w:rPr>
        <w:t>卫生健康</w:t>
      </w:r>
      <w:r>
        <w:rPr>
          <w:rFonts w:hint="eastAsia" w:ascii="仿宋" w:hAnsi="仿宋" w:eastAsia="仿宋" w:cs="仿宋"/>
          <w:b/>
          <w:bCs/>
          <w:color w:val="000000"/>
          <w:sz w:val="32"/>
          <w:szCs w:val="32"/>
          <w:lang w:val="en-US" w:eastAsia="zh-CN"/>
        </w:rPr>
        <w:t>210</w:t>
      </w:r>
      <w:r>
        <w:rPr>
          <w:rStyle w:val="17"/>
          <w:rFonts w:hint="eastAsia" w:ascii="仿宋" w:hAnsi="仿宋" w:eastAsia="仿宋" w:cs="仿宋"/>
          <w:bCs/>
          <w:color w:val="000000"/>
          <w:sz w:val="32"/>
          <w:szCs w:val="32"/>
        </w:rPr>
        <w:t>（类）</w:t>
      </w:r>
      <w:r>
        <w:rPr>
          <w:rStyle w:val="17"/>
          <w:rFonts w:hint="eastAsia" w:ascii="仿宋" w:hAnsi="仿宋" w:eastAsia="仿宋" w:cs="仿宋"/>
          <w:bCs/>
          <w:color w:val="000000"/>
          <w:sz w:val="32"/>
          <w:szCs w:val="32"/>
          <w:lang w:val="en-US" w:eastAsia="zh-CN"/>
        </w:rPr>
        <w:t>11</w:t>
      </w:r>
      <w:r>
        <w:rPr>
          <w:rStyle w:val="17"/>
          <w:rFonts w:hint="eastAsia" w:ascii="仿宋" w:hAnsi="仿宋" w:eastAsia="仿宋" w:cs="仿宋"/>
          <w:bCs/>
          <w:color w:val="000000"/>
          <w:sz w:val="32"/>
          <w:szCs w:val="32"/>
        </w:rPr>
        <w:t>（款）</w:t>
      </w:r>
      <w:r>
        <w:rPr>
          <w:rStyle w:val="17"/>
          <w:rFonts w:hint="eastAsia" w:ascii="仿宋" w:hAnsi="仿宋" w:eastAsia="仿宋" w:cs="仿宋"/>
          <w:bCs/>
          <w:color w:val="000000"/>
          <w:sz w:val="32"/>
          <w:szCs w:val="32"/>
          <w:lang w:val="en-US" w:eastAsia="zh-CN"/>
        </w:rPr>
        <w:t>02</w:t>
      </w:r>
      <w:r>
        <w:rPr>
          <w:rStyle w:val="17"/>
          <w:rFonts w:hint="eastAsia" w:ascii="仿宋" w:hAnsi="仿宋" w:eastAsia="仿宋" w:cs="仿宋"/>
          <w:bCs/>
          <w:color w:val="000000"/>
          <w:sz w:val="32"/>
          <w:szCs w:val="32"/>
        </w:rPr>
        <w:t>（项）:</w:t>
      </w:r>
      <w:r>
        <w:rPr>
          <w:rStyle w:val="17"/>
          <w:rFonts w:hint="eastAsia" w:ascii="仿宋_GB2312" w:hAnsi="仿宋_GB2312" w:eastAsia="仿宋_GB2312" w:cs="仿宋_GB2312"/>
          <w:b w:val="0"/>
          <w:bCs/>
          <w:color w:val="000000"/>
          <w:sz w:val="32"/>
          <w:szCs w:val="32"/>
        </w:rPr>
        <w:t>支出决算为</w:t>
      </w:r>
      <w:r>
        <w:rPr>
          <w:rFonts w:hint="eastAsia" w:ascii="仿宋_GB2312" w:hAnsi="仿宋_GB2312" w:eastAsia="仿宋_GB2312" w:cs="仿宋_GB2312"/>
          <w:color w:val="auto"/>
          <w:kern w:val="2"/>
          <w:sz w:val="32"/>
          <w:szCs w:val="32"/>
          <w:highlight w:val="none"/>
          <w:lang w:val="en-US" w:eastAsia="zh-CN" w:bidi="ar-SA"/>
        </w:rPr>
        <w:t>175.62</w:t>
      </w:r>
      <w:r>
        <w:rPr>
          <w:rStyle w:val="17"/>
          <w:rFonts w:hint="eastAsia" w:ascii="仿宋_GB2312" w:hAnsi="仿宋_GB2312" w:eastAsia="仿宋_GB2312" w:cs="仿宋_GB2312"/>
          <w:b w:val="0"/>
          <w:bCs/>
          <w:color w:val="000000"/>
          <w:sz w:val="32"/>
          <w:szCs w:val="32"/>
        </w:rPr>
        <w:t>万元，完成预算</w:t>
      </w:r>
      <w:r>
        <w:rPr>
          <w:rStyle w:val="17"/>
          <w:rFonts w:hint="eastAsia" w:ascii="仿宋_GB2312" w:hAnsi="仿宋_GB2312" w:eastAsia="仿宋_GB2312" w:cs="仿宋_GB2312"/>
          <w:b w:val="0"/>
          <w:bCs/>
          <w:color w:val="000000"/>
          <w:sz w:val="32"/>
          <w:szCs w:val="32"/>
          <w:lang w:val="en-US" w:eastAsia="zh-CN"/>
        </w:rPr>
        <w:t>100</w:t>
      </w:r>
      <w:r>
        <w:rPr>
          <w:rStyle w:val="17"/>
          <w:rFonts w:hint="eastAsia" w:ascii="仿宋_GB2312" w:hAnsi="仿宋_GB2312" w:eastAsia="仿宋_GB2312" w:cs="仿宋_GB2312"/>
          <w:b w:val="0"/>
          <w:bCs/>
          <w:color w:val="000000"/>
          <w:sz w:val="32"/>
          <w:szCs w:val="32"/>
        </w:rPr>
        <w:t>%，决算数等于预算数的主要原因是</w:t>
      </w:r>
      <w:r>
        <w:rPr>
          <w:rStyle w:val="17"/>
          <w:rFonts w:hint="eastAsia" w:ascii="仿宋_GB2312" w:hAnsi="仿宋_GB2312" w:eastAsia="仿宋_GB2312" w:cs="仿宋_GB2312"/>
          <w:b w:val="0"/>
          <w:bCs/>
          <w:color w:val="000000"/>
          <w:sz w:val="32"/>
          <w:szCs w:val="32"/>
          <w:lang w:val="en-US" w:eastAsia="zh-CN"/>
        </w:rPr>
        <w:t>按预算完成</w:t>
      </w:r>
      <w:r>
        <w:rPr>
          <w:rStyle w:val="17"/>
          <w:rFonts w:hint="eastAsia" w:ascii="仿宋_GB2312" w:hAnsi="仿宋_GB2312" w:eastAsia="仿宋_GB2312" w:cs="仿宋_GB2312"/>
          <w:b w:val="0"/>
          <w:bCs/>
          <w:color w:val="000000"/>
          <w:sz w:val="32"/>
          <w:szCs w:val="32"/>
        </w:rPr>
        <w:t>。</w:t>
      </w:r>
    </w:p>
    <w:p>
      <w:pPr>
        <w:spacing w:line="600" w:lineRule="exact"/>
        <w:ind w:firstLine="642" w:firstLineChars="200"/>
        <w:rPr>
          <w:rFonts w:hint="eastAsia" w:ascii="仿宋" w:hAnsi="仿宋" w:eastAsia="仿宋" w:cs="仿宋"/>
          <w:b/>
          <w:color w:val="000000"/>
          <w:sz w:val="32"/>
          <w:szCs w:val="32"/>
        </w:rPr>
      </w:pPr>
      <w:r>
        <w:rPr>
          <w:rStyle w:val="17"/>
          <w:rFonts w:hint="eastAsia" w:ascii="仿宋" w:hAnsi="仿宋" w:eastAsia="仿宋" w:cs="仿宋"/>
          <w:b/>
          <w:bCs w:val="0"/>
          <w:color w:val="000000"/>
          <w:sz w:val="32"/>
          <w:szCs w:val="32"/>
          <w:lang w:val="en-US" w:eastAsia="zh-CN"/>
        </w:rPr>
        <w:t>4.住房保障221</w:t>
      </w:r>
      <w:r>
        <w:rPr>
          <w:rStyle w:val="17"/>
          <w:rFonts w:hint="eastAsia" w:ascii="仿宋" w:hAnsi="仿宋" w:eastAsia="仿宋" w:cs="仿宋"/>
          <w:b/>
          <w:bCs w:val="0"/>
          <w:color w:val="000000"/>
          <w:sz w:val="32"/>
          <w:szCs w:val="32"/>
        </w:rPr>
        <w:t>（类）</w:t>
      </w:r>
      <w:r>
        <w:rPr>
          <w:rStyle w:val="17"/>
          <w:rFonts w:hint="eastAsia" w:ascii="仿宋" w:hAnsi="仿宋" w:eastAsia="仿宋" w:cs="仿宋"/>
          <w:b/>
          <w:bCs w:val="0"/>
          <w:color w:val="000000"/>
          <w:sz w:val="32"/>
          <w:szCs w:val="32"/>
          <w:lang w:val="en-US" w:eastAsia="zh-CN"/>
        </w:rPr>
        <w:t>02</w:t>
      </w:r>
      <w:r>
        <w:rPr>
          <w:rStyle w:val="17"/>
          <w:rFonts w:hint="eastAsia" w:ascii="仿宋" w:hAnsi="仿宋" w:eastAsia="仿宋" w:cs="仿宋"/>
          <w:b/>
          <w:bCs w:val="0"/>
          <w:color w:val="000000"/>
          <w:sz w:val="32"/>
          <w:szCs w:val="32"/>
        </w:rPr>
        <w:t>（款）</w:t>
      </w:r>
      <w:r>
        <w:rPr>
          <w:rStyle w:val="17"/>
          <w:rFonts w:hint="eastAsia" w:ascii="仿宋" w:hAnsi="仿宋" w:eastAsia="仿宋" w:cs="仿宋"/>
          <w:b/>
          <w:bCs w:val="0"/>
          <w:color w:val="000000"/>
          <w:sz w:val="32"/>
          <w:szCs w:val="32"/>
          <w:lang w:val="en-US" w:eastAsia="zh-CN"/>
        </w:rPr>
        <w:t>01</w:t>
      </w:r>
      <w:r>
        <w:rPr>
          <w:rStyle w:val="17"/>
          <w:rFonts w:hint="eastAsia" w:ascii="仿宋" w:hAnsi="仿宋" w:eastAsia="仿宋" w:cs="仿宋"/>
          <w:b/>
          <w:bCs w:val="0"/>
          <w:color w:val="000000"/>
          <w:sz w:val="32"/>
          <w:szCs w:val="32"/>
        </w:rPr>
        <w:t>（项）</w:t>
      </w:r>
      <w:r>
        <w:rPr>
          <w:rStyle w:val="17"/>
          <w:rFonts w:hint="eastAsia" w:ascii="仿宋" w:hAnsi="仿宋" w:eastAsia="仿宋" w:cs="仿宋"/>
          <w:bCs/>
          <w:color w:val="000000"/>
          <w:sz w:val="32"/>
          <w:szCs w:val="32"/>
        </w:rPr>
        <w:t>:</w:t>
      </w:r>
      <w:r>
        <w:rPr>
          <w:rStyle w:val="17"/>
          <w:rFonts w:hint="eastAsia" w:ascii="仿宋_GB2312" w:hAnsi="仿宋_GB2312" w:eastAsia="仿宋_GB2312" w:cs="仿宋_GB2312"/>
          <w:b w:val="0"/>
          <w:bCs/>
          <w:color w:val="000000"/>
          <w:sz w:val="32"/>
          <w:szCs w:val="32"/>
        </w:rPr>
        <w:t>支出决算为</w:t>
      </w:r>
      <w:r>
        <w:rPr>
          <w:rFonts w:hint="eastAsia" w:ascii="仿宋_GB2312" w:hAnsi="仿宋_GB2312" w:eastAsia="仿宋_GB2312" w:cs="仿宋_GB2312"/>
          <w:color w:val="auto"/>
          <w:kern w:val="2"/>
          <w:sz w:val="32"/>
          <w:szCs w:val="32"/>
          <w:highlight w:val="none"/>
          <w:lang w:val="en-US" w:eastAsia="zh-CN" w:bidi="ar-SA"/>
        </w:rPr>
        <w:t>203.54</w:t>
      </w:r>
      <w:r>
        <w:rPr>
          <w:rStyle w:val="17"/>
          <w:rFonts w:hint="eastAsia" w:ascii="仿宋_GB2312" w:hAnsi="仿宋_GB2312" w:eastAsia="仿宋_GB2312" w:cs="仿宋_GB2312"/>
          <w:b w:val="0"/>
          <w:bCs/>
          <w:color w:val="000000"/>
          <w:sz w:val="32"/>
          <w:szCs w:val="32"/>
        </w:rPr>
        <w:t>万元，完成预算</w:t>
      </w:r>
      <w:r>
        <w:rPr>
          <w:rStyle w:val="17"/>
          <w:rFonts w:hint="eastAsia" w:ascii="仿宋_GB2312" w:hAnsi="仿宋_GB2312" w:eastAsia="仿宋_GB2312" w:cs="仿宋_GB2312"/>
          <w:b w:val="0"/>
          <w:bCs/>
          <w:color w:val="000000"/>
          <w:sz w:val="32"/>
          <w:szCs w:val="32"/>
          <w:lang w:val="en-US" w:eastAsia="zh-CN"/>
        </w:rPr>
        <w:t>100</w:t>
      </w:r>
      <w:r>
        <w:rPr>
          <w:rStyle w:val="17"/>
          <w:rFonts w:hint="eastAsia" w:ascii="仿宋_GB2312" w:hAnsi="仿宋_GB2312" w:eastAsia="仿宋_GB2312" w:cs="仿宋_GB2312"/>
          <w:b w:val="0"/>
          <w:bCs/>
          <w:color w:val="000000"/>
          <w:sz w:val="32"/>
          <w:szCs w:val="32"/>
        </w:rPr>
        <w:t>%，决算数等于预算数的主要原因是</w:t>
      </w:r>
      <w:r>
        <w:rPr>
          <w:rStyle w:val="17"/>
          <w:rFonts w:hint="eastAsia" w:ascii="仿宋_GB2312" w:hAnsi="仿宋_GB2312" w:eastAsia="仿宋_GB2312" w:cs="仿宋_GB2312"/>
          <w:b w:val="0"/>
          <w:bCs/>
          <w:color w:val="000000"/>
          <w:sz w:val="32"/>
          <w:szCs w:val="32"/>
          <w:lang w:val="en-US" w:eastAsia="zh-CN"/>
        </w:rPr>
        <w:t>按预算完成</w:t>
      </w:r>
      <w:r>
        <w:rPr>
          <w:rStyle w:val="17"/>
          <w:rFonts w:hint="eastAsia" w:ascii="仿宋_GB2312" w:hAnsi="仿宋_GB2312" w:eastAsia="仿宋_GB2312" w:cs="仿宋_GB2312"/>
          <w:b w:val="0"/>
          <w:bCs/>
          <w:color w:val="000000"/>
          <w:sz w:val="32"/>
          <w:szCs w:val="32"/>
        </w:rPr>
        <w:t>。</w:t>
      </w:r>
    </w:p>
    <w:p>
      <w:pPr>
        <w:spacing w:line="600" w:lineRule="exact"/>
        <w:rPr>
          <w:rFonts w:hint="eastAsia" w:ascii="Times New Roman" w:hAnsi="Times New Roman" w:eastAsia="仿宋_GB2312" w:cs="仿宋_GB2312"/>
          <w:color w:val="auto"/>
          <w:kern w:val="2"/>
          <w:sz w:val="32"/>
          <w:szCs w:val="32"/>
          <w:highlight w:val="none"/>
          <w:lang w:val="en-US" w:eastAsia="zh-CN" w:bidi="ar-SA"/>
        </w:rPr>
      </w:pPr>
    </w:p>
    <w:p>
      <w:pPr>
        <w:tabs>
          <w:tab w:val="right" w:pos="8306"/>
        </w:tabs>
        <w:spacing w:line="600" w:lineRule="exact"/>
        <w:outlineLvl w:val="1"/>
        <w:rPr>
          <w:rStyle w:val="29"/>
          <w:rFonts w:ascii="Times New Roman" w:hAnsi="Times New Roman"/>
          <w:color w:val="auto"/>
          <w:highlight w:val="none"/>
        </w:rPr>
      </w:pPr>
      <w:bookmarkStart w:id="28" w:name="_Toc15396608"/>
      <w:bookmarkStart w:id="29"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28"/>
      <w:bookmarkEnd w:id="29"/>
      <w:r>
        <w:rPr>
          <w:rStyle w:val="29"/>
          <w:rFonts w:ascii="Times New Roman" w:hAnsi="Times New Roman" w:eastAsia="黑体"/>
          <w:b w:val="0"/>
          <w:color w:val="auto"/>
          <w:highlight w:val="none"/>
        </w:rPr>
        <w:tab/>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2025年度一般公共预算财政拨款基本支出</w:t>
      </w:r>
      <w:r>
        <w:rPr>
          <w:rFonts w:hint="eastAsia" w:ascii="仿宋_GB2312" w:hAnsi="仿宋_GB2312" w:eastAsia="仿宋_GB2312" w:cs="仿宋_GB2312"/>
          <w:sz w:val="32"/>
          <w:szCs w:val="32"/>
        </w:rPr>
        <w:t>3,640.81</w:t>
      </w:r>
      <w:r>
        <w:rPr>
          <w:rFonts w:hint="eastAsia" w:ascii="仿宋_GB2312" w:hAnsi="仿宋_GB2312" w:eastAsia="仿宋_GB2312" w:cs="仿宋_GB2312"/>
          <w:color w:val="auto"/>
          <w:kern w:val="2"/>
          <w:sz w:val="32"/>
          <w:szCs w:val="32"/>
          <w:highlight w:val="none"/>
          <w:lang w:val="en-US" w:eastAsia="zh-CN" w:bidi="ar-SA"/>
        </w:rPr>
        <w:t>万元，其中：</w:t>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lang w:val="en-US" w:eastAsia="zh-CN"/>
        </w:rPr>
        <w:t>3372.14</w:t>
      </w:r>
      <w:r>
        <w:rPr>
          <w:rFonts w:hint="eastAsia" w:ascii="仿宋_GB2312" w:hAnsi="仿宋_GB2312"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仿宋_GB2312" w:hAnsi="仿宋_GB2312" w:eastAsia="仿宋_GB2312" w:cs="仿宋_GB2312"/>
          <w:color w:val="auto"/>
          <w:kern w:val="2"/>
          <w:sz w:val="32"/>
          <w:szCs w:val="32"/>
          <w:highlight w:val="none"/>
          <w:lang w:val="en-US" w:eastAsia="zh-CN" w:bidi="ar-SA"/>
        </w:rPr>
        <w:br w:type="textWrapping"/>
      </w:r>
      <w:r>
        <w:rPr>
          <w:rFonts w:hint="eastAsia" w:ascii="仿宋_GB2312" w:hAnsi="仿宋_GB2312" w:eastAsia="仿宋_GB2312" w:cs="仿宋_GB2312"/>
          <w:color w:val="auto"/>
          <w:kern w:val="2"/>
          <w:sz w:val="32"/>
          <w:szCs w:val="32"/>
          <w:highlight w:val="none"/>
          <w:lang w:val="en-US" w:eastAsia="zh-CN" w:bidi="ar-SA"/>
        </w:rPr>
        <w:t>　　公用经费268.67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outlineLvl w:val="1"/>
        <w:rPr>
          <w:rStyle w:val="29"/>
          <w:rFonts w:ascii="Times New Roman" w:hAnsi="Times New Roman" w:eastAsia="黑体"/>
          <w:b w:val="0"/>
          <w:color w:val="auto"/>
          <w:highlight w:val="none"/>
        </w:rPr>
      </w:pPr>
      <w:bookmarkStart w:id="30" w:name="_Toc15396609"/>
      <w:bookmarkStart w:id="31" w:name="_Toc15377215"/>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30"/>
      <w:bookmarkEnd w:id="31"/>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2"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32"/>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2025年度“三公”经费财政拨款支出决算为</w:t>
      </w:r>
      <w:r>
        <w:rPr>
          <w:rFonts w:hint="eastAsia" w:ascii="仿宋_GB2312" w:hAnsi="仿宋_GB2312" w:eastAsia="仿宋_GB2312" w:cs="仿宋_GB2312"/>
          <w:sz w:val="32"/>
          <w:szCs w:val="32"/>
          <w:lang w:val="en-US" w:eastAsia="zh-CN"/>
        </w:rPr>
        <w:t>33.36</w:t>
      </w:r>
      <w:r>
        <w:rPr>
          <w:rFonts w:hint="eastAsia" w:ascii="仿宋_GB2312" w:hAnsi="仿宋_GB2312"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lang w:val="en-US" w:eastAsia="zh-CN"/>
        </w:rPr>
        <w:t>89.1</w:t>
      </w:r>
      <w:r>
        <w:rPr>
          <w:rFonts w:hint="eastAsia" w:ascii="仿宋_GB2312" w:hAnsi="仿宋_GB2312" w:eastAsia="仿宋_GB2312" w:cs="仿宋_GB2312"/>
          <w:color w:val="auto"/>
          <w:kern w:val="2"/>
          <w:sz w:val="32"/>
          <w:szCs w:val="32"/>
          <w:highlight w:val="none"/>
          <w:lang w:val="en-US" w:eastAsia="zh-CN" w:bidi="ar-SA"/>
        </w:rPr>
        <w:t>%，较上年度增加8.09万元，增长32.36%。决算数小于预算数的主要原因是实际支出控制在预算范围内，且执行中通过各项措施减少不必要开支。</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3"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33"/>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2025年度“三公”经费财政拨款支出决算中，因公出国（境）费支出决算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万元，占0%；公务用车购置及运行维护费支出决算</w:t>
      </w:r>
      <w:r>
        <w:rPr>
          <w:rFonts w:hint="eastAsia" w:ascii="仿宋_GB2312" w:hAnsi="仿宋_GB2312" w:eastAsia="仿宋_GB2312" w:cs="仿宋_GB2312"/>
          <w:sz w:val="32"/>
          <w:szCs w:val="32"/>
          <w:lang w:val="en-US" w:eastAsia="zh-CN"/>
        </w:rPr>
        <w:t>33.27</w:t>
      </w:r>
      <w:r>
        <w:rPr>
          <w:rFonts w:hint="eastAsia" w:ascii="仿宋_GB2312" w:hAnsi="仿宋_GB2312" w:eastAsia="仿宋_GB2312" w:cs="仿宋_GB2312"/>
          <w:color w:val="auto"/>
          <w:kern w:val="2"/>
          <w:sz w:val="32"/>
          <w:szCs w:val="32"/>
          <w:highlight w:val="none"/>
          <w:lang w:val="en-US" w:eastAsia="zh-CN" w:bidi="ar-SA"/>
        </w:rPr>
        <w:t>万元，占99.73%；公务接待费支出决算</w:t>
      </w:r>
      <w:r>
        <w:rPr>
          <w:rFonts w:hint="eastAsia" w:ascii="仿宋_GB2312" w:hAnsi="仿宋_GB2312" w:eastAsia="仿宋_GB2312" w:cs="仿宋_GB2312"/>
          <w:sz w:val="32"/>
          <w:szCs w:val="32"/>
          <w:lang w:val="en-US" w:eastAsia="zh-CN"/>
        </w:rPr>
        <w:t>0.17</w:t>
      </w:r>
      <w:r>
        <w:rPr>
          <w:rFonts w:hint="eastAsia" w:ascii="仿宋_GB2312" w:hAnsi="仿宋_GB2312" w:eastAsia="仿宋_GB2312" w:cs="仿宋_GB2312"/>
          <w:color w:val="auto"/>
          <w:kern w:val="2"/>
          <w:sz w:val="32"/>
          <w:szCs w:val="32"/>
          <w:highlight w:val="none"/>
          <w:lang w:val="en-US" w:eastAsia="zh-CN" w:bidi="ar-SA"/>
        </w:rPr>
        <w:t>万元，占0.27%。具体情况如下：</w:t>
      </w:r>
    </w:p>
    <w:p>
      <w:pPr>
        <w:pStyle w:val="2"/>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drawing>
          <wp:anchor distT="0" distB="0" distL="114300" distR="114300" simplePos="0" relativeHeight="251663360" behindDoc="0" locked="0" layoutInCell="1" allowOverlap="1">
            <wp:simplePos x="0" y="0"/>
            <wp:positionH relativeFrom="column">
              <wp:posOffset>375285</wp:posOffset>
            </wp:positionH>
            <wp:positionV relativeFrom="paragraph">
              <wp:posOffset>78740</wp:posOffset>
            </wp:positionV>
            <wp:extent cx="4264660" cy="2181225"/>
            <wp:effectExtent l="4445" t="5080" r="17145" b="4445"/>
            <wp:wrapNone/>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pPr>
        <w:pStyle w:val="2"/>
        <w:rPr>
          <w:rFonts w:hint="eastAsia" w:ascii="仿宋_GB2312" w:hAnsi="仿宋_GB2312" w:eastAsia="仿宋_GB2312" w:cs="仿宋_GB2312"/>
          <w:color w:val="auto"/>
          <w:kern w:val="2"/>
          <w:sz w:val="32"/>
          <w:szCs w:val="32"/>
          <w:highlight w:val="none"/>
          <w:lang w:val="en-US" w:eastAsia="zh-CN" w:bidi="ar-SA"/>
        </w:rPr>
      </w:pPr>
    </w:p>
    <w:p>
      <w:pPr>
        <w:pStyle w:val="2"/>
        <w:rPr>
          <w:rFonts w:hint="eastAsia" w:ascii="仿宋_GB2312" w:hAnsi="仿宋_GB2312" w:eastAsia="仿宋_GB2312" w:cs="仿宋_GB2312"/>
          <w:color w:val="auto"/>
          <w:kern w:val="2"/>
          <w:sz w:val="32"/>
          <w:szCs w:val="32"/>
          <w:highlight w:val="none"/>
          <w:lang w:val="en-US" w:eastAsia="zh-CN" w:bidi="ar-SA"/>
        </w:rPr>
      </w:pPr>
    </w:p>
    <w:p>
      <w:pPr>
        <w:pStyle w:val="2"/>
        <w:rPr>
          <w:rFonts w:hint="eastAsia" w:ascii="仿宋_GB2312" w:hAnsi="仿宋_GB2312" w:eastAsia="仿宋_GB2312" w:cs="仿宋_GB2312"/>
          <w:color w:val="auto"/>
          <w:kern w:val="2"/>
          <w:sz w:val="32"/>
          <w:szCs w:val="32"/>
          <w:highlight w:val="none"/>
          <w:lang w:val="en-US" w:eastAsia="zh-CN" w:bidi="ar-SA"/>
        </w:rPr>
      </w:pPr>
    </w:p>
    <w:p>
      <w:pPr>
        <w:pStyle w:val="2"/>
        <w:rPr>
          <w:rFonts w:hint="eastAsia" w:ascii="仿宋_GB2312" w:hAnsi="仿宋_GB2312" w:eastAsia="仿宋_GB2312" w:cs="仿宋_GB2312"/>
          <w:color w:val="auto"/>
          <w:kern w:val="2"/>
          <w:sz w:val="32"/>
          <w:szCs w:val="32"/>
          <w:highlight w:val="none"/>
          <w:lang w:val="en-US" w:eastAsia="zh-CN" w:bidi="ar-SA"/>
        </w:rPr>
      </w:pPr>
    </w:p>
    <w:p>
      <w:pPr>
        <w:pStyle w:val="2"/>
        <w:rPr>
          <w:rFonts w:hint="eastAsia" w:ascii="仿宋_GB2312" w:hAnsi="仿宋_GB2312"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开支内容包括：</w:t>
      </w:r>
      <w:r>
        <w:rPr>
          <w:rFonts w:hint="eastAsia" w:eastAsia="仿宋_GB2312" w:cs="仿宋_GB2312"/>
          <w:color w:val="auto"/>
          <w:kern w:val="2"/>
          <w:sz w:val="32"/>
          <w:szCs w:val="32"/>
          <w:highlight w:val="none"/>
          <w:lang w:val="en-US" w:eastAsia="zh-CN" w:bidi="ar-SA"/>
        </w:rPr>
        <w:t>无。</w:t>
      </w: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p>
    <w:p>
      <w:pPr>
        <w:numPr>
          <w:ilvl w:val="0"/>
          <w:numId w:val="2"/>
        </w:numPr>
        <w:spacing w:line="600" w:lineRule="exact"/>
        <w:ind w:firstLine="640"/>
        <w:rPr>
          <w:rFonts w:hint="eastAsia" w:ascii="方正仿宋_GBK" w:hAnsi="方正仿宋_GBK" w:eastAsia="方正仿宋_GBK" w:cs="方正仿宋_GBK"/>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33.27万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ascii="方正仿宋_GBK" w:hAnsi="方正仿宋_GBK" w:eastAsia="方正仿宋_GBK" w:cs="方正仿宋_GBK"/>
          <w:b/>
          <w:bCs/>
          <w:color w:val="auto"/>
          <w:kern w:val="2"/>
          <w:sz w:val="32"/>
          <w:szCs w:val="32"/>
          <w:highlight w:val="none"/>
          <w:lang w:val="en-US" w:eastAsia="zh-CN" w:bidi="ar-SA"/>
        </w:rPr>
        <w:t>99.73%。</w:t>
      </w:r>
    </w:p>
    <w:p>
      <w:pPr>
        <w:numPr>
          <w:numId w:val="0"/>
        </w:numPr>
        <w:spacing w:line="600" w:lineRule="exact"/>
        <w:rPr>
          <w:rFonts w:hint="eastAsia" w:ascii="仿宋_GB2312" w:hAnsi="仿宋_GB2312" w:eastAsia="仿宋_GB2312" w:cs="仿宋_GB2312"/>
          <w:color w:val="auto"/>
          <w:kern w:val="2"/>
          <w:sz w:val="32"/>
          <w:szCs w:val="32"/>
          <w:highlight w:val="none"/>
          <w:lang w:val="en-US" w:eastAsia="zh-CN" w:bidi="ar-SA"/>
        </w:rPr>
      </w:pPr>
      <w:r>
        <w:rPr>
          <w:rFonts w:hint="eastAsia" w:ascii="方正仿宋_GBK" w:hAnsi="方正仿宋_GBK" w:eastAsia="方正仿宋_GBK" w:cs="方正仿宋_GBK"/>
          <w:color w:val="auto"/>
          <w:kern w:val="2"/>
          <w:sz w:val="32"/>
          <w:szCs w:val="32"/>
          <w:highlight w:val="none"/>
          <w:lang w:val="en-US" w:eastAsia="zh-CN" w:bidi="ar-SA"/>
        </w:rPr>
        <w:t xml:space="preserve">   </w:t>
      </w:r>
      <w:r>
        <w:rPr>
          <w:rFonts w:hint="eastAsia" w:ascii="仿宋_GB2312" w:hAnsi="仿宋_GB2312" w:eastAsia="仿宋_GB2312" w:cs="仿宋_GB2312"/>
          <w:color w:val="auto"/>
          <w:kern w:val="2"/>
          <w:sz w:val="32"/>
          <w:szCs w:val="32"/>
          <w:highlight w:val="none"/>
          <w:lang w:val="en-US" w:eastAsia="zh-CN" w:bidi="ar-SA"/>
        </w:rPr>
        <w:t>公务用车购置及运行维护费支出决算比2024年度增加8.1万元，增长0.24%。主要原因是实际出差次数及发生费用，每年会有相对浮动。</w:t>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仿宋_GB2312" w:hAnsi="仿宋_GB2312" w:eastAsia="仿宋_GB2312" w:cs="仿宋_GB2312"/>
          <w:color w:val="000000"/>
          <w:sz w:val="32"/>
          <w:szCs w:val="32"/>
        </w:rPr>
        <w:t>全年按规定更新购置公务用车</w:t>
      </w:r>
      <w:r>
        <w:rPr>
          <w:rFonts w:hint="eastAsia" w:ascii="仿宋_GB2312" w:hAnsi="仿宋_GB2312" w:eastAsia="仿宋_GB2312" w:cs="仿宋_GB2312"/>
          <w:color w:val="000000"/>
          <w:sz w:val="32"/>
          <w:szCs w:val="32"/>
          <w:lang w:val="en-US" w:eastAsia="zh-CN"/>
        </w:rPr>
        <w:t>0</w:t>
      </w:r>
      <w:r>
        <w:rPr>
          <w:rFonts w:hint="eastAsia" w:ascii="仿宋_GB2312" w:hAnsi="仿宋_GB2312" w:eastAsia="仿宋_GB2312" w:cs="仿宋_GB2312"/>
          <w:color w:val="000000"/>
          <w:sz w:val="32"/>
          <w:szCs w:val="32"/>
        </w:rPr>
        <w:t>辆，其中：轿车</w:t>
      </w:r>
      <w:r>
        <w:rPr>
          <w:rFonts w:hint="eastAsia" w:ascii="仿宋_GB2312" w:hAnsi="仿宋_GB2312" w:eastAsia="仿宋_GB2312" w:cs="仿宋_GB2312"/>
          <w:color w:val="000000"/>
          <w:sz w:val="32"/>
          <w:szCs w:val="32"/>
          <w:lang w:val="en-US" w:eastAsia="zh-CN"/>
        </w:rPr>
        <w:t>0</w:t>
      </w:r>
      <w:r>
        <w:rPr>
          <w:rFonts w:hint="eastAsia" w:ascii="仿宋_GB2312" w:hAnsi="仿宋_GB2312" w:eastAsia="仿宋_GB2312" w:cs="仿宋_GB2312"/>
          <w:color w:val="000000"/>
          <w:sz w:val="32"/>
          <w:szCs w:val="32"/>
        </w:rPr>
        <w:t>辆、金额</w:t>
      </w:r>
      <w:r>
        <w:rPr>
          <w:rFonts w:hint="eastAsia" w:ascii="仿宋_GB2312" w:hAnsi="仿宋_GB2312" w:eastAsia="仿宋_GB2312" w:cs="仿宋_GB2312"/>
          <w:color w:val="000000"/>
          <w:sz w:val="32"/>
          <w:szCs w:val="32"/>
          <w:lang w:val="en-US" w:eastAsia="zh-CN"/>
        </w:rPr>
        <w:t>0</w:t>
      </w:r>
      <w:r>
        <w:rPr>
          <w:rFonts w:hint="eastAsia" w:ascii="仿宋_GB2312" w:hAnsi="仿宋_GB2312" w:eastAsia="仿宋_GB2312" w:cs="仿宋_GB2312"/>
          <w:color w:val="000000"/>
          <w:sz w:val="32"/>
          <w:szCs w:val="32"/>
        </w:rPr>
        <w:t>万元，越野车</w:t>
      </w:r>
      <w:r>
        <w:rPr>
          <w:rFonts w:hint="eastAsia" w:ascii="仿宋_GB2312" w:hAnsi="仿宋_GB2312" w:eastAsia="仿宋_GB2312" w:cs="仿宋_GB2312"/>
          <w:color w:val="000000"/>
          <w:sz w:val="32"/>
          <w:szCs w:val="32"/>
          <w:lang w:val="en-US" w:eastAsia="zh-CN"/>
        </w:rPr>
        <w:t>0</w:t>
      </w:r>
      <w:r>
        <w:rPr>
          <w:rFonts w:hint="eastAsia" w:ascii="仿宋_GB2312" w:hAnsi="仿宋_GB2312" w:eastAsia="仿宋_GB2312" w:cs="仿宋_GB2312"/>
          <w:color w:val="000000"/>
          <w:sz w:val="32"/>
          <w:szCs w:val="32"/>
        </w:rPr>
        <w:t>辆、金额</w:t>
      </w:r>
      <w:r>
        <w:rPr>
          <w:rFonts w:hint="eastAsia" w:ascii="仿宋_GB2312" w:hAnsi="仿宋_GB2312" w:eastAsia="仿宋_GB2312" w:cs="仿宋_GB2312"/>
          <w:color w:val="000000"/>
          <w:sz w:val="32"/>
          <w:szCs w:val="32"/>
          <w:lang w:val="en-US" w:eastAsia="zh-CN"/>
        </w:rPr>
        <w:t>0</w:t>
      </w:r>
      <w:r>
        <w:rPr>
          <w:rFonts w:hint="eastAsia" w:ascii="仿宋_GB2312" w:hAnsi="仿宋_GB2312" w:eastAsia="仿宋_GB2312" w:cs="仿宋_GB2312"/>
          <w:color w:val="000000"/>
          <w:sz w:val="32"/>
          <w:szCs w:val="32"/>
        </w:rPr>
        <w:t>万元，载客汽车</w:t>
      </w:r>
      <w:r>
        <w:rPr>
          <w:rFonts w:hint="eastAsia" w:ascii="仿宋_GB2312" w:hAnsi="仿宋_GB2312" w:eastAsia="仿宋_GB2312" w:cs="仿宋_GB2312"/>
          <w:color w:val="000000"/>
          <w:sz w:val="32"/>
          <w:szCs w:val="32"/>
          <w:lang w:val="en-US" w:eastAsia="zh-CN"/>
        </w:rPr>
        <w:t>0</w:t>
      </w:r>
      <w:r>
        <w:rPr>
          <w:rFonts w:hint="eastAsia" w:ascii="仿宋_GB2312" w:hAnsi="仿宋_GB2312" w:eastAsia="仿宋_GB2312" w:cs="仿宋_GB2312"/>
          <w:color w:val="000000"/>
          <w:sz w:val="32"/>
          <w:szCs w:val="32"/>
        </w:rPr>
        <w:t>辆、金额</w:t>
      </w:r>
      <w:r>
        <w:rPr>
          <w:rFonts w:hint="eastAsia" w:ascii="仿宋_GB2312" w:hAnsi="仿宋_GB2312" w:eastAsia="仿宋_GB2312" w:cs="仿宋_GB2312"/>
          <w:color w:val="000000"/>
          <w:sz w:val="32"/>
          <w:szCs w:val="32"/>
          <w:lang w:val="en-US" w:eastAsia="zh-CN"/>
        </w:rPr>
        <w:t>0</w:t>
      </w:r>
      <w:r>
        <w:rPr>
          <w:rFonts w:hint="eastAsia" w:ascii="仿宋_GB2312" w:hAnsi="仿宋_GB2312" w:eastAsia="仿宋_GB2312" w:cs="仿宋_GB2312"/>
          <w:color w:val="000000"/>
          <w:sz w:val="32"/>
          <w:szCs w:val="32"/>
        </w:rPr>
        <w:t>万元。截至202</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rPr>
        <w:t>年12月底，单位共有公务用车</w:t>
      </w:r>
      <w:r>
        <w:rPr>
          <w:rFonts w:hint="eastAsia" w:ascii="仿宋_GB2312" w:hAnsi="仿宋_GB2312" w:eastAsia="仿宋_GB2312" w:cs="仿宋_GB2312"/>
          <w:color w:val="000000"/>
          <w:sz w:val="32"/>
          <w:szCs w:val="32"/>
          <w:lang w:val="en-US" w:eastAsia="zh-CN"/>
        </w:rPr>
        <w:t>4</w:t>
      </w:r>
      <w:r>
        <w:rPr>
          <w:rFonts w:hint="eastAsia" w:ascii="仿宋_GB2312" w:hAnsi="仿宋_GB2312" w:eastAsia="仿宋_GB2312" w:cs="仿宋_GB2312"/>
          <w:color w:val="000000"/>
          <w:sz w:val="32"/>
          <w:szCs w:val="32"/>
        </w:rPr>
        <w:t>辆，其中：轿车</w:t>
      </w:r>
      <w:r>
        <w:rPr>
          <w:rFonts w:hint="eastAsia" w:ascii="仿宋_GB2312" w:hAnsi="仿宋_GB2312" w:eastAsia="仿宋_GB2312" w:cs="仿宋_GB2312"/>
          <w:color w:val="000000"/>
          <w:sz w:val="32"/>
          <w:szCs w:val="32"/>
          <w:lang w:val="en-US" w:eastAsia="zh-CN"/>
        </w:rPr>
        <w:t>0</w:t>
      </w:r>
      <w:r>
        <w:rPr>
          <w:rFonts w:hint="eastAsia" w:ascii="仿宋_GB2312" w:hAnsi="仿宋_GB2312" w:eastAsia="仿宋_GB2312" w:cs="仿宋_GB2312"/>
          <w:color w:val="000000"/>
          <w:sz w:val="32"/>
          <w:szCs w:val="32"/>
        </w:rPr>
        <w:t>辆、越野车</w:t>
      </w:r>
      <w:r>
        <w:rPr>
          <w:rFonts w:hint="eastAsia" w:ascii="仿宋_GB2312" w:hAnsi="仿宋_GB2312" w:eastAsia="仿宋_GB2312" w:cs="仿宋_GB2312"/>
          <w:color w:val="000000"/>
          <w:sz w:val="32"/>
          <w:szCs w:val="32"/>
          <w:lang w:val="en-US" w:eastAsia="zh-CN"/>
        </w:rPr>
        <w:t>4</w:t>
      </w:r>
      <w:r>
        <w:rPr>
          <w:rFonts w:hint="eastAsia" w:ascii="仿宋_GB2312" w:hAnsi="仿宋_GB2312" w:eastAsia="仿宋_GB2312" w:cs="仿宋_GB2312"/>
          <w:color w:val="000000"/>
          <w:sz w:val="32"/>
          <w:szCs w:val="32"/>
        </w:rPr>
        <w:t>辆、载客汽车</w:t>
      </w:r>
      <w:r>
        <w:rPr>
          <w:rFonts w:hint="eastAsia" w:ascii="仿宋_GB2312" w:hAnsi="仿宋_GB2312" w:eastAsia="仿宋_GB2312" w:cs="仿宋_GB2312"/>
          <w:color w:val="000000"/>
          <w:sz w:val="32"/>
          <w:szCs w:val="32"/>
          <w:lang w:val="en-US" w:eastAsia="zh-CN"/>
        </w:rPr>
        <w:t>0</w:t>
      </w:r>
      <w:r>
        <w:rPr>
          <w:rFonts w:hint="eastAsia" w:ascii="仿宋_GB2312" w:hAnsi="仿宋_GB2312" w:eastAsia="仿宋_GB2312" w:cs="仿宋_GB2312"/>
          <w:color w:val="000000"/>
          <w:sz w:val="32"/>
          <w:szCs w:val="32"/>
        </w:rPr>
        <w:t>辆</w:t>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lang w:val="en-US" w:eastAsia="zh-CN"/>
        </w:rPr>
        <w:t>33.1</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仿宋_GB2312" w:hAnsi="仿宋_GB2312" w:eastAsia="仿宋_GB2312" w:cs="仿宋_GB2312"/>
          <w:color w:val="000000"/>
          <w:sz w:val="32"/>
          <w:szCs w:val="32"/>
        </w:rPr>
        <w:t>主要用于</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应急处理及出差</w:t>
      </w:r>
      <w:r>
        <w:rPr>
          <w:rFonts w:hint="eastAsia" w:ascii="仿宋_GB2312" w:hAnsi="仿宋_GB2312" w:eastAsia="仿宋_GB2312" w:cs="仿宋_GB2312"/>
          <w:color w:val="000000" w:themeColor="text1"/>
          <w:sz w:val="32"/>
          <w:szCs w:val="32"/>
          <w14:textFill>
            <w14:solidFill>
              <w14:schemeClr w14:val="tx1"/>
            </w14:solidFill>
          </w14:textFill>
        </w:rPr>
        <w:t>等所需的公务用车燃料费、维修费、过路过桥费、保险费等支出。</w:t>
      </w:r>
    </w:p>
    <w:p>
      <w:pPr>
        <w:numPr>
          <w:ilvl w:val="0"/>
          <w:numId w:val="2"/>
        </w:numPr>
        <w:spacing w:line="600" w:lineRule="exact"/>
        <w:ind w:firstLine="640" w:firstLineChars="0"/>
        <w:rPr>
          <w:rFonts w:hint="eastAsia"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公务接待费支出</w:t>
      </w:r>
      <w:r>
        <w:rPr>
          <w:rFonts w:hint="eastAsia" w:ascii="仿宋_GB2312" w:hAnsi="仿宋_GB2312" w:eastAsia="仿宋_GB2312" w:cs="仿宋_GB2312"/>
          <w:b/>
          <w:bCs/>
          <w:color w:val="auto"/>
          <w:kern w:val="2"/>
          <w:sz w:val="32"/>
          <w:szCs w:val="32"/>
          <w:highlight w:val="none"/>
          <w:lang w:val="en-US" w:eastAsia="zh-CN" w:bidi="ar-SA"/>
        </w:rPr>
        <w:t>0.17万</w:t>
      </w:r>
      <w:r>
        <w:rPr>
          <w:rFonts w:hint="eastAsia" w:ascii="Times New Roman" w:hAnsi="Times New Roman" w:eastAsia="仿宋_GB2312" w:cs="仿宋_GB2312"/>
          <w:b/>
          <w:bCs/>
          <w:color w:val="auto"/>
          <w:kern w:val="2"/>
          <w:sz w:val="32"/>
          <w:szCs w:val="32"/>
          <w:highlight w:val="none"/>
          <w:lang w:val="en-US" w:eastAsia="zh-CN" w:bidi="ar-SA"/>
        </w:rPr>
        <w:t>元，完成预算</w:t>
      </w:r>
      <w:r>
        <w:rPr>
          <w:rFonts w:hint="eastAsia" w:eastAsia="仿宋_GB2312" w:cs="仿宋_GB2312"/>
          <w:b/>
          <w:bCs/>
          <w:color w:val="auto"/>
          <w:kern w:val="2"/>
          <w:sz w:val="32"/>
          <w:szCs w:val="32"/>
          <w:highlight w:val="none"/>
          <w:lang w:val="en-US" w:eastAsia="zh-CN" w:bidi="ar-SA"/>
        </w:rPr>
        <w:t>4</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w:t>
      </w:r>
    </w:p>
    <w:p>
      <w:pPr>
        <w:numPr>
          <w:numId w:val="0"/>
        </w:numPr>
        <w:spacing w:line="600" w:lineRule="exact"/>
        <w:rPr>
          <w:rFonts w:hint="eastAsia" w:ascii="仿宋_GB2312" w:hAnsi="仿宋_GB2312" w:eastAsia="仿宋_GB2312" w:cs="仿宋_GB2312"/>
          <w:color w:val="auto"/>
          <w:kern w:val="2"/>
          <w:sz w:val="32"/>
          <w:szCs w:val="32"/>
          <w:highlight w:val="none"/>
          <w:lang w:val="en-US" w:eastAsia="zh-CN" w:bidi="ar-SA"/>
        </w:rPr>
      </w:pPr>
      <w:r>
        <w:rPr>
          <w:rFonts w:hint="eastAsia" w:ascii="方正仿宋_GBK" w:hAnsi="方正仿宋_GBK" w:eastAsia="方正仿宋_GBK" w:cs="方正仿宋_GBK"/>
          <w:color w:val="auto"/>
          <w:kern w:val="2"/>
          <w:sz w:val="32"/>
          <w:szCs w:val="32"/>
          <w:highlight w:val="none"/>
          <w:lang w:val="en-US" w:eastAsia="zh-CN" w:bidi="ar-SA"/>
        </w:rPr>
        <w:t xml:space="preserve">   </w:t>
      </w:r>
      <w:r>
        <w:rPr>
          <w:rFonts w:hint="eastAsia" w:ascii="仿宋_GB2312" w:hAnsi="仿宋_GB2312" w:eastAsia="仿宋_GB2312" w:cs="仿宋_GB2312"/>
          <w:color w:val="auto"/>
          <w:kern w:val="2"/>
          <w:sz w:val="32"/>
          <w:szCs w:val="32"/>
          <w:highlight w:val="none"/>
          <w:lang w:val="en-US" w:eastAsia="zh-CN" w:bidi="ar-SA"/>
        </w:rPr>
        <w:t>公务接待费支出决算比2024年度减少0.1万元，下降41.17%。主要原因是</w:t>
      </w:r>
      <w:r>
        <w:rPr>
          <w:rFonts w:hint="eastAsia" w:ascii="仿宋_GB2312" w:hAnsi="仿宋_GB2312" w:eastAsia="仿宋_GB2312" w:cs="仿宋_GB2312"/>
          <w:color w:val="000000"/>
          <w:sz w:val="32"/>
          <w:szCs w:val="32"/>
          <w:lang w:eastAsia="zh-CN"/>
        </w:rPr>
        <w:t>来校交流单位减少</w:t>
      </w:r>
      <w:r>
        <w:rPr>
          <w:rFonts w:hint="eastAsia" w:ascii="仿宋_GB2312" w:hAnsi="仿宋_GB2312" w:eastAsia="仿宋_GB2312" w:cs="仿宋_GB2312"/>
          <w:color w:val="auto"/>
          <w:kern w:val="2"/>
          <w:sz w:val="32"/>
          <w:szCs w:val="32"/>
          <w:highlight w:val="none"/>
          <w:lang w:val="en-US" w:eastAsia="zh-CN" w:bidi="ar-SA"/>
        </w:rPr>
        <w:t>。</w:t>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0.</w:t>
      </w:r>
      <w:r>
        <w:rPr>
          <w:rFonts w:hint="eastAsia" w:ascii="仿宋_GB2312" w:hAnsi="仿宋_GB2312" w:eastAsia="仿宋_GB2312" w:cs="仿宋_GB2312"/>
          <w:sz w:val="32"/>
          <w:szCs w:val="32"/>
          <w:lang w:val="en-US" w:eastAsia="zh-CN"/>
        </w:rPr>
        <w:t>17</w:t>
      </w:r>
      <w:r>
        <w:rPr>
          <w:rFonts w:hint="eastAsia" w:ascii="仿宋_GB2312" w:hAnsi="仿宋_GB2312" w:eastAsia="仿宋_GB2312" w:cs="仿宋_GB2312"/>
          <w:color w:val="auto"/>
          <w:kern w:val="2"/>
          <w:sz w:val="32"/>
          <w:szCs w:val="32"/>
          <w:highlight w:val="none"/>
          <w:lang w:val="en-US" w:eastAsia="zh-CN" w:bidi="ar-SA"/>
        </w:rPr>
        <w:t>万元，主要用于</w:t>
      </w:r>
      <w:r>
        <w:rPr>
          <w:rFonts w:hint="eastAsia" w:ascii="仿宋_GB2312" w:hAnsi="仿宋_GB2312" w:eastAsia="仿宋_GB2312" w:cs="仿宋_GB2312"/>
          <w:color w:val="000000"/>
          <w:sz w:val="32"/>
          <w:szCs w:val="32"/>
        </w:rPr>
        <w:t>主要用于开展业务活动开支的用餐费等</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国内公务接待</w:t>
      </w:r>
      <w:r>
        <w:rPr>
          <w:rFonts w:hint="eastAsia" w:ascii="仿宋_GB2312" w:hAnsi="仿宋_GB2312" w:eastAsia="仿宋_GB2312" w:cs="仿宋_GB2312"/>
          <w:color w:val="000000"/>
          <w:sz w:val="32"/>
          <w:szCs w:val="32"/>
          <w:lang w:val="en-US" w:eastAsia="zh-CN"/>
        </w:rPr>
        <w:t>2</w:t>
      </w:r>
      <w:r>
        <w:rPr>
          <w:rFonts w:hint="eastAsia" w:ascii="仿宋_GB2312" w:hAnsi="仿宋_GB2312" w:eastAsia="仿宋_GB2312" w:cs="仿宋_GB2312"/>
          <w:color w:val="000000"/>
          <w:sz w:val="32"/>
          <w:szCs w:val="32"/>
        </w:rPr>
        <w:t>批次</w:t>
      </w:r>
      <w:r>
        <w:rPr>
          <w:rFonts w:hint="eastAsia" w:ascii="仿宋_GB2312" w:hAnsi="仿宋_GB2312" w:eastAsia="仿宋_GB2312" w:cs="仿宋_GB2312"/>
          <w:color w:val="000000"/>
          <w:sz w:val="32"/>
          <w:szCs w:val="32"/>
          <w:lang w:eastAsia="zh-CN"/>
        </w:rPr>
        <w:t>。</w:t>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w:t>
      </w:r>
      <w:bookmarkStart w:id="34" w:name="_Toc15377218"/>
      <w:bookmarkStart w:id="35" w:name="_Toc15396610"/>
      <w:r>
        <w:rPr>
          <w:rFonts w:hint="eastAsia" w:ascii="仿宋_GB2312" w:hAnsi="仿宋_GB2312" w:eastAsia="仿宋_GB2312" w:cs="仿宋_GB2312"/>
          <w:color w:val="auto"/>
          <w:kern w:val="2"/>
          <w:sz w:val="32"/>
          <w:szCs w:val="32"/>
          <w:highlight w:val="none"/>
          <w:lang w:val="en-US" w:eastAsia="zh-CN" w:bidi="ar-SA"/>
        </w:rPr>
        <w:t>。</w:t>
      </w:r>
    </w:p>
    <w:p>
      <w:pPr>
        <w:spacing w:line="600" w:lineRule="exact"/>
        <w:ind w:firstLine="640"/>
        <w:outlineLvl w:val="1"/>
        <w:rPr>
          <w:rStyle w:val="29"/>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34"/>
      <w:bookmarkEnd w:id="35"/>
    </w:p>
    <w:p>
      <w:pPr>
        <w:numPr>
          <w:ilvl w:val="0"/>
          <w:numId w:val="0"/>
        </w:numPr>
        <w:spacing w:line="600" w:lineRule="exact"/>
        <w:ind w:left="630" w:leftChars="0"/>
        <w:outlineLvl w:val="1"/>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2025年度政府性基金预算财政拨款支出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w:t>
      </w:r>
      <w:bookmarkStart w:id="36" w:name="_Toc15396611"/>
      <w:bookmarkStart w:id="37" w:name="_Toc15377219"/>
    </w:p>
    <w:p>
      <w:pPr>
        <w:numPr>
          <w:ilvl w:val="0"/>
          <w:numId w:val="0"/>
        </w:numPr>
        <w:spacing w:line="600" w:lineRule="exact"/>
        <w:ind w:left="630" w:leftChars="0"/>
        <w:outlineLvl w:val="1"/>
        <w:rPr>
          <w:rStyle w:val="29"/>
          <w:rFonts w:ascii="Times New Roman" w:hAnsi="Times New Roman" w:eastAsia="黑体"/>
          <w:b w:val="0"/>
          <w:color w:val="auto"/>
          <w:highlight w:val="none"/>
        </w:rPr>
      </w:pPr>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36"/>
      <w:bookmarkEnd w:id="37"/>
    </w:p>
    <w:p>
      <w:pPr>
        <w:numPr>
          <w:ilvl w:val="0"/>
          <w:numId w:val="0"/>
        </w:numPr>
        <w:spacing w:line="600" w:lineRule="exact"/>
        <w:ind w:left="630" w:leftChars="0"/>
        <w:outlineLvl w:val="1"/>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2025年度国有资本经营预算财政拨款支出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w:t>
      </w:r>
      <w:bookmarkStart w:id="38" w:name="_Toc15396612"/>
      <w:bookmarkStart w:id="39" w:name="_Toc15377221"/>
    </w:p>
    <w:p>
      <w:pPr>
        <w:numPr>
          <w:ilvl w:val="0"/>
          <w:numId w:val="0"/>
        </w:numPr>
        <w:spacing w:line="600" w:lineRule="exact"/>
        <w:outlineLvl w:val="1"/>
        <w:rPr>
          <w:rStyle w:val="29"/>
          <w:rFonts w:hint="eastAsia" w:ascii="Times New Roman" w:hAnsi="Times New Roman" w:eastAsia="黑体"/>
          <w:b w:val="0"/>
          <w:color w:val="auto"/>
          <w:highlight w:val="none"/>
        </w:rPr>
      </w:pPr>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38"/>
      <w:bookmarkEnd w:id="39"/>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0" w:name="_Toc15377222"/>
      <w:r>
        <w:rPr>
          <w:rFonts w:hint="eastAsia" w:ascii="Times New Roman" w:hAnsi="Times New Roman" w:eastAsia="楷体_GB2312" w:cs="楷体_GB2312"/>
          <w:b/>
          <w:color w:val="auto"/>
          <w:sz w:val="32"/>
          <w:szCs w:val="32"/>
          <w:highlight w:val="none"/>
        </w:rPr>
        <w:t>（一）机关运行经费支出情况</w:t>
      </w:r>
      <w:bookmarkEnd w:id="40"/>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无</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1" w:name="_Toc15377223"/>
      <w:r>
        <w:rPr>
          <w:rFonts w:hint="eastAsia" w:ascii="Times New Roman" w:hAnsi="Times New Roman" w:eastAsia="楷体_GB2312" w:cs="楷体_GB2312"/>
          <w:b/>
          <w:color w:val="auto"/>
          <w:sz w:val="32"/>
          <w:szCs w:val="32"/>
          <w:highlight w:val="none"/>
        </w:rPr>
        <w:t>（二）政府采购支出情况</w:t>
      </w:r>
      <w:bookmarkEnd w:id="41"/>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sz w:val="32"/>
          <w:szCs w:val="32"/>
        </w:rPr>
        <w:t>阿坝藏族羌族自治州中等职业技术学校</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lang w:val="en-US" w:eastAsia="zh-CN"/>
        </w:rPr>
        <w:t>540.86</w:t>
      </w:r>
      <w:r>
        <w:rPr>
          <w:rFonts w:hint="eastAsia" w:ascii="仿宋_GB2312" w:hAnsi="仿宋_GB2312"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lang w:val="en-US" w:eastAsia="zh-CN"/>
        </w:rPr>
        <w:t>108.6</w:t>
      </w:r>
      <w:r>
        <w:rPr>
          <w:rFonts w:hint="eastAsia" w:ascii="仿宋_GB2312" w:hAnsi="仿宋_GB2312"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lang w:val="en-US" w:eastAsia="zh-CN"/>
        </w:rPr>
        <w:t>361.73</w:t>
      </w:r>
      <w:r>
        <w:rPr>
          <w:rFonts w:hint="eastAsia" w:ascii="仿宋_GB2312" w:hAnsi="仿宋_GB2312"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lang w:val="en-US" w:eastAsia="zh-CN"/>
        </w:rPr>
        <w:t>70.53</w:t>
      </w:r>
      <w:r>
        <w:rPr>
          <w:rFonts w:hint="eastAsia" w:ascii="仿宋_GB2312" w:hAnsi="仿宋_GB2312" w:eastAsia="仿宋_GB2312" w:cs="仿宋_GB2312"/>
          <w:color w:val="auto"/>
          <w:kern w:val="2"/>
          <w:sz w:val="32"/>
          <w:szCs w:val="32"/>
          <w:highlight w:val="none"/>
          <w:lang w:val="en-US" w:eastAsia="zh-CN" w:bidi="ar-SA"/>
        </w:rPr>
        <w:t>万元。授予中小企业合同金额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2" w:name="_Toc15377224"/>
      <w:r>
        <w:rPr>
          <w:rFonts w:hint="eastAsia" w:ascii="Times New Roman" w:hAnsi="Times New Roman" w:eastAsia="楷体_GB2312" w:cs="楷体_GB2312"/>
          <w:b/>
          <w:color w:val="auto"/>
          <w:sz w:val="32"/>
          <w:szCs w:val="32"/>
          <w:highlight w:val="none"/>
        </w:rPr>
        <w:t>（三）国有资产占有使用情况</w:t>
      </w:r>
      <w:bookmarkEnd w:id="42"/>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w:t>
      </w:r>
      <w:r>
        <w:rPr>
          <w:rFonts w:hint="eastAsia" w:ascii="仿宋_GB2312" w:hAnsi="仿宋_GB2312" w:eastAsia="仿宋_GB2312" w:cs="仿宋_GB2312"/>
          <w:sz w:val="32"/>
          <w:szCs w:val="32"/>
        </w:rPr>
        <w:t>阿坝藏族羌族自治州中等职业技术学校</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5</w:t>
      </w:r>
      <w:r>
        <w:rPr>
          <w:rFonts w:hint="eastAsia" w:ascii="仿宋_GB2312" w:hAnsi="仿宋_GB2312" w:eastAsia="仿宋_GB2312" w:cs="仿宋_GB2312"/>
          <w:color w:val="auto"/>
          <w:kern w:val="2"/>
          <w:sz w:val="32"/>
          <w:szCs w:val="32"/>
          <w:highlight w:val="none"/>
          <w:lang w:val="en-US" w:eastAsia="zh-CN" w:bidi="ar-SA"/>
        </w:rPr>
        <w:t>辆，其中：主要负责人用车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5</w:t>
      </w:r>
      <w:r>
        <w:rPr>
          <w:rFonts w:hint="eastAsia" w:ascii="仿宋_GB2312" w:hAnsi="仿宋_GB2312" w:eastAsia="仿宋_GB2312" w:cs="仿宋_GB2312"/>
          <w:color w:val="auto"/>
          <w:kern w:val="2"/>
          <w:sz w:val="32"/>
          <w:szCs w:val="32"/>
          <w:highlight w:val="none"/>
          <w:lang w:val="en-US" w:eastAsia="zh-CN" w:bidi="ar-SA"/>
        </w:rPr>
        <w:t>辆，其他用车主要是用于</w:t>
      </w:r>
      <w:r>
        <w:rPr>
          <w:rFonts w:hint="eastAsia" w:ascii="仿宋_GB2312" w:hAnsi="仿宋_GB2312" w:eastAsia="仿宋_GB2312" w:cs="仿宋_GB2312"/>
          <w:color w:val="000000"/>
          <w:sz w:val="32"/>
          <w:szCs w:val="32"/>
          <w:lang w:val="en-US" w:eastAsia="zh-CN"/>
        </w:rPr>
        <w:t>公务用车</w:t>
      </w:r>
      <w:r>
        <w:rPr>
          <w:rFonts w:hint="eastAsia" w:ascii="仿宋_GB2312" w:hAnsi="仿宋_GB2312" w:eastAsia="仿宋_GB2312" w:cs="仿宋_GB2312"/>
          <w:color w:val="auto"/>
          <w:kern w:val="2"/>
          <w:sz w:val="32"/>
          <w:szCs w:val="32"/>
          <w:highlight w:val="none"/>
          <w:lang w:val="en-US" w:eastAsia="zh-CN" w:bidi="ar-SA"/>
        </w:rPr>
        <w:t>。单价100万元（含）以上设备（不含车辆）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台（套）。</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根据预算绩效管理要求，本部门（单位）在年初预算编制阶段，组织对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教学设施设备购置”等</w:t>
      </w:r>
      <w:r>
        <w:rPr>
          <w:rFonts w:hint="eastAsia" w:ascii="仿宋_GB2312" w:hAnsi="仿宋_GB2312" w:eastAsia="仿宋_GB2312" w:cs="仿宋_GB2312"/>
          <w:sz w:val="32"/>
          <w:szCs w:val="32"/>
        </w:rPr>
        <w:t>项目（项目名称）开展了预算事前绩效评估，对</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个项目编制了绩效目标，预算执行过程中，选取</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个项目开展绩效监控，年终执行完毕后，对</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个项目开展了绩效目标完成情况自评。</w:t>
      </w:r>
    </w:p>
    <w:p>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本部门按要求对202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年部门整体支出开展绩效自评，从评价情况来看</w:t>
      </w:r>
      <w:r>
        <w:rPr>
          <w:rFonts w:hint="eastAsia" w:ascii="仿宋_GB2312" w:hAnsi="仿宋_GB2312" w:eastAsia="仿宋_GB2312" w:cs="仿宋_GB2312"/>
          <w:sz w:val="32"/>
          <w:szCs w:val="32"/>
          <w:lang w:val="en-US" w:eastAsia="zh-CN"/>
        </w:rPr>
        <w:t>部门2025年绩效整体完成度较高，能保证按时按量完成</w:t>
      </w:r>
      <w:r>
        <w:rPr>
          <w:rFonts w:hint="eastAsia" w:ascii="仿宋_GB2312" w:hAnsi="仿宋_GB2312" w:eastAsia="仿宋_GB2312" w:cs="仿宋_GB2312"/>
          <w:sz w:val="32"/>
          <w:szCs w:val="32"/>
        </w:rPr>
        <w:t>（简要说明整体绩效情况）。本部门还自行组织了</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个项目支出绩效评价，从评价情况来看</w:t>
      </w:r>
      <w:r>
        <w:rPr>
          <w:rFonts w:hint="eastAsia" w:ascii="仿宋_GB2312" w:hAnsi="仿宋_GB2312" w:eastAsia="仿宋_GB2312" w:cs="仿宋_GB2312"/>
          <w:sz w:val="32"/>
          <w:szCs w:val="32"/>
          <w:lang w:eastAsia="zh-CN"/>
        </w:rPr>
        <w:t>各个项目根据预算要求无论从数量还是质量都能如期完成。</w:t>
      </w:r>
      <w:r>
        <w:rPr>
          <w:rFonts w:hint="eastAsia" w:ascii="仿宋_GB2312" w:hAnsi="仿宋_GB2312" w:eastAsia="仿宋_GB2312" w:cs="仿宋_GB2312"/>
          <w:sz w:val="32"/>
          <w:szCs w:val="32"/>
        </w:rPr>
        <w:t>（简要说明项目绩效情况；若未开展项目支出绩效评价，则说明未开展情况。如：本部门无专项预算项目，因此未组织开展项目支出绩效评价/本部门未组织开展项目支出绩效评价）。</w:t>
      </w:r>
    </w:p>
    <w:p>
      <w:pPr>
        <w:spacing w:line="580" w:lineRule="exac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项目绩效目标完成情况。</w:t>
      </w:r>
    </w:p>
    <w:p>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本部门在202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年度部门决算中反映“</w:t>
      </w:r>
      <w:r>
        <w:rPr>
          <w:rFonts w:hint="eastAsia" w:ascii="仿宋_GB2312" w:hAnsi="仿宋_GB2312" w:eastAsia="仿宋_GB2312" w:cs="仿宋_GB2312"/>
          <w:sz w:val="32"/>
          <w:szCs w:val="32"/>
          <w:lang w:val="en-US" w:eastAsia="zh-CN"/>
        </w:rPr>
        <w:t>中等职业教育学生资助补助经费</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招生宣传支出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驾校支出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教学设施设备购置</w:t>
      </w:r>
      <w:r>
        <w:rPr>
          <w:rFonts w:hint="eastAsia" w:ascii="仿宋_GB2312" w:hAnsi="仿宋_GB2312" w:eastAsia="仿宋_GB2312" w:cs="仿宋_GB2312"/>
          <w:sz w:val="32"/>
          <w:szCs w:val="32"/>
          <w:lang w:eastAsia="zh-CN"/>
        </w:rPr>
        <w:t>”“车辆维修大修（川U74145）”</w:t>
      </w:r>
      <w:r>
        <w:rPr>
          <w:rFonts w:hint="eastAsia" w:ascii="仿宋_GB2312" w:hAnsi="仿宋_GB2312" w:eastAsia="仿宋_GB2312" w:cs="仿宋_GB2312"/>
          <w:sz w:val="32"/>
          <w:szCs w:val="32"/>
        </w:rPr>
        <w:t>等</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个项目绩效目标实际完成情况。（本单位部门项目绩效目标个数在5个以上的，选取5个项目进行公开，目标个数在5个以下的，全部进行公开，公开内容包括选取的全部项目完成情况综述和完成情况表）。</w:t>
      </w:r>
    </w:p>
    <w:p>
      <w:pPr>
        <w:numPr>
          <w:ilvl w:val="0"/>
          <w:numId w:val="0"/>
        </w:numPr>
        <w:spacing w:line="580" w:lineRule="exact"/>
        <w:ind w:firstLine="640"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“学校教学楼及学生宿舍维修</w:t>
      </w:r>
      <w:r>
        <w:rPr>
          <w:rFonts w:hint="eastAsia" w:ascii="仿宋_GB2312" w:hAnsi="仿宋_GB2312" w:eastAsia="仿宋_GB2312" w:cs="仿宋_GB2312"/>
          <w:color w:val="000000" w:themeColor="text1"/>
          <w:sz w:val="32"/>
          <w:szCs w:val="32"/>
          <w:highlight w:val="none"/>
          <w14:textFill>
            <w14:solidFill>
              <w14:schemeClr w14:val="tx1"/>
            </w14:solidFill>
          </w14:textFill>
        </w:rPr>
        <w:t>项目</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绩效目标完成情况综述。项目全年预算数</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340.99</w:t>
      </w:r>
      <w:r>
        <w:rPr>
          <w:rFonts w:hint="eastAsia" w:ascii="仿宋_GB2312" w:hAnsi="仿宋_GB2312" w:eastAsia="仿宋_GB2312" w:cs="仿宋_GB2312"/>
          <w:color w:val="000000" w:themeColor="text1"/>
          <w:sz w:val="32"/>
          <w:szCs w:val="32"/>
          <w:highlight w:val="none"/>
          <w14:textFill>
            <w14:solidFill>
              <w14:schemeClr w14:val="tx1"/>
            </w14:solidFill>
          </w14:textFill>
        </w:rPr>
        <w:t>万元，执行数为</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340.99</w:t>
      </w:r>
      <w:r>
        <w:rPr>
          <w:rFonts w:hint="eastAsia" w:ascii="仿宋_GB2312" w:hAnsi="仿宋_GB2312" w:eastAsia="仿宋_GB2312" w:cs="仿宋_GB2312"/>
          <w:color w:val="000000" w:themeColor="text1"/>
          <w:sz w:val="32"/>
          <w:szCs w:val="32"/>
          <w:highlight w:val="none"/>
          <w14:textFill>
            <w14:solidFill>
              <w14:schemeClr w14:val="tx1"/>
            </w14:solidFill>
          </w14:textFill>
        </w:rPr>
        <w:t>万元，完成预算的</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100</w:t>
      </w:r>
      <w:r>
        <w:rPr>
          <w:rFonts w:hint="eastAsia" w:ascii="仿宋_GB2312" w:hAnsi="仿宋_GB2312" w:eastAsia="仿宋_GB2312" w:cs="仿宋_GB2312"/>
          <w:color w:val="000000" w:themeColor="text1"/>
          <w:sz w:val="32"/>
          <w:szCs w:val="32"/>
          <w:highlight w:val="none"/>
          <w14:textFill>
            <w14:solidFill>
              <w14:schemeClr w14:val="tx1"/>
            </w14:solidFill>
          </w14:textFill>
        </w:rPr>
        <w:t>%。通过项目实施，包括教学楼及学生宿舍屋面防水维修、墙面翻新、地面修补、门窗更换、水电管线改造、卫生间整修、公共区域修缮等，发现的主要问题：</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无</w:t>
      </w:r>
      <w:r>
        <w:rPr>
          <w:rFonts w:hint="eastAsia" w:ascii="仿宋_GB2312" w:hAnsi="仿宋_GB2312" w:eastAsia="仿宋_GB2312" w:cs="仿宋_GB2312"/>
          <w:color w:val="000000" w:themeColor="text1"/>
          <w:sz w:val="32"/>
          <w:szCs w:val="32"/>
          <w:highlight w:val="none"/>
          <w14:textFill>
            <w14:solidFill>
              <w14:schemeClr w14:val="tx1"/>
            </w14:solidFill>
          </w14:textFill>
        </w:rPr>
        <w:t>。</w:t>
      </w:r>
    </w:p>
    <w:p>
      <w:pPr>
        <w:numPr>
          <w:ilvl w:val="0"/>
          <w:numId w:val="0"/>
        </w:numPr>
        <w:spacing w:line="580" w:lineRule="exact"/>
        <w:ind w:firstLine="640" w:firstLineChars="200"/>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（2）“招生宣传支出项目</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项目绩效目标完成情况综述。项目全年预算数</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10</w:t>
      </w:r>
      <w:r>
        <w:rPr>
          <w:rFonts w:hint="eastAsia" w:ascii="仿宋_GB2312" w:hAnsi="仿宋_GB2312" w:eastAsia="仿宋_GB2312" w:cs="仿宋_GB2312"/>
          <w:color w:val="000000" w:themeColor="text1"/>
          <w:sz w:val="32"/>
          <w:szCs w:val="32"/>
          <w:highlight w:val="none"/>
          <w14:textFill>
            <w14:solidFill>
              <w14:schemeClr w14:val="tx1"/>
            </w14:solidFill>
          </w14:textFill>
        </w:rPr>
        <w:t>万元，执行数为</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8.41</w:t>
      </w:r>
      <w:r>
        <w:rPr>
          <w:rFonts w:hint="eastAsia" w:ascii="仿宋_GB2312" w:hAnsi="仿宋_GB2312" w:eastAsia="仿宋_GB2312" w:cs="仿宋_GB2312"/>
          <w:color w:val="000000" w:themeColor="text1"/>
          <w:sz w:val="32"/>
          <w:szCs w:val="32"/>
          <w:highlight w:val="none"/>
          <w14:textFill>
            <w14:solidFill>
              <w14:schemeClr w14:val="tx1"/>
            </w14:solidFill>
          </w14:textFill>
        </w:rPr>
        <w:t>元，完成预算的</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84.1</w:t>
      </w:r>
      <w:r>
        <w:rPr>
          <w:rFonts w:hint="eastAsia" w:ascii="仿宋_GB2312" w:hAnsi="仿宋_GB2312" w:eastAsia="仿宋_GB2312" w:cs="仿宋_GB2312"/>
          <w:color w:val="000000" w:themeColor="text1"/>
          <w:sz w:val="32"/>
          <w:szCs w:val="32"/>
          <w:highlight w:val="none"/>
          <w14:textFill>
            <w14:solidFill>
              <w14:schemeClr w14:val="tx1"/>
            </w14:solidFill>
          </w14:textFill>
        </w:rPr>
        <w:t>%。通过项目实施，保障了</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学校招生工作按时完成</w:t>
      </w:r>
      <w:r>
        <w:rPr>
          <w:rFonts w:hint="eastAsia" w:ascii="仿宋_GB2312" w:hAnsi="仿宋_GB2312" w:eastAsia="仿宋_GB2312" w:cs="仿宋_GB2312"/>
          <w:color w:val="000000" w:themeColor="text1"/>
          <w:sz w:val="32"/>
          <w:szCs w:val="32"/>
          <w:highlight w:val="none"/>
          <w14:textFill>
            <w14:solidFill>
              <w14:schemeClr w14:val="tx1"/>
            </w14:solidFill>
          </w14:textFill>
        </w:rPr>
        <w:t>(按照项目总体目标简要描述项目成效），发现的主要问题：</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无</w:t>
      </w:r>
    </w:p>
    <w:p>
      <w:pPr>
        <w:spacing w:line="580" w:lineRule="exact"/>
        <w:ind w:firstLine="640" w:firstLineChars="200"/>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highlight w:val="none"/>
          <w14:textFill>
            <w14:solidFill>
              <w14:schemeClr w14:val="tx1"/>
            </w14:solidFill>
          </w14:textFill>
        </w:rPr>
        <w:t>）</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“食堂设备采购及安装项目”</w:t>
      </w:r>
      <w:r>
        <w:rPr>
          <w:rFonts w:hint="eastAsia" w:ascii="仿宋_GB2312" w:hAnsi="仿宋_GB2312" w:eastAsia="仿宋_GB2312" w:cs="仿宋_GB2312"/>
          <w:color w:val="000000" w:themeColor="text1"/>
          <w:sz w:val="32"/>
          <w:szCs w:val="32"/>
          <w:highlight w:val="none"/>
          <w14:textFill>
            <w14:solidFill>
              <w14:schemeClr w14:val="tx1"/>
            </w14:solidFill>
          </w14:textFill>
        </w:rPr>
        <w:t>项目绩效目标完成情况综述。项目全年预算数</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57.95</w:t>
      </w:r>
      <w:r>
        <w:rPr>
          <w:rFonts w:hint="eastAsia" w:ascii="仿宋_GB2312" w:hAnsi="仿宋_GB2312" w:eastAsia="仿宋_GB2312" w:cs="仿宋_GB2312"/>
          <w:color w:val="000000" w:themeColor="text1"/>
          <w:sz w:val="32"/>
          <w:szCs w:val="32"/>
          <w:highlight w:val="none"/>
          <w14:textFill>
            <w14:solidFill>
              <w14:schemeClr w14:val="tx1"/>
            </w14:solidFill>
          </w14:textFill>
        </w:rPr>
        <w:t>万元，执行数为</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57.95</w:t>
      </w:r>
      <w:r>
        <w:rPr>
          <w:rFonts w:hint="eastAsia" w:ascii="仿宋_GB2312" w:hAnsi="仿宋_GB2312" w:eastAsia="仿宋_GB2312" w:cs="仿宋_GB2312"/>
          <w:color w:val="000000" w:themeColor="text1"/>
          <w:sz w:val="32"/>
          <w:szCs w:val="32"/>
          <w:highlight w:val="none"/>
          <w14:textFill>
            <w14:solidFill>
              <w14:schemeClr w14:val="tx1"/>
            </w14:solidFill>
          </w14:textFill>
        </w:rPr>
        <w:t>万元，完成预算的</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100</w:t>
      </w:r>
      <w:r>
        <w:rPr>
          <w:rFonts w:hint="eastAsia" w:ascii="仿宋_GB2312" w:hAnsi="仿宋_GB2312" w:eastAsia="仿宋_GB2312" w:cs="仿宋_GB2312"/>
          <w:color w:val="000000" w:themeColor="text1"/>
          <w:sz w:val="32"/>
          <w:szCs w:val="32"/>
          <w:highlight w:val="none"/>
          <w14:textFill>
            <w14:solidFill>
              <w14:schemeClr w14:val="tx1"/>
            </w14:solidFill>
          </w14:textFill>
        </w:rPr>
        <w:t>%。通过项目实施，</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项目主要内容为食堂后厨设备更新、采购、安装及调试，包括烹饪设备、冷藏冷冻设备、消毒设备、通风排烟设备、清洗设备及配套厨具等。</w:t>
      </w:r>
      <w:r>
        <w:rPr>
          <w:rFonts w:hint="eastAsia" w:ascii="仿宋_GB2312" w:hAnsi="仿宋_GB2312" w:eastAsia="仿宋_GB2312" w:cs="仿宋_GB2312"/>
          <w:color w:val="000000" w:themeColor="text1"/>
          <w:sz w:val="32"/>
          <w:szCs w:val="32"/>
          <w:highlight w:val="none"/>
          <w14:textFill>
            <w14:solidFill>
              <w14:schemeClr w14:val="tx1"/>
            </w14:solidFill>
          </w14:textFill>
        </w:rPr>
        <w:t>发现的主要问题：</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无</w:t>
      </w:r>
      <w:r>
        <w:rPr>
          <w:rFonts w:hint="eastAsia" w:ascii="仿宋_GB2312" w:hAnsi="仿宋_GB2312" w:eastAsia="仿宋_GB2312" w:cs="仿宋_GB2312"/>
          <w:color w:val="000000" w:themeColor="text1"/>
          <w:sz w:val="32"/>
          <w:szCs w:val="32"/>
          <w:highlight w:val="none"/>
          <w14:textFill>
            <w14:solidFill>
              <w14:schemeClr w14:val="tx1"/>
            </w14:solidFill>
          </w14:textFill>
        </w:rPr>
        <w:t>。</w:t>
      </w:r>
    </w:p>
    <w:p>
      <w:pPr>
        <w:spacing w:line="580" w:lineRule="exact"/>
        <w:ind w:firstLine="640" w:firstLineChars="200"/>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highlight w:val="none"/>
          <w14:textFill>
            <w14:solidFill>
              <w14:schemeClr w14:val="tx1"/>
            </w14:solidFill>
          </w14:textFill>
        </w:rPr>
        <w:t>）</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“2025年中等职业教育学生奖助学金专项预算项目”</w:t>
      </w:r>
      <w:r>
        <w:rPr>
          <w:rFonts w:hint="eastAsia" w:ascii="仿宋_GB2312" w:hAnsi="仿宋_GB2312" w:eastAsia="仿宋_GB2312" w:cs="仿宋_GB2312"/>
          <w:color w:val="000000" w:themeColor="text1"/>
          <w:sz w:val="32"/>
          <w:szCs w:val="32"/>
          <w:highlight w:val="none"/>
          <w14:textFill>
            <w14:solidFill>
              <w14:schemeClr w14:val="tx1"/>
            </w14:solidFill>
          </w14:textFill>
        </w:rPr>
        <w:t>项目绩效目标完成情况综述。项目全年预算数</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99.58</w:t>
      </w:r>
      <w:r>
        <w:rPr>
          <w:rFonts w:hint="eastAsia" w:ascii="仿宋_GB2312" w:hAnsi="仿宋_GB2312" w:eastAsia="仿宋_GB2312" w:cs="仿宋_GB2312"/>
          <w:color w:val="000000" w:themeColor="text1"/>
          <w:sz w:val="32"/>
          <w:szCs w:val="32"/>
          <w:highlight w:val="none"/>
          <w14:textFill>
            <w14:solidFill>
              <w14:schemeClr w14:val="tx1"/>
            </w14:solidFill>
          </w14:textFill>
        </w:rPr>
        <w:t>万元，执行数为</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99.58</w:t>
      </w:r>
      <w:r>
        <w:rPr>
          <w:rFonts w:hint="eastAsia" w:ascii="仿宋_GB2312" w:hAnsi="仿宋_GB2312" w:eastAsia="仿宋_GB2312" w:cs="仿宋_GB2312"/>
          <w:color w:val="000000" w:themeColor="text1"/>
          <w:sz w:val="32"/>
          <w:szCs w:val="32"/>
          <w:highlight w:val="none"/>
          <w14:textFill>
            <w14:solidFill>
              <w14:schemeClr w14:val="tx1"/>
            </w14:solidFill>
          </w14:textFill>
        </w:rPr>
        <w:t>万元，完成预算的</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100</w:t>
      </w:r>
      <w:r>
        <w:rPr>
          <w:rFonts w:hint="eastAsia" w:ascii="仿宋_GB2312" w:hAnsi="仿宋_GB2312" w:eastAsia="仿宋_GB2312" w:cs="仿宋_GB2312"/>
          <w:color w:val="000000" w:themeColor="text1"/>
          <w:sz w:val="32"/>
          <w:szCs w:val="32"/>
          <w:highlight w:val="none"/>
          <w14:textFill>
            <w14:solidFill>
              <w14:schemeClr w14:val="tx1"/>
            </w14:solidFill>
          </w14:textFill>
        </w:rPr>
        <w:t>%。通过项目实施，</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中等职业教育学生资助补助经费，弥补办学经费不足及发放学生助学金及促进学生学习积极性</w:t>
      </w:r>
      <w:r>
        <w:rPr>
          <w:rFonts w:hint="eastAsia" w:ascii="仿宋_GB2312" w:hAnsi="仿宋_GB2312" w:eastAsia="仿宋_GB2312" w:cs="仿宋_GB2312"/>
          <w:color w:val="000000" w:themeColor="text1"/>
          <w:sz w:val="32"/>
          <w:szCs w:val="32"/>
          <w:highlight w:val="none"/>
          <w14:textFill>
            <w14:solidFill>
              <w14:schemeClr w14:val="tx1"/>
            </w14:solidFill>
          </w14:textFill>
        </w:rPr>
        <w:t>，发现的主要问题：</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无。</w:t>
      </w:r>
    </w:p>
    <w:p>
      <w:pPr>
        <w:spacing w:line="580" w:lineRule="exact"/>
        <w:ind w:firstLine="640" w:firstLineChars="200"/>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5</w:t>
      </w:r>
      <w:r>
        <w:rPr>
          <w:rFonts w:hint="eastAsia" w:ascii="仿宋_GB2312" w:hAnsi="仿宋_GB2312" w:eastAsia="仿宋_GB2312" w:cs="仿宋_GB2312"/>
          <w:color w:val="000000" w:themeColor="text1"/>
          <w:sz w:val="32"/>
          <w:szCs w:val="32"/>
          <w:highlight w:val="none"/>
          <w14:textFill>
            <w14:solidFill>
              <w14:schemeClr w14:val="tx1"/>
            </w14:solidFill>
          </w14:textFill>
        </w:rPr>
        <w:t>）</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“2025年中等职业教育免学费专项预算项目”</w:t>
      </w:r>
      <w:r>
        <w:rPr>
          <w:rFonts w:hint="eastAsia" w:ascii="仿宋_GB2312" w:hAnsi="仿宋_GB2312" w:eastAsia="仿宋_GB2312" w:cs="仿宋_GB2312"/>
          <w:color w:val="000000" w:themeColor="text1"/>
          <w:sz w:val="32"/>
          <w:szCs w:val="32"/>
          <w:highlight w:val="none"/>
          <w14:textFill>
            <w14:solidFill>
              <w14:schemeClr w14:val="tx1"/>
            </w14:solidFill>
          </w14:textFill>
        </w:rPr>
        <w:t>项目绩效目标完成情况综述。项目全年预算数92.25万元，执行数为92.25万元，完成预算的100%。通过项目实施，中等职业教育学生资助补助经费，弥补办学经费不足保障中等职业教育学生顺利完成学业，减轻家庭经济负担</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发现的主要问题：无。</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numPr>
          <w:ilvl w:val="0"/>
          <w:numId w:val="0"/>
        </w:numPr>
        <w:spacing w:line="600" w:lineRule="exact"/>
        <w:jc w:val="both"/>
        <w:outlineLvl w:val="0"/>
        <w:rPr>
          <w:rFonts w:hint="eastAsia" w:ascii="Times New Roman" w:hAnsi="Times New Roman" w:eastAsia="黑体"/>
          <w:color w:val="auto"/>
          <w:sz w:val="44"/>
          <w:szCs w:val="44"/>
          <w:highlight w:val="none"/>
        </w:rPr>
      </w:pPr>
      <w:bookmarkStart w:id="43" w:name="_Toc15377225"/>
      <w:bookmarkStart w:id="44" w:name="_Toc15396613"/>
    </w:p>
    <w:p>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3"/>
      <w:bookmarkEnd w:id="44"/>
    </w:p>
    <w:p>
      <w:pPr>
        <w:spacing w:line="600" w:lineRule="exact"/>
        <w:jc w:val="left"/>
        <w:rPr>
          <w:rFonts w:ascii="Times New Roman" w:hAnsi="Times New Roman"/>
          <w:b/>
          <w:color w:val="auto"/>
          <w:sz w:val="44"/>
          <w:szCs w:val="44"/>
          <w:highlight w:val="none"/>
        </w:rPr>
      </w:pPr>
    </w:p>
    <w:p>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bookmarkStart w:id="45" w:name="_Toc15377226"/>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2.事业收入：指事业单位开展专业业务活动及辅助活动取得的收入。本单位无事业收入。</w:t>
      </w:r>
    </w:p>
    <w:p>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3.经营收入：指事业单位在专业业务活动及其辅助活动之外开展非独立核算经营活动取得的收入。本单位无经营收入。</w:t>
      </w:r>
    </w:p>
    <w:p>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4.其他收入：指单位取得的除上述收入以外的各项收入。本单位无其他收入。 </w:t>
      </w:r>
    </w:p>
    <w:p>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5.使用非财政拨款结余：指事业单位使用以前年度积累的非财政拨款结余弥补当年收支差额的金额。 </w:t>
      </w:r>
    </w:p>
    <w:p>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9.教育2050101行政支出：指行政单位基本支出，主要为工资福利支出和日常公用经费支出。</w:t>
      </w:r>
    </w:p>
    <w:p>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10.教育2050102一般行政管理事务：指未单独设置项级科目的其他项目支出，主要为我单位纳入年初预算的项目支出。</w:t>
      </w:r>
    </w:p>
    <w:p>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11.教育2050199其他教育管理事务支出：指其他用于教育管理事务的支出。</w:t>
      </w:r>
    </w:p>
    <w:p>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12.教育2050203初中教育：指用于初中教育的支出。</w:t>
      </w:r>
    </w:p>
    <w:p>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13.教育2050299其他普通教育支出：指其他用于普通教育方面的支出。</w:t>
      </w:r>
    </w:p>
    <w:p>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14.教育2050803培训支出：指用于教育培训的支出。</w:t>
      </w:r>
    </w:p>
    <w:p>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15.教育2059999其他教育支出：指其他用于教育方面的支出。</w:t>
      </w:r>
    </w:p>
    <w:p>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16.社会保障和就业2080505机关事业单位养老保险：指机关事业单位缴纳的养老保险支出。</w:t>
      </w:r>
    </w:p>
    <w:p>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17.社会保障和就业2080506机关事业单位职业年金：指机关事业单位缴纳的职业年金支出。</w:t>
      </w:r>
    </w:p>
    <w:p>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18.社会保障和就业2082001临时救助支出：指用于城乡生活困难居民的临时救助支出。</w:t>
      </w:r>
    </w:p>
    <w:p>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19.医疗卫生与计划生育2100499其他公共卫生支出：指用于其他的公共卫生方面的支出。</w:t>
      </w:r>
    </w:p>
    <w:p>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20.医疗卫生与计划生育2101101行政单位医疗：指行政单位基本医疗保险缴费经费支出。</w:t>
      </w:r>
    </w:p>
    <w:p>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21.医疗卫生与计划生育2101103公务员医疗补助：指公务员医疗补助经费支出。</w:t>
      </w:r>
    </w:p>
    <w:p>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22.住房保障2210201住房公积金：指为职工缴纳的住房公积金支出。</w:t>
      </w:r>
    </w:p>
    <w:p>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23.住房保障2210203购房补贴：指用于购买住房的补贴支出。</w:t>
      </w:r>
    </w:p>
    <w:p>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24.基本支出：指为保障机构正常运转、完成日常工作任务而发生的人员支出和公用支出。</w:t>
      </w:r>
    </w:p>
    <w:p>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25.项目支出：指在基本支出之外为完成特定行政任务和事业发展目标所发生的支出。 </w:t>
      </w:r>
    </w:p>
    <w:p>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26.经营支出：指事业单位在专业业务活动及其辅助活动之外开展非独立核算经营活动发生的支出。</w:t>
      </w:r>
    </w:p>
    <w:p>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27.“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jc w:val="left"/>
        <w:rPr>
          <w:rStyle w:val="28"/>
          <w:rFonts w:hint="eastAsia" w:ascii="Times New Roman" w:hAnsi="Times New Roman" w:eastAsia="黑体"/>
          <w:b w:val="0"/>
          <w:color w:val="auto"/>
          <w:highlight w:val="none"/>
          <w:lang w:eastAsia="zh-CN"/>
        </w:rPr>
      </w:pPr>
      <w:r>
        <w:rPr>
          <w:rFonts w:hint="eastAsia" w:ascii="Times New Roman" w:hAnsi="Times New Roman" w:eastAsia="仿宋_GB2312" w:cs="仿宋_GB2312"/>
          <w:color w:val="auto"/>
          <w:kern w:val="2"/>
          <w:sz w:val="32"/>
          <w:szCs w:val="32"/>
          <w:highlight w:val="none"/>
          <w:lang w:val="en-US" w:eastAsia="zh-CN" w:bidi="ar-SA"/>
        </w:rPr>
        <w:t>28.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Times New Roman" w:hAnsi="Times New Roman" w:eastAsia="仿宋_GB2312" w:cs="仿宋_GB2312"/>
          <w:color w:val="auto"/>
          <w:kern w:val="2"/>
          <w:sz w:val="32"/>
          <w:szCs w:val="32"/>
          <w:highlight w:val="none"/>
          <w:lang w:val="en-US" w:eastAsia="zh-CN" w:bidi="ar-SA"/>
        </w:rPr>
        <w:br w:type="page"/>
      </w:r>
      <w:bookmarkStart w:id="46"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6"/>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pStyle w:val="6"/>
        <w:jc w:val="center"/>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2025年整体支出绩效评价报告</w:t>
      </w:r>
    </w:p>
    <w:p>
      <w:pPr>
        <w:pStyle w:val="6"/>
        <w:rPr>
          <w:rFonts w:hint="eastAsia" w:ascii="仿宋_GB2312" w:hAnsi="仿宋_GB2312" w:eastAsia="仿宋_GB2312" w:cs="仿宋_GB2312"/>
          <w:color w:val="000000"/>
          <w:kern w:val="0"/>
          <w:sz w:val="32"/>
          <w:szCs w:val="32"/>
          <w:lang w:eastAsia="zh-CN"/>
        </w:rPr>
      </w:pPr>
    </w:p>
    <w:p>
      <w:pPr>
        <w:pStyle w:val="6"/>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阿坝州教育局：</w:t>
      </w:r>
    </w:p>
    <w:p>
      <w:pPr>
        <w:pStyle w:val="6"/>
        <w:rPr>
          <w:rFonts w:hint="eastAsia" w:ascii="仿宋_GB2312" w:hAnsi="仿宋_GB2312" w:eastAsia="仿宋_GB2312" w:cs="仿宋_GB2312"/>
          <w:color w:val="000000"/>
          <w:kern w:val="0"/>
          <w:sz w:val="32"/>
          <w:szCs w:val="32"/>
          <w:lang w:eastAsia="zh-CN"/>
        </w:rPr>
      </w:pPr>
    </w:p>
    <w:p>
      <w:pPr>
        <w:pStyle w:val="6"/>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我校根据阿州财监绩〔2026〕3号《阿坝州财政局关于开展2026年州级部门绩效自评工作的的通知》的文件要求，结合学学校实际，现将2025年整体支出绩效评价做如下汇报</w:t>
      </w:r>
    </w:p>
    <w:p>
      <w:pPr>
        <w:pStyle w:val="6"/>
        <w:rPr>
          <w:rFonts w:hint="eastAsia" w:ascii="仿宋_GB2312" w:hAnsi="仿宋_GB2312" w:eastAsia="仿宋_GB2312" w:cs="仿宋_GB2312"/>
          <w:color w:val="000000"/>
          <w:kern w:val="0"/>
          <w:sz w:val="32"/>
          <w:szCs w:val="32"/>
          <w:lang w:eastAsia="zh-CN"/>
        </w:rPr>
      </w:pPr>
    </w:p>
    <w:p>
      <w:pPr>
        <w:pStyle w:val="6"/>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一、部门（单位）基本情况</w:t>
      </w:r>
    </w:p>
    <w:p>
      <w:pPr>
        <w:pStyle w:val="6"/>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（一）机构组成。</w:t>
      </w:r>
    </w:p>
    <w:p>
      <w:pPr>
        <w:pStyle w:val="6"/>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阿坝州人民政府为了打造阿坝州的职教培训高地，于2003年11月组建阿坝州中等职业技术学校。</w:t>
      </w:r>
    </w:p>
    <w:p>
      <w:pPr>
        <w:pStyle w:val="6"/>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（二）机构职能。</w:t>
      </w:r>
    </w:p>
    <w:p>
      <w:pPr>
        <w:pStyle w:val="6"/>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主要职责是：进行中等职业教育，培训，多元化教学。</w:t>
      </w:r>
    </w:p>
    <w:p>
      <w:pPr>
        <w:pStyle w:val="6"/>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（三）人员概况。</w:t>
      </w:r>
    </w:p>
    <w:p>
      <w:pPr>
        <w:pStyle w:val="6"/>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 xml:space="preserve">      截止2025年12月31日，我校共124个编制，在编人员115人。</w:t>
      </w:r>
    </w:p>
    <w:p>
      <w:pPr>
        <w:pStyle w:val="6"/>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二、部门资金收支情况</w:t>
      </w:r>
    </w:p>
    <w:p>
      <w:pPr>
        <w:pStyle w:val="6"/>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（一）部门财政资金收入情况。</w:t>
      </w:r>
    </w:p>
    <w:p>
      <w:pPr>
        <w:pStyle w:val="6"/>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2025年财政资金收入总额为4542.76万元，其中年初预算收入3882.14万元。2024年一般公共预算财政拨款收入4256.23万元，较上年增加共计286.53万元。</w:t>
      </w:r>
    </w:p>
    <w:p>
      <w:pPr>
        <w:pStyle w:val="6"/>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（二）部门财政资金支出情况。</w:t>
      </w:r>
    </w:p>
    <w:p>
      <w:pPr>
        <w:pStyle w:val="6"/>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 xml:space="preserve">    截至2025年12月财政资金支出4542.76万元。其中208社会保障和就业支出418.86万元，占总收入9.22%。210卫生健康支出175.62万元，占总收入3.86%。211住房保障支出203.53万元，占总收入4.48%。205教育支出3744.74万元，占总收入82.43%。</w:t>
      </w:r>
    </w:p>
    <w:p>
      <w:pPr>
        <w:pStyle w:val="6"/>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三、部门预算绩效分析</w:t>
      </w:r>
    </w:p>
    <w:p>
      <w:pPr>
        <w:pStyle w:val="6"/>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（一）部门预算管理。</w:t>
      </w:r>
    </w:p>
    <w:p>
      <w:pPr>
        <w:pStyle w:val="6"/>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包括部门绩效目标制定、目标实现、预算编制准确、支出控制、预算动态调整、执行进度、预算完成情况和违规记录等情况。</w:t>
      </w:r>
    </w:p>
    <w:p>
      <w:pPr>
        <w:pStyle w:val="6"/>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1、绩效目标制定</w:t>
      </w:r>
    </w:p>
    <w:p>
      <w:pPr>
        <w:pStyle w:val="6"/>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根据不同项目特征制定了不同的绩效目标指标包括：社会效益指标、满意度指标、时效指标、数量指标等。</w:t>
      </w:r>
    </w:p>
    <w:p>
      <w:pPr>
        <w:pStyle w:val="6"/>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2、目标实现</w:t>
      </w:r>
    </w:p>
    <w:p>
      <w:pPr>
        <w:pStyle w:val="6"/>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根据2025年决算数据，财政资金支出4542.76万元，占2025年财政资金收入总额100%。</w:t>
      </w:r>
    </w:p>
    <w:p>
      <w:pPr>
        <w:pStyle w:val="6"/>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3、编制准确</w:t>
      </w:r>
    </w:p>
    <w:p>
      <w:pPr>
        <w:pStyle w:val="6"/>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年初预算编制按照财政局要求编制预算严格执行实事求是、数据编制准确原则，单位人员编制严格经编办审核后，方可核实人头经费，杜绝了吃空饷等违规行为。预算编制填入预算编报软件，认真填写专项预算的绩效目标申请表，并附相关专项经费批准预算的文件。</w:t>
      </w:r>
    </w:p>
    <w:p>
      <w:pPr>
        <w:pStyle w:val="6"/>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4、支出控制</w:t>
      </w:r>
    </w:p>
    <w:p>
      <w:pPr>
        <w:pStyle w:val="6"/>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年初预算编制中公务用车运行维护费、公务接待费共计：37.44万元。截至2025年12月，办公费、印刷费、水费、电费共计：33.27万元，占预算金额的88.86%。</w:t>
      </w:r>
    </w:p>
    <w:p>
      <w:pPr>
        <w:pStyle w:val="6"/>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 xml:space="preserve">    5、执行进度</w:t>
      </w:r>
    </w:p>
    <w:p>
      <w:pPr>
        <w:pStyle w:val="6"/>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 xml:space="preserve">   2025年预算执行情况：</w:t>
      </w:r>
    </w:p>
    <w:p>
      <w:pPr>
        <w:pStyle w:val="6"/>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预算收入完成率＝年终执行数÷（年初预算数±年中预算调整数）×100%=45427673.64÷45427673.64×100%=100%；</w:t>
      </w:r>
    </w:p>
    <w:p>
      <w:pPr>
        <w:pStyle w:val="6"/>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预算支出完成率＝年终执行数÷（年初预算数±年中预算调整数）×100%=45427673.64÷45427673.64×100%=100%。</w:t>
      </w:r>
    </w:p>
    <w:p>
      <w:pPr>
        <w:pStyle w:val="6"/>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 xml:space="preserve">从上述公式中可以看出2025年全年预算数（包含调整预算数）45427673.64元，支出决算数45427673.64元，全年执行进度达到100%。 </w:t>
      </w:r>
    </w:p>
    <w:p>
      <w:pPr>
        <w:pStyle w:val="6"/>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2025年6月支付2249.84万元，占预算总数的49.5%，2025年9月支付3471.63万元，占预算总数的76.42%。2025年11月支付4026.76万元，占预算总数的88.64%。执行率基本按要求完成，差别主要原因是项目支付进度缓慢。我校今后会按相关制度及要求，加快推进工作力度提高财政资金使用效率，进一步提高预算执行进度。</w:t>
      </w:r>
    </w:p>
    <w:p>
      <w:pPr>
        <w:pStyle w:val="6"/>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 xml:space="preserve">    6、预算完成</w:t>
      </w:r>
    </w:p>
    <w:p>
      <w:pPr>
        <w:pStyle w:val="6"/>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 xml:space="preserve">    截至2025年12月共支付4557.14万元，占预算金额的100%。</w:t>
      </w:r>
    </w:p>
    <w:p>
      <w:pPr>
        <w:pStyle w:val="6"/>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（二）部门预算项目绩效分析。</w:t>
      </w:r>
    </w:p>
    <w:p>
      <w:pPr>
        <w:pStyle w:val="6"/>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常年项目绩效分析。该类项目总数2个，涉及预算总金额   22.78万元，1—12月预算执行总体进度为100%，其中：预算结余率大于10%的项目共计0个。</w:t>
      </w:r>
    </w:p>
    <w:p>
      <w:pPr>
        <w:pStyle w:val="6"/>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阶段（一次性）项目绩效分析。该类项目总数16个，涉及预算总金额916.33万元，1—12月预算执行总体进度为100%，其中：预算结余率大于10%的项目共计0个。</w:t>
      </w:r>
    </w:p>
    <w:p>
      <w:pPr>
        <w:pStyle w:val="6"/>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1、项目基本情况</w:t>
      </w:r>
    </w:p>
    <w:p>
      <w:pPr>
        <w:pStyle w:val="6"/>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 xml:space="preserve"> 项目立项目的：为贯彻国家鼓励更多适龄青年就读中等职业技术学校的教育方针和国家助学政策，能让家庭经济困难学生安心在校学习专业技能，不让一个学生因贫辍学，同时为阿坝州经济发展和乡村振兴提供人才保障和技术支持。</w:t>
      </w:r>
    </w:p>
    <w:p>
      <w:pPr>
        <w:pStyle w:val="6"/>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年度绩效目标：一是各项国家资助按规定得到落实； 二是满足家庭经济困难学生基本学习生活需要,学生和家长满意度不断提高；三是激励中等职业学校学生勤奋学习、努力进取，提升中职教育吸引力。</w:t>
      </w:r>
    </w:p>
    <w:p>
      <w:pPr>
        <w:pStyle w:val="6"/>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2、项目执行：学校严格执行专项资金管理规定，实行学校法人代表负责制，校长是第一责任人，对学校资助工作负主要责任，实行专款专用、按期接受上级部门审计、监察部门检查和社会监督。杜绝弄虚作假、套取财政专项资金或挤占、挪用、滞留国家助学金的行为发生。</w:t>
      </w:r>
    </w:p>
    <w:p>
      <w:pPr>
        <w:pStyle w:val="6"/>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四、评价结论及建议</w:t>
      </w:r>
    </w:p>
    <w:p>
      <w:pPr>
        <w:pStyle w:val="6"/>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（一）评价结论。</w:t>
      </w:r>
    </w:p>
    <w:p>
      <w:pPr>
        <w:pStyle w:val="6"/>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 xml:space="preserve">     我校预算实施严格按照预算编制进行，年末预算完成率100%，完成度较高。不存在超预算和无预算支出。预算批复后严格按照预算公开时间及时公开。</w:t>
      </w:r>
    </w:p>
    <w:p>
      <w:pPr>
        <w:pStyle w:val="6"/>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（二）存在问题。</w:t>
      </w:r>
    </w:p>
    <w:p>
      <w:pPr>
        <w:pStyle w:val="6"/>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预算执行进度在6月未达到执行进度要求。</w:t>
      </w:r>
    </w:p>
    <w:p>
      <w:pPr>
        <w:pStyle w:val="6"/>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（三）改进建议。</w:t>
      </w:r>
    </w:p>
    <w:p>
      <w:pPr>
        <w:pStyle w:val="6"/>
        <w:rPr>
          <w:rFonts w:hint="eastAsia" w:ascii="仿宋_GB2312" w:hAnsi="仿宋_GB2312" w:eastAsia="仿宋_GB2312" w:cs="仿宋_GB2312"/>
          <w:color w:val="auto"/>
          <w:kern w:val="0"/>
          <w:sz w:val="32"/>
          <w:szCs w:val="32"/>
          <w:highlight w:val="none"/>
          <w:shd w:val="clear" w:color="auto" w:fill="FFFFFF"/>
          <w:lang w:val="zh-CN"/>
        </w:rPr>
      </w:pPr>
      <w:r>
        <w:rPr>
          <w:rFonts w:hint="eastAsia" w:ascii="仿宋_GB2312" w:hAnsi="仿宋_GB2312" w:eastAsia="仿宋_GB2312" w:cs="仿宋_GB2312"/>
          <w:color w:val="000000"/>
          <w:kern w:val="0"/>
          <w:sz w:val="32"/>
          <w:szCs w:val="32"/>
          <w:lang w:eastAsia="zh-CN"/>
        </w:rPr>
        <w:t>学校将按照相关制度及要求，加强对财政资金、各项目资金支付进度进行中期监督，及时提醒。</w:t>
      </w:r>
    </w:p>
    <w:p>
      <w:pPr>
        <w:pStyle w:val="6"/>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pPr>
        <w:spacing w:line="600" w:lineRule="exact"/>
        <w:jc w:val="center"/>
        <w:outlineLvl w:val="1"/>
        <w:rPr>
          <w:rFonts w:hint="eastAsia" w:ascii="仿宋_GB2312" w:hAnsi="仿宋_GB2312" w:eastAsia="仿宋_GB2312" w:cs="仿宋_GB2312"/>
          <w:sz w:val="32"/>
          <w:szCs w:val="32"/>
        </w:rPr>
      </w:pPr>
      <w:bookmarkStart w:id="47" w:name="_Toc14305"/>
      <w:r>
        <w:rPr>
          <w:rFonts w:hint="eastAsia" w:ascii="仿宋_GB2312" w:hAnsi="仿宋_GB2312" w:eastAsia="仿宋_GB2312" w:cs="仿宋_GB2312"/>
          <w:sz w:val="32"/>
          <w:szCs w:val="32"/>
        </w:rPr>
        <w:t>阿坝州中等职业技术学校教学楼及学生宿舍维修项目绩效自评报告​</w:t>
      </w:r>
    </w:p>
    <w:p>
      <w:pPr>
        <w:spacing w:line="600" w:lineRule="exact"/>
        <w:jc w:val="left"/>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一、项目概况​</w:t>
      </w:r>
    </w:p>
    <w:p>
      <w:pPr>
        <w:spacing w:line="600" w:lineRule="exact"/>
        <w:jc w:val="left"/>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（一）设立背景及基本情况​</w:t>
      </w:r>
    </w:p>
    <w:p>
      <w:pPr>
        <w:spacing w:line="600" w:lineRule="exact"/>
        <w:jc w:val="left"/>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学校教学楼、学生宿舍建成使用年限较长，部分区域出现墙面开裂脱落、屋面渗漏、门窗破损、地面空鼓、线路老化、卫生间渗漏堵塞等问题，影响正常教学秩序与学生住宿安全，存在一定安全隐患。为保障校园建筑使用安全、改善办学条件、提升育人环境，依据校园房屋安全排查鉴定意见及教育基础设施维修改造相关要求立项。资金依据校舍维修长效机制、校园安全保障等政策申报。项目主要内容包括教学楼及学生宿舍屋面防水维修、墙面翻新、地面修补、门窗更换、水电管线改造、卫生间整修、公共区域修缮等。学校主管部门及后勤管理部门负责校舍日常安全管理、维修保障与资产管护，确保校舍安全适用是核心职责。</w:t>
      </w:r>
    </w:p>
    <w:p>
      <w:pPr>
        <w:spacing w:line="600" w:lineRule="exact"/>
        <w:jc w:val="left"/>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（二）实施目的及支持方向​</w:t>
      </w:r>
    </w:p>
    <w:p>
      <w:pPr>
        <w:spacing w:line="600" w:lineRule="exact"/>
        <w:jc w:val="left"/>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学校制定项目资金管理办法，明确维修范围、审批流程、质量标准及资金使用要求。项目实施目的为消除校舍安全隐患，恢复建筑使用功能，提升教学与住宿条件，保障师生学习生活安全舒适。主要工作任务包括房屋安全排查、维修方案设计、施工单位招标、现场维修施工、竣工验收及质保落实。项目支持方向为校园校舍安全保障、基础设施维修改造与办学条件提升。​</w:t>
      </w:r>
    </w:p>
    <w:p>
      <w:pPr>
        <w:spacing w:line="600" w:lineRule="exact"/>
        <w:jc w:val="left"/>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（三）预算安排及分配管理​</w:t>
      </w:r>
    </w:p>
    <w:p>
      <w:pPr>
        <w:spacing w:line="600" w:lineRule="exact"/>
        <w:jc w:val="left"/>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1.项目预算安排情况</w:t>
      </w:r>
    </w:p>
    <w:p>
      <w:pPr>
        <w:spacing w:line="600" w:lineRule="exact"/>
        <w:jc w:val="left"/>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项目预算安排情况本年度教学楼及学生宿舍维修项目预算总额为 340.99万元，资金来源为财政拨款340.99万元。</w:t>
      </w:r>
    </w:p>
    <w:p>
      <w:pPr>
        <w:spacing w:line="600" w:lineRule="exact"/>
        <w:jc w:val="left"/>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2.项目资金分配原则及考虑因素</w:t>
      </w:r>
    </w:p>
    <w:p>
      <w:pPr>
        <w:spacing w:line="600" w:lineRule="exact"/>
        <w:jc w:val="left"/>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资金分配遵循安全优先、急用先修、公平规范、据实安排原则，主要考虑建筑破损程度、安全隐患等级、使用功能需求、维修工程量及市场造价水平等因素。</w:t>
      </w:r>
    </w:p>
    <w:p>
      <w:pPr>
        <w:spacing w:line="600" w:lineRule="exact"/>
        <w:jc w:val="left"/>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（四）项目绩效目标设置​</w:t>
      </w:r>
    </w:p>
    <w:p>
      <w:pPr>
        <w:spacing w:line="600" w:lineRule="exact"/>
        <w:jc w:val="left"/>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整体绩效目标为按期完成教学楼及学生宿舍维修改造，全面消除安全隐患，建筑结构与设施设备达到安全使用标准，改善教学与住宿环境。区域绩效目标与整体目标一致，确保校园校舍安全稳定运行。具体绩效目标包括：维修工程验收合格率 100%；屋面及卫生间渗漏整改合格率 100%；水电设施安全运行达标率 100%；项目按时完工率 100%。项目自评由学校财务部门牵头，后勤管理部门、施工监理、安全管理等部门共同实施，建立完善评价指标体系。</w:t>
      </w:r>
    </w:p>
    <w:p>
      <w:pPr>
        <w:spacing w:line="600" w:lineRule="exact"/>
        <w:jc w:val="left"/>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二、评价实施​</w:t>
      </w:r>
    </w:p>
    <w:p>
      <w:pPr>
        <w:spacing w:line="600" w:lineRule="exact"/>
        <w:jc w:val="left"/>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（一）评价目的​</w:t>
      </w:r>
    </w:p>
    <w:p>
      <w:pPr>
        <w:spacing w:line="600" w:lineRule="exact"/>
        <w:jc w:val="left"/>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通过项目绩效自评，全面掌握维修项目资金使用、施工管理、工程质量及整改效果，评估项目是否达到预期目标，总结校舍维修管理经验，提高资金使用效益和项目管理水平，持续保障校园校舍安全与办学条件改善。</w:t>
      </w:r>
    </w:p>
    <w:p>
      <w:pPr>
        <w:spacing w:line="600" w:lineRule="exact"/>
        <w:jc w:val="left"/>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（二）预设问题及评价重点​</w:t>
      </w:r>
    </w:p>
    <w:p>
      <w:pPr>
        <w:spacing w:line="600" w:lineRule="exact"/>
        <w:jc w:val="left"/>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预设问题包括资金是否足额及时到位、使用是否合规、维修质量是否达标、隐患是否消除、项目是否按期完工、师生使用满意度是否提升等。评价重点围绕项目决策科学性、过程管理规范性、资金使用安全性、维修效果有效性及目标完成情况开展综合评价。</w:t>
      </w:r>
    </w:p>
    <w:p>
      <w:pPr>
        <w:spacing w:line="600" w:lineRule="exact"/>
        <w:jc w:val="left"/>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（三）评价选点​</w:t>
      </w:r>
    </w:p>
    <w:p>
      <w:pPr>
        <w:spacing w:line="600" w:lineRule="exact"/>
        <w:jc w:val="left"/>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本项目为校内单点实施项目，无多级资金分配。选取教学楼教室、楼道、屋面、宿舍房间、卫生间等 5 类重点维修点位进行现场核查，覆盖防水、墙面、门窗、水电、地面等主要维修内容，点位资料作为自评附件留存。</w:t>
      </w:r>
    </w:p>
    <w:p>
      <w:pPr>
        <w:spacing w:line="600" w:lineRule="exact"/>
        <w:jc w:val="left"/>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（四）评价方法​</w:t>
      </w:r>
    </w:p>
    <w:p>
      <w:pPr>
        <w:spacing w:line="600" w:lineRule="exact"/>
        <w:jc w:val="left"/>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采用单位自评法，整理维修资料、合同、资金凭证、验收记录等开展审核；实地勘察法，现场检查维修质量、隐患整改、设施完好情况；问卷调查法，面向师生、宿管人员开展满意度调查；座谈调研法，与施工、监理、后勤管理等单位座谈，了解实施过程、问题整改及管理经验。</w:t>
      </w:r>
    </w:p>
    <w:p>
      <w:pPr>
        <w:spacing w:line="600" w:lineRule="exact"/>
        <w:jc w:val="left"/>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（五）评价组织​</w:t>
      </w:r>
    </w:p>
    <w:p>
      <w:pPr>
        <w:spacing w:line="600" w:lineRule="exact"/>
        <w:jc w:val="left"/>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评价组由学校财务人员、后勤管理人员、安全管理员、教师代表及外聘工程监理 / 造价专家组成。财务人员负责资金使用审查；后勤部门负责维修过程管理评价；安全管理员负责安全隐患整改评价；外聘专家负责工程质量与技术规范评价。​</w:t>
      </w:r>
    </w:p>
    <w:p>
      <w:pPr>
        <w:spacing w:line="600" w:lineRule="exact"/>
        <w:jc w:val="left"/>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三、绩效分析​</w:t>
      </w:r>
    </w:p>
    <w:p>
      <w:pPr>
        <w:spacing w:line="600" w:lineRule="exact"/>
        <w:jc w:val="left"/>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（一）通用指标绩效分析</w:t>
      </w:r>
    </w:p>
    <w:p>
      <w:pPr>
        <w:spacing w:line="600" w:lineRule="exact"/>
        <w:jc w:val="left"/>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决策（1）决策程序：项目依据校舍安全排查结果立项，程序规范、论证充分，符合教育安全保障政策要求。（2）规划论证：维修方案科学合理，重点突出、急用先修，可操作性强。（3）资金投向：资金投向明确，全部用于教学楼及学生宿舍安全维修改造。</w:t>
      </w:r>
    </w:p>
    <w:p>
      <w:pPr>
        <w:spacing w:line="600" w:lineRule="exact"/>
        <w:jc w:val="left"/>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管理（1）制度办法：建立维修管理、资金管理、质量监督等制度，保障项目规范实施。（2）分配管理：资金按维修内容与工程量分配，合理合规、公开透明。（3）绩效监管：实施全过程监督，对施工、安全、质量、进度进行管控。</w:t>
      </w:r>
    </w:p>
    <w:p>
      <w:pPr>
        <w:spacing w:line="600" w:lineRule="exact"/>
        <w:jc w:val="left"/>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项目实施（1）预算执行：预算执行情况良好，资金支出与预算安排基本一致。（2）资金使用：资金使用规范，无挤占、挪用、截留等违规情况。</w:t>
      </w:r>
    </w:p>
    <w:p>
      <w:pPr>
        <w:spacing w:line="600" w:lineRule="exact"/>
        <w:jc w:val="left"/>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项目结果（1）目标完成：各项绩效目标全面完成，安全隐患得到有效消除。（2）完成时效：项目按计划工期完工，未影响正常教学与住宿秩序。</w:t>
      </w:r>
    </w:p>
    <w:p>
      <w:pPr>
        <w:spacing w:line="600" w:lineRule="exact"/>
        <w:jc w:val="left"/>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（二）专用指标绩效分析</w:t>
      </w:r>
    </w:p>
    <w:p>
      <w:pPr>
        <w:spacing w:line="600" w:lineRule="exact"/>
        <w:jc w:val="left"/>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校舍安全与办学条件提升（1）安全保障：建筑结构安全、设施运行安全明显改善，隐患消除到位。（2）功能恢复：教学、住宿使用功能全面恢复，环境整洁舒适。（3）均衡提升：校园校舍条件整体提升，促进教育服务均衡保障。（4）群众满意度：师生对维修效果满意度较高，学习生活条件改善明显。</w:t>
      </w:r>
    </w:p>
    <w:p>
      <w:pPr>
        <w:spacing w:line="600" w:lineRule="exact"/>
        <w:jc w:val="left"/>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（三）个性指标绩效分析</w:t>
      </w:r>
    </w:p>
    <w:p>
      <w:pPr>
        <w:spacing w:line="600" w:lineRule="exact"/>
        <w:jc w:val="left"/>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个性指标设定为校园校舍安全隐患消除率与师生学习住宿环境满意度提升程度。经评价，项目安全隐患整改到位率 100%，95% 以上师生表示学习、住宿安全感与舒适度显著提升，指标完成情况良好。</w:t>
      </w:r>
    </w:p>
    <w:p>
      <w:pPr>
        <w:spacing w:line="600" w:lineRule="exact"/>
        <w:jc w:val="left"/>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四、评价结论​</w:t>
      </w:r>
    </w:p>
    <w:p>
      <w:pPr>
        <w:spacing w:line="600" w:lineRule="exact"/>
        <w:jc w:val="left"/>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教学楼及学生宿舍维修项目绩效自评结果为优秀。项目按期完成维修施工，工程质量符合规范标准，资金使用规范高效，全面消除校舍安全隐患，有效改善教学与住宿条件，校园环境和安全保障水平显著提升，师生满意度高，圆满完成预期绩效目标。</w:t>
      </w:r>
    </w:p>
    <w:p>
      <w:pPr>
        <w:spacing w:line="600" w:lineRule="exact"/>
        <w:jc w:val="left"/>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五、存在主要问题​</w:t>
      </w:r>
    </w:p>
    <w:p>
      <w:pPr>
        <w:spacing w:line="600" w:lineRule="exact"/>
        <w:jc w:val="left"/>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.1.维修施工期间受雨季、低温等天气影响，局部工序出现短暂延误，极端天气应对预案仍需完善。</w:t>
      </w:r>
    </w:p>
    <w:p>
      <w:pPr>
        <w:spacing w:line="600" w:lineRule="exact"/>
        <w:jc w:val="left"/>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2.部分隐蔽工程维修细节需进一步提升精细化水平，维修质量长效性有待加强。</w:t>
      </w:r>
    </w:p>
    <w:p>
      <w:pPr>
        <w:spacing w:line="600" w:lineRule="exact"/>
        <w:jc w:val="left"/>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3.校舍日常维护与小型维修资金保障不足，长期常态化管护存在一定压力。</w:t>
      </w:r>
    </w:p>
    <w:p>
      <w:pPr>
        <w:spacing w:line="600" w:lineRule="exact"/>
        <w:jc w:val="left"/>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六、改进建议​</w:t>
      </w:r>
    </w:p>
    <w:p>
      <w:pPr>
        <w:spacing w:line="600" w:lineRule="exact"/>
        <w:jc w:val="left"/>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1.预算安排方面：在今后校舍维修项目中适当预留应急资金，用于应对天气等不可抗力影响；增加常态化维修管护经费，建立长效保障机制。</w:t>
      </w:r>
    </w:p>
    <w:p>
      <w:pPr>
        <w:spacing w:line="600" w:lineRule="exact"/>
        <w:jc w:val="left"/>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2.工程管理方面：进一步优化施工组织，完善雨季、冬季施工预案，加强现场监理与过程验收，提升维修精细化与耐久性。</w:t>
      </w:r>
    </w:p>
    <w:p>
      <w:pPr>
        <w:spacing w:line="600" w:lineRule="exact"/>
        <w:jc w:val="left"/>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3.长效管护方面：建立校舍定期巡查、及时维修制度，明确管护责任，实现 “早发现、早处置”，降低集中维修成本，延长校舍使用寿命。</w:t>
      </w:r>
    </w:p>
    <w:p>
      <w:pPr>
        <w:spacing w:line="600" w:lineRule="exact"/>
        <w:jc w:val="left"/>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4.协同推进方面：加强与安全、住建、监理等单位沟通，提升维修方案科学性与施工规范性，持续提高校园校舍保障水平。附表：1.专项预算绩效自评打分表</w:t>
      </w:r>
    </w:p>
    <w:p>
      <w:pPr>
        <w:spacing w:line="600" w:lineRule="exact"/>
        <w:jc w:val="left"/>
        <w:outlineLvl w:val="1"/>
        <w:rPr>
          <w:rFonts w:hint="eastAsia" w:ascii="仿宋" w:hAnsi="仿宋" w:eastAsia="仿宋" w:cs="仿宋"/>
          <w:sz w:val="32"/>
          <w:szCs w:val="32"/>
        </w:rPr>
      </w:pPr>
    </w:p>
    <w:p>
      <w:pPr>
        <w:spacing w:line="600" w:lineRule="exact"/>
        <w:jc w:val="left"/>
        <w:outlineLvl w:val="1"/>
        <w:rPr>
          <w:rFonts w:hint="eastAsia" w:ascii="仿宋" w:hAnsi="仿宋" w:eastAsia="仿宋" w:cs="仿宋"/>
          <w:sz w:val="32"/>
          <w:szCs w:val="32"/>
        </w:rPr>
      </w:pPr>
    </w:p>
    <w:p>
      <w:pPr>
        <w:spacing w:line="600" w:lineRule="exact"/>
        <w:jc w:val="left"/>
        <w:outlineLvl w:val="1"/>
        <w:rPr>
          <w:rFonts w:hint="eastAsia" w:ascii="仿宋" w:hAnsi="仿宋" w:eastAsia="仿宋" w:cs="仿宋"/>
          <w:sz w:val="32"/>
          <w:szCs w:val="32"/>
        </w:rPr>
      </w:pPr>
    </w:p>
    <w:p>
      <w:pPr>
        <w:spacing w:line="600" w:lineRule="exact"/>
        <w:jc w:val="left"/>
        <w:outlineLvl w:val="1"/>
        <w:rPr>
          <w:rFonts w:hint="eastAsia" w:ascii="仿宋" w:hAnsi="仿宋" w:eastAsia="仿宋" w:cs="仿宋"/>
          <w:sz w:val="32"/>
          <w:szCs w:val="32"/>
        </w:rPr>
      </w:pPr>
    </w:p>
    <w:p>
      <w:pPr>
        <w:spacing w:line="600" w:lineRule="exact"/>
        <w:jc w:val="left"/>
        <w:outlineLvl w:val="1"/>
        <w:rPr>
          <w:rFonts w:hint="eastAsia" w:ascii="仿宋" w:hAnsi="仿宋" w:eastAsia="仿宋" w:cs="仿宋"/>
          <w:sz w:val="32"/>
          <w:szCs w:val="32"/>
        </w:rPr>
      </w:pPr>
    </w:p>
    <w:p>
      <w:pPr>
        <w:spacing w:line="600" w:lineRule="exact"/>
        <w:jc w:val="left"/>
        <w:outlineLvl w:val="1"/>
        <w:rPr>
          <w:rFonts w:hint="eastAsia" w:ascii="仿宋" w:hAnsi="仿宋" w:eastAsia="仿宋" w:cs="仿宋"/>
          <w:sz w:val="32"/>
          <w:szCs w:val="32"/>
        </w:rPr>
      </w:pPr>
    </w:p>
    <w:p>
      <w:pPr>
        <w:spacing w:line="600" w:lineRule="exact"/>
        <w:jc w:val="left"/>
        <w:outlineLvl w:val="1"/>
        <w:rPr>
          <w:rFonts w:hint="eastAsia" w:ascii="黑体" w:eastAsia="黑体" w:cs="黑体"/>
          <w:sz w:val="32"/>
          <w:szCs w:val="32"/>
        </w:rPr>
      </w:pPr>
    </w:p>
    <w:p>
      <w:pPr>
        <w:spacing w:line="600" w:lineRule="exact"/>
        <w:jc w:val="left"/>
        <w:outlineLvl w:val="1"/>
        <w:rPr>
          <w:rFonts w:hint="eastAsia" w:ascii="黑体" w:eastAsia="黑体" w:cs="黑体"/>
          <w:sz w:val="32"/>
          <w:szCs w:val="32"/>
        </w:rPr>
      </w:pPr>
    </w:p>
    <w:p>
      <w:pPr>
        <w:spacing w:line="600" w:lineRule="exact"/>
        <w:jc w:val="left"/>
        <w:outlineLvl w:val="1"/>
        <w:rPr>
          <w:rFonts w:hint="eastAsia" w:ascii="黑体" w:eastAsia="黑体" w:cs="黑体"/>
          <w:sz w:val="32"/>
          <w:szCs w:val="32"/>
        </w:rPr>
      </w:pPr>
    </w:p>
    <w:p>
      <w:pPr>
        <w:spacing w:line="600" w:lineRule="exact"/>
        <w:jc w:val="left"/>
        <w:outlineLvl w:val="1"/>
        <w:rPr>
          <w:rFonts w:hint="eastAsia" w:ascii="黑体" w:eastAsia="黑体" w:cs="黑体"/>
          <w:sz w:val="32"/>
          <w:szCs w:val="32"/>
        </w:rPr>
      </w:pPr>
    </w:p>
    <w:p>
      <w:pPr>
        <w:spacing w:line="600" w:lineRule="exact"/>
        <w:jc w:val="left"/>
        <w:outlineLvl w:val="1"/>
        <w:rPr>
          <w:rFonts w:hint="eastAsia" w:ascii="黑体" w:eastAsia="黑体" w:cs="黑体"/>
          <w:sz w:val="32"/>
          <w:szCs w:val="32"/>
        </w:rPr>
      </w:pPr>
    </w:p>
    <w:p>
      <w:pPr>
        <w:spacing w:line="600" w:lineRule="exact"/>
        <w:jc w:val="left"/>
        <w:outlineLvl w:val="1"/>
        <w:rPr>
          <w:rFonts w:hint="eastAsia" w:ascii="黑体" w:eastAsia="黑体" w:cs="黑体"/>
          <w:sz w:val="32"/>
          <w:szCs w:val="32"/>
          <w:lang w:val="en-US" w:eastAsia="zh-CN"/>
        </w:rPr>
      </w:pPr>
      <w:r>
        <w:rPr>
          <w:rFonts w:hint="eastAsia" w:ascii="黑体" w:eastAsia="黑体" w:cs="黑体"/>
          <w:sz w:val="32"/>
          <w:szCs w:val="32"/>
        </w:rPr>
        <w:t>附件</w:t>
      </w:r>
      <w:r>
        <w:rPr>
          <w:rFonts w:hint="eastAsia" w:ascii="黑体" w:eastAsia="黑体" w:cs="黑体"/>
          <w:sz w:val="32"/>
          <w:szCs w:val="32"/>
          <w:lang w:val="en-US" w:eastAsia="zh-CN"/>
        </w:rPr>
        <w:t>3</w:t>
      </w:r>
      <w:bookmarkEnd w:id="47"/>
    </w:p>
    <w:p>
      <w:pPr>
        <w:pStyle w:val="2"/>
        <w:rPr>
          <w:rFonts w:hint="eastAsia"/>
          <w:lang w:val="en-US" w:eastAsia="zh-CN"/>
        </w:rPr>
      </w:pPr>
    </w:p>
    <w:p>
      <w:pPr>
        <w:spacing w:line="600" w:lineRule="exact"/>
        <w:jc w:val="left"/>
        <w:outlineLvl w:val="0"/>
        <w:rPr>
          <w:rFonts w:hint="eastAsia" w:ascii="仿宋" w:hAnsi="仿宋" w:eastAsia="仿宋" w:cs="仿宋"/>
          <w:b w:val="0"/>
          <w:bCs w:val="0"/>
          <w:i w:val="0"/>
          <w:iCs w:val="0"/>
          <w:color w:val="000000"/>
          <w:kern w:val="0"/>
          <w:sz w:val="36"/>
          <w:szCs w:val="36"/>
          <w:u w:val="none"/>
          <w:lang w:val="en-US" w:eastAsia="zh-CN" w:bidi="ar"/>
        </w:rPr>
      </w:pPr>
      <w:bookmarkStart w:id="48" w:name="_Toc19753"/>
      <w:r>
        <w:rPr>
          <w:rFonts w:hint="eastAsia" w:ascii="仿宋" w:hAnsi="仿宋" w:eastAsia="仿宋" w:cs="仿宋"/>
          <w:b w:val="0"/>
          <w:bCs w:val="0"/>
          <w:i w:val="0"/>
          <w:iCs w:val="0"/>
          <w:color w:val="000000"/>
          <w:kern w:val="0"/>
          <w:sz w:val="36"/>
          <w:szCs w:val="36"/>
          <w:u w:val="none"/>
          <w:lang w:val="en-US" w:eastAsia="zh-CN" w:bidi="ar"/>
        </w:rPr>
        <w:t>部门预算项目支出绩效自评表</w:t>
      </w:r>
      <w:bookmarkEnd w:id="48"/>
    </w:p>
    <w:p>
      <w:pPr>
        <w:pStyle w:val="2"/>
        <w:rPr>
          <w:rFonts w:hint="eastAsia"/>
        </w:rPr>
      </w:pPr>
    </w:p>
    <w:p>
      <w:pPr>
        <w:keepNext w:val="0"/>
        <w:keepLines w:val="0"/>
        <w:pageBreakBefore w:val="0"/>
        <w:widowControl w:val="0"/>
        <w:kinsoku/>
        <w:wordWrap/>
        <w:overflowPunct/>
        <w:topLinePunct w:val="0"/>
        <w:autoSpaceDE/>
        <w:autoSpaceDN/>
        <w:bidi w:val="0"/>
        <w:spacing w:line="240" w:lineRule="auto"/>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drawing>
          <wp:inline distT="0" distB="0" distL="114300" distR="114300">
            <wp:extent cx="7260590" cy="4489450"/>
            <wp:effectExtent l="0" t="0" r="16510" b="6350"/>
            <wp:docPr id="36" name="图片 36" descr="0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0225"/>
                    <pic:cNvPicPr>
                      <a:picLocks noChangeAspect="1"/>
                    </pic:cNvPicPr>
                  </pic:nvPicPr>
                  <pic:blipFill>
                    <a:blip r:embed="rId15"/>
                    <a:stretch>
                      <a:fillRect/>
                    </a:stretch>
                  </pic:blipFill>
                  <pic:spPr>
                    <a:xfrm>
                      <a:off x="0" y="0"/>
                      <a:ext cx="7260590" cy="4489450"/>
                    </a:xfrm>
                    <a:prstGeom prst="rect">
                      <a:avLst/>
                    </a:prstGeom>
                  </pic:spPr>
                </pic:pic>
              </a:graphicData>
            </a:graphic>
          </wp:inline>
        </w:drawing>
      </w:r>
      <w:r>
        <w:rPr>
          <w:rFonts w:hint="eastAsia" w:ascii="Times New Roman" w:hAnsi="Times New Roman" w:eastAsia="仿宋_GB2312" w:cs="仿宋_GB2312"/>
          <w:b w:val="0"/>
          <w:bCs w:val="0"/>
          <w:kern w:val="0"/>
          <w:position w:val="0"/>
          <w:sz w:val="32"/>
          <w:szCs w:val="32"/>
          <w:highlight w:val="none"/>
          <w:lang w:val="en-US" w:eastAsia="zh-CN" w:bidi="ar-SA"/>
        </w:rPr>
        <w:drawing>
          <wp:inline distT="0" distB="0" distL="114300" distR="114300">
            <wp:extent cx="7449820" cy="3944620"/>
            <wp:effectExtent l="0" t="0" r="17780" b="17780"/>
            <wp:docPr id="35" name="图片 35" descr="0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0516"/>
                    <pic:cNvPicPr>
                      <a:picLocks noChangeAspect="1"/>
                    </pic:cNvPicPr>
                  </pic:nvPicPr>
                  <pic:blipFill>
                    <a:blip r:embed="rId16"/>
                    <a:stretch>
                      <a:fillRect/>
                    </a:stretch>
                  </pic:blipFill>
                  <pic:spPr>
                    <a:xfrm>
                      <a:off x="0" y="0"/>
                      <a:ext cx="7449820" cy="3944620"/>
                    </a:xfrm>
                    <a:prstGeom prst="rect">
                      <a:avLst/>
                    </a:prstGeom>
                  </pic:spPr>
                </pic:pic>
              </a:graphicData>
            </a:graphic>
          </wp:inline>
        </w:drawing>
      </w:r>
      <w:r>
        <w:rPr>
          <w:rFonts w:hint="eastAsia" w:ascii="Times New Roman" w:hAnsi="Times New Roman" w:eastAsia="仿宋_GB2312" w:cs="仿宋_GB2312"/>
          <w:b w:val="0"/>
          <w:bCs w:val="0"/>
          <w:kern w:val="0"/>
          <w:position w:val="0"/>
          <w:sz w:val="32"/>
          <w:szCs w:val="32"/>
          <w:highlight w:val="none"/>
          <w:lang w:val="en-US" w:eastAsia="zh-CN" w:bidi="ar-SA"/>
        </w:rPr>
        <w:drawing>
          <wp:inline distT="0" distB="0" distL="114300" distR="114300">
            <wp:extent cx="7501255" cy="3902075"/>
            <wp:effectExtent l="0" t="0" r="4445" b="3175"/>
            <wp:docPr id="34" name="图片 34" descr="0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0927"/>
                    <pic:cNvPicPr>
                      <a:picLocks noChangeAspect="1"/>
                    </pic:cNvPicPr>
                  </pic:nvPicPr>
                  <pic:blipFill>
                    <a:blip r:embed="rId17"/>
                    <a:stretch>
                      <a:fillRect/>
                    </a:stretch>
                  </pic:blipFill>
                  <pic:spPr>
                    <a:xfrm>
                      <a:off x="0" y="0"/>
                      <a:ext cx="7501255" cy="3902075"/>
                    </a:xfrm>
                    <a:prstGeom prst="rect">
                      <a:avLst/>
                    </a:prstGeom>
                  </pic:spPr>
                </pic:pic>
              </a:graphicData>
            </a:graphic>
          </wp:inline>
        </w:drawing>
      </w:r>
      <w:r>
        <w:rPr>
          <w:rFonts w:hint="eastAsia" w:ascii="Times New Roman" w:hAnsi="Times New Roman" w:eastAsia="仿宋_GB2312" w:cs="仿宋_GB2312"/>
          <w:b w:val="0"/>
          <w:bCs w:val="0"/>
          <w:kern w:val="0"/>
          <w:position w:val="0"/>
          <w:sz w:val="32"/>
          <w:szCs w:val="32"/>
          <w:highlight w:val="none"/>
          <w:lang w:val="en-US" w:eastAsia="zh-CN" w:bidi="ar-SA"/>
        </w:rPr>
        <w:drawing>
          <wp:inline distT="0" distB="0" distL="114300" distR="114300">
            <wp:extent cx="7588885" cy="3965575"/>
            <wp:effectExtent l="0" t="0" r="12065" b="15875"/>
            <wp:docPr id="33" name="图片 33" descr="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1016"/>
                    <pic:cNvPicPr>
                      <a:picLocks noChangeAspect="1"/>
                    </pic:cNvPicPr>
                  </pic:nvPicPr>
                  <pic:blipFill>
                    <a:blip r:embed="rId18"/>
                    <a:stretch>
                      <a:fillRect/>
                    </a:stretch>
                  </pic:blipFill>
                  <pic:spPr>
                    <a:xfrm>
                      <a:off x="0" y="0"/>
                      <a:ext cx="7588885" cy="3965575"/>
                    </a:xfrm>
                    <a:prstGeom prst="rect">
                      <a:avLst/>
                    </a:prstGeom>
                  </pic:spPr>
                </pic:pic>
              </a:graphicData>
            </a:graphic>
          </wp:inline>
        </w:drawing>
      </w:r>
      <w:r>
        <w:rPr>
          <w:rFonts w:hint="eastAsia" w:ascii="Times New Roman" w:hAnsi="Times New Roman" w:eastAsia="仿宋_GB2312" w:cs="仿宋_GB2312"/>
          <w:b w:val="0"/>
          <w:bCs w:val="0"/>
          <w:kern w:val="0"/>
          <w:position w:val="0"/>
          <w:sz w:val="32"/>
          <w:szCs w:val="32"/>
          <w:highlight w:val="none"/>
          <w:lang w:val="en-US" w:eastAsia="zh-CN" w:bidi="ar-SA"/>
        </w:rPr>
        <w:drawing>
          <wp:inline distT="0" distB="0" distL="114300" distR="114300">
            <wp:extent cx="7177405" cy="3998595"/>
            <wp:effectExtent l="0" t="0" r="4445" b="1905"/>
            <wp:docPr id="32" name="图片 32" descr="1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1487"/>
                    <pic:cNvPicPr>
                      <a:picLocks noChangeAspect="1"/>
                    </pic:cNvPicPr>
                  </pic:nvPicPr>
                  <pic:blipFill>
                    <a:blip r:embed="rId19"/>
                    <a:stretch>
                      <a:fillRect/>
                    </a:stretch>
                  </pic:blipFill>
                  <pic:spPr>
                    <a:xfrm>
                      <a:off x="0" y="0"/>
                      <a:ext cx="7177405" cy="3998595"/>
                    </a:xfrm>
                    <a:prstGeom prst="rect">
                      <a:avLst/>
                    </a:prstGeom>
                  </pic:spPr>
                </pic:pic>
              </a:graphicData>
            </a:graphic>
          </wp:inline>
        </w:drawing>
      </w:r>
      <w:r>
        <w:rPr>
          <w:rFonts w:hint="eastAsia" w:ascii="Times New Roman" w:hAnsi="Times New Roman" w:eastAsia="仿宋_GB2312" w:cs="仿宋_GB2312"/>
          <w:b w:val="0"/>
          <w:bCs w:val="0"/>
          <w:kern w:val="0"/>
          <w:position w:val="0"/>
          <w:sz w:val="32"/>
          <w:szCs w:val="32"/>
          <w:highlight w:val="none"/>
          <w:lang w:val="en-US" w:eastAsia="zh-CN" w:bidi="ar-SA"/>
        </w:rPr>
        <w:drawing>
          <wp:inline distT="0" distB="0" distL="114300" distR="114300">
            <wp:extent cx="7375525" cy="3811270"/>
            <wp:effectExtent l="0" t="0" r="15875" b="17780"/>
            <wp:docPr id="31" name="图片 31" descr="1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1597"/>
                    <pic:cNvPicPr>
                      <a:picLocks noChangeAspect="1"/>
                    </pic:cNvPicPr>
                  </pic:nvPicPr>
                  <pic:blipFill>
                    <a:blip r:embed="rId20"/>
                    <a:stretch>
                      <a:fillRect/>
                    </a:stretch>
                  </pic:blipFill>
                  <pic:spPr>
                    <a:xfrm>
                      <a:off x="0" y="0"/>
                      <a:ext cx="7375525" cy="3811270"/>
                    </a:xfrm>
                    <a:prstGeom prst="rect">
                      <a:avLst/>
                    </a:prstGeom>
                  </pic:spPr>
                </pic:pic>
              </a:graphicData>
            </a:graphic>
          </wp:inline>
        </w:drawing>
      </w:r>
      <w:r>
        <w:rPr>
          <w:rFonts w:hint="eastAsia" w:ascii="Times New Roman" w:hAnsi="Times New Roman" w:eastAsia="仿宋_GB2312" w:cs="仿宋_GB2312"/>
          <w:b w:val="0"/>
          <w:bCs w:val="0"/>
          <w:kern w:val="0"/>
          <w:position w:val="0"/>
          <w:sz w:val="32"/>
          <w:szCs w:val="32"/>
          <w:highlight w:val="none"/>
          <w:lang w:val="en-US" w:eastAsia="zh-CN" w:bidi="ar-SA"/>
        </w:rPr>
        <w:drawing>
          <wp:inline distT="0" distB="0" distL="114300" distR="114300">
            <wp:extent cx="7391400" cy="3739515"/>
            <wp:effectExtent l="0" t="0" r="0" b="13335"/>
            <wp:docPr id="30" name="图片 30" descr="1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1629"/>
                    <pic:cNvPicPr>
                      <a:picLocks noChangeAspect="1"/>
                    </pic:cNvPicPr>
                  </pic:nvPicPr>
                  <pic:blipFill>
                    <a:blip r:embed="rId21"/>
                    <a:stretch>
                      <a:fillRect/>
                    </a:stretch>
                  </pic:blipFill>
                  <pic:spPr>
                    <a:xfrm>
                      <a:off x="0" y="0"/>
                      <a:ext cx="7391400" cy="3739515"/>
                    </a:xfrm>
                    <a:prstGeom prst="rect">
                      <a:avLst/>
                    </a:prstGeom>
                  </pic:spPr>
                </pic:pic>
              </a:graphicData>
            </a:graphic>
          </wp:inline>
        </w:drawing>
      </w:r>
      <w:r>
        <w:rPr>
          <w:rFonts w:hint="eastAsia" w:ascii="Times New Roman" w:hAnsi="Times New Roman" w:eastAsia="仿宋_GB2312" w:cs="仿宋_GB2312"/>
          <w:b w:val="0"/>
          <w:bCs w:val="0"/>
          <w:kern w:val="0"/>
          <w:position w:val="0"/>
          <w:sz w:val="32"/>
          <w:szCs w:val="32"/>
          <w:highlight w:val="none"/>
          <w:lang w:val="en-US" w:eastAsia="zh-CN" w:bidi="ar-SA"/>
        </w:rPr>
        <w:drawing>
          <wp:inline distT="0" distB="0" distL="114300" distR="114300">
            <wp:extent cx="7383780" cy="4378325"/>
            <wp:effectExtent l="0" t="0" r="7620" b="3175"/>
            <wp:docPr id="29" name="图片 29" descr="1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1635"/>
                    <pic:cNvPicPr>
                      <a:picLocks noChangeAspect="1"/>
                    </pic:cNvPicPr>
                  </pic:nvPicPr>
                  <pic:blipFill>
                    <a:blip r:embed="rId22"/>
                    <a:stretch>
                      <a:fillRect/>
                    </a:stretch>
                  </pic:blipFill>
                  <pic:spPr>
                    <a:xfrm>
                      <a:off x="0" y="0"/>
                      <a:ext cx="7383780" cy="4378325"/>
                    </a:xfrm>
                    <a:prstGeom prst="rect">
                      <a:avLst/>
                    </a:prstGeom>
                  </pic:spPr>
                </pic:pic>
              </a:graphicData>
            </a:graphic>
          </wp:inline>
        </w:drawing>
      </w:r>
      <w:r>
        <w:rPr>
          <w:rFonts w:hint="eastAsia" w:ascii="Times New Roman" w:hAnsi="Times New Roman" w:eastAsia="仿宋_GB2312" w:cs="仿宋_GB2312"/>
          <w:b w:val="0"/>
          <w:bCs w:val="0"/>
          <w:kern w:val="0"/>
          <w:position w:val="0"/>
          <w:sz w:val="32"/>
          <w:szCs w:val="32"/>
          <w:highlight w:val="none"/>
          <w:lang w:val="en-US" w:eastAsia="zh-CN" w:bidi="ar-SA"/>
        </w:rPr>
        <w:drawing>
          <wp:inline distT="0" distB="0" distL="114300" distR="114300">
            <wp:extent cx="7383780" cy="3856990"/>
            <wp:effectExtent l="0" t="0" r="7620" b="10160"/>
            <wp:docPr id="28" name="图片 28" descr="2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2928"/>
                    <pic:cNvPicPr>
                      <a:picLocks noChangeAspect="1"/>
                    </pic:cNvPicPr>
                  </pic:nvPicPr>
                  <pic:blipFill>
                    <a:blip r:embed="rId23"/>
                    <a:stretch>
                      <a:fillRect/>
                    </a:stretch>
                  </pic:blipFill>
                  <pic:spPr>
                    <a:xfrm>
                      <a:off x="0" y="0"/>
                      <a:ext cx="7383780" cy="3856990"/>
                    </a:xfrm>
                    <a:prstGeom prst="rect">
                      <a:avLst/>
                    </a:prstGeom>
                  </pic:spPr>
                </pic:pic>
              </a:graphicData>
            </a:graphic>
          </wp:inline>
        </w:drawing>
      </w:r>
      <w:r>
        <w:rPr>
          <w:rFonts w:hint="eastAsia" w:ascii="Times New Roman" w:hAnsi="Times New Roman" w:eastAsia="仿宋_GB2312" w:cs="仿宋_GB2312"/>
          <w:b w:val="0"/>
          <w:bCs w:val="0"/>
          <w:kern w:val="0"/>
          <w:position w:val="0"/>
          <w:sz w:val="32"/>
          <w:szCs w:val="32"/>
          <w:highlight w:val="none"/>
          <w:lang w:val="en-US" w:eastAsia="zh-CN" w:bidi="ar-SA"/>
        </w:rPr>
        <w:drawing>
          <wp:inline distT="0" distB="0" distL="114300" distR="114300">
            <wp:extent cx="7374255" cy="3928745"/>
            <wp:effectExtent l="0" t="0" r="17145" b="14605"/>
            <wp:docPr id="27" name="图片 27" descr="3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3331"/>
                    <pic:cNvPicPr>
                      <a:picLocks noChangeAspect="1"/>
                    </pic:cNvPicPr>
                  </pic:nvPicPr>
                  <pic:blipFill>
                    <a:blip r:embed="rId24"/>
                    <a:stretch>
                      <a:fillRect/>
                    </a:stretch>
                  </pic:blipFill>
                  <pic:spPr>
                    <a:xfrm>
                      <a:off x="0" y="0"/>
                      <a:ext cx="7374255" cy="3928745"/>
                    </a:xfrm>
                    <a:prstGeom prst="rect">
                      <a:avLst/>
                    </a:prstGeom>
                  </pic:spPr>
                </pic:pic>
              </a:graphicData>
            </a:graphic>
          </wp:inline>
        </w:drawing>
      </w:r>
      <w:r>
        <w:rPr>
          <w:rFonts w:hint="eastAsia" w:ascii="Times New Roman" w:hAnsi="Times New Roman" w:eastAsia="仿宋_GB2312" w:cs="仿宋_GB2312"/>
          <w:b w:val="0"/>
          <w:bCs w:val="0"/>
          <w:kern w:val="0"/>
          <w:position w:val="0"/>
          <w:sz w:val="32"/>
          <w:szCs w:val="32"/>
          <w:highlight w:val="none"/>
          <w:lang w:val="en-US" w:eastAsia="zh-CN" w:bidi="ar-SA"/>
        </w:rPr>
        <w:drawing>
          <wp:inline distT="0" distB="0" distL="114300" distR="114300">
            <wp:extent cx="7317105" cy="3848735"/>
            <wp:effectExtent l="0" t="0" r="17145" b="18415"/>
            <wp:docPr id="26" name="图片 26" descr="3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3719"/>
                    <pic:cNvPicPr>
                      <a:picLocks noChangeAspect="1"/>
                    </pic:cNvPicPr>
                  </pic:nvPicPr>
                  <pic:blipFill>
                    <a:blip r:embed="rId25"/>
                    <a:stretch>
                      <a:fillRect/>
                    </a:stretch>
                  </pic:blipFill>
                  <pic:spPr>
                    <a:xfrm>
                      <a:off x="0" y="0"/>
                      <a:ext cx="7317105" cy="3848735"/>
                    </a:xfrm>
                    <a:prstGeom prst="rect">
                      <a:avLst/>
                    </a:prstGeom>
                  </pic:spPr>
                </pic:pic>
              </a:graphicData>
            </a:graphic>
          </wp:inline>
        </w:drawing>
      </w:r>
      <w:r>
        <w:rPr>
          <w:rFonts w:hint="eastAsia" w:ascii="Times New Roman" w:hAnsi="Times New Roman" w:eastAsia="仿宋_GB2312" w:cs="仿宋_GB2312"/>
          <w:b w:val="0"/>
          <w:bCs w:val="0"/>
          <w:kern w:val="0"/>
          <w:position w:val="0"/>
          <w:sz w:val="32"/>
          <w:szCs w:val="32"/>
          <w:highlight w:val="none"/>
          <w:lang w:val="en-US" w:eastAsia="zh-CN" w:bidi="ar-SA"/>
        </w:rPr>
        <w:drawing>
          <wp:inline distT="0" distB="0" distL="114300" distR="114300">
            <wp:extent cx="7369175" cy="3855720"/>
            <wp:effectExtent l="0" t="0" r="3175" b="11430"/>
            <wp:docPr id="25" name="图片 25" descr="4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4181"/>
                    <pic:cNvPicPr>
                      <a:picLocks noChangeAspect="1"/>
                    </pic:cNvPicPr>
                  </pic:nvPicPr>
                  <pic:blipFill>
                    <a:blip r:embed="rId26"/>
                    <a:stretch>
                      <a:fillRect/>
                    </a:stretch>
                  </pic:blipFill>
                  <pic:spPr>
                    <a:xfrm>
                      <a:off x="0" y="0"/>
                      <a:ext cx="7369175" cy="3855720"/>
                    </a:xfrm>
                    <a:prstGeom prst="rect">
                      <a:avLst/>
                    </a:prstGeom>
                  </pic:spPr>
                </pic:pic>
              </a:graphicData>
            </a:graphic>
          </wp:inline>
        </w:drawing>
      </w:r>
      <w:r>
        <w:rPr>
          <w:rFonts w:hint="eastAsia" w:ascii="Times New Roman" w:hAnsi="Times New Roman" w:eastAsia="仿宋_GB2312" w:cs="仿宋_GB2312"/>
          <w:b w:val="0"/>
          <w:bCs w:val="0"/>
          <w:kern w:val="0"/>
          <w:position w:val="0"/>
          <w:sz w:val="32"/>
          <w:szCs w:val="32"/>
          <w:highlight w:val="none"/>
          <w:lang w:val="en-US" w:eastAsia="zh-CN" w:bidi="ar-SA"/>
        </w:rPr>
        <w:drawing>
          <wp:inline distT="0" distB="0" distL="114300" distR="114300">
            <wp:extent cx="6906895" cy="4065270"/>
            <wp:effectExtent l="0" t="0" r="8255" b="11430"/>
            <wp:docPr id="24" name="图片 24" descr="4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4212"/>
                    <pic:cNvPicPr>
                      <a:picLocks noChangeAspect="1"/>
                    </pic:cNvPicPr>
                  </pic:nvPicPr>
                  <pic:blipFill>
                    <a:blip r:embed="rId27"/>
                    <a:stretch>
                      <a:fillRect/>
                    </a:stretch>
                  </pic:blipFill>
                  <pic:spPr>
                    <a:xfrm>
                      <a:off x="0" y="0"/>
                      <a:ext cx="6906895" cy="4065270"/>
                    </a:xfrm>
                    <a:prstGeom prst="rect">
                      <a:avLst/>
                    </a:prstGeom>
                  </pic:spPr>
                </pic:pic>
              </a:graphicData>
            </a:graphic>
          </wp:inline>
        </w:drawing>
      </w:r>
      <w:r>
        <w:rPr>
          <w:rFonts w:hint="eastAsia" w:ascii="Times New Roman" w:hAnsi="Times New Roman" w:eastAsia="仿宋_GB2312" w:cs="仿宋_GB2312"/>
          <w:b w:val="0"/>
          <w:bCs w:val="0"/>
          <w:kern w:val="0"/>
          <w:position w:val="0"/>
          <w:sz w:val="32"/>
          <w:szCs w:val="32"/>
          <w:highlight w:val="none"/>
          <w:lang w:val="en-US" w:eastAsia="zh-CN" w:bidi="ar-SA"/>
        </w:rPr>
        <w:drawing>
          <wp:inline distT="0" distB="0" distL="114300" distR="114300">
            <wp:extent cx="7878445" cy="3889375"/>
            <wp:effectExtent l="0" t="0" r="8255" b="15875"/>
            <wp:docPr id="23" name="图片 23" descr="4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4232"/>
                    <pic:cNvPicPr>
                      <a:picLocks noChangeAspect="1"/>
                    </pic:cNvPicPr>
                  </pic:nvPicPr>
                  <pic:blipFill>
                    <a:blip r:embed="rId28"/>
                    <a:stretch>
                      <a:fillRect/>
                    </a:stretch>
                  </pic:blipFill>
                  <pic:spPr>
                    <a:xfrm>
                      <a:off x="0" y="0"/>
                      <a:ext cx="7878445" cy="3889375"/>
                    </a:xfrm>
                    <a:prstGeom prst="rect">
                      <a:avLst/>
                    </a:prstGeom>
                  </pic:spPr>
                </pic:pic>
              </a:graphicData>
            </a:graphic>
          </wp:inline>
        </w:drawing>
      </w:r>
      <w:r>
        <w:rPr>
          <w:rFonts w:hint="eastAsia" w:ascii="Times New Roman" w:hAnsi="Times New Roman" w:eastAsia="仿宋_GB2312" w:cs="仿宋_GB2312"/>
          <w:b w:val="0"/>
          <w:bCs w:val="0"/>
          <w:kern w:val="0"/>
          <w:position w:val="0"/>
          <w:sz w:val="32"/>
          <w:szCs w:val="32"/>
          <w:highlight w:val="none"/>
          <w:lang w:val="en-US" w:eastAsia="zh-CN" w:bidi="ar-SA"/>
        </w:rPr>
        <w:drawing>
          <wp:inline distT="0" distB="0" distL="114300" distR="114300">
            <wp:extent cx="7685405" cy="3948430"/>
            <wp:effectExtent l="0" t="0" r="10795" b="13970"/>
            <wp:docPr id="22" name="图片 22" descr="4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4286"/>
                    <pic:cNvPicPr>
                      <a:picLocks noChangeAspect="1"/>
                    </pic:cNvPicPr>
                  </pic:nvPicPr>
                  <pic:blipFill>
                    <a:blip r:embed="rId29"/>
                    <a:stretch>
                      <a:fillRect/>
                    </a:stretch>
                  </pic:blipFill>
                  <pic:spPr>
                    <a:xfrm>
                      <a:off x="0" y="0"/>
                      <a:ext cx="7685405" cy="3948430"/>
                    </a:xfrm>
                    <a:prstGeom prst="rect">
                      <a:avLst/>
                    </a:prstGeom>
                  </pic:spPr>
                </pic:pic>
              </a:graphicData>
            </a:graphic>
          </wp:inline>
        </w:drawing>
      </w:r>
      <w:r>
        <w:rPr>
          <w:rFonts w:hint="eastAsia" w:ascii="Times New Roman" w:hAnsi="Times New Roman" w:eastAsia="仿宋_GB2312" w:cs="仿宋_GB2312"/>
          <w:b w:val="0"/>
          <w:bCs w:val="0"/>
          <w:kern w:val="0"/>
          <w:position w:val="0"/>
          <w:sz w:val="32"/>
          <w:szCs w:val="32"/>
          <w:highlight w:val="none"/>
          <w:lang w:val="en-US" w:eastAsia="zh-CN" w:bidi="ar-SA"/>
        </w:rPr>
        <w:drawing>
          <wp:inline distT="0" distB="0" distL="114300" distR="114300">
            <wp:extent cx="7252970" cy="3825240"/>
            <wp:effectExtent l="0" t="0" r="5080" b="3810"/>
            <wp:docPr id="21" name="图片 21" descr="4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4669"/>
                    <pic:cNvPicPr>
                      <a:picLocks noChangeAspect="1"/>
                    </pic:cNvPicPr>
                  </pic:nvPicPr>
                  <pic:blipFill>
                    <a:blip r:embed="rId30"/>
                    <a:stretch>
                      <a:fillRect/>
                    </a:stretch>
                  </pic:blipFill>
                  <pic:spPr>
                    <a:xfrm>
                      <a:off x="0" y="0"/>
                      <a:ext cx="7252970" cy="3825240"/>
                    </a:xfrm>
                    <a:prstGeom prst="rect">
                      <a:avLst/>
                    </a:prstGeom>
                  </pic:spPr>
                </pic:pic>
              </a:graphicData>
            </a:graphic>
          </wp:inline>
        </w:drawing>
      </w:r>
      <w:r>
        <w:rPr>
          <w:rFonts w:hint="eastAsia" w:ascii="Times New Roman" w:hAnsi="Times New Roman" w:eastAsia="仿宋_GB2312" w:cs="仿宋_GB2312"/>
          <w:b w:val="0"/>
          <w:bCs w:val="0"/>
          <w:kern w:val="0"/>
          <w:position w:val="0"/>
          <w:sz w:val="32"/>
          <w:szCs w:val="32"/>
          <w:highlight w:val="none"/>
          <w:lang w:val="en-US" w:eastAsia="zh-CN" w:bidi="ar-SA"/>
        </w:rPr>
        <w:drawing>
          <wp:inline distT="0" distB="0" distL="114300" distR="114300">
            <wp:extent cx="7409180" cy="3824605"/>
            <wp:effectExtent l="0" t="0" r="1270" b="4445"/>
            <wp:docPr id="20" name="图片 20" descr="4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4833"/>
                    <pic:cNvPicPr>
                      <a:picLocks noChangeAspect="1"/>
                    </pic:cNvPicPr>
                  </pic:nvPicPr>
                  <pic:blipFill>
                    <a:blip r:embed="rId31"/>
                    <a:stretch>
                      <a:fillRect/>
                    </a:stretch>
                  </pic:blipFill>
                  <pic:spPr>
                    <a:xfrm>
                      <a:off x="0" y="0"/>
                      <a:ext cx="7409180" cy="3824605"/>
                    </a:xfrm>
                    <a:prstGeom prst="rect">
                      <a:avLst/>
                    </a:prstGeom>
                  </pic:spPr>
                </pic:pic>
              </a:graphicData>
            </a:graphic>
          </wp:inline>
        </w:drawing>
      </w:r>
      <w:r>
        <w:rPr>
          <w:rFonts w:hint="eastAsia" w:ascii="Times New Roman" w:hAnsi="Times New Roman" w:eastAsia="仿宋_GB2312" w:cs="仿宋_GB2312"/>
          <w:b w:val="0"/>
          <w:bCs w:val="0"/>
          <w:kern w:val="0"/>
          <w:position w:val="0"/>
          <w:sz w:val="32"/>
          <w:szCs w:val="32"/>
          <w:highlight w:val="none"/>
          <w:lang w:val="en-US" w:eastAsia="zh-CN" w:bidi="ar-SA"/>
        </w:rPr>
        <w:drawing>
          <wp:inline distT="0" distB="0" distL="114300" distR="114300">
            <wp:extent cx="7550785" cy="3813810"/>
            <wp:effectExtent l="0" t="0" r="12065" b="15240"/>
            <wp:docPr id="19" name="图片 19" descr="6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6147"/>
                    <pic:cNvPicPr>
                      <a:picLocks noChangeAspect="1"/>
                    </pic:cNvPicPr>
                  </pic:nvPicPr>
                  <pic:blipFill>
                    <a:blip r:embed="rId32"/>
                    <a:stretch>
                      <a:fillRect/>
                    </a:stretch>
                  </pic:blipFill>
                  <pic:spPr>
                    <a:xfrm>
                      <a:off x="0" y="0"/>
                      <a:ext cx="7550785" cy="3813810"/>
                    </a:xfrm>
                    <a:prstGeom prst="rect">
                      <a:avLst/>
                    </a:prstGeom>
                  </pic:spPr>
                </pic:pic>
              </a:graphicData>
            </a:graphic>
          </wp:inline>
        </w:drawing>
      </w:r>
      <w:r>
        <w:rPr>
          <w:rFonts w:hint="eastAsia" w:ascii="Times New Roman" w:hAnsi="Times New Roman" w:eastAsia="仿宋_GB2312" w:cs="仿宋_GB2312"/>
          <w:b w:val="0"/>
          <w:bCs w:val="0"/>
          <w:kern w:val="0"/>
          <w:position w:val="0"/>
          <w:sz w:val="32"/>
          <w:szCs w:val="32"/>
          <w:highlight w:val="none"/>
          <w:lang w:val="en-US" w:eastAsia="zh-CN" w:bidi="ar-SA"/>
        </w:rPr>
        <w:drawing>
          <wp:inline distT="0" distB="0" distL="114300" distR="114300">
            <wp:extent cx="7670800" cy="3957955"/>
            <wp:effectExtent l="0" t="0" r="6350" b="4445"/>
            <wp:docPr id="18" name="图片 18" descr="6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6671"/>
                    <pic:cNvPicPr>
                      <a:picLocks noChangeAspect="1"/>
                    </pic:cNvPicPr>
                  </pic:nvPicPr>
                  <pic:blipFill>
                    <a:blip r:embed="rId33"/>
                    <a:stretch>
                      <a:fillRect/>
                    </a:stretch>
                  </pic:blipFill>
                  <pic:spPr>
                    <a:xfrm>
                      <a:off x="0" y="0"/>
                      <a:ext cx="7670800" cy="3957955"/>
                    </a:xfrm>
                    <a:prstGeom prst="rect">
                      <a:avLst/>
                    </a:prstGeom>
                  </pic:spPr>
                </pic:pic>
              </a:graphicData>
            </a:graphic>
          </wp:inline>
        </w:drawing>
      </w:r>
      <w:r>
        <w:rPr>
          <w:rFonts w:hint="eastAsia" w:ascii="Times New Roman" w:hAnsi="Times New Roman" w:eastAsia="仿宋_GB2312" w:cs="仿宋_GB2312"/>
          <w:b w:val="0"/>
          <w:bCs w:val="0"/>
          <w:kern w:val="0"/>
          <w:position w:val="0"/>
          <w:sz w:val="32"/>
          <w:szCs w:val="32"/>
          <w:highlight w:val="none"/>
          <w:lang w:val="en-US" w:eastAsia="zh-CN" w:bidi="ar-SA"/>
        </w:rPr>
        <w:drawing>
          <wp:inline distT="0" distB="0" distL="114300" distR="114300">
            <wp:extent cx="7391400" cy="3954780"/>
            <wp:effectExtent l="0" t="0" r="0" b="7620"/>
            <wp:docPr id="17" name="图片 17" descr="6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6725"/>
                    <pic:cNvPicPr>
                      <a:picLocks noChangeAspect="1"/>
                    </pic:cNvPicPr>
                  </pic:nvPicPr>
                  <pic:blipFill>
                    <a:blip r:embed="rId34"/>
                    <a:stretch>
                      <a:fillRect/>
                    </a:stretch>
                  </pic:blipFill>
                  <pic:spPr>
                    <a:xfrm>
                      <a:off x="0" y="0"/>
                      <a:ext cx="7391400" cy="3954780"/>
                    </a:xfrm>
                    <a:prstGeom prst="rect">
                      <a:avLst/>
                    </a:prstGeom>
                  </pic:spPr>
                </pic:pic>
              </a:graphicData>
            </a:graphic>
          </wp:inline>
        </w:drawing>
      </w:r>
      <w:r>
        <w:rPr>
          <w:rFonts w:hint="eastAsia" w:ascii="Times New Roman" w:hAnsi="Times New Roman" w:eastAsia="仿宋_GB2312" w:cs="仿宋_GB2312"/>
          <w:b w:val="0"/>
          <w:bCs w:val="0"/>
          <w:kern w:val="0"/>
          <w:position w:val="0"/>
          <w:sz w:val="32"/>
          <w:szCs w:val="32"/>
          <w:highlight w:val="none"/>
          <w:lang w:val="en-US" w:eastAsia="zh-CN" w:bidi="ar-SA"/>
        </w:rPr>
        <w:drawing>
          <wp:inline distT="0" distB="0" distL="114300" distR="114300">
            <wp:extent cx="7368540" cy="3869055"/>
            <wp:effectExtent l="0" t="0" r="3810" b="17145"/>
            <wp:docPr id="16" name="图片 16" descr="6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6764"/>
                    <pic:cNvPicPr>
                      <a:picLocks noChangeAspect="1"/>
                    </pic:cNvPicPr>
                  </pic:nvPicPr>
                  <pic:blipFill>
                    <a:blip r:embed="rId35"/>
                    <a:stretch>
                      <a:fillRect/>
                    </a:stretch>
                  </pic:blipFill>
                  <pic:spPr>
                    <a:xfrm>
                      <a:off x="0" y="0"/>
                      <a:ext cx="7368540" cy="3869055"/>
                    </a:xfrm>
                    <a:prstGeom prst="rect">
                      <a:avLst/>
                    </a:prstGeom>
                  </pic:spPr>
                </pic:pic>
              </a:graphicData>
            </a:graphic>
          </wp:inline>
        </w:drawing>
      </w:r>
      <w:r>
        <w:rPr>
          <w:rFonts w:hint="eastAsia" w:ascii="Times New Roman" w:hAnsi="Times New Roman" w:eastAsia="仿宋_GB2312" w:cs="仿宋_GB2312"/>
          <w:b w:val="0"/>
          <w:bCs w:val="0"/>
          <w:kern w:val="0"/>
          <w:position w:val="0"/>
          <w:sz w:val="32"/>
          <w:szCs w:val="32"/>
          <w:highlight w:val="none"/>
          <w:lang w:val="en-US" w:eastAsia="zh-CN" w:bidi="ar-SA"/>
        </w:rPr>
        <w:drawing>
          <wp:inline distT="0" distB="0" distL="114300" distR="114300">
            <wp:extent cx="7833995" cy="3927475"/>
            <wp:effectExtent l="0" t="0" r="14605" b="15875"/>
            <wp:docPr id="15" name="图片 15" descr="6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6832"/>
                    <pic:cNvPicPr>
                      <a:picLocks noChangeAspect="1"/>
                    </pic:cNvPicPr>
                  </pic:nvPicPr>
                  <pic:blipFill>
                    <a:blip r:embed="rId36"/>
                    <a:stretch>
                      <a:fillRect/>
                    </a:stretch>
                  </pic:blipFill>
                  <pic:spPr>
                    <a:xfrm>
                      <a:off x="0" y="0"/>
                      <a:ext cx="7833995" cy="3927475"/>
                    </a:xfrm>
                    <a:prstGeom prst="rect">
                      <a:avLst/>
                    </a:prstGeom>
                  </pic:spPr>
                </pic:pic>
              </a:graphicData>
            </a:graphic>
          </wp:inline>
        </w:drawing>
      </w:r>
      <w:r>
        <w:rPr>
          <w:rFonts w:hint="eastAsia" w:ascii="Times New Roman" w:hAnsi="Times New Roman" w:eastAsia="仿宋_GB2312" w:cs="仿宋_GB2312"/>
          <w:b w:val="0"/>
          <w:bCs w:val="0"/>
          <w:kern w:val="0"/>
          <w:position w:val="0"/>
          <w:sz w:val="32"/>
          <w:szCs w:val="32"/>
          <w:highlight w:val="none"/>
          <w:lang w:val="en-US" w:eastAsia="zh-CN" w:bidi="ar-SA"/>
        </w:rPr>
        <w:drawing>
          <wp:inline distT="0" distB="0" distL="114300" distR="114300">
            <wp:extent cx="7637780" cy="3775075"/>
            <wp:effectExtent l="0" t="0" r="1270" b="15875"/>
            <wp:docPr id="14" name="图片 14" descr="7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7215"/>
                    <pic:cNvPicPr>
                      <a:picLocks noChangeAspect="1"/>
                    </pic:cNvPicPr>
                  </pic:nvPicPr>
                  <pic:blipFill>
                    <a:blip r:embed="rId37"/>
                    <a:stretch>
                      <a:fillRect/>
                    </a:stretch>
                  </pic:blipFill>
                  <pic:spPr>
                    <a:xfrm>
                      <a:off x="0" y="0"/>
                      <a:ext cx="7637780" cy="3775075"/>
                    </a:xfrm>
                    <a:prstGeom prst="rect">
                      <a:avLst/>
                    </a:prstGeom>
                  </pic:spPr>
                </pic:pic>
              </a:graphicData>
            </a:graphic>
          </wp:inline>
        </w:drawing>
      </w:r>
      <w:r>
        <w:rPr>
          <w:rFonts w:hint="eastAsia" w:ascii="Times New Roman" w:hAnsi="Times New Roman" w:eastAsia="仿宋_GB2312" w:cs="仿宋_GB2312"/>
          <w:b w:val="0"/>
          <w:bCs w:val="0"/>
          <w:kern w:val="0"/>
          <w:position w:val="0"/>
          <w:sz w:val="32"/>
          <w:szCs w:val="32"/>
          <w:highlight w:val="none"/>
          <w:lang w:val="en-US" w:eastAsia="zh-CN" w:bidi="ar-SA"/>
        </w:rPr>
        <w:drawing>
          <wp:inline distT="0" distB="0" distL="114300" distR="114300">
            <wp:extent cx="7198360" cy="3890645"/>
            <wp:effectExtent l="0" t="0" r="2540" b="14605"/>
            <wp:docPr id="13" name="图片 13" descr="7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7758"/>
                    <pic:cNvPicPr>
                      <a:picLocks noChangeAspect="1"/>
                    </pic:cNvPicPr>
                  </pic:nvPicPr>
                  <pic:blipFill>
                    <a:blip r:embed="rId38"/>
                    <a:stretch>
                      <a:fillRect/>
                    </a:stretch>
                  </pic:blipFill>
                  <pic:spPr>
                    <a:xfrm>
                      <a:off x="0" y="0"/>
                      <a:ext cx="7198360" cy="3890645"/>
                    </a:xfrm>
                    <a:prstGeom prst="rect">
                      <a:avLst/>
                    </a:prstGeom>
                  </pic:spPr>
                </pic:pic>
              </a:graphicData>
            </a:graphic>
          </wp:inline>
        </w:drawing>
      </w:r>
      <w:r>
        <w:rPr>
          <w:rFonts w:hint="eastAsia" w:ascii="Times New Roman" w:hAnsi="Times New Roman" w:eastAsia="仿宋_GB2312" w:cs="仿宋_GB2312"/>
          <w:b w:val="0"/>
          <w:bCs w:val="0"/>
          <w:kern w:val="0"/>
          <w:position w:val="0"/>
          <w:sz w:val="32"/>
          <w:szCs w:val="32"/>
          <w:highlight w:val="none"/>
          <w:lang w:val="en-US" w:eastAsia="zh-CN" w:bidi="ar-SA"/>
        </w:rPr>
        <w:drawing>
          <wp:inline distT="0" distB="0" distL="114300" distR="114300">
            <wp:extent cx="7380605" cy="3860800"/>
            <wp:effectExtent l="0" t="0" r="10795" b="6350"/>
            <wp:docPr id="12" name="图片 12" descr="9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9011"/>
                    <pic:cNvPicPr>
                      <a:picLocks noChangeAspect="1"/>
                    </pic:cNvPicPr>
                  </pic:nvPicPr>
                  <pic:blipFill>
                    <a:blip r:embed="rId39"/>
                    <a:stretch>
                      <a:fillRect/>
                    </a:stretch>
                  </pic:blipFill>
                  <pic:spPr>
                    <a:xfrm>
                      <a:off x="0" y="0"/>
                      <a:ext cx="7380605" cy="3860800"/>
                    </a:xfrm>
                    <a:prstGeom prst="rect">
                      <a:avLst/>
                    </a:prstGeom>
                  </pic:spPr>
                </pic:pic>
              </a:graphicData>
            </a:graphic>
          </wp:inline>
        </w:drawing>
      </w:r>
      <w:r>
        <w:rPr>
          <w:rFonts w:hint="eastAsia" w:ascii="Times New Roman" w:hAnsi="Times New Roman" w:eastAsia="仿宋_GB2312" w:cs="仿宋_GB2312"/>
          <w:b w:val="0"/>
          <w:bCs w:val="0"/>
          <w:kern w:val="0"/>
          <w:position w:val="0"/>
          <w:sz w:val="32"/>
          <w:szCs w:val="32"/>
          <w:highlight w:val="none"/>
          <w:lang w:val="en-US" w:eastAsia="zh-CN" w:bidi="ar-SA"/>
        </w:rPr>
        <w:drawing>
          <wp:inline distT="0" distB="0" distL="114300" distR="114300">
            <wp:extent cx="7359015" cy="3938270"/>
            <wp:effectExtent l="0" t="0" r="13335" b="5080"/>
            <wp:docPr id="9" name="图片 9" descr="9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9109"/>
                    <pic:cNvPicPr>
                      <a:picLocks noChangeAspect="1"/>
                    </pic:cNvPicPr>
                  </pic:nvPicPr>
                  <pic:blipFill>
                    <a:blip r:embed="rId40"/>
                    <a:stretch>
                      <a:fillRect/>
                    </a:stretch>
                  </pic:blipFill>
                  <pic:spPr>
                    <a:xfrm>
                      <a:off x="0" y="0"/>
                      <a:ext cx="7359015" cy="3938270"/>
                    </a:xfrm>
                    <a:prstGeom prst="rect">
                      <a:avLst/>
                    </a:prstGeom>
                  </pic:spPr>
                </pic:pic>
              </a:graphicData>
            </a:graphic>
          </wp:inline>
        </w:drawing>
      </w:r>
      <w:r>
        <w:rPr>
          <w:rFonts w:hint="eastAsia" w:ascii="Times New Roman" w:hAnsi="Times New Roman" w:eastAsia="仿宋_GB2312" w:cs="仿宋_GB2312"/>
          <w:b w:val="0"/>
          <w:bCs w:val="0"/>
          <w:kern w:val="0"/>
          <w:position w:val="0"/>
          <w:sz w:val="32"/>
          <w:szCs w:val="32"/>
          <w:highlight w:val="none"/>
          <w:lang w:val="en-US" w:eastAsia="zh-CN" w:bidi="ar-SA"/>
        </w:rPr>
        <w:drawing>
          <wp:inline distT="0" distB="0" distL="114300" distR="114300">
            <wp:extent cx="7322820" cy="3818255"/>
            <wp:effectExtent l="0" t="0" r="11430" b="10795"/>
            <wp:docPr id="3" name="图片 3" descr="9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9126"/>
                    <pic:cNvPicPr>
                      <a:picLocks noChangeAspect="1"/>
                    </pic:cNvPicPr>
                  </pic:nvPicPr>
                  <pic:blipFill>
                    <a:blip r:embed="rId41"/>
                    <a:stretch>
                      <a:fillRect/>
                    </a:stretch>
                  </pic:blipFill>
                  <pic:spPr>
                    <a:xfrm>
                      <a:off x="0" y="0"/>
                      <a:ext cx="7322820" cy="3818255"/>
                    </a:xfrm>
                    <a:prstGeom prst="rect">
                      <a:avLst/>
                    </a:prstGeom>
                  </pic:spPr>
                </pic:pic>
              </a:graphicData>
            </a:graphic>
          </wp:inline>
        </w:drawing>
      </w:r>
      <w:r>
        <w:rPr>
          <w:rFonts w:hint="eastAsia" w:ascii="Times New Roman" w:hAnsi="Times New Roman" w:eastAsia="仿宋_GB2312" w:cs="仿宋_GB2312"/>
          <w:b w:val="0"/>
          <w:bCs w:val="0"/>
          <w:kern w:val="0"/>
          <w:position w:val="0"/>
          <w:sz w:val="32"/>
          <w:szCs w:val="32"/>
          <w:highlight w:val="none"/>
          <w:lang w:val="en-US" w:eastAsia="zh-CN" w:bidi="ar-SA"/>
        </w:rPr>
        <w:drawing>
          <wp:inline distT="0" distB="0" distL="114300" distR="114300">
            <wp:extent cx="7400925" cy="3954145"/>
            <wp:effectExtent l="0" t="0" r="9525" b="8255"/>
            <wp:docPr id="2" name="图片 2" descr="9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9144"/>
                    <pic:cNvPicPr>
                      <a:picLocks noChangeAspect="1"/>
                    </pic:cNvPicPr>
                  </pic:nvPicPr>
                  <pic:blipFill>
                    <a:blip r:embed="rId42"/>
                    <a:stretch>
                      <a:fillRect/>
                    </a:stretch>
                  </pic:blipFill>
                  <pic:spPr>
                    <a:xfrm>
                      <a:off x="0" y="0"/>
                      <a:ext cx="7400925" cy="3954145"/>
                    </a:xfrm>
                    <a:prstGeom prst="rect">
                      <a:avLst/>
                    </a:prstGeom>
                  </pic:spPr>
                </pic:pic>
              </a:graphicData>
            </a:graphic>
          </wp:inline>
        </w:drawing>
      </w:r>
      <w:r>
        <w:rPr>
          <w:rFonts w:hint="eastAsia" w:ascii="Times New Roman" w:hAnsi="Times New Roman" w:eastAsia="仿宋_GB2312" w:cs="仿宋_GB2312"/>
          <w:b w:val="0"/>
          <w:bCs w:val="0"/>
          <w:kern w:val="0"/>
          <w:position w:val="0"/>
          <w:sz w:val="32"/>
          <w:szCs w:val="32"/>
          <w:highlight w:val="none"/>
          <w:lang w:val="en-US" w:eastAsia="zh-CN" w:bidi="ar-SA"/>
        </w:rPr>
        <w:drawing>
          <wp:inline distT="0" distB="0" distL="114300" distR="114300">
            <wp:extent cx="6983095" cy="3943985"/>
            <wp:effectExtent l="0" t="0" r="8255" b="18415"/>
            <wp:docPr id="1" name="图片 1" descr="159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59011"/>
                    <pic:cNvPicPr>
                      <a:picLocks noChangeAspect="1"/>
                    </pic:cNvPicPr>
                  </pic:nvPicPr>
                  <pic:blipFill>
                    <a:blip r:embed="rId43"/>
                    <a:stretch>
                      <a:fillRect/>
                    </a:stretch>
                  </pic:blipFill>
                  <pic:spPr>
                    <a:xfrm>
                      <a:off x="0" y="0"/>
                      <a:ext cx="6983095" cy="394398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49"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45"/>
      <w:bookmarkEnd w:id="49"/>
      <w:bookmarkStart w:id="50" w:name="_Toc15396619"/>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0"/>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1" w:name="_Toc15396620"/>
      <w:r>
        <w:rPr>
          <w:rFonts w:hint="eastAsia" w:ascii="Times New Roman" w:hAnsi="Times New Roman" w:eastAsia="仿宋_GB2312" w:cs="仿宋_GB2312"/>
          <w:color w:val="auto"/>
          <w:sz w:val="32"/>
          <w:szCs w:val="32"/>
          <w:highlight w:val="none"/>
        </w:rPr>
        <w:t>二、收入决算表</w:t>
      </w:r>
      <w:bookmarkEnd w:id="51"/>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2" w:name="_Toc15396621"/>
      <w:r>
        <w:rPr>
          <w:rFonts w:hint="eastAsia" w:ascii="Times New Roman" w:hAnsi="Times New Roman" w:eastAsia="仿宋_GB2312" w:cs="仿宋_GB2312"/>
          <w:color w:val="auto"/>
          <w:sz w:val="32"/>
          <w:szCs w:val="32"/>
          <w:highlight w:val="none"/>
        </w:rPr>
        <w:t>三、支出决算表</w:t>
      </w:r>
      <w:bookmarkEnd w:id="52"/>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3" w:name="_Toc15396622"/>
      <w:r>
        <w:rPr>
          <w:rFonts w:hint="eastAsia" w:ascii="Times New Roman" w:hAnsi="Times New Roman" w:eastAsia="仿宋_GB2312" w:cs="仿宋_GB2312"/>
          <w:color w:val="auto"/>
          <w:sz w:val="32"/>
          <w:szCs w:val="32"/>
          <w:highlight w:val="none"/>
        </w:rPr>
        <w:t>四、财政拨款收入支出决算总表</w:t>
      </w:r>
      <w:bookmarkEnd w:id="53"/>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3"/>
      <w:r>
        <w:rPr>
          <w:rFonts w:hint="eastAsia" w:ascii="Times New Roman" w:hAnsi="Times New Roman" w:eastAsia="仿宋_GB2312" w:cs="仿宋_GB2312"/>
          <w:color w:val="auto"/>
          <w:sz w:val="32"/>
          <w:szCs w:val="32"/>
          <w:highlight w:val="none"/>
        </w:rPr>
        <w:t>五、财政拨款支出决算明细表</w:t>
      </w:r>
      <w:bookmarkEnd w:id="54"/>
      <w:bookmarkStart w:id="55" w:name="_Toc15396624"/>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5"/>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5"/>
      <w:r>
        <w:rPr>
          <w:rFonts w:hint="eastAsia" w:ascii="Times New Roman" w:hAnsi="Times New Roman" w:eastAsia="仿宋_GB2312" w:cs="仿宋_GB2312"/>
          <w:color w:val="auto"/>
          <w:sz w:val="32"/>
          <w:szCs w:val="32"/>
          <w:highlight w:val="none"/>
        </w:rPr>
        <w:t>七、一般公共预算财政拨款支出决算明细表</w:t>
      </w:r>
      <w:bookmarkEnd w:id="56"/>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6"/>
      <w:r>
        <w:rPr>
          <w:rFonts w:hint="eastAsia" w:ascii="Times New Roman" w:hAnsi="Times New Roman" w:eastAsia="仿宋_GB2312" w:cs="仿宋_GB2312"/>
          <w:color w:val="auto"/>
          <w:sz w:val="32"/>
          <w:szCs w:val="32"/>
          <w:highlight w:val="none"/>
        </w:rPr>
        <w:t>八、一般公共预算财政拨款基本支出决算表</w:t>
      </w:r>
      <w:bookmarkEnd w:id="57"/>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7"/>
      <w:r>
        <w:rPr>
          <w:rFonts w:hint="eastAsia" w:ascii="Times New Roman" w:hAnsi="Times New Roman" w:eastAsia="仿宋_GB2312" w:cs="仿宋_GB2312"/>
          <w:color w:val="auto"/>
          <w:sz w:val="32"/>
          <w:szCs w:val="32"/>
          <w:highlight w:val="none"/>
        </w:rPr>
        <w:t>九、一般公共预算财政拨款项目支出决算表</w:t>
      </w:r>
      <w:bookmarkEnd w:id="58"/>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8"/>
      <w:r>
        <w:rPr>
          <w:rFonts w:hint="eastAsia" w:ascii="Times New Roman" w:hAnsi="Times New Roman" w:eastAsia="仿宋_GB2312" w:cs="仿宋_GB2312"/>
          <w:color w:val="auto"/>
          <w:sz w:val="32"/>
          <w:szCs w:val="32"/>
          <w:highlight w:val="none"/>
        </w:rPr>
        <w:t>十、</w:t>
      </w:r>
      <w:bookmarkEnd w:id="59"/>
      <w:r>
        <w:rPr>
          <w:rFonts w:hint="eastAsia" w:ascii="Times New Roman" w:hAnsi="Times New Roman" w:eastAsia="仿宋_GB2312" w:cs="仿宋_GB2312"/>
          <w:color w:val="auto"/>
          <w:sz w:val="32"/>
          <w:szCs w:val="32"/>
          <w:highlight w:val="none"/>
        </w:rPr>
        <w:t>政府性基金预算财政拨款收入支出决算表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9"/>
      <w:r>
        <w:rPr>
          <w:rFonts w:hint="eastAsia" w:ascii="Times New Roman" w:hAnsi="Times New Roman" w:eastAsia="仿宋_GB2312" w:cs="仿宋_GB2312"/>
          <w:color w:val="auto"/>
          <w:sz w:val="32"/>
          <w:szCs w:val="32"/>
          <w:highlight w:val="none"/>
        </w:rPr>
        <w:t>十一、</w:t>
      </w:r>
      <w:bookmarkEnd w:id="60"/>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30"/>
      <w:r>
        <w:rPr>
          <w:rFonts w:hint="eastAsia" w:ascii="Times New Roman" w:hAnsi="Times New Roman" w:eastAsia="仿宋_GB2312" w:cs="仿宋_GB2312"/>
          <w:color w:val="auto"/>
          <w:sz w:val="32"/>
          <w:szCs w:val="32"/>
          <w:highlight w:val="none"/>
        </w:rPr>
        <w:t>十二、</w:t>
      </w:r>
      <w:bookmarkEnd w:id="61"/>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2" w:name="_Toc15396631"/>
      <w:r>
        <w:rPr>
          <w:rFonts w:hint="eastAsia" w:ascii="Times New Roman" w:hAnsi="Times New Roman" w:eastAsia="仿宋_GB2312" w:cs="仿宋_GB2312"/>
          <w:color w:val="auto"/>
          <w:sz w:val="32"/>
          <w:szCs w:val="32"/>
          <w:highlight w:val="none"/>
        </w:rPr>
        <w:t>十三、</w:t>
      </w:r>
      <w:bookmarkEnd w:id="62"/>
      <w:r>
        <w:rPr>
          <w:rFonts w:hint="eastAsia" w:ascii="Times New Roman" w:hAnsi="Times New Roman" w:eastAsia="仿宋_GB2312" w:cs="仿宋_GB2312"/>
          <w:color w:val="auto"/>
          <w:sz w:val="32"/>
          <w:szCs w:val="32"/>
          <w:highlight w:val="none"/>
          <w:lang w:eastAsia="zh-CN"/>
        </w:rPr>
        <w:t>财政拨款“三公”经费支出决算表</w:t>
      </w:r>
    </w:p>
    <w:p>
      <w:pPr>
        <w:rPr>
          <w:rFonts w:hint="eastAsia" w:ascii="Times New Roman" w:hAnsi="Times New Roman"/>
          <w:lang w:eastAsia="zh-CN"/>
        </w:rPr>
      </w:pPr>
    </w:p>
    <w:sectPr>
      <w:footerReference r:id="rId6" w:type="first"/>
      <w:footerReference r:id="rId5" w:type="default"/>
      <w:pgSz w:w="11906" w:h="16838"/>
      <w:pgMar w:top="1440" w:right="1800" w:bottom="1440" w:left="1800" w:header="851" w:footer="992" w:gutter="0"/>
      <w:pgNumType w:fmt="numberInDash"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6FF" w:usb1="420024FF" w:usb2="02000000" w:usb3="00000000" w:csb0="2000019F" w:csb1="00000000"/>
  </w:font>
  <w:font w:name="Calibri">
    <w:panose1 w:val="020F0502020204030204"/>
    <w:charset w:val="00"/>
    <w:family w:val="decorative"/>
    <w:pitch w:val="default"/>
    <w:sig w:usb0="E4002EFF" w:usb1="C000247B" w:usb2="00000009" w:usb3="00000000" w:csb0="200001FF" w:csb1="00000000"/>
  </w:font>
  <w:font w:name="Arial">
    <w:panose1 w:val="020B0604020202020204"/>
    <w:charset w:val="01"/>
    <w:family w:val="decorative"/>
    <w:pitch w:val="default"/>
    <w:sig w:usb0="E0002EFF" w:usb1="C000785B" w:usb2="00000009" w:usb3="00000000" w:csb0="400001FF" w:csb1="FFFF0000"/>
  </w:font>
  <w:font w:name="Courier New">
    <w:panose1 w:val="02070309020205020404"/>
    <w:charset w:val="01"/>
    <w:family w:val="swiss"/>
    <w:pitch w:val="default"/>
    <w:sig w:usb0="E0002E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仿宋">
    <w:panose1 w:val="02010609060101010101"/>
    <w:charset w:val="86"/>
    <w:family w:val="swiss"/>
    <w:pitch w:val="default"/>
    <w:sig w:usb0="800002BF" w:usb1="38CF7CFA" w:usb2="00000016" w:usb3="00000000" w:csb0="00040001" w:csb1="00000000"/>
  </w:font>
  <w:font w:name="仿宋_GB2312">
    <w:panose1 w:val="02010609030101010101"/>
    <w:charset w:val="86"/>
    <w:family w:val="swiss"/>
    <w:pitch w:val="default"/>
    <w:sig w:usb0="00000001" w:usb1="080E0000" w:usb2="00000000" w:usb3="00000000" w:csb0="00040000" w:csb1="00000000"/>
  </w:font>
  <w:font w:name="??">
    <w:altName w:val="Segoe Print"/>
    <w:panose1 w:val="00000000000000000000"/>
    <w:charset w:val="00"/>
    <w:family w:val="modern"/>
    <w:pitch w:val="default"/>
    <w:sig w:usb0="00000000" w:usb1="00000000" w:usb2="00000000" w:usb3="00000000" w:csb0="00000000" w:csb1="00000000"/>
  </w:font>
  <w:font w:name="方正小标宋简体">
    <w:panose1 w:val="02010601030101010101"/>
    <w:charset w:val="86"/>
    <w:family w:val="script"/>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书宋_GBK">
    <w:altName w:val="微软雅黑"/>
    <w:panose1 w:val="02000000000000000000"/>
    <w:charset w:val="86"/>
    <w:family w:val="auto"/>
    <w:pitch w:val="default"/>
    <w:sig w:usb0="00000000" w:usb1="00000000" w:usb2="00000000" w:usb3="00000000" w:csb0="00040000" w:csb1="00000000"/>
  </w:font>
  <w:font w:name="DejaVu Sans">
    <w:altName w:val="Segoe Print"/>
    <w:panose1 w:val="020B0603030804020204"/>
    <w:charset w:val="00"/>
    <w:family w:val="auto"/>
    <w:pitch w:val="default"/>
    <w:sig w:usb0="00000000" w:usb1="00000000" w:usb2="0A246029" w:usb3="0400200C" w:csb0="600001FF" w:csb1="DFFF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Noto Sans Syriac Eastern">
    <w:altName w:val="宋体"/>
    <w:panose1 w:val="02040503050306020203"/>
    <w:charset w:val="86"/>
    <w:family w:val="auto"/>
    <w:pitch w:val="default"/>
    <w:sig w:usb0="00000000" w:usb1="00000000" w:usb2="00000080" w:usb3="00000000" w:csb0="203E0161" w:csb1="D7FF0000"/>
  </w:font>
  <w:font w:name="Quicksand Light">
    <w:altName w:val="Segoe Print"/>
    <w:panose1 w:val="00000400000000000000"/>
    <w:charset w:val="00"/>
    <w:family w:val="auto"/>
    <w:pitch w:val="default"/>
    <w:sig w:usb0="00000000" w:usb1="00000000" w:usb2="00000000" w:usb3="00000000" w:csb0="20000193" w:csb1="00000000"/>
  </w:font>
  <w:font w:name="汉仪仿宋简">
    <w:altName w:val="仿宋"/>
    <w:panose1 w:val="02010600000101010101"/>
    <w:charset w:val="86"/>
    <w:family w:val="auto"/>
    <w:pitch w:val="default"/>
    <w:sig w:usb0="00000000" w:usb1="00000000" w:usb2="00000002" w:usb3="00000000" w:csb0="00040000" w:csb1="00000000"/>
  </w:font>
  <w:font w:name="方正公文小标宋">
    <w:altName w:val="方正小标宋_GBK"/>
    <w:panose1 w:val="02000500000000000000"/>
    <w:charset w:val="86"/>
    <w:family w:val="auto"/>
    <w:pitch w:val="default"/>
    <w:sig w:usb0="00000000" w:usb1="00000000" w:usb2="00000000" w:usb3="00000000" w:csb0="00000000" w:csb1="00000000"/>
  </w:font>
  <w:font w:name="方正小标宋_GBK">
    <w:panose1 w:val="03000509000000000000"/>
    <w:charset w:val="86"/>
    <w:family w:val="auto"/>
    <w:pitch w:val="default"/>
    <w:sig w:usb0="00000001" w:usb1="080E0000" w:usb2="00000000" w:usb3="00000000" w:csb0="00040000" w:csb1="00000000"/>
  </w:font>
  <w:font w:name="DejaVu Math TeX Gyre">
    <w:altName w:val="Corbel"/>
    <w:panose1 w:val="02000503000000000000"/>
    <w:charset w:val="00"/>
    <w:family w:val="auto"/>
    <w:pitch w:val="default"/>
    <w:sig w:usb0="00000000" w:usb1="00000000" w:usb2="02000000" w:usb3="00000000" w:csb0="60000193" w:csb1="0DD40000"/>
  </w:font>
  <w:font w:name="Arial">
    <w:panose1 w:val="020B0604020202020204"/>
    <w:charset w:val="00"/>
    <w:family w:val="auto"/>
    <w:pitch w:val="default"/>
    <w:sig w:usb0="E0002EFF" w:usb1="C000785B" w:usb2="00000009" w:usb3="00000000" w:csb0="400001FF" w:csb1="FFFF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auto"/>
    <w:pitch w:val="default"/>
    <w:sig w:usb0="800002BF" w:usb1="38CF7CFA" w:usb2="00000016" w:usb3="00000000" w:csb0="00040001" w:csb1="00000000"/>
  </w:font>
  <w:font w:name="Corbel">
    <w:panose1 w:val="020B0503020204020204"/>
    <w:charset w:val="00"/>
    <w:family w:val="auto"/>
    <w:pitch w:val="default"/>
    <w:sig w:usb0="A00002EF" w:usb1="4000A44B" w:usb2="00000000" w:usb3="00000000" w:csb0="2000019F" w:csb1="00000000"/>
  </w:font>
  <w:font w:name="方正仿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黑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4290018381">
    <w:nsid w:val="FFB47C4D"/>
    <w:multiLevelType w:val="singleLevel"/>
    <w:tmpl w:val="FFB47C4D"/>
    <w:lvl w:ilvl="0" w:tentative="1">
      <w:start w:val="1"/>
      <w:numFmt w:val="chineseCounting"/>
      <w:suff w:val="nothing"/>
      <w:lvlText w:val="%1、"/>
      <w:lvlJc w:val="left"/>
      <w:rPr>
        <w:rFonts w:hint="eastAsia"/>
      </w:rPr>
    </w:lvl>
  </w:abstractNum>
  <w:abstractNum w:abstractNumId="1788769919">
    <w:nsid w:val="6A9E767F"/>
    <w:multiLevelType w:val="singleLevel"/>
    <w:tmpl w:val="6A9E767F"/>
    <w:lvl w:ilvl="0" w:tentative="1">
      <w:start w:val="2"/>
      <w:numFmt w:val="decimal"/>
      <w:suff w:val="nothing"/>
      <w:lvlText w:val="%1."/>
      <w:lvlJc w:val="left"/>
    </w:lvl>
  </w:abstractNum>
  <w:num w:numId="1">
    <w:abstractNumId w:val="4290018381"/>
  </w:num>
  <w:num w:numId="2">
    <w:abstractNumId w:val="17887699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FEBE30"/>
    <w:rsid w:val="04916F1E"/>
    <w:rsid w:val="061E35DE"/>
    <w:rsid w:val="066E0107"/>
    <w:rsid w:val="07996F6E"/>
    <w:rsid w:val="07DFD8BA"/>
    <w:rsid w:val="09867E8F"/>
    <w:rsid w:val="0A2032A3"/>
    <w:rsid w:val="0CA8290A"/>
    <w:rsid w:val="0D35B1ED"/>
    <w:rsid w:val="0E254B6B"/>
    <w:rsid w:val="0F98263C"/>
    <w:rsid w:val="101860EC"/>
    <w:rsid w:val="101F47CC"/>
    <w:rsid w:val="10C055FF"/>
    <w:rsid w:val="11694EBD"/>
    <w:rsid w:val="11772AA4"/>
    <w:rsid w:val="118107EC"/>
    <w:rsid w:val="12E24EE2"/>
    <w:rsid w:val="13D50BC4"/>
    <w:rsid w:val="14B17F78"/>
    <w:rsid w:val="165E0673"/>
    <w:rsid w:val="16B831D5"/>
    <w:rsid w:val="16BB723D"/>
    <w:rsid w:val="17E50567"/>
    <w:rsid w:val="186504BB"/>
    <w:rsid w:val="19A445FC"/>
    <w:rsid w:val="1BE8440E"/>
    <w:rsid w:val="1CD8199D"/>
    <w:rsid w:val="1D155CEE"/>
    <w:rsid w:val="1D1638FE"/>
    <w:rsid w:val="1E312DEB"/>
    <w:rsid w:val="1E740ACF"/>
    <w:rsid w:val="1FF35744"/>
    <w:rsid w:val="1FF6BC77"/>
    <w:rsid w:val="2186353C"/>
    <w:rsid w:val="23860B96"/>
    <w:rsid w:val="240371BF"/>
    <w:rsid w:val="244F3473"/>
    <w:rsid w:val="24C97D99"/>
    <w:rsid w:val="25A718F0"/>
    <w:rsid w:val="25BB59F6"/>
    <w:rsid w:val="260F557C"/>
    <w:rsid w:val="26970054"/>
    <w:rsid w:val="281408E2"/>
    <w:rsid w:val="29FD04D3"/>
    <w:rsid w:val="2BFF7BC6"/>
    <w:rsid w:val="2C8A61B5"/>
    <w:rsid w:val="2DF04E50"/>
    <w:rsid w:val="2E586DFA"/>
    <w:rsid w:val="2F040D46"/>
    <w:rsid w:val="2F6B035B"/>
    <w:rsid w:val="2FAE5751"/>
    <w:rsid w:val="2FB1A395"/>
    <w:rsid w:val="2FD9A7D8"/>
    <w:rsid w:val="2FDBF714"/>
    <w:rsid w:val="30AB6865"/>
    <w:rsid w:val="319F7F4E"/>
    <w:rsid w:val="32BD1EF1"/>
    <w:rsid w:val="3304709D"/>
    <w:rsid w:val="33A773CB"/>
    <w:rsid w:val="349D6851"/>
    <w:rsid w:val="36AA5135"/>
    <w:rsid w:val="36BE0DA7"/>
    <w:rsid w:val="376B6AA6"/>
    <w:rsid w:val="376D39B2"/>
    <w:rsid w:val="37E16F03"/>
    <w:rsid w:val="37F53A3B"/>
    <w:rsid w:val="389B6C89"/>
    <w:rsid w:val="38D469F0"/>
    <w:rsid w:val="39627CCD"/>
    <w:rsid w:val="397BAF1F"/>
    <w:rsid w:val="3AB79AF3"/>
    <w:rsid w:val="3AE834C0"/>
    <w:rsid w:val="3B7EF35A"/>
    <w:rsid w:val="3B9FDB6C"/>
    <w:rsid w:val="3BF5BC2F"/>
    <w:rsid w:val="3CEBA265"/>
    <w:rsid w:val="3D98207C"/>
    <w:rsid w:val="3DEE7CF3"/>
    <w:rsid w:val="3E740A63"/>
    <w:rsid w:val="3E78745D"/>
    <w:rsid w:val="3EE17838"/>
    <w:rsid w:val="3F55381A"/>
    <w:rsid w:val="3F7F7599"/>
    <w:rsid w:val="3FF4CAE0"/>
    <w:rsid w:val="3FF7B227"/>
    <w:rsid w:val="44E268DA"/>
    <w:rsid w:val="450D13D7"/>
    <w:rsid w:val="45506656"/>
    <w:rsid w:val="479E1115"/>
    <w:rsid w:val="486A6C7A"/>
    <w:rsid w:val="4A627F82"/>
    <w:rsid w:val="4B0E749A"/>
    <w:rsid w:val="4B2477C4"/>
    <w:rsid w:val="4B4F25DA"/>
    <w:rsid w:val="4BE068DB"/>
    <w:rsid w:val="4D577224"/>
    <w:rsid w:val="4DBF1CEB"/>
    <w:rsid w:val="4DF0007C"/>
    <w:rsid w:val="4EAB630A"/>
    <w:rsid w:val="4ECE2238"/>
    <w:rsid w:val="4F833267"/>
    <w:rsid w:val="4FE9BD67"/>
    <w:rsid w:val="4FFB052F"/>
    <w:rsid w:val="537E6D0A"/>
    <w:rsid w:val="53F74C96"/>
    <w:rsid w:val="55170BA8"/>
    <w:rsid w:val="553218C9"/>
    <w:rsid w:val="567E1AA5"/>
    <w:rsid w:val="56E47B74"/>
    <w:rsid w:val="57175D52"/>
    <w:rsid w:val="57BD3DD4"/>
    <w:rsid w:val="5AF92295"/>
    <w:rsid w:val="5B250254"/>
    <w:rsid w:val="5BDD79E6"/>
    <w:rsid w:val="5BF561CA"/>
    <w:rsid w:val="5BFF5DFC"/>
    <w:rsid w:val="5CD71FC4"/>
    <w:rsid w:val="5D1F11B5"/>
    <w:rsid w:val="5D695134"/>
    <w:rsid w:val="5DAE1B18"/>
    <w:rsid w:val="5DE7D9E5"/>
    <w:rsid w:val="5ECEC941"/>
    <w:rsid w:val="5FBF9FF3"/>
    <w:rsid w:val="5FCD4E2C"/>
    <w:rsid w:val="5FEF394A"/>
    <w:rsid w:val="5FF67715"/>
    <w:rsid w:val="62BF3928"/>
    <w:rsid w:val="63B3701E"/>
    <w:rsid w:val="647F5392"/>
    <w:rsid w:val="65E66580"/>
    <w:rsid w:val="65F71951"/>
    <w:rsid w:val="664B1D71"/>
    <w:rsid w:val="664B4E8E"/>
    <w:rsid w:val="67277B67"/>
    <w:rsid w:val="67AA3209"/>
    <w:rsid w:val="67B8D28F"/>
    <w:rsid w:val="698D0931"/>
    <w:rsid w:val="6A7FE5F3"/>
    <w:rsid w:val="6B053271"/>
    <w:rsid w:val="6BDD78B3"/>
    <w:rsid w:val="6C4A05C8"/>
    <w:rsid w:val="6C8742B8"/>
    <w:rsid w:val="6DBF5E93"/>
    <w:rsid w:val="6DFF077E"/>
    <w:rsid w:val="6E714EF0"/>
    <w:rsid w:val="6E7E3605"/>
    <w:rsid w:val="6E7FDCC7"/>
    <w:rsid w:val="6ED6A62E"/>
    <w:rsid w:val="6EE00B15"/>
    <w:rsid w:val="6F6FB3EB"/>
    <w:rsid w:val="6F8731EA"/>
    <w:rsid w:val="6FCE6052"/>
    <w:rsid w:val="6FD57C00"/>
    <w:rsid w:val="6FEFFFD8"/>
    <w:rsid w:val="6FF5CC65"/>
    <w:rsid w:val="6FFB47EC"/>
    <w:rsid w:val="6FFF034A"/>
    <w:rsid w:val="70484440"/>
    <w:rsid w:val="712A28F1"/>
    <w:rsid w:val="715C0E4B"/>
    <w:rsid w:val="71992E7C"/>
    <w:rsid w:val="72233669"/>
    <w:rsid w:val="72734D90"/>
    <w:rsid w:val="73160E6D"/>
    <w:rsid w:val="7332FE48"/>
    <w:rsid w:val="73AB61DA"/>
    <w:rsid w:val="73AD73D5"/>
    <w:rsid w:val="73B6EB34"/>
    <w:rsid w:val="73FA497D"/>
    <w:rsid w:val="744731E5"/>
    <w:rsid w:val="74BBD01D"/>
    <w:rsid w:val="74ED5379"/>
    <w:rsid w:val="75DEEEC2"/>
    <w:rsid w:val="75E32345"/>
    <w:rsid w:val="76E3355F"/>
    <w:rsid w:val="76FF5125"/>
    <w:rsid w:val="776F6FFA"/>
    <w:rsid w:val="778769C8"/>
    <w:rsid w:val="77A75DCA"/>
    <w:rsid w:val="77DC22F5"/>
    <w:rsid w:val="783E271A"/>
    <w:rsid w:val="78616DE9"/>
    <w:rsid w:val="78E875D7"/>
    <w:rsid w:val="79086DAD"/>
    <w:rsid w:val="79D7FD79"/>
    <w:rsid w:val="79EE5BA4"/>
    <w:rsid w:val="79EEB74E"/>
    <w:rsid w:val="7A894339"/>
    <w:rsid w:val="7AD284E8"/>
    <w:rsid w:val="7AFF7572"/>
    <w:rsid w:val="7B6C7DFB"/>
    <w:rsid w:val="7BBFBED0"/>
    <w:rsid w:val="7BC3E394"/>
    <w:rsid w:val="7C1F3737"/>
    <w:rsid w:val="7CBFC87B"/>
    <w:rsid w:val="7CFE0F48"/>
    <w:rsid w:val="7D272ABC"/>
    <w:rsid w:val="7D7EC23E"/>
    <w:rsid w:val="7E8ADEBF"/>
    <w:rsid w:val="7EEF11D3"/>
    <w:rsid w:val="7EFE4840"/>
    <w:rsid w:val="7F0971A6"/>
    <w:rsid w:val="7F1D62E7"/>
    <w:rsid w:val="7F3F679B"/>
    <w:rsid w:val="7F4FC4EF"/>
    <w:rsid w:val="7F5E4D54"/>
    <w:rsid w:val="7F6E0135"/>
    <w:rsid w:val="7F708313"/>
    <w:rsid w:val="7F79F205"/>
    <w:rsid w:val="7FA30C79"/>
    <w:rsid w:val="7FA79C44"/>
    <w:rsid w:val="7FAF8ABF"/>
    <w:rsid w:val="7FB7269E"/>
    <w:rsid w:val="7FC96657"/>
    <w:rsid w:val="7FDA9588"/>
    <w:rsid w:val="7FDF220F"/>
    <w:rsid w:val="7FEDC5F7"/>
    <w:rsid w:val="7FEDD9DE"/>
    <w:rsid w:val="7FF5890D"/>
    <w:rsid w:val="7FF93490"/>
    <w:rsid w:val="99FF2014"/>
    <w:rsid w:val="9BF37A3E"/>
    <w:rsid w:val="9FBC303E"/>
    <w:rsid w:val="A6DD0D7F"/>
    <w:rsid w:val="ACFF4FBB"/>
    <w:rsid w:val="ADC6F725"/>
    <w:rsid w:val="B3FB66B0"/>
    <w:rsid w:val="B6B6041C"/>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CFEED83B"/>
    <w:rsid w:val="D7D7B16A"/>
    <w:rsid w:val="D8D6DB89"/>
    <w:rsid w:val="DB6F4CAB"/>
    <w:rsid w:val="DB777682"/>
    <w:rsid w:val="DD1FB521"/>
    <w:rsid w:val="DEFBFEAE"/>
    <w:rsid w:val="DF1F3B80"/>
    <w:rsid w:val="DF6F9789"/>
    <w:rsid w:val="DFD51B46"/>
    <w:rsid w:val="DFE9BE81"/>
    <w:rsid w:val="DFFFA9E8"/>
    <w:rsid w:val="E5F4E9DC"/>
    <w:rsid w:val="E70FE695"/>
    <w:rsid w:val="E7BF085B"/>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A9FA70"/>
    <w:rsid w:val="FBFF5B2E"/>
    <w:rsid w:val="FD7FFE2B"/>
    <w:rsid w:val="FDBE3A5F"/>
    <w:rsid w:val="FDEE196B"/>
    <w:rsid w:val="FDFE6575"/>
    <w:rsid w:val="FDFFD076"/>
    <w:rsid w:val="FEDFDDC2"/>
    <w:rsid w:val="FEED32F6"/>
    <w:rsid w:val="FEF781DD"/>
    <w:rsid w:val="FF3F7E3F"/>
    <w:rsid w:val="FFBA12D7"/>
    <w:rsid w:val="FFCBD314"/>
    <w:rsid w:val="FFDFF91C"/>
    <w:rsid w:val="FFDFFAEE"/>
    <w:rsid w:val="FFEB1C1F"/>
    <w:rsid w:val="FFEF6777"/>
    <w:rsid w:val="FFF9B57B"/>
    <w:rsid w:val="FFFD61D9"/>
    <w:rsid w:val="FFFD8F59"/>
    <w:rsid w:val="FFFF2BB1"/>
    <w:rsid w:val="FFFFB04D"/>
    <w:rsid w:val="FFFFFAEC"/>
  </w:rsids>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9">
    <w:name w:val="Normal Table"/>
    <w:unhideWhenUsed/>
    <w:qFormat/>
    <w:uiPriority w:val="99"/>
    <w:tblPr>
      <w:tblLayout w:type="fixed"/>
      <w:tblCellMar>
        <w:top w:w="0" w:type="dxa"/>
        <w:left w:w="108" w:type="dxa"/>
        <w:bottom w:w="0" w:type="dxa"/>
        <w:right w:w="108" w:type="dxa"/>
      </w:tblCellMar>
    </w:tblPr>
  </w:style>
  <w:style w:type="paragraph" w:customStyle="1" w:styleId="2">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6">
    <w:name w:val="Body Text"/>
    <w:basedOn w:val="1"/>
    <w:link w:val="26"/>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6"/>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6"/>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6"/>
    <w:semiHidden/>
    <w:qFormat/>
    <w:uiPriority w:val="99"/>
    <w:rPr>
      <w:rFonts w:ascii="Times New Roman" w:hAnsi="Times New Roman"/>
      <w:szCs w:val="24"/>
    </w:rPr>
  </w:style>
  <w:style w:type="character" w:customStyle="1" w:styleId="26">
    <w:name w:val="正文文本 Char"/>
    <w:link w:val="6"/>
    <w:qFormat/>
    <w:locked/>
    <w:uiPriority w:val="99"/>
    <w:rPr>
      <w:rFonts w:ascii="仿宋_GB2312" w:hAnsi="Times New Roman" w:eastAsia="仿宋_GB2312"/>
      <w:sz w:val="24"/>
    </w:rPr>
  </w:style>
  <w:style w:type="paragraph" w:customStyle="1" w:styleId="27">
    <w:name w:val="List Paragraph"/>
    <w:basedOn w:val="1"/>
    <w:qFormat/>
    <w:uiPriority w:val="34"/>
    <w:pPr>
      <w:ind w:firstLine="420" w:firstLineChars="200"/>
    </w:pPr>
  </w:style>
  <w:style w:type="character" w:customStyle="1" w:styleId="28">
    <w:name w:val="标题 1 Char"/>
    <w:basedOn w:val="16"/>
    <w:link w:val="3"/>
    <w:qFormat/>
    <w:uiPriority w:val="9"/>
    <w:rPr>
      <w:rFonts w:ascii="Times New Roman" w:hAnsi="Times New Roman"/>
      <w:b/>
      <w:bCs/>
      <w:kern w:val="44"/>
      <w:sz w:val="44"/>
      <w:szCs w:val="44"/>
    </w:rPr>
  </w:style>
  <w:style w:type="character" w:customStyle="1" w:styleId="29">
    <w:name w:val="标题 2 Char"/>
    <w:basedOn w:val="16"/>
    <w:link w:val="4"/>
    <w:qFormat/>
    <w:uiPriority w:val="9"/>
    <w:rPr>
      <w:rFonts w:asciiTheme="majorHAnsi" w:hAnsiTheme="majorHAnsi" w:eastAsiaTheme="majorEastAsia" w:cstheme="majorBidi"/>
      <w:b/>
      <w:bCs/>
      <w:kern w:val="2"/>
      <w:sz w:val="32"/>
      <w:szCs w:val="32"/>
    </w:rPr>
  </w:style>
  <w:style w:type="paragraph" w:customStyle="1" w:styleId="30">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5"/>
    <w:qFormat/>
    <w:uiPriority w:val="9"/>
    <w:rPr>
      <w:rFonts w:ascii="Times New Roman" w:hAnsi="Times New Roman"/>
      <w:b/>
      <w:bCs/>
      <w:kern w:val="2"/>
      <w:sz w:val="32"/>
      <w:szCs w:val="32"/>
    </w:rPr>
  </w:style>
  <w:style w:type="paragraph" w:customStyle="1" w:styleId="33">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6" Type="http://schemas.openxmlformats.org/officeDocument/2006/relationships/fontTable" Target="fontTable.xml"/><Relationship Id="rId45" Type="http://schemas.openxmlformats.org/officeDocument/2006/relationships/numbering" Target="numbering.xml"/><Relationship Id="rId44" Type="http://schemas.openxmlformats.org/officeDocument/2006/relationships/customXml" Target="../customXml/item1.xml"/><Relationship Id="rId43" Type="http://schemas.openxmlformats.org/officeDocument/2006/relationships/image" Target="media/image29.jpeg"/><Relationship Id="rId42" Type="http://schemas.openxmlformats.org/officeDocument/2006/relationships/image" Target="media/image28.jpeg"/><Relationship Id="rId41" Type="http://schemas.openxmlformats.org/officeDocument/2006/relationships/image" Target="media/image27.jpeg"/><Relationship Id="rId40" Type="http://schemas.openxmlformats.org/officeDocument/2006/relationships/image" Target="media/image26.jpeg"/><Relationship Id="rId4" Type="http://schemas.openxmlformats.org/officeDocument/2006/relationships/footer" Target="footer1.xml"/><Relationship Id="rId39" Type="http://schemas.openxmlformats.org/officeDocument/2006/relationships/image" Target="media/image25.jpeg"/><Relationship Id="rId38" Type="http://schemas.openxmlformats.org/officeDocument/2006/relationships/image" Target="media/image24.jpeg"/><Relationship Id="rId37" Type="http://schemas.openxmlformats.org/officeDocument/2006/relationships/image" Target="media/image23.jpeg"/><Relationship Id="rId36" Type="http://schemas.openxmlformats.org/officeDocument/2006/relationships/image" Target="media/image22.jpeg"/><Relationship Id="rId35" Type="http://schemas.openxmlformats.org/officeDocument/2006/relationships/image" Target="media/image21.jpeg"/><Relationship Id="rId34" Type="http://schemas.openxmlformats.org/officeDocument/2006/relationships/image" Target="media/image20.jpeg"/><Relationship Id="rId33" Type="http://schemas.openxmlformats.org/officeDocument/2006/relationships/image" Target="media/image19.jpeg"/><Relationship Id="rId32" Type="http://schemas.openxmlformats.org/officeDocument/2006/relationships/image" Target="media/image18.jpeg"/><Relationship Id="rId31" Type="http://schemas.openxmlformats.org/officeDocument/2006/relationships/image" Target="media/image17.jpeg"/><Relationship Id="rId30" Type="http://schemas.openxmlformats.org/officeDocument/2006/relationships/image" Target="media/image16.jpeg"/><Relationship Id="rId3" Type="http://schemas.openxmlformats.org/officeDocument/2006/relationships/header" Target="header1.xml"/><Relationship Id="rId29" Type="http://schemas.openxmlformats.org/officeDocument/2006/relationships/image" Target="media/image15.jpeg"/><Relationship Id="rId28" Type="http://schemas.openxmlformats.org/officeDocument/2006/relationships/image" Target="media/image14.jpeg"/><Relationship Id="rId27" Type="http://schemas.openxmlformats.org/officeDocument/2006/relationships/image" Target="media/image13.jpeg"/><Relationship Id="rId26" Type="http://schemas.openxmlformats.org/officeDocument/2006/relationships/image" Target="media/image12.jpeg"/><Relationship Id="rId25" Type="http://schemas.openxmlformats.org/officeDocument/2006/relationships/image" Target="media/image11.jpeg"/><Relationship Id="rId24" Type="http://schemas.openxmlformats.org/officeDocument/2006/relationships/image" Target="media/image10.jpeg"/><Relationship Id="rId23" Type="http://schemas.openxmlformats.org/officeDocument/2006/relationships/image" Target="media/image9.jpeg"/><Relationship Id="rId22" Type="http://schemas.openxmlformats.org/officeDocument/2006/relationships/image" Target="media/image8.jpeg"/><Relationship Id="rId21" Type="http://schemas.openxmlformats.org/officeDocument/2006/relationships/image" Target="media/image7.jpeg"/><Relationship Id="rId20" Type="http://schemas.openxmlformats.org/officeDocument/2006/relationships/image" Target="media/image6.jpeg"/><Relationship Id="rId2" Type="http://schemas.openxmlformats.org/officeDocument/2006/relationships/settings" Target="settings.xml"/><Relationship Id="rId19" Type="http://schemas.openxmlformats.org/officeDocument/2006/relationships/image" Target="media/image5.jpeg"/><Relationship Id="rId18" Type="http://schemas.openxmlformats.org/officeDocument/2006/relationships/image" Target="media/image4.jpeg"/><Relationship Id="rId17" Type="http://schemas.openxmlformats.org/officeDocument/2006/relationships/image" Target="media/image3.jpeg"/><Relationship Id="rId16" Type="http://schemas.openxmlformats.org/officeDocument/2006/relationships/image" Target="media/image2.jpeg"/><Relationship Id="rId15" Type="http://schemas.openxmlformats.org/officeDocument/2006/relationships/image" Target="media/image1.jpeg"/><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5.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lgn="ctr" defTabSz="914400">
              <a:defRPr lang="zh-CN" sz="1400" b="0" i="0" u="none" strike="noStrike" kern="1200" spc="0" baseline="0">
                <a:solidFill>
                  <a:schemeClr val="tx1">
                    <a:lumMod val="65000"/>
                    <a:lumOff val="35000"/>
                  </a:schemeClr>
                </a:solidFill>
                <a:latin typeface="+mn-lt"/>
                <a:ea typeface="+mn-ea"/>
                <a:cs typeface="+mn-cs"/>
              </a:defRPr>
            </a:pPr>
            <a:r>
              <a:rPr lang="en-US" altLang="zh-CN"/>
              <a:t>2024</a:t>
            </a:r>
            <a:r>
              <a:rPr altLang="en-US"/>
              <a:t>年和</a:t>
            </a:r>
            <a:r>
              <a:rPr lang="en-US" altLang="zh-CN"/>
              <a:t>2025</a:t>
            </a:r>
            <a:r>
              <a:rPr altLang="en-US"/>
              <a:t>年收支变动柱状图</a:t>
            </a:r>
            <a:endParaRPr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收入</c:v>
                </c:pt>
              </c:strCache>
            </c:strRef>
          </c:tx>
          <c:spPr>
            <a:solidFill>
              <a:schemeClr val="accent1"/>
            </a:solidFill>
            <a:ln>
              <a:noFill/>
            </a:ln>
            <a:effectLst/>
          </c:spPr>
          <c:invertIfNegative val="0"/>
          <c:dLbls>
            <c:delete val="1"/>
          </c:dLbls>
          <c:cat>
            <c:numRef>
              <c:f>Sheet1!$A$2:$A$3</c:f>
              <c:numCache>
                <c:formatCode>General</c:formatCode>
                <c:ptCount val="2"/>
                <c:pt idx="0">
                  <c:v>2024</c:v>
                </c:pt>
                <c:pt idx="1">
                  <c:v>2025</c:v>
                </c:pt>
              </c:numCache>
            </c:numRef>
          </c:cat>
          <c:val>
            <c:numRef>
              <c:f>Sheet1!$B$2:$B$3</c:f>
              <c:numCache>
                <c:formatCode>General</c:formatCode>
                <c:ptCount val="2"/>
                <c:pt idx="0" c:formatCode="General">
                  <c:v>4308.34</c:v>
                </c:pt>
                <c:pt idx="1" c:formatCode="General">
                  <c:v>4557.14</c:v>
                </c:pt>
              </c:numCache>
            </c:numRef>
          </c:val>
        </c:ser>
        <c:ser>
          <c:idx val="1"/>
          <c:order val="1"/>
          <c:tx>
            <c:strRef>
              <c:f>Sheet1!$C$1</c:f>
              <c:strCache>
                <c:ptCount val="1"/>
                <c:pt idx="0">
                  <c:v>支出</c:v>
                </c:pt>
              </c:strCache>
            </c:strRef>
          </c:tx>
          <c:spPr>
            <a:solidFill>
              <a:schemeClr val="accent2"/>
            </a:solidFill>
            <a:ln>
              <a:noFill/>
            </a:ln>
            <a:effectLst/>
          </c:spPr>
          <c:invertIfNegative val="0"/>
          <c:dLbls>
            <c:delete val="1"/>
          </c:dLbls>
          <c:cat>
            <c:numRef>
              <c:f>Sheet1!$A$2:$A$3</c:f>
              <c:numCache>
                <c:formatCode>General</c:formatCode>
                <c:ptCount val="2"/>
                <c:pt idx="0">
                  <c:v>2024</c:v>
                </c:pt>
                <c:pt idx="1">
                  <c:v>2025</c:v>
                </c:pt>
              </c:numCache>
            </c:numRef>
          </c:cat>
          <c:val>
            <c:numRef>
              <c:f>Sheet1!$C$2:$C$3</c:f>
              <c:numCache>
                <c:formatCode>General</c:formatCode>
                <c:ptCount val="2"/>
                <c:pt idx="0" c:formatCode="General">
                  <c:v>4308.34</c:v>
                </c:pt>
                <c:pt idx="1" c:formatCode="General">
                  <c:v>4557.14</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numRef>
              <c:f>Sheet1!$A$2:$A$3</c:f>
              <c:numCache>
                <c:formatCode>General</c:formatCode>
                <c:ptCount val="2"/>
                <c:pt idx="0">
                  <c:v>2024</c:v>
                </c:pt>
                <c:pt idx="1">
                  <c:v>2025</c:v>
                </c:pt>
              </c:numCache>
            </c:numRef>
          </c:cat>
          <c:val>
            <c:numRef>
              <c:f>Sheet1!#REF!</c:f>
              <c:numCache>
                <c:formatCode>General</c:formatCode>
                <c:ptCount val="1"/>
                <c:pt idx="0" c:formatCode="General">
                  <c:v>1</c:v>
                </c:pt>
              </c:numCache>
            </c:numRef>
          </c:val>
        </c:ser>
        <c:dLbls>
          <c:dLblPos val="outEnd"/>
          <c:showLegendKey val="0"/>
          <c:showVal val="0"/>
          <c:showCatName val="0"/>
          <c:showSerName val="0"/>
          <c:showPercent val="0"/>
          <c:showBubbleSize val="0"/>
        </c:dLbls>
        <c:gapWidth val="219"/>
        <c:overlap val="-27"/>
        <c:axId val="18515502"/>
        <c:axId val="762980785"/>
      </c:barChart>
      <c:catAx>
        <c:axId val="1851550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980785"/>
        <c:crosses val="autoZero"/>
        <c:auto val="1"/>
        <c:lblAlgn val="ctr"/>
        <c:lblOffset val="100"/>
        <c:tickMarkSkip val="1"/>
        <c:noMultiLvlLbl val="0"/>
      </c:catAx>
      <c:valAx>
        <c:axId val="762980785"/>
        <c:scaling>
          <c:orientation val="minMax"/>
        </c:scaling>
        <c:delete val="0"/>
        <c:axPos val="l"/>
        <c:majorGridlines>
          <c:spPr>
            <a:noFill/>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515502"/>
        <c:crosses val="autoZero"/>
        <c:crossBetween val="between"/>
      </c:valAx>
      <c:spPr>
        <a:noFill/>
        <a:ln>
          <a:noFill/>
        </a:ln>
        <a:effectLst/>
      </c:spPr>
    </c:plotArea>
    <c:legend>
      <c:legendPos val="b"/>
      <c:legendEntry>
        <c:idx val="2"/>
        <c:delete val="1"/>
      </c:legendEntry>
      <c:layout/>
      <c:overlay val="0"/>
      <c:spPr>
        <a:noFill/>
        <a:ln>
          <a:noFill/>
        </a:ln>
        <a:effectLst/>
      </c:spPr>
      <c:txPr>
        <a:bodyPr rot="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rot="0" spcFirstLastPara="0" vertOverflow="ellipsis" horzOverflow="overflow" vert="horz" wrap="square" anchor="ctr" anchorCtr="1"/>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销售额</c:v>
                </c:pt>
              </c:strCache>
            </c:strRef>
          </c:tx>
          <c:spPr>
            <a:effectLst/>
          </c:spPr>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Lbls>
            <c:delete val="1"/>
          </c:dLbls>
          <c:cat>
            <c:strRef>
              <c:f>Sheet1!$A$2:$A$3</c:f>
              <c:strCache>
                <c:ptCount val="2"/>
                <c:pt idx="0">
                  <c:v>一般公共预算财政拨款收入</c:v>
                </c:pt>
                <c:pt idx="1">
                  <c:v>事业收入</c:v>
                </c:pt>
              </c:strCache>
            </c:strRef>
          </c:cat>
          <c:val>
            <c:numRef>
              <c:f>Sheet1!$B$2:$B$3</c:f>
              <c:numCache>
                <c:formatCode>General</c:formatCode>
                <c:ptCount val="2"/>
                <c:pt idx="0" c:formatCode="General">
                  <c:v>4542.77</c:v>
                </c:pt>
                <c:pt idx="1" c:formatCode="General">
                  <c:v>14.38</c:v>
                </c:pt>
              </c:numCache>
            </c:numRef>
          </c:val>
        </c:ser>
        <c:dLbls>
          <c:dLblPos val="bestFit"/>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218764946065026"/>
          <c:y val="0.907764918937565"/>
        </c:manualLayout>
      </c:layout>
      <c:overlay val="0"/>
      <c:spPr>
        <a:noFill/>
        <a:ln>
          <a:noFill/>
        </a:ln>
        <a:effectLst/>
      </c:spPr>
      <c:txPr>
        <a:bodyPr rot="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rot="0" spcFirstLastPara="0" vertOverflow="ellipsis" horzOverflow="overflow" vert="horz" wrap="square" anchor="ctr" anchorCtr="1"/>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销售额</c:v>
                </c:pt>
              </c:strCache>
            </c:strRef>
          </c:tx>
          <c:spPr>
            <a:effectLst/>
          </c:spPr>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Lbls>
            <c:delete val="1"/>
          </c:dLbls>
          <c:cat>
            <c:strRef>
              <c:f>Sheet1!$A$2:$A$3</c:f>
              <c:strCache>
                <c:ptCount val="2"/>
                <c:pt idx="0">
                  <c:v>项目支出</c:v>
                </c:pt>
                <c:pt idx="1">
                  <c:v>基本支出</c:v>
                </c:pt>
              </c:strCache>
            </c:strRef>
          </c:cat>
          <c:val>
            <c:numRef>
              <c:f>Sheet1!$B$2:$B$3</c:f>
              <c:numCache>
                <c:formatCode>General</c:formatCode>
                <c:ptCount val="2"/>
                <c:pt idx="0" c:formatCode="General">
                  <c:v>901.96</c:v>
                </c:pt>
                <c:pt idx="1" c:formatCode="General">
                  <c:v>3655.18</c:v>
                </c:pt>
              </c:numCache>
            </c:numRef>
          </c:val>
        </c:ser>
        <c:dLbls>
          <c:dLblPos val="bestFit"/>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rot="0" spcFirstLastPara="0" vertOverflow="ellipsis" horzOverflow="overflow" vert="horz" wrap="square" anchor="ctr" anchorCtr="1"/>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收入</c:v>
                </c:pt>
              </c:strCache>
            </c:strRef>
          </c:tx>
          <c:spPr>
            <a:solidFill>
              <a:schemeClr val="accent1"/>
            </a:solidFill>
            <a:ln>
              <a:noFill/>
            </a:ln>
            <a:effectLst/>
          </c:spPr>
          <c:invertIfNegative val="0"/>
          <c:dLbls>
            <c:delete val="1"/>
          </c:dLbls>
          <c:cat>
            <c:strRef>
              <c:f>Sheet1!$A$2:$A$3</c:f>
              <c:strCache>
                <c:ptCount val="2"/>
                <c:pt idx="0">
                  <c:v>2024年</c:v>
                </c:pt>
                <c:pt idx="1">
                  <c:v>2025年</c:v>
                </c:pt>
              </c:strCache>
            </c:strRef>
          </c:cat>
          <c:val>
            <c:numRef>
              <c:f>Sheet1!$B$2:$B$3</c:f>
              <c:numCache>
                <c:formatCode>General</c:formatCode>
                <c:ptCount val="2"/>
                <c:pt idx="0" c:formatCode="General">
                  <c:v>4256.24</c:v>
                </c:pt>
                <c:pt idx="1" c:formatCode="General">
                  <c:v>4542.77</c:v>
                </c:pt>
              </c:numCache>
            </c:numRef>
          </c:val>
        </c:ser>
        <c:ser>
          <c:idx val="1"/>
          <c:order val="1"/>
          <c:tx>
            <c:strRef>
              <c:f>Sheet1!$C$1</c:f>
              <c:strCache>
                <c:ptCount val="1"/>
                <c:pt idx="0">
                  <c:v>支出</c:v>
                </c:pt>
              </c:strCache>
            </c:strRef>
          </c:tx>
          <c:spPr>
            <a:solidFill>
              <a:schemeClr val="accent2"/>
            </a:solidFill>
            <a:ln>
              <a:noFill/>
            </a:ln>
            <a:effectLst/>
          </c:spPr>
          <c:invertIfNegative val="0"/>
          <c:dLbls>
            <c:delete val="1"/>
          </c:dLbls>
          <c:cat>
            <c:strRef>
              <c:f>Sheet1!$A$2:$A$3</c:f>
              <c:strCache>
                <c:ptCount val="2"/>
                <c:pt idx="0">
                  <c:v>2024年</c:v>
                </c:pt>
                <c:pt idx="1">
                  <c:v>2025年</c:v>
                </c:pt>
              </c:strCache>
            </c:strRef>
          </c:cat>
          <c:val>
            <c:numRef>
              <c:f>Sheet1!$C$2:$C$3</c:f>
              <c:numCache>
                <c:formatCode>General</c:formatCode>
                <c:ptCount val="2"/>
                <c:pt idx="0" c:formatCode="General">
                  <c:v>4256.24</c:v>
                </c:pt>
                <c:pt idx="1" c:formatCode="General">
                  <c:v>4542.77</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Sheet1!$A$2:$A$3</c:f>
              <c:strCache>
                <c:ptCount val="2"/>
                <c:pt idx="0">
                  <c:v>2024年</c:v>
                </c:pt>
                <c:pt idx="1">
                  <c:v>2025年</c:v>
                </c:pt>
              </c:strCache>
            </c:strRef>
          </c:cat>
          <c:val>
            <c:numRef>
              <c:f>Sheet1!#REF!</c:f>
              <c:numCache>
                <c:formatCode>General</c:formatCode>
                <c:ptCount val="1"/>
                <c:pt idx="0" c:formatCode="General">
                  <c:v>1</c:v>
                </c:pt>
              </c:numCache>
            </c:numRef>
          </c:val>
        </c:ser>
        <c:dLbls>
          <c:dLblPos val="outEnd"/>
          <c:showLegendKey val="0"/>
          <c:showVal val="0"/>
          <c:showCatName val="0"/>
          <c:showSerName val="0"/>
          <c:showPercent val="0"/>
          <c:showBubbleSize val="0"/>
        </c:dLbls>
        <c:gapWidth val="219"/>
        <c:overlap val="-27"/>
        <c:axId val="541002569"/>
        <c:axId val="896527700"/>
      </c:barChart>
      <c:catAx>
        <c:axId val="54100256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6527700"/>
        <c:crosses val="autoZero"/>
        <c:auto val="1"/>
        <c:lblAlgn val="ctr"/>
        <c:lblOffset val="100"/>
        <c:tickMarkSkip val="1"/>
        <c:noMultiLvlLbl val="0"/>
      </c:catAx>
      <c:valAx>
        <c:axId val="896527700"/>
        <c:scaling>
          <c:orientation val="minMax"/>
        </c:scaling>
        <c:delete val="0"/>
        <c:axPos val="l"/>
        <c:majorGridlines>
          <c:spPr>
            <a:noFill/>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1002569"/>
        <c:crosses val="autoZero"/>
        <c:crossBetween val="between"/>
      </c:valAx>
      <c:spPr>
        <a:noFill/>
        <a:ln>
          <a:noFill/>
        </a:ln>
        <a:effectLst/>
      </c:spPr>
    </c:plotArea>
    <c:legend>
      <c:legendPos val="b"/>
      <c:legendEntry>
        <c:idx val="2"/>
        <c:delete val="1"/>
      </c:legendEntry>
      <c:layout/>
      <c:overlay val="0"/>
      <c:spPr>
        <a:noFill/>
        <a:ln>
          <a:noFill/>
        </a:ln>
        <a:effectLst/>
      </c:spPr>
      <c:txPr>
        <a:bodyPr rot="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rot="0" spcFirstLastPara="0" vertOverflow="ellipsis" horzOverflow="overflow" vert="horz" wrap="square" anchor="ctr" anchorCtr="1"/>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786657067434605"/>
          <c:y val="0.121311317118556"/>
          <c:w val="0.902086729703293"/>
          <c:h val="0.597676073037705"/>
        </c:manualLayout>
      </c:layout>
      <c:barChart>
        <c:barDir val="col"/>
        <c:grouping val="clustered"/>
        <c:varyColors val="0"/>
        <c:ser>
          <c:idx val="0"/>
          <c:order val="0"/>
          <c:tx>
            <c:strRef>
              <c:f>Sheet1!$B$1</c:f>
              <c:strCache>
                <c:ptCount val="1"/>
                <c:pt idx="0">
                  <c:v>一般公共预算支出</c:v>
                </c:pt>
              </c:strCache>
            </c:strRef>
          </c:tx>
          <c:spPr>
            <a:solidFill>
              <a:schemeClr val="accent1"/>
            </a:solidFill>
            <a:ln>
              <a:noFill/>
            </a:ln>
            <a:effectLst/>
          </c:spPr>
          <c:invertIfNegative val="0"/>
          <c:dLbls>
            <c:delete val="1"/>
          </c:dLbls>
          <c:cat>
            <c:strRef>
              <c:f>Sheet1!$A$2:$A$3</c:f>
              <c:strCache>
                <c:ptCount val="2"/>
                <c:pt idx="0">
                  <c:v>2024年</c:v>
                </c:pt>
                <c:pt idx="1">
                  <c:v>2025年</c:v>
                </c:pt>
              </c:strCache>
            </c:strRef>
          </c:cat>
          <c:val>
            <c:numRef>
              <c:f>Sheet1!$B$2:$B$3</c:f>
              <c:numCache>
                <c:formatCode>General</c:formatCode>
                <c:ptCount val="2"/>
                <c:pt idx="0" c:formatCode="General">
                  <c:v>4256.24</c:v>
                </c:pt>
                <c:pt idx="1" c:formatCode="General">
                  <c:v>4542.77</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strRef>
              <c:f>Sheet1!$A$2:$A$3</c:f>
              <c:strCache>
                <c:ptCount val="2"/>
                <c:pt idx="0">
                  <c:v>2024年</c:v>
                </c:pt>
                <c:pt idx="1">
                  <c:v>2025年</c:v>
                </c:pt>
              </c:strCache>
            </c:strRef>
          </c:cat>
          <c:val>
            <c:numRef>
              <c:f>Sheet1!$C$2:$C$3</c:f>
              <c:numCache>
                <c:formatCode>General</c:formatCode>
                <c:ptCount val="2"/>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Sheet1!$A$2:$A$3</c:f>
              <c:strCache>
                <c:ptCount val="2"/>
                <c:pt idx="0">
                  <c:v>2024年</c:v>
                </c:pt>
                <c:pt idx="1">
                  <c:v>2025年</c:v>
                </c:pt>
              </c:strCache>
            </c:strRef>
          </c:cat>
          <c:val>
            <c:numRef>
              <c:f>Sheet1!$D$2:$D$3</c:f>
              <c:numCache>
                <c:formatCode>General</c:formatCode>
                <c:ptCount val="2"/>
              </c:numCache>
            </c:numRef>
          </c:val>
        </c:ser>
        <c:dLbls>
          <c:dLblPos val="outEnd"/>
          <c:showLegendKey val="0"/>
          <c:showVal val="0"/>
          <c:showCatName val="0"/>
          <c:showSerName val="0"/>
          <c:showPercent val="0"/>
          <c:showBubbleSize val="0"/>
        </c:dLbls>
        <c:gapWidth val="219"/>
        <c:overlap val="-27"/>
        <c:axId val="13866650"/>
        <c:axId val="853160655"/>
      </c:barChart>
      <c:catAx>
        <c:axId val="13866650"/>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53160655"/>
        <c:crosses val="autoZero"/>
        <c:auto val="1"/>
        <c:lblAlgn val="ctr"/>
        <c:lblOffset val="100"/>
        <c:tickMarkSkip val="1"/>
        <c:noMultiLvlLbl val="0"/>
      </c:catAx>
      <c:valAx>
        <c:axId val="853160655"/>
        <c:scaling>
          <c:orientation val="minMax"/>
        </c:scaling>
        <c:delete val="0"/>
        <c:axPos val="l"/>
        <c:majorGridlines>
          <c:spPr>
            <a:noFill/>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866650"/>
        <c:crosses val="autoZero"/>
        <c:crossBetween val="between"/>
      </c:valAx>
      <c:spPr>
        <a:noFill/>
        <a:ln>
          <a:noFill/>
        </a:ln>
        <a:effectLst/>
      </c:spPr>
    </c:plotArea>
    <c:legend>
      <c:legendPos val="b"/>
      <c:layout/>
      <c:overlay val="0"/>
      <c:spPr>
        <a:noFill/>
        <a:ln>
          <a:noFill/>
        </a:ln>
        <a:effectLst/>
      </c:spPr>
      <c:txPr>
        <a:bodyPr rot="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rot="0" spcFirstLastPara="0" vertOverflow="ellipsis" horzOverflow="overflow" vert="horz" wrap="square" anchor="ctr" anchorCtr="1"/>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销售额</c:v>
                </c:pt>
              </c:strCache>
            </c:strRef>
          </c:tx>
          <c:spPr>
            <a:effectLst/>
          </c:spPr>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Pt>
            <c:idx val="3"/>
            <c:bubble3D val="0"/>
            <c:explosion val="0"/>
            <c:spPr>
              <a:solidFill>
                <a:schemeClr val="accent4"/>
              </a:solidFill>
              <a:ln w="19050">
                <a:solidFill>
                  <a:schemeClr val="lt1"/>
                </a:solidFill>
              </a:ln>
              <a:effectLst/>
            </c:spPr>
          </c:dPt>
          <c:dLbls>
            <c:delete val="1"/>
          </c:dLbls>
          <c:cat>
            <c:strRef>
              <c:f>Sheet1!$A$2:$A$5</c:f>
              <c:strCache>
                <c:ptCount val="4"/>
                <c:pt idx="0">
                  <c:v>教育支出</c:v>
                </c:pt>
                <c:pt idx="1">
                  <c:v>社会保障和就业支出</c:v>
                </c:pt>
                <c:pt idx="2">
                  <c:v>卫生健康支出</c:v>
                </c:pt>
                <c:pt idx="3">
                  <c:v>住房保障支出</c:v>
                </c:pt>
              </c:strCache>
            </c:strRef>
          </c:cat>
          <c:val>
            <c:numRef>
              <c:f>Sheet1!$B$2:$B$5</c:f>
              <c:numCache>
                <c:formatCode>General</c:formatCode>
                <c:ptCount val="4"/>
                <c:pt idx="0" c:formatCode="General">
                  <c:v>3495</c:v>
                </c:pt>
                <c:pt idx="1" c:formatCode="General">
                  <c:v>416.03</c:v>
                </c:pt>
                <c:pt idx="2" c:formatCode="General">
                  <c:v>188.43</c:v>
                </c:pt>
                <c:pt idx="3" c:formatCode="General">
                  <c:v>208.68</c:v>
                </c:pt>
              </c:numCache>
            </c:numRef>
          </c:val>
        </c:ser>
        <c:dLbls>
          <c:dLblPos val="bestFit"/>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rot="0" spcFirstLastPara="0" vertOverflow="ellipsis" horzOverflow="overflow" vert="horz" wrap="square" anchor="ctr" anchorCtr="1"/>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销售额</c:v>
                </c:pt>
              </c:strCache>
            </c:strRef>
          </c:tx>
          <c:spPr>
            <a:effectLst/>
          </c:spPr>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Lbls>
            <c:delete val="1"/>
          </c:dLbls>
          <c:cat>
            <c:strRef>
              <c:f>Sheet1!$A$2:$A$4</c:f>
              <c:strCache>
                <c:ptCount val="3"/>
                <c:pt idx="0">
                  <c:v>因公出国（境）费支出</c:v>
                </c:pt>
                <c:pt idx="1">
                  <c:v>公务用车购置及运行维护费支出</c:v>
                </c:pt>
                <c:pt idx="2">
                  <c:v>公务接待费支出</c:v>
                </c:pt>
              </c:strCache>
            </c:strRef>
          </c:cat>
          <c:val>
            <c:numRef>
              <c:f>Sheet1!$B$2:$B$4</c:f>
              <c:numCache>
                <c:formatCode>General</c:formatCode>
                <c:ptCount val="3"/>
                <c:pt idx="0" c:formatCode="General">
                  <c:v>0</c:v>
                </c:pt>
                <c:pt idx="1" c:formatCode="General">
                  <c:v>33.27</c:v>
                </c:pt>
                <c:pt idx="2" c:formatCode="General">
                  <c:v>0.17</c:v>
                </c:pt>
              </c:numCache>
            </c:numRef>
          </c:val>
        </c:ser>
        <c:dLbls>
          <c:dLblPos val="bestFit"/>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rot="0" spcFirstLastPara="0" vertOverflow="ellipsis" horzOverflow="overflow" vert="horz" wrap="square" anchor="ctr" anchorCtr="1"/>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23</Pages>
  <Words>1299</Words>
  <Characters>7410</Characters>
  <Lines>61</Lines>
  <Paragraphs>17</Paragraphs>
  <TotalTime>0</TotalTime>
  <ScaleCrop>false</ScaleCrop>
  <LinksUpToDate>false</LinksUpToDate>
  <CharactersWithSpaces>8692</CharactersWithSpaces>
  <Application>WPS Office_10.8.0.5562_F1E327BC-269C-435d-A152-05C5408002CA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2020-08-10T17:49:00Z</dcterms:created>
  <dc:creator>曹颖</dc:creator>
  <cp:lastModifiedBy>LENOVO</cp:lastModifiedBy>
  <cp:lastPrinted>2026-09-07T08:36:11Z</cp:lastPrinted>
  <dcterms:modified xsi:type="dcterms:W3CDTF">2026-09-07T08:36:21Z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2052-10.8.0.5562</vt:lpwstr>
  </property>
  <property fmtid="{D5CDD505-2E9C-101B-9397-08002B2CF9AE}" pid="3" name="ICV">
    <vt:lpwstr>04787F2533EB45DC91BCDE4AB213247F</vt:lpwstr>
  </property>
</Properties>
</file>