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8"/>
        <w:rPr>
          <w:rFonts w:ascii="Times New Roman" w:eastAsia="方正小标宋简体" w:cs="Times New Roman" w:hAnsi="Times New Roman" w:hint="eastAsia"/>
          <w:color w:val="auto"/>
          <w:kern w:val="2"/>
          <w:sz w:val="44"/>
          <w:szCs w:val="44"/>
          <w:lang w:val="en-US" w:eastAsia="zh-CN" w:bidi="ar-SA"/>
          <w:highlight w:val="auto"/>
        </w:rPr>
      </w:pPr>
      <w:bookmarkStart w:id="0" w:name="_Toc15377193"/>
      <w:bookmarkStart w:id="1" w:name="_Toc15396475"/>
      <w:bookmarkStart w:id="2" w:name="_Toc15377425"/>
      <w:bookmarkStart w:id="3" w:name="_Toc15378441"/>
      <w:bookmarkStart w:id="4" w:name="_Toc15396597"/>
      <w:bookmarkStart w:id="5" w:name="_Toc15306267"/>
    </w:p>
    <w:p>
      <w:pPr>
        <w:pStyle w:val="18"/>
        <w:jc w:val="center"/>
        <w:rPr>
          <w:rFonts w:ascii="Times New Roman" w:eastAsia="方正小标宋简体" w:cs="Times New Roman" w:hAnsi="Times New Roman"/>
          <w:color w:val="auto"/>
          <w:kern w:val="2"/>
          <w:sz w:val="44"/>
          <w:szCs w:val="44"/>
          <w:lang w:val="en-US" w:eastAsia="zh-CN" w:bidi="ar-SA"/>
          <w:highlight w:val="auto"/>
        </w:rPr>
      </w:pPr>
    </w:p>
    <w:p>
      <w:pPr>
        <w:pStyle w:val="18"/>
        <w:jc w:val="center"/>
        <w:rPr>
          <w:rFonts w:ascii="Times New Roman" w:eastAsia="方正小标宋简体" w:cs="Times New Roman" w:hAnsi="Times New Roman"/>
          <w:color w:val="auto"/>
          <w:kern w:val="2"/>
          <w:sz w:val="44"/>
          <w:szCs w:val="44"/>
          <w:lang w:val="en-US" w:eastAsia="zh-CN" w:bidi="ar-SA"/>
          <w:highlight w:val="auto"/>
        </w:rPr>
      </w:pPr>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8"/>
        <w:jc w:val="center"/>
        <w:rPr>
          <w:rFonts w:ascii="Times New Roman" w:eastAsia="方正小标宋简体" w:hAnsi="Times New Roman"/>
          <w:kern w:val="2"/>
          <w:sz w:val="44"/>
          <w:szCs w:val="44"/>
          <w:highlight w:val="auto"/>
        </w:rPr>
      </w:pPr>
      <w:bookmarkStart w:id="6" w:name="_Toc15377194"/>
      <w:bookmarkStart w:id="7" w:name="_Toc15396476"/>
      <w:bookmarkStart w:id="8" w:name="_Toc15396598"/>
      <w:bookmarkStart w:id="9" w:name="_Toc15377426"/>
      <w:bookmarkStart w:id="10" w:name="_Toc15378442"/>
      <w:bookmarkEnd w:id="0"/>
      <w:bookmarkEnd w:id="1"/>
      <w:bookmarkEnd w:id="2"/>
      <w:bookmarkEnd w:id="3"/>
      <w:bookmarkEnd w:id="4"/>
      <w:r>
        <w:rPr>
          <w:rFonts w:ascii="Times New Roman" w:eastAsia="方正小标宋简体" w:hAnsi="Times New Roman" w:hint="eastAsia"/>
          <w:kern w:val="2"/>
          <w:sz w:val="44"/>
          <w:szCs w:val="44"/>
          <w:highlight w:val="auto"/>
        </w:rPr>
        <w:t>202</w:t>
      </w:r>
      <w:r>
        <w:rPr>
          <w:rFonts w:ascii="Times New Roman" w:eastAsia="方正小标宋简体" w:hAnsi="Times New Roman"/>
          <w:kern w:val="2"/>
          <w:sz w:val="44"/>
          <w:szCs w:val="44"/>
          <w:highlight w:val="auto"/>
        </w:rPr>
        <w:t>5</w:t>
      </w:r>
      <w:r>
        <w:rPr>
          <w:rFonts w:ascii="Times New Roman" w:eastAsia="方正小标宋简体" w:hAnsi="Times New Roman" w:hint="eastAsia"/>
          <w:kern w:val="2"/>
          <w:sz w:val="44"/>
          <w:szCs w:val="44"/>
          <w:highlight w:val="auto"/>
        </w:rPr>
        <w:t>年度</w:t>
      </w:r>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r>
        <w:rPr>
          <w:rFonts w:ascii="Times New Roman" w:eastAsia="方正小标宋简体" w:cs="Times New Roman" w:hAnsi="Times New Roman" w:hint="eastAsia"/>
          <w:color w:val="auto"/>
          <w:kern w:val="2"/>
          <w:sz w:val="44"/>
          <w:szCs w:val="44"/>
          <w:lang w:val="en-US" w:eastAsia="zh-CN" w:bidi="ar-SA"/>
          <w:highlight w:val="auto"/>
        </w:rPr>
        <w:t>四川省</w:t>
      </w:r>
      <w:bookmarkStart w:id="11" w:name="_Toc15306268"/>
      <w:bookmarkEnd w:id="5"/>
      <w:r>
        <w:rPr>
          <w:rFonts w:ascii="Times New Roman" w:eastAsia="方正小标宋简体" w:cs="Times New Roman" w:hAnsi="Times New Roman"/>
          <w:color w:val="auto"/>
          <w:kern w:val="2"/>
          <w:sz w:val="44"/>
          <w:szCs w:val="44"/>
          <w:lang w:val="en-US" w:eastAsia="zh-CN" w:bidi="ar-SA"/>
          <w:highlight w:val="auto"/>
        </w:rPr>
        <w:t>阿坝州民族高级中学</w:t>
      </w:r>
      <w:r>
        <w:rPr>
          <w:rFonts w:ascii="Times New Roman" w:eastAsia="方正小标宋简体" w:cs="Times New Roman" w:hAnsi="Times New Roman" w:hint="eastAsia"/>
          <w:color w:val="auto"/>
          <w:kern w:val="2"/>
          <w:sz w:val="44"/>
          <w:szCs w:val="44"/>
          <w:lang w:val="en-US" w:eastAsia="zh-CN" w:bidi="ar-SA"/>
          <w:highlight w:val="auto"/>
        </w:rPr>
        <w:t>决算</w:t>
      </w:r>
      <w:bookmarkEnd w:id="6"/>
      <w:bookmarkEnd w:id="7"/>
      <w:bookmarkEnd w:id="8"/>
      <w:bookmarkEnd w:id="9"/>
      <w:bookmarkEnd w:id="10"/>
      <w:bookmarkEnd w:id="11"/>
      <w:r>
        <w:rPr>
          <w:rFonts w:ascii="Times New Roman" w:eastAsia="方正小标宋简体" w:cs="Times New Roman" w:hAnsi="Times New Roman"/>
          <w:color w:val="auto"/>
          <w:kern w:val="2"/>
          <w:sz w:val="44"/>
          <w:szCs w:val="44"/>
          <w:lang w:val="en-US" w:eastAsia="zh-CN" w:bidi="ar-SA"/>
          <w:highlight w:val="auto"/>
        </w:rPr>
        <w:t>公开</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val="en-US" w:eastAsia="zh-CN"/>
          <w:highlight w:val="auto"/>
        </w:rPr>
      </w:pPr>
      <w:r>
        <w:rPr>
          <w:rFonts w:ascii="Times New Roman" w:eastAsia="仿宋_GB2312" w:cs="仿宋_GB2312" w:hAnsi="Times New Roman" w:hint="eastAsia"/>
          <w:color w:val="auto"/>
          <w:sz w:val="32"/>
          <w:szCs w:val="32"/>
          <w:lang w:val="en-US" w:eastAsia="zh-CN"/>
          <w:highlight w:val="auto"/>
        </w:rPr>
        <w:t>（注：</w:t>
      </w:r>
      <w:r>
        <w:rPr>
          <w:rFonts w:eastAsia="仿宋_GB2312" w:cs="仿宋_GB2312" w:hint="eastAsia"/>
          <w:color w:val="auto"/>
          <w:sz w:val="32"/>
          <w:szCs w:val="32"/>
          <w:lang w:val="en-US" w:eastAsia="zh-CN"/>
          <w:highlight w:val="auto"/>
        </w:rPr>
        <w:t>以下为部门公开范本。单位公开内容应参照部门公开内容和报表格式，并与部门公开内容做好衔接）</w:t>
      </w:r>
    </w:p>
    <w:p>
      <w:pPr>
        <w:widowControl/>
        <w:jc w:val="center"/>
        <w:rPr>
          <w:rFonts w:ascii="Times New Roman" w:eastAsia="黑体" w:hAnsi="Times New Roman"/>
          <w:color w:val="auto"/>
          <w:sz w:val="48"/>
          <w:szCs w:val="48"/>
          <w:highlight w:val="auto"/>
        </w:rPr>
      </w:pPr>
      <w:r>
        <w:rPr>
          <w:rFonts w:ascii="Times New Roman" w:eastAsia="方正小标宋简体" w:hAnsi="Times New Roman"/>
          <w:color w:val="auto"/>
          <w:sz w:val="36"/>
          <w:szCs w:val="36"/>
          <w:highlight w:val="auto"/>
        </w:rPr>
        <w:br w:type="page"/>
      </w:r>
      <w:r>
        <w:rPr>
          <w:rFonts w:ascii="Times New Roman" w:eastAsia="黑体" w:hAnsi="Times New Roman" w:hint="eastAsia"/>
          <w:color w:val="auto"/>
          <w:sz w:val="48"/>
          <w:szCs w:val="48"/>
          <w:highlight w:val="auto"/>
        </w:rPr>
        <w:t>目录</w:t>
      </w:r>
    </w:p>
    <w:p>
      <w:pPr>
        <w:widowControl/>
        <w:jc w:val="center"/>
        <w:rPr>
          <w:rFonts w:ascii="Times New Roman" w:eastAsia="黑体" w:cs="Arial" w:hAnsi="Times New Roman"/>
          <w:color w:val="auto"/>
          <w:sz w:val="28"/>
          <w:szCs w:val="28"/>
          <w:highlight w:val="auto"/>
        </w:rPr>
      </w:pPr>
    </w:p>
    <w:p>
      <w:pPr>
        <w:pStyle w:val="23"/>
        <w:tabs>
          <w:tab w:val="right" w:leader="dot" w:pos="8296"/>
        </w:tabs>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公开时间：20</w:t>
      </w:r>
      <w:r>
        <w:rPr>
          <w:rFonts w:ascii="Times New Roman" w:eastAsia="仿宋_GB2312" w:cs="仿宋_GB2312" w:hAnsi="Times New Roman" w:hint="eastAsia"/>
          <w:color w:val="auto"/>
          <w:sz w:val="32"/>
          <w:szCs w:val="32"/>
          <w:lang w:val="en-US" w:eastAsia="zh-CN"/>
          <w:highlight w:val="auto"/>
        </w:rPr>
        <w:t>2</w:t>
      </w:r>
      <w:r>
        <w:rPr>
          <w:rFonts w:ascii="Times New Roman" w:eastAsia="仿宋_GB2312" w:cs="仿宋_GB2312" w:hAnsi="Times New Roman"/>
          <w:color w:val="auto"/>
          <w:sz w:val="32"/>
          <w:szCs w:val="32"/>
          <w:lang w:val="en-US" w:eastAsia="zh-CN"/>
          <w:highlight w:val="auto"/>
        </w:rPr>
        <w:t>5</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val="en-US" w:eastAsia="zh-CN"/>
          <w:highlight w:val="auto"/>
        </w:rPr>
        <w:t xml:space="preserve"> </w:t>
      </w:r>
      <w:r>
        <w:rPr>
          <w:rFonts w:ascii="Times New Roman" w:eastAsia="仿宋_GB2312" w:cs="仿宋_GB2312" w:hAnsi="Times New Roman"/>
          <w:color w:val="auto"/>
          <w:sz w:val="32"/>
          <w:szCs w:val="32"/>
          <w:lang w:val="en-US" w:eastAsia="zh-CN"/>
          <w:highlight w:val="auto"/>
        </w:rPr>
        <w:t>9</w:t>
      </w:r>
      <w:r>
        <w:rPr>
          <w:rFonts w:ascii="Times New Roman" w:eastAsia="仿宋_GB2312" w:cs="仿宋_GB2312" w:hAnsi="Times New Roman" w:hint="eastAsia"/>
          <w:color w:val="auto"/>
          <w:sz w:val="32"/>
          <w:szCs w:val="32"/>
          <w:lang w:val="en-US" w:eastAsia="zh-CN"/>
          <w:highlight w:val="auto"/>
        </w:rPr>
        <w:t xml:space="preserve"> </w:t>
      </w:r>
      <w:r>
        <w:rPr>
          <w:rFonts w:ascii="Times New Roman" w:eastAsia="仿宋_GB2312" w:cs="仿宋_GB2312" w:hAnsi="Times New Roman" w:hint="eastAsia"/>
          <w:color w:val="auto"/>
          <w:sz w:val="32"/>
          <w:szCs w:val="32"/>
          <w:highlight w:val="auto"/>
        </w:rPr>
        <w:t>月</w:t>
      </w:r>
      <w:r>
        <w:rPr>
          <w:rFonts w:ascii="Times New Roman" w:eastAsia="仿宋_GB2312" w:cs="仿宋_GB2312" w:hAnsi="Times New Roman" w:hint="eastAsia"/>
          <w:color w:val="auto"/>
          <w:sz w:val="32"/>
          <w:szCs w:val="32"/>
          <w:lang w:val="en-US" w:eastAsia="zh-CN"/>
          <w:highlight w:val="auto"/>
        </w:rPr>
        <w:t xml:space="preserve"> </w:t>
      </w:r>
      <w:r>
        <w:rPr>
          <w:rFonts w:ascii="Times New Roman" w:eastAsia="仿宋_GB2312" w:cs="仿宋_GB2312" w:hAnsi="Times New Roman"/>
          <w:color w:val="auto"/>
          <w:sz w:val="32"/>
          <w:szCs w:val="32"/>
          <w:lang w:val="en-US" w:eastAsia="zh-CN"/>
          <w:highlight w:val="auto"/>
        </w:rPr>
        <w:t>10</w:t>
      </w:r>
      <w:r>
        <w:rPr>
          <w:rFonts w:ascii="Times New Roman" w:eastAsia="仿宋_GB2312" w:cs="仿宋_GB2312" w:hAnsi="Times New Roman" w:hint="eastAsia"/>
          <w:color w:val="auto"/>
          <w:sz w:val="32"/>
          <w:szCs w:val="32"/>
          <w:lang w:val="en-US" w:eastAsia="zh-CN"/>
          <w:highlight w:val="auto"/>
        </w:rPr>
        <w:t xml:space="preserve"> </w:t>
      </w:r>
      <w:r>
        <w:rPr>
          <w:rFonts w:ascii="Times New Roman" w:eastAsia="仿宋_GB2312" w:cs="仿宋_GB2312" w:hAnsi="Times New Roman" w:hint="eastAsia"/>
          <w:color w:val="auto"/>
          <w:sz w:val="32"/>
          <w:szCs w:val="32"/>
          <w:highlight w:val="auto"/>
        </w:rPr>
        <w:t>日</w:t>
      </w:r>
    </w:p>
    <w:p>
      <w:pPr>
        <w:rPr>
          <w:rFonts w:ascii="Times New Roman" w:hAnsi="Times New Roman"/>
          <w:color w:val="auto"/>
          <w:highlight w:val="auto"/>
        </w:rPr>
      </w:pP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highlight w:val="auto"/>
        </w:rPr>
      </w:pPr>
      <w:r>
        <w:rPr>
          <w:rFonts w:ascii="Times New Roman" w:eastAsia="黑体" w:cs="黑体" w:hAnsi="Times New Roman" w:hint="eastAsia"/>
          <w:color w:val="auto"/>
          <w:sz w:val="32"/>
          <w:szCs w:val="32"/>
          <w:highlight w:val="auto"/>
        </w:rPr>
        <w:t>第一部分 部门概况</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w:t>
      </w:r>
      <w:r>
        <w:rPr>
          <w:rFonts w:ascii="Times New Roman" w:eastAsia="仿宋_GB2312" w:cs="仿宋_GB2312" w:hAnsi="Times New Roman" w:hint="eastAsia"/>
          <w:color w:val="auto"/>
          <w:sz w:val="32"/>
          <w:szCs w:val="32"/>
          <w:lang w:eastAsia="zh-CN"/>
          <w:highlight w:val="auto"/>
        </w:rPr>
        <w:t>部门职责</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二、机构设置</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highlight w:val="auto"/>
        </w:rPr>
      </w:pPr>
      <w:r>
        <w:rPr>
          <w:rFonts w:ascii="Times New Roman" w:eastAsia="黑体" w:cs="黑体" w:hAnsi="Times New Roman" w:hint="eastAsia"/>
          <w:color w:val="auto"/>
          <w:sz w:val="32"/>
          <w:szCs w:val="32"/>
          <w:highlight w:val="auto"/>
        </w:rPr>
        <w:t>第二部分</w:t>
      </w:r>
      <w:r>
        <w:rPr>
          <w:rFonts w:ascii="Times New Roman" w:eastAsia="黑体" w:cs="黑体" w:hAnsi="Times New Roman" w:hint="eastAsia"/>
          <w:color w:val="auto"/>
          <w:sz w:val="32"/>
          <w:szCs w:val="32"/>
          <w:lang w:val="en-US" w:eastAsia="zh-CN"/>
          <w:highlight w:val="auto"/>
        </w:rPr>
        <w:t xml:space="preserve"> 202</w:t>
      </w:r>
      <w:r>
        <w:rPr>
          <w:rFonts w:ascii="Times New Roman" w:eastAsia="黑体" w:cs="黑体" w:hAnsi="Times New Roman"/>
          <w:color w:val="auto"/>
          <w:sz w:val="32"/>
          <w:szCs w:val="32"/>
          <w:lang w:val="en-US" w:eastAsia="zh-CN"/>
          <w:highlight w:val="auto"/>
        </w:rPr>
        <w:t>5</w:t>
      </w:r>
      <w:r>
        <w:rPr>
          <w:rFonts w:ascii="Times New Roman" w:eastAsia="黑体" w:cs="黑体" w:hAnsi="Times New Roman" w:hint="eastAsia"/>
          <w:color w:val="auto"/>
          <w:sz w:val="32"/>
          <w:szCs w:val="32"/>
          <w:lang w:val="en-US" w:eastAsia="zh-CN"/>
          <w:highlight w:val="auto"/>
        </w:rPr>
        <w:t>年度</w:t>
      </w:r>
      <w:r>
        <w:rPr>
          <w:rFonts w:ascii="Times New Roman" w:eastAsia="黑体" w:cs="黑体" w:hAnsi="Times New Roman" w:hint="eastAsia"/>
          <w:color w:val="auto"/>
          <w:sz w:val="32"/>
          <w:szCs w:val="32"/>
          <w:highlight w:val="auto"/>
        </w:rPr>
        <w:t>部门决算情况说明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一、收入支出决算总体情况说明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二、收入决算情况说明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三、支出决算情况说明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四、财政拨款收入支出决算总体情况说明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五、一般公共预算财政拨款支出决算情况说明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六、一般公共预算财政拨款基本支出决算情况说明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七、财政拨款</w:t>
      </w:r>
      <w:r>
        <w:rPr>
          <w:rFonts w:ascii="Times New Roman" w:eastAsia="仿宋_GB2312" w:cs="仿宋_GB2312" w:hAnsi="Times New Roman" w:hint="eastAsia"/>
          <w:color w:val="auto"/>
          <w:sz w:val="32"/>
          <w:szCs w:val="32"/>
          <w:lang w:eastAsia="zh-CN"/>
          <w:highlight w:val="auto"/>
        </w:rPr>
        <w:t>“</w:t>
      </w:r>
      <w:r>
        <w:rPr>
          <w:rFonts w:ascii="Times New Roman" w:eastAsia="仿宋_GB2312" w:cs="仿宋_GB2312" w:hAnsi="Times New Roman" w:hint="eastAsia"/>
          <w:color w:val="auto"/>
          <w:sz w:val="32"/>
          <w:szCs w:val="32"/>
          <w:highlight w:val="auto"/>
        </w:rPr>
        <w:t>三公”经费支出决算情况说明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八、政府性基金预算支出决算情况说明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九、</w:t>
      </w:r>
      <w:r>
        <w:rPr>
          <w:rFonts w:ascii="Times New Roman" w:eastAsia="仿宋_GB2312" w:cs="仿宋_GB2312" w:hAnsi="Times New Roman" w:hint="eastAsia"/>
          <w:color w:val="auto"/>
          <w:sz w:val="32"/>
          <w:szCs w:val="32"/>
          <w:lang w:eastAsia="zh-CN"/>
          <w:highlight w:val="auto"/>
        </w:rPr>
        <w:t>国</w:t>
      </w:r>
      <w:r>
        <w:rPr>
          <w:rFonts w:ascii="Times New Roman" w:eastAsia="仿宋_GB2312" w:cs="仿宋_GB2312" w:hAnsi="Times New Roman" w:hint="eastAsia"/>
          <w:color w:val="auto"/>
          <w:sz w:val="32"/>
          <w:szCs w:val="32"/>
          <w:highlight w:val="auto"/>
        </w:rPr>
        <w:t>有资本经营预算支出决算情况说明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lang w:eastAsia="zh-CN"/>
          <w:highlight w:val="auto"/>
        </w:rPr>
        <w:t>十</w:t>
      </w:r>
      <w:r>
        <w:rPr>
          <w:rFonts w:ascii="Times New Roman" w:eastAsia="仿宋_GB2312" w:cs="仿宋_GB2312" w:hAnsi="Times New Roman" w:hint="eastAsia"/>
          <w:color w:val="auto"/>
          <w:sz w:val="32"/>
          <w:szCs w:val="32"/>
          <w:highlight w:val="auto"/>
        </w:rPr>
        <w:t>、其他重要事项的情况说明</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highlight w:val="auto"/>
        </w:rPr>
      </w:pPr>
      <w:r>
        <w:rPr>
          <w:rFonts w:ascii="Times New Roman" w:eastAsia="黑体" w:cs="黑体" w:hAnsi="Times New Roman" w:hint="eastAsia"/>
          <w:color w:val="auto"/>
          <w:sz w:val="32"/>
          <w:szCs w:val="32"/>
          <w:highlight w:val="auto"/>
        </w:rPr>
        <w:t>第三部分 名词解释</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highlight w:val="auto"/>
        </w:rPr>
      </w:pPr>
      <w:r>
        <w:rPr>
          <w:rFonts w:ascii="Times New Roman" w:eastAsia="黑体" w:cs="黑体" w:hAnsi="Times New Roman" w:hint="eastAsia"/>
          <w:color w:val="auto"/>
          <w:sz w:val="32"/>
          <w:szCs w:val="32"/>
          <w:highlight w:val="auto"/>
        </w:rPr>
        <w:t>第四部分 附件</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highlight w:val="auto"/>
        </w:rPr>
      </w:pPr>
      <w:r>
        <w:rPr>
          <w:rFonts w:ascii="Times New Roman" w:eastAsia="黑体" w:cs="黑体" w:hAnsi="Times New Roman" w:hint="eastAsia"/>
          <w:color w:val="auto"/>
          <w:sz w:val="32"/>
          <w:szCs w:val="32"/>
          <w:highlight w:val="auto"/>
        </w:rPr>
        <w:t>第五部分 附表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二、收入决算表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三、支出决算表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四、财政拨款收入支出决算总表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五、财政拨款支出决算明细表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七、一般公共预算财政拨款支出决算明细表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八、一般公共预算财政拨款基本支出决算</w:t>
      </w:r>
      <w:r>
        <w:rPr>
          <w:rFonts w:ascii="Times New Roman" w:eastAsia="仿宋_GB2312" w:cs="仿宋_GB2312" w:hAnsi="Times New Roman" w:hint="eastAsia"/>
          <w:color w:val="auto"/>
          <w:sz w:val="32"/>
          <w:szCs w:val="32"/>
          <w:lang w:eastAsia="zh-CN"/>
          <w:highlight w:val="auto"/>
        </w:rPr>
        <w:t>明细</w:t>
      </w:r>
      <w:r>
        <w:rPr>
          <w:rFonts w:ascii="Times New Roman" w:eastAsia="仿宋_GB2312" w:cs="仿宋_GB2312" w:hAnsi="Times New Roman" w:hint="eastAsia"/>
          <w:color w:val="auto"/>
          <w:sz w:val="32"/>
          <w:szCs w:val="32"/>
          <w:highlight w:val="auto"/>
        </w:rPr>
        <w:t>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九、一般公共预算财政拨款项目支出决算表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十、政府性基金预算财政拨款收入支出决算表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十一、国有资本经营预算财政拨款收入支出决算表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十二、</w:t>
      </w:r>
      <w:r>
        <w:rPr>
          <w:rFonts w:ascii="Times New Roman" w:eastAsia="仿宋_GB2312" w:cs="仿宋_GB2312" w:hAnsi="Times New Roman" w:hint="eastAsia"/>
          <w:color w:val="auto"/>
          <w:sz w:val="32"/>
          <w:szCs w:val="32"/>
          <w:lang w:val="en-US" w:eastAsia="zh-CN"/>
          <w:highlight w:val="auto"/>
        </w:rPr>
        <w:t>国有资本经营预算财政拨款支出决算表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十三、财政拨款“三公”经费支出决算表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b/>
          <w:bCs/>
          <w:color w:val="auto"/>
          <w:sz w:val="32"/>
          <w:szCs w:val="32"/>
          <w:lang w:eastAsia="zh-CN"/>
          <w:highlight w:val="auto"/>
        </w:rPr>
      </w:pPr>
      <w:r>
        <w:rPr>
          <w:rFonts w:ascii="Times New Roman" w:eastAsia="仿宋_GB2312" w:cs="仿宋_GB2312" w:hAnsi="Times New Roman" w:hint="eastAsia"/>
          <w:b/>
          <w:bCs/>
          <w:color w:val="auto"/>
          <w:sz w:val="32"/>
          <w:szCs w:val="32"/>
          <w:lang w:eastAsia="zh-CN"/>
          <w:highlight w:val="auto"/>
        </w:rPr>
        <w:t>（</w:t>
      </w:r>
      <w:r>
        <w:rPr>
          <w:rFonts w:ascii="Times New Roman" w:eastAsia="仿宋_GB2312" w:cs="仿宋_GB2312" w:hAnsi="Times New Roman" w:hint="eastAsia"/>
          <w:b/>
          <w:bCs/>
          <w:color w:val="auto"/>
          <w:sz w:val="32"/>
          <w:szCs w:val="32"/>
          <w:highlight w:val="auto"/>
        </w:rPr>
        <w:t>注：请部门根据实际注明页码</w:t>
      </w:r>
      <w:r>
        <w:rPr>
          <w:rFonts w:ascii="Times New Roman" w:eastAsia="仿宋_GB2312" w:cs="仿宋_GB2312" w:hAnsi="Times New Roman" w:hint="eastAsia"/>
          <w:b/>
          <w:bCs/>
          <w:color w:val="auto"/>
          <w:sz w:val="32"/>
          <w:szCs w:val="32"/>
          <w:lang w:eastAsia="zh-CN"/>
          <w:highlight w:val="auto"/>
        </w:rPr>
        <w:t>）</w:t>
      </w:r>
    </w:p>
    <w:p>
      <w:pPr>
        <w:keepNext w:val="0"/>
        <w:keepLines w:val="0"/>
        <w:pageBreakBefore w:val="0"/>
        <w:widowControl/>
        <w:kinsoku/>
        <w:wordWrap/>
        <w:overflowPunct/>
        <w:topLinePunct w:val="0"/>
        <w:autoSpaceDE/>
        <w:autoSpaceDN/>
        <w:bidi w:val="0"/>
        <w:spacing w:line="560" w:lineRule="exact"/>
        <w:jc w:val="left"/>
        <w:textAlignment w:val="auto"/>
        <w:rPr>
          <w:rFonts w:ascii="Times New Roman" w:eastAsia="仿宋_GB2312" w:cs="仿宋_GB2312" w:hAnsi="Times New Roman" w:hint="eastAsia"/>
          <w:bCs/>
          <w:color w:val="auto"/>
          <w:kern w:val="44"/>
          <w:sz w:val="32"/>
          <w:szCs w:val="32"/>
          <w:highlight w:val="auto"/>
        </w:rPr>
      </w:pPr>
      <w:bookmarkStart w:id="12" w:name="_Toc15377196"/>
      <w:bookmarkStart w:id="13" w:name="_Toc15396599"/>
      <w:r>
        <w:rPr>
          <w:rFonts w:ascii="Times New Roman" w:eastAsia="仿宋_GB2312" w:cs="仿宋_GB2312" w:hAnsi="Times New Roman" w:hint="eastAsia"/>
          <w:b/>
          <w:color w:val="auto"/>
          <w:sz w:val="32"/>
          <w:szCs w:val="32"/>
          <w:highlight w:val="auto"/>
        </w:rPr>
        <w:br w:type="page"/>
      </w:r>
    </w:p>
    <w:p>
      <w:pPr>
        <w:pStyle w:val="1"/>
        <w:jc w:val="center"/>
        <w:rPr>
          <w:rStyle w:val="1Char"/>
          <w:rFonts w:ascii="Times New Roman" w:eastAsia="方正小标宋简体" w:cs="方正小标宋简体" w:hAnsi="Times New Roman" w:hint="eastAsia"/>
          <w:b/>
          <w:bCs w:val="0"/>
          <w:color w:val="auto"/>
          <w:highlight w:val="auto"/>
        </w:rPr>
      </w:pPr>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Style w:val="1Char"/>
          <w:rFonts w:ascii="Times New Roman" w:eastAsia="方正小标宋简体" w:cs="方正小标宋简体" w:hAnsi="Times New Roman" w:hint="eastAsia"/>
          <w:b w:val="0"/>
          <w:bCs w:val="0"/>
          <w:color w:val="auto"/>
          <w:highlight w:val="auto"/>
        </w:rPr>
        <w:t>部门概况</w:t>
      </w:r>
      <w:bookmarkEnd w:id="12"/>
      <w:bookmarkEnd w:id="13"/>
    </w:p>
    <w:p>
      <w:pPr>
        <w:widowControl/>
        <w:jc w:val="left"/>
        <w:rPr>
          <w:rFonts w:ascii="Times New Roman" w:eastAsia="黑体" w:hAnsi="Times New Roman"/>
          <w:color w:val="auto"/>
          <w:sz w:val="32"/>
          <w:szCs w:val="32"/>
          <w:highlight w:val="auto"/>
        </w:rPr>
      </w:pPr>
    </w:p>
    <w:p>
      <w:pPr>
        <w:pStyle w:val="2"/>
        <w:rPr>
          <w:rStyle w:val="2Char"/>
          <w:rFonts w:ascii="Times New Roman" w:eastAsia="黑体" w:hAnsi="Times New Roman" w:hint="eastAsia"/>
          <w:b w:val="0"/>
          <w:bCs w:val="0"/>
          <w:color w:val="auto"/>
          <w:lang w:eastAsia="zh-CN"/>
          <w:highlight w:val="auto"/>
        </w:rPr>
      </w:pPr>
      <w:bookmarkStart w:id="14" w:name="_Toc15377197"/>
      <w:bookmarkStart w:id="15" w:name="_Toc15396600"/>
      <w:r>
        <w:rPr>
          <w:rFonts w:ascii="Times New Roman" w:eastAsia="黑体" w:hAnsi="Times New Roman" w:hint="eastAsia"/>
          <w:b w:val="0"/>
          <w:color w:val="auto"/>
          <w:highlight w:val="auto"/>
        </w:rPr>
        <w:t>一、</w:t>
      </w:r>
      <w:bookmarkEnd w:id="14"/>
      <w:bookmarkEnd w:id="15"/>
      <w:r>
        <w:rPr>
          <w:rFonts w:ascii="Times New Roman" w:eastAsia="黑体" w:hAnsi="Times New Roman" w:hint="eastAsia"/>
          <w:b w:val="0"/>
          <w:color w:val="auto"/>
          <w:lang w:eastAsia="zh-CN"/>
          <w:highlight w:val="auto"/>
        </w:rPr>
        <w:t>部门职责</w:t>
      </w:r>
    </w:p>
    <w:p>
      <w:pPr>
        <w:pStyle w:val="2"/>
        <w:rPr>
          <w:rStyle w:val="2Char"/>
          <w:rFonts w:ascii="Times New Roman" w:hAnsi="Times New Roman"/>
          <w:b w:val="0"/>
          <w:bCs w:val="0"/>
          <w:color w:val="auto"/>
          <w:highlight w:val="auto"/>
        </w:rPr>
      </w:pPr>
      <w:bookmarkStart w:id="16" w:name="_Toc15396601"/>
      <w:bookmarkStart w:id="17" w:name="_Toc15377200"/>
      <w:r>
        <w:rPr>
          <w:rFonts w:ascii="Times New Roman" w:eastAsia="黑体" w:hAnsi="Times New Roman" w:hint="eastAsia"/>
          <w:b w:val="0"/>
          <w:color w:val="auto"/>
          <w:highlight w:val="auto"/>
        </w:rPr>
        <w:t>二、机</w:t>
      </w:r>
      <w:r>
        <w:rPr>
          <w:rStyle w:val="2Char"/>
          <w:rFonts w:ascii="Times New Roman" w:eastAsia="黑体" w:hAnsi="Times New Roman" w:hint="eastAsia"/>
          <w:b w:val="0"/>
          <w:bCs w:val="0"/>
          <w:color w:val="auto"/>
          <w:highlight w:val="auto"/>
        </w:rPr>
        <w:t>构设置</w:t>
      </w:r>
      <w:bookmarkEnd w:id="16"/>
      <w:bookmarkEnd w:id="17"/>
    </w:p>
    <w:p>
      <w:pPr>
        <w:ind w:firstLineChars="250" w:firstLine="800"/>
        <w:rPr>
          <w:rFonts w:ascii="Times New Roman" w:eastAsia="仿宋_GB2312" w:cs="仿宋_GB2312" w:hAnsi="Times New Roman" w:hint="eastAsia"/>
          <w:color w:val="auto"/>
          <w:sz w:val="32"/>
          <w:szCs w:val="32"/>
          <w:highlight w:val="auto"/>
        </w:rPr>
      </w:pPr>
      <w:r>
        <w:rPr>
          <w:rFonts w:ascii="仿宋_GB2312" w:eastAsia="仿宋_GB2312" w:cs="仿宋_GB2312" w:hint="eastAsia"/>
          <w:color w:val="auto"/>
          <w:sz w:val="32"/>
          <w:szCs w:val="32"/>
          <w:highlight w:val="auto"/>
        </w:rPr>
        <w:t>四川省阿坝州民族高级中学</w:t>
      </w:r>
      <w:r>
        <w:rPr>
          <w:rFonts w:ascii="Times New Roman" w:eastAsia="仿宋_GB2312" w:cs="仿宋_GB2312" w:hAnsi="Times New Roman" w:hint="eastAsia"/>
          <w:color w:val="auto"/>
          <w:sz w:val="32"/>
          <w:szCs w:val="32"/>
          <w:highlight w:val="auto"/>
        </w:rPr>
        <w:t>下属二级</w:t>
      </w:r>
      <w:r>
        <w:rPr>
          <w:rFonts w:ascii="Times New Roman" w:eastAsia="仿宋_GB2312" w:cs="仿宋_GB2312" w:hAnsi="Times New Roman" w:hint="eastAsia"/>
          <w:color w:val="auto"/>
          <w:sz w:val="32"/>
          <w:szCs w:val="32"/>
          <w:lang w:eastAsia="zh-CN"/>
          <w:highlight w:val="auto"/>
        </w:rPr>
        <w:t>预算</w:t>
      </w:r>
      <w:r>
        <w:rPr>
          <w:rFonts w:ascii="Times New Roman" w:eastAsia="仿宋_GB2312" w:cs="仿宋_GB2312" w:hAnsi="Times New Roman" w:hint="eastAsia"/>
          <w:color w:val="auto"/>
          <w:sz w:val="32"/>
          <w:szCs w:val="32"/>
          <w:highlight w:val="auto"/>
        </w:rPr>
        <w:t>单位</w:t>
      </w:r>
      <w:r>
        <w:rPr>
          <w:rFonts w:ascii="Times New Roman" w:eastAsia="仿宋_GB2312" w:cs="仿宋_GB2312" w:hAnsi="Times New Roman"/>
          <w:color w:val="auto"/>
          <w:sz w:val="32"/>
          <w:szCs w:val="32"/>
          <w:highlight w:val="auto"/>
        </w:rPr>
        <w:t>0</w:t>
      </w:r>
      <w:r>
        <w:rPr>
          <w:rFonts w:ascii="Times New Roman" w:eastAsia="仿宋_GB2312" w:cs="仿宋_GB2312" w:hAnsi="Times New Roman" w:hint="eastAsia"/>
          <w:color w:val="auto"/>
          <w:sz w:val="32"/>
          <w:szCs w:val="32"/>
          <w:highlight w:val="auto"/>
        </w:rPr>
        <w:t>个，其中行政单位</w:t>
      </w:r>
      <w:r>
        <w:rPr>
          <w:rFonts w:ascii="Times New Roman" w:eastAsia="仿宋_GB2312" w:cs="仿宋_GB2312" w:hAnsi="Times New Roman"/>
          <w:color w:val="auto"/>
          <w:sz w:val="32"/>
          <w:szCs w:val="32"/>
          <w:highlight w:val="auto"/>
        </w:rPr>
        <w:t>0</w:t>
      </w:r>
      <w:r>
        <w:rPr>
          <w:rFonts w:ascii="Times New Roman" w:eastAsia="仿宋_GB2312" w:cs="仿宋_GB2312" w:hAnsi="Times New Roman" w:hint="eastAsia"/>
          <w:color w:val="auto"/>
          <w:sz w:val="32"/>
          <w:szCs w:val="32"/>
          <w:highlight w:val="auto"/>
        </w:rPr>
        <w:t>个，参照公务员法管理的事业单位</w:t>
      </w:r>
      <w:r>
        <w:rPr>
          <w:rFonts w:ascii="Times New Roman" w:eastAsia="仿宋_GB2312" w:cs="仿宋_GB2312" w:hAnsi="Times New Roman"/>
          <w:bCs/>
          <w:color w:val="auto"/>
          <w:sz w:val="32"/>
          <w:szCs w:val="32"/>
          <w:highlight w:val="auto"/>
        </w:rPr>
        <w:t>0</w:t>
      </w:r>
      <w:r>
        <w:rPr>
          <w:rFonts w:ascii="Times New Roman" w:eastAsia="仿宋_GB2312" w:cs="仿宋_GB2312" w:hAnsi="Times New Roman" w:hint="eastAsia"/>
          <w:color w:val="auto"/>
          <w:sz w:val="32"/>
          <w:szCs w:val="32"/>
          <w:highlight w:val="auto"/>
        </w:rPr>
        <w:t>个，其他事业单位</w:t>
      </w:r>
      <w:r>
        <w:rPr>
          <w:rFonts w:ascii="Times New Roman" w:eastAsia="仿宋_GB2312" w:cs="仿宋_GB2312" w:hAnsi="Times New Roman"/>
          <w:color w:val="auto"/>
          <w:sz w:val="32"/>
          <w:szCs w:val="32"/>
          <w:highlight w:val="auto"/>
        </w:rPr>
        <w:t>0</w:t>
      </w:r>
      <w:r>
        <w:rPr>
          <w:rFonts w:ascii="Times New Roman" w:eastAsia="仿宋_GB2312" w:cs="仿宋_GB2312" w:hAnsi="Times New Roman" w:hint="eastAsia"/>
          <w:color w:val="auto"/>
          <w:sz w:val="32"/>
          <w:szCs w:val="32"/>
          <w:highlight w:val="auto"/>
        </w:rPr>
        <w:t>个。</w:t>
      </w:r>
    </w:p>
    <w:p>
      <w:pPr>
        <w:pStyle w:val="1"/>
        <w:jc w:val="center"/>
        <w:rPr>
          <w:rFonts w:ascii="Times New Roman" w:eastAsia="方正小标宋简体" w:cs="方正小标宋简体" w:hAnsi="Times New Roman" w:hint="eastAsia"/>
          <w:b w:val="0"/>
          <w:color w:val="auto"/>
          <w:highlight w:val="auto"/>
        </w:rPr>
      </w:pPr>
      <w:bookmarkStart w:id="18" w:name="_Toc15377204"/>
      <w:bookmarkStart w:id="19" w:name="_Toc15396602"/>
      <w:r>
        <w:rPr>
          <w:rFonts w:ascii="Times New Roman" w:eastAsia="方正小标宋简体" w:cs="方正小标宋简体" w:hAnsi="Times New Roman" w:hint="eastAsia"/>
          <w:b w:val="0"/>
          <w:color w:val="auto"/>
          <w:highlight w:val="auto"/>
        </w:rPr>
        <w:t>第二部分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Fonts w:ascii="Times New Roman" w:eastAsia="方正小标宋简体" w:cs="方正小标宋简体" w:hAnsi="Times New Roman" w:hint="eastAsia"/>
          <w:b w:val="0"/>
          <w:color w:val="auto"/>
          <w:lang w:val="en-US" w:eastAsia="zh-CN"/>
          <w:highlight w:val="auto"/>
        </w:rPr>
        <w:t>202</w:t>
      </w:r>
      <w:r>
        <w:rPr>
          <w:rFonts w:ascii="Times New Roman" w:eastAsia="方正小标宋简体" w:cs="方正小标宋简体" w:hAnsi="Times New Roman"/>
          <w:b w:val="0"/>
          <w:color w:val="auto"/>
          <w:lang w:val="en-US" w:eastAsia="zh-CN"/>
          <w:highlight w:val="auto"/>
        </w:rPr>
        <w:t>5</w:t>
      </w:r>
      <w:r>
        <w:rPr>
          <w:rFonts w:ascii="Times New Roman" w:eastAsia="方正小标宋简体" w:cs="方正小标宋简体" w:hAnsi="Times New Roman" w:hint="eastAsia"/>
          <w:b w:val="0"/>
          <w:color w:val="auto"/>
          <w:lang w:val="en-US" w:eastAsia="zh-CN"/>
          <w:highlight w:val="auto"/>
        </w:rPr>
        <w:t>年度</w:t>
      </w:r>
      <w:r>
        <w:rPr>
          <w:rFonts w:ascii="Times New Roman" w:eastAsia="方正小标宋简体" w:cs="方正小标宋简体" w:hAnsi="Times New Roman" w:hint="eastAsia"/>
          <w:b w:val="0"/>
          <w:color w:val="auto"/>
          <w:highlight w:val="auto"/>
        </w:rPr>
        <w:t>部门决算情况说明</w:t>
      </w:r>
      <w:bookmarkEnd w:id="18"/>
      <w:bookmarkEnd w:id="19"/>
    </w:p>
    <w:p>
      <w:pPr>
        <w:rPr>
          <w:rFonts w:ascii="Times New Roman" w:hAnsi="Times New Roman"/>
          <w:color w:val="auto"/>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20" w:name="_Toc15377205"/>
      <w:bookmarkStart w:id="21" w:name="_Toc15396603"/>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20"/>
      <w:bookmarkEnd w:id="21"/>
    </w:p>
    <w:p>
      <w:pPr>
        <w:pStyle w:val="32"/>
        <w:keepNext w:val="0"/>
        <w:keepLines w:val="0"/>
        <w:pageBreakBefore w:val="0"/>
        <w:widowControl w:val="0"/>
        <w:kinsoku/>
        <w:wordWrap/>
        <w:overflowPunct/>
        <w:topLinePunct w:val="0"/>
        <w:autoSpaceDE/>
        <w:autoSpaceDN/>
        <w:bidi w:val="0"/>
        <w:adjustRightInd/>
        <w:snapToGrid/>
        <w:spacing w:line="600" w:lineRule="exact"/>
        <w:ind w:firstLineChars="200" w:firstLine="640"/>
        <w:outlineLvl w:val="1"/>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202</w:t>
      </w:r>
      <w:r>
        <w:rPr>
          <w:rFonts w:ascii="Times New Roman" w:eastAsia="仿宋_GB2312" w:cs="仿宋_GB2312" w:hAnsi="Times New Roman"/>
          <w:color w:val="auto"/>
          <w:sz w:val="32"/>
          <w:szCs w:val="32"/>
          <w:lang w:eastAsia="zh-CN"/>
          <w:highlight w:val="auto"/>
        </w:rPr>
        <w:t>5</w:t>
      </w:r>
      <w:r>
        <w:rPr>
          <w:rFonts w:ascii="Times New Roman" w:eastAsia="仿宋_GB2312" w:cs="仿宋_GB2312" w:hAnsi="Times New Roman" w:hint="eastAsia"/>
          <w:color w:val="auto"/>
          <w:sz w:val="32"/>
          <w:szCs w:val="32"/>
          <w:lang w:eastAsia="zh-CN"/>
          <w:highlight w:val="auto"/>
        </w:rPr>
        <w:t>年度收入</w:t>
      </w:r>
      <w:r>
        <w:rPr>
          <w:rFonts w:ascii="Times New Roman" w:eastAsia="仿宋_GB2312" w:cs="仿宋_GB2312" w:hAnsi="Times New Roman"/>
          <w:color w:val="auto"/>
          <w:sz w:val="32"/>
          <w:szCs w:val="32"/>
          <w:lang w:eastAsia="zh-CN"/>
          <w:highlight w:val="auto"/>
        </w:rPr>
        <w:t>5705.31万元</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w:t>
      </w:r>
      <w:r>
        <w:rPr>
          <w:rFonts w:ascii="Times New Roman" w:eastAsia="仿宋_GB2312" w:cs="仿宋_GB2312" w:hAnsi="Times New Roman" w:hint="eastAsia"/>
          <w:color w:val="auto"/>
          <w:sz w:val="32"/>
          <w:szCs w:val="32"/>
          <w:lang w:eastAsia="zh-CN"/>
          <w:highlight w:val="auto"/>
        </w:rPr>
        <w:t>均为</w:t>
      </w:r>
      <w:r>
        <w:rPr>
          <w:rFonts w:ascii="Times New Roman" w:eastAsia="仿宋_GB2312" w:cs="仿宋_GB2312" w:hAnsi="Times New Roman"/>
          <w:color w:val="auto"/>
          <w:sz w:val="32"/>
          <w:szCs w:val="32"/>
          <w:lang w:eastAsia="zh-CN"/>
          <w:highlight w:val="auto"/>
        </w:rPr>
        <w:t>5705.31</w:t>
      </w:r>
      <w:r>
        <w:rPr>
          <w:rFonts w:ascii="Times New Roman" w:eastAsia="仿宋_GB2312" w:cs="仿宋_GB2312" w:hAnsi="Times New Roman" w:hint="eastAsia"/>
          <w:color w:val="auto"/>
          <w:sz w:val="32"/>
          <w:szCs w:val="32"/>
          <w:highlight w:val="auto"/>
        </w:rPr>
        <w:t>万元。与</w:t>
      </w:r>
      <w:r>
        <w:rPr>
          <w:rFonts w:ascii="Times New Roman" w:eastAsia="仿宋_GB2312" w:cs="仿宋_GB2312" w:hAnsi="Times New Roman" w:hint="eastAsia"/>
          <w:color w:val="auto"/>
          <w:sz w:val="32"/>
          <w:szCs w:val="32"/>
          <w:lang w:eastAsia="zh-CN"/>
          <w:highlight w:val="auto"/>
        </w:rPr>
        <w:t>202</w:t>
      </w:r>
      <w:r>
        <w:rPr>
          <w:rFonts w:ascii="Times New Roman" w:eastAsia="仿宋_GB2312" w:cs="仿宋_GB2312" w:hAnsi="Times New Roman"/>
          <w:color w:val="auto"/>
          <w:sz w:val="32"/>
          <w:szCs w:val="32"/>
          <w:lang w:val="en-US" w:eastAsia="zh-CN"/>
          <w:highlight w:val="auto"/>
        </w:rPr>
        <w:t>4</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eastAsia="zh-CN"/>
          <w:highlight w:val="auto"/>
        </w:rPr>
        <w:t>度</w:t>
      </w:r>
      <w:r>
        <w:rPr>
          <w:rFonts w:ascii="Times New Roman" w:eastAsia="仿宋_GB2312" w:cs="仿宋_GB2312" w:hAnsi="Times New Roman"/>
          <w:color w:val="auto"/>
          <w:sz w:val="32"/>
          <w:szCs w:val="32"/>
        </w:rPr>
        <w:t>5585.54万元</w:t>
      </w:r>
      <w:r>
        <w:rPr>
          <w:rFonts w:ascii="Times New Roman" w:eastAsia="仿宋_GB2312" w:cs="仿宋_GB2312" w:hAnsi="Times New Roman" w:hint="eastAsia"/>
          <w:color w:val="auto"/>
          <w:sz w:val="32"/>
          <w:szCs w:val="32"/>
          <w:highlight w:val="auto"/>
        </w:rPr>
        <w:t>相比，</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总计各</w:t>
      </w:r>
      <w:r>
        <w:rPr>
          <w:rFonts w:ascii="Times New Roman" w:eastAsia="仿宋_GB2312" w:cs="仿宋_GB2312" w:hAnsi="Times New Roman"/>
          <w:color w:val="auto"/>
          <w:sz w:val="32"/>
          <w:szCs w:val="32"/>
          <w:highlight w:val="auto"/>
        </w:rPr>
        <w:t>增加119.77</w:t>
      </w:r>
      <w:r>
        <w:rPr>
          <w:rFonts w:ascii="Times New Roman" w:eastAsia="仿宋_GB2312" w:cs="仿宋_GB2312" w:hAnsi="Times New Roman" w:hint="eastAsia"/>
          <w:color w:val="auto"/>
          <w:sz w:val="32"/>
          <w:szCs w:val="32"/>
          <w:highlight w:val="auto"/>
        </w:rPr>
        <w:t>万元，</w:t>
      </w:r>
      <w:r>
        <w:rPr>
          <w:rFonts w:ascii="Times New Roman" w:eastAsia="仿宋_GB2312" w:cs="仿宋_GB2312" w:hAnsi="Times New Roman"/>
          <w:color w:val="auto"/>
          <w:sz w:val="32"/>
          <w:szCs w:val="32"/>
          <w:highlight w:val="auto"/>
        </w:rPr>
        <w:t>增加2.1</w:t>
      </w:r>
      <w:r>
        <w:rPr>
          <w:rFonts w:ascii="Times New Roman" w:eastAsia="仿宋_GB2312" w:cs="仿宋_GB2312" w:hAnsi="Times New Roman" w:hint="eastAsia"/>
          <w:color w:val="auto"/>
          <w:sz w:val="32"/>
          <w:szCs w:val="32"/>
          <w:highlight w:val="auto"/>
        </w:rPr>
        <w:t>%。主要变动原因是</w:t>
      </w:r>
      <w:r>
        <w:rPr>
          <w:rStyle w:val="0"/>
          <w:rFonts w:eastAsia="仿宋_GB2312" w:cs="仿宋_GB2312"/>
          <w:sz w:val="32"/>
          <w:szCs w:val="32"/>
          <w:lang w:bidi="ar-SA"/>
        </w:rPr>
        <w:t>人员变动</w:t>
      </w:r>
      <w:r>
        <w:rPr>
          <w:rFonts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ind w:firstLineChars="200" w:firstLine="640"/>
        <w:textAlignment w:val="auto"/>
        <w:rPr>
          <w:rFonts w:ascii="Times New Roman" w:eastAsia="仿宋_GB2312" w:cs="仿宋_GB2312" w:hAnsi="Times New Roman"/>
          <w:color w:val="auto"/>
          <w:sz w:val="32"/>
          <w:szCs w:val="32"/>
          <w:highlight w:val="auto"/>
        </w:rPr>
      </w:pPr>
      <w:r>
        <w:rPr>
          <w:rFonts w:ascii="Times New Roman" w:eastAsia="仿宋_GB2312" w:cs="仿宋_GB2312" w:hAnsi="Times New Roman" w:hint="eastAsia"/>
          <w:color w:val="auto"/>
          <w:sz w:val="32"/>
          <w:szCs w:val="32"/>
          <w:highlight w:val="auto"/>
        </w:rPr>
        <w:t>（图1：</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决算总计变动情况图）（柱状图）</w:t>
      </w:r>
    </w:p>
    <w:p>
      <w:pPr>
        <w:pStyle w:val="15"/>
        <w:keepNext w:val="0"/>
        <w:keepLines w:val="0"/>
        <w:pageBreakBefore w:val="0"/>
        <w:widowControl w:val="0"/>
        <w:adjustRightInd/>
        <w:snapToGrid w:val="0"/>
        <w:contextualSpacing w:val="0"/>
        <w:rPr>
          <w:rFonts w:hint="eastAsia"/>
        </w:rPr>
      </w:pPr>
      <w:r>
        <w:drawing>
          <wp:inline distT="0" distB="0" distL="85723" distR="85723">
            <wp:extent cx="4571929" cy="2743157"/>
            <wp:effectExtent l="0" t="0" r="1" b="1"/>
            <wp:docPr id="1" name="图片"/>
            <wp:cNvGraphicFramePr>
              <a:graphicFrameLocks noChangeAspect="1"/>
            </wp:cNvGraphicFramePr>
            <a:graphic>
              <a:graphicData uri="http://schemas.openxmlformats.org/drawingml/2006/picture">
                <pic:pic>
                  <pic:nvPicPr>
                    <pic:cNvPr id="3" name="图片 3"/>
                    <pic:cNvPicPr/>
                  </pic:nvPicPr>
                  <pic:blipFill>
                    <a:blip r:embed="rId4"/>
                    <a:stretch>
                      <a:fillRect/>
                    </a:stretch>
                  </pic:blipFill>
                  <pic:spPr>
                    <a:xfrm rot="0">
                      <a:off x="0" y="0"/>
                      <a:ext cx="4571929" cy="2743157"/>
                    </a:xfrm>
                    <a:prstGeom prst="rect"/>
                    <a:noFill/>
                    <a:ln w="9525" cmpd="sng" cap="flat">
                      <a:noFill/>
                      <a:prstDash val="solid"/>
                      <a:miter/>
                    </a:ln>
                  </pic:spPr>
                </pic:pic>
              </a:graphicData>
            </a:graphic>
          </wp:inline>
        </w:drawing>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黑体" w:hAnsi="Times New Roman" w:hint="eastAsia"/>
          <w:color w:val="auto"/>
          <w:sz w:val="32"/>
          <w:szCs w:val="32"/>
          <w:lang w:eastAsia="zh-CN"/>
          <w:highlight w:val="auto"/>
        </w:rPr>
      </w:pPr>
      <w:bookmarkStart w:id="22" w:name="_Toc15377206"/>
      <w:bookmarkStart w:id="23" w:name="_Toc15396604"/>
      <w:r>
        <w:rPr>
          <w:rFonts w:ascii="Times New Roman" w:eastAsia="黑体" w:hAnsi="Times New Roman" w:hint="eastAsia"/>
          <w:color w:val="auto"/>
          <w:sz w:val="32"/>
          <w:szCs w:val="32"/>
          <w:lang w:eastAsia="zh-CN"/>
          <w:highlight w:val="auto"/>
        </w:rPr>
        <w:t>二、收入决算情况说明</w:t>
      </w:r>
      <w:bookmarkEnd w:id="22"/>
      <w:bookmarkEnd w:id="23"/>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r>
        <w:rPr>
          <w:rFonts w:ascii="仿宋_GB2312" w:eastAsia="仿宋_GB2312" w:cs="仿宋_GB2312" w:hint="eastAsia"/>
          <w:color w:val="auto"/>
          <w:sz w:val="32"/>
          <w:szCs w:val="32"/>
          <w:lang w:eastAsia="zh-CN"/>
          <w:highlight w:val="auto"/>
        </w:rPr>
        <w:t>202</w:t>
      </w:r>
      <w:r>
        <w:rPr>
          <w:rFonts w:ascii="仿宋_GB2312" w:eastAsia="仿宋_GB2312" w:cs="仿宋_GB2312"/>
          <w:color w:val="auto"/>
          <w:sz w:val="32"/>
          <w:szCs w:val="32"/>
          <w:lang w:eastAsia="zh-CN"/>
          <w:highlight w:val="auto"/>
        </w:rPr>
        <w:t>5</w:t>
      </w:r>
      <w:r>
        <w:rPr>
          <w:rFonts w:ascii="仿宋_GB2312" w:eastAsia="仿宋_GB2312" w:cs="仿宋_GB2312" w:hint="eastAsia"/>
          <w:color w:val="auto"/>
          <w:sz w:val="32"/>
          <w:szCs w:val="32"/>
          <w:lang w:eastAsia="zh-CN"/>
          <w:highlight w:val="auto"/>
        </w:rPr>
        <w:t>年度本年收入合计</w:t>
      </w:r>
      <w:r>
        <w:rPr>
          <w:rFonts w:ascii="Times New Roman" w:eastAsia="仿宋_GB2312" w:cs="仿宋_GB2312" w:hAnsi="Times New Roman"/>
          <w:color w:val="auto"/>
          <w:sz w:val="32"/>
          <w:szCs w:val="32"/>
          <w:lang w:eastAsia="zh-CN"/>
          <w:highlight w:val="auto"/>
        </w:rPr>
        <w:t>5705.31</w:t>
      </w:r>
      <w:r>
        <w:rPr>
          <w:rFonts w:ascii="仿宋_GB2312" w:eastAsia="仿宋_GB2312" w:cs="仿宋_GB2312" w:hint="eastAsia"/>
          <w:sz w:val="32"/>
          <w:szCs w:val="32"/>
        </w:rPr>
        <w:t>万元，其中：一般公共预算财政拨款收入</w:t>
      </w:r>
      <w:r>
        <w:rPr>
          <w:rFonts w:ascii="仿宋_GB2312" w:eastAsia="仿宋_GB2312" w:cs="仿宋_GB2312"/>
          <w:sz w:val="32"/>
          <w:szCs w:val="32"/>
        </w:rPr>
        <w:t>4784.47</w:t>
      </w:r>
      <w:r>
        <w:rPr>
          <w:rFonts w:ascii="仿宋_GB2312" w:eastAsia="仿宋_GB2312" w:cs="仿宋_GB2312" w:hint="eastAsia"/>
          <w:color w:val="auto"/>
          <w:sz w:val="32"/>
          <w:szCs w:val="32"/>
          <w:lang w:eastAsia="zh-CN"/>
          <w:highlight w:val="auto"/>
        </w:rPr>
        <w:t>万元，占</w:t>
      </w:r>
      <w:r>
        <w:rPr>
          <w:rFonts w:ascii="仿宋_GB2312" w:eastAsia="仿宋_GB2312" w:cs="仿宋_GB2312"/>
          <w:sz w:val="32"/>
          <w:szCs w:val="32"/>
        </w:rPr>
        <w:t>83.86</w:t>
      </w:r>
      <w:r>
        <w:rPr>
          <w:rFonts w:ascii="仿宋_GB2312" w:eastAsia="仿宋_GB2312" w:cs="仿宋_GB2312" w:hint="eastAsia"/>
          <w:color w:val="auto"/>
          <w:sz w:val="32"/>
          <w:szCs w:val="32"/>
          <w:lang w:eastAsia="zh-CN"/>
          <w:highlight w:val="auto"/>
        </w:rPr>
        <w:t>%；政府性基金预算财政拨款收入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%；国有资本经营预算财政拨款收入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%；上级补助收入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%；事业收入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%；经营收入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%；附属单位上缴收入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%；其他收入</w:t>
      </w:r>
      <w:r>
        <w:rPr>
          <w:rFonts w:ascii="仿宋_GB2312" w:eastAsia="仿宋_GB2312" w:cs="仿宋_GB2312"/>
          <w:sz w:val="32"/>
          <w:szCs w:val="32"/>
        </w:rPr>
        <w:t>651.39</w:t>
      </w:r>
      <w:r>
        <w:rPr>
          <w:rFonts w:ascii="仿宋_GB2312" w:eastAsia="仿宋_GB2312" w:cs="仿宋_GB2312" w:hint="eastAsia"/>
          <w:color w:val="auto"/>
          <w:sz w:val="32"/>
          <w:szCs w:val="32"/>
          <w:lang w:eastAsia="zh-CN"/>
          <w:highlight w:val="auto"/>
        </w:rPr>
        <w:t>万元，占</w:t>
      </w:r>
      <w:r>
        <w:rPr>
          <w:rFonts w:ascii="仿宋_GB2312" w:eastAsia="仿宋_GB2312" w:cs="仿宋_GB2312"/>
          <w:sz w:val="32"/>
          <w:szCs w:val="32"/>
        </w:rPr>
        <w:t>11.42</w:t>
      </w:r>
      <w:r>
        <w:rPr>
          <w:rFonts w:ascii="仿宋_GB2312" w:eastAsia="仿宋_GB2312" w:cs="仿宋_GB2312" w:hint="eastAsia"/>
          <w:color w:val="auto"/>
          <w:sz w:val="32"/>
          <w:szCs w:val="32"/>
          <w:lang w:eastAsia="zh-CN"/>
          <w:highlight w:val="auto"/>
        </w:rPr>
        <w:t>%</w:t>
      </w:r>
      <w:r>
        <w:rPr>
          <w:rFonts w:ascii="仿宋_GB2312" w:eastAsia="仿宋_GB2312" w:cs="仿宋_GB2312"/>
          <w:color w:val="auto"/>
          <w:sz w:val="32"/>
          <w:szCs w:val="32"/>
          <w:lang w:eastAsia="zh-CN"/>
          <w:highlight w:val="auto"/>
        </w:rPr>
        <w:t>；</w:t>
      </w:r>
      <w:r>
        <w:rPr>
          <w:rFonts w:ascii="仿宋_GB2312" w:eastAsia="仿宋_GB2312" w:cs="仿宋_GB2312"/>
          <w:color w:val="auto"/>
          <w:sz w:val="32"/>
          <w:szCs w:val="32"/>
          <w:lang w:eastAsia="zh-CN"/>
        </w:rPr>
        <w:t>年初结转和结余269.46万元，占比4.72%</w:t>
      </w:r>
      <w:r>
        <w:rPr>
          <w:rFonts w:ascii="仿宋_GB2312" w:eastAsia="仿宋_GB2312" w:cs="仿宋_GB2312" w:hint="eastAsia"/>
          <w:color w:val="auto"/>
          <w:sz w:val="32"/>
          <w:szCs w:val="32"/>
          <w:lang w:eastAsia="zh-CN"/>
          <w:highlight w:val="auto"/>
        </w:rPr>
        <w:t>。</w:t>
      </w:r>
      <w:r>
        <w:rPr>
          <w:rFonts w:ascii="Times New Roman" w:eastAsia="仿宋_GB2312" w:cs="仿宋_GB2312" w:hAnsi="Times New Roman" w:hint="eastAsia"/>
          <w:b/>
          <w:bCs/>
          <w:color w:val="auto"/>
          <w:sz w:val="32"/>
          <w:szCs w:val="32"/>
          <w:lang w:eastAsia="zh-CN"/>
          <w:highlight w:val="auto"/>
        </w:rPr>
        <w:t>（注：仅罗列本部门涉及的收入）</w:t>
      </w:r>
    </w:p>
    <w:p>
      <w:pPr>
        <w:ind w:firstLineChars="250" w:firstLine="800"/>
        <w:rPr>
          <w:rFonts w:ascii="Times New Roman" w:eastAsia="仿宋_GB2312" w:cs="仿宋_GB2312" w:hAnsi="Times New Roman"/>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（图2：收入决算结构图）（饼状图）</w:t>
      </w:r>
    </w:p>
    <w:p>
      <w:pPr>
        <w:pStyle w:val="15"/>
        <w:rPr>
          <w:rFonts w:hint="eastAsia"/>
        </w:rPr>
      </w:pPr>
      <w:r>
        <w:drawing>
          <wp:inline distT="0" distB="0" distL="85723" distR="85723">
            <wp:extent cx="4571929" cy="2743157"/>
            <wp:effectExtent l="0" t="0" r="1" b="1"/>
            <wp:docPr id="4" name="图片"/>
            <wp:cNvGraphicFramePr>
              <a:graphicFrameLocks noChangeAspect="1"/>
            </wp:cNvGraphicFramePr>
            <a:graphic>
              <a:graphicData uri="http://schemas.openxmlformats.org/drawingml/2006/picture">
                <pic:pic>
                  <pic:nvPicPr>
                    <pic:cNvPr id="6" name="图片 6"/>
                    <pic:cNvPicPr/>
                  </pic:nvPicPr>
                  <pic:blipFill>
                    <a:blip r:embed="rId5"/>
                    <a:stretch>
                      <a:fillRect/>
                    </a:stretch>
                  </pic:blipFill>
                  <pic:spPr>
                    <a:xfrm rot="0">
                      <a:off x="0" y="0"/>
                      <a:ext cx="4571929" cy="2743157"/>
                    </a:xfrm>
                    <a:prstGeom prst="rect"/>
                    <a:noFill/>
                    <a:ln w="9525" cmpd="sng" cap="flat">
                      <a:noFill/>
                      <a:prstDash val="solid"/>
                      <a:miter/>
                    </a:ln>
                  </pic:spPr>
                </pic:pic>
              </a:graphicData>
            </a:graphic>
          </wp:inline>
        </w:drawing>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24" w:name="_Toc15377207"/>
      <w:bookmarkStart w:id="25" w:name="_Toc15396605"/>
      <w:r>
        <w:rPr>
          <w:rFonts w:ascii="Times New Roman" w:eastAsia="黑体" w:hAnsi="Times New Roman" w:hint="eastAsia"/>
          <w:color w:val="auto"/>
          <w:sz w:val="32"/>
          <w:szCs w:val="32"/>
          <w:lang w:eastAsia="zh-CN"/>
          <w:highlight w:val="auto"/>
        </w:rPr>
        <w:t>三、</w:t>
      </w:r>
      <w:r>
        <w:rPr>
          <w:rFonts w:ascii="Times New Roman" w:eastAsia="黑体" w:hAnsi="Times New Roman" w:hint="eastAsia"/>
          <w:color w:val="auto"/>
          <w:sz w:val="32"/>
          <w:szCs w:val="32"/>
          <w:highlight w:val="auto"/>
        </w:rPr>
        <w:t>支</w:t>
      </w:r>
      <w:r>
        <w:rPr>
          <w:rStyle w:val="2Char"/>
          <w:rFonts w:ascii="Times New Roman" w:eastAsia="黑体" w:hAnsi="Times New Roman" w:hint="eastAsia"/>
          <w:b w:val="0"/>
          <w:color w:val="auto"/>
          <w:highlight w:val="auto"/>
        </w:rPr>
        <w:t>出决算情况说明</w:t>
      </w:r>
      <w:bookmarkEnd w:id="24"/>
      <w:bookmarkEnd w:id="25"/>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color w:val="auto"/>
          <w:sz w:val="32"/>
          <w:szCs w:val="32"/>
          <w:lang w:eastAsia="zh-CN"/>
          <w:highlight w:val="auto"/>
        </w:rPr>
      </w:pPr>
      <w:r>
        <w:rPr>
          <w:rFonts w:ascii="仿宋_GB2312" w:eastAsia="仿宋_GB2312" w:cs="仿宋_GB2312" w:hint="eastAsia"/>
          <w:color w:val="auto"/>
          <w:sz w:val="32"/>
          <w:szCs w:val="32"/>
          <w:lang w:eastAsia="zh-CN"/>
          <w:highlight w:val="auto"/>
        </w:rPr>
        <w:t>2024年度本年支出合计</w:t>
      </w:r>
      <w:r>
        <w:rPr>
          <w:rFonts w:ascii="仿宋_GB2312" w:eastAsia="仿宋_GB2312" w:cs="仿宋_GB2312"/>
          <w:sz w:val="32"/>
          <w:szCs w:val="32"/>
        </w:rPr>
        <w:t>5705.31</w:t>
      </w:r>
      <w:r>
        <w:rPr>
          <w:rFonts w:ascii="仿宋_GB2312" w:eastAsia="仿宋_GB2312" w:cs="仿宋_GB2312" w:hint="eastAsia"/>
          <w:color w:val="auto"/>
          <w:sz w:val="32"/>
          <w:szCs w:val="32"/>
          <w:lang w:eastAsia="zh-CN"/>
          <w:highlight w:val="auto"/>
        </w:rPr>
        <w:t>万元，其中：基本支出</w:t>
      </w:r>
      <w:r>
        <w:rPr>
          <w:rFonts w:ascii="仿宋_GB2312" w:eastAsia="仿宋_GB2312" w:cs="仿宋_GB2312"/>
          <w:sz w:val="32"/>
          <w:szCs w:val="32"/>
        </w:rPr>
        <w:t>4141.91</w:t>
      </w:r>
      <w:r>
        <w:rPr>
          <w:rFonts w:ascii="仿宋_GB2312" w:eastAsia="仿宋_GB2312" w:cs="仿宋_GB2312" w:hint="eastAsia"/>
          <w:color w:val="auto"/>
          <w:sz w:val="32"/>
          <w:szCs w:val="32"/>
          <w:lang w:eastAsia="zh-CN"/>
          <w:highlight w:val="auto"/>
        </w:rPr>
        <w:t>万元，占</w:t>
      </w:r>
      <w:r>
        <w:rPr>
          <w:rFonts w:ascii="仿宋_GB2312" w:eastAsia="仿宋_GB2312" w:cs="仿宋_GB2312"/>
          <w:color w:val="auto"/>
          <w:sz w:val="32"/>
          <w:szCs w:val="32"/>
          <w:lang w:eastAsia="zh-CN"/>
          <w:highlight w:val="auto"/>
        </w:rPr>
        <w:t>72.60</w:t>
      </w:r>
      <w:r>
        <w:rPr>
          <w:rFonts w:ascii="仿宋_GB2312" w:eastAsia="仿宋_GB2312" w:cs="仿宋_GB2312" w:hint="eastAsia"/>
          <w:color w:val="auto"/>
          <w:sz w:val="32"/>
          <w:szCs w:val="32"/>
          <w:lang w:eastAsia="zh-CN"/>
          <w:highlight w:val="auto"/>
        </w:rPr>
        <w:t>%；项目支出</w:t>
      </w:r>
      <w:r>
        <w:rPr>
          <w:rFonts w:ascii="仿宋_GB2312" w:eastAsia="仿宋_GB2312" w:cs="仿宋_GB2312"/>
          <w:sz w:val="32"/>
          <w:szCs w:val="32"/>
        </w:rPr>
        <w:t>1218.23</w:t>
      </w:r>
      <w:r>
        <w:rPr>
          <w:rFonts w:ascii="仿宋_GB2312" w:eastAsia="仿宋_GB2312" w:cs="仿宋_GB2312" w:hint="eastAsia"/>
          <w:color w:val="auto"/>
          <w:sz w:val="32"/>
          <w:szCs w:val="32"/>
          <w:lang w:eastAsia="zh-CN"/>
          <w:highlight w:val="auto"/>
        </w:rPr>
        <w:t>万元，占</w:t>
      </w:r>
      <w:r>
        <w:rPr>
          <w:rFonts w:ascii="仿宋_GB2312" w:eastAsia="仿宋_GB2312" w:cs="仿宋_GB2312"/>
          <w:sz w:val="32"/>
          <w:szCs w:val="32"/>
        </w:rPr>
        <w:t>21.35</w:t>
      </w:r>
      <w:r>
        <w:rPr>
          <w:rFonts w:ascii="仿宋_GB2312" w:eastAsia="仿宋_GB2312" w:cs="仿宋_GB2312" w:hint="eastAsia"/>
          <w:color w:val="auto"/>
          <w:sz w:val="32"/>
          <w:szCs w:val="32"/>
          <w:lang w:eastAsia="zh-CN"/>
          <w:highlight w:val="auto"/>
        </w:rPr>
        <w:t>%；</w:t>
      </w:r>
      <w:r>
        <w:rPr>
          <w:rFonts w:ascii="仿宋_GB2312" w:eastAsia="仿宋_GB2312" w:cs="仿宋_GB2312"/>
          <w:color w:val="auto"/>
          <w:sz w:val="32"/>
          <w:szCs w:val="32"/>
          <w:lang w:eastAsia="zh-CN"/>
        </w:rPr>
        <w:t xml:space="preserve">   年末结转和结余345.17万元，占比6.05%</w:t>
      </w:r>
      <w:r>
        <w:rPr>
          <w:rFonts w:ascii="仿宋_GB2312" w:eastAsia="仿宋_GB2312" w:cs="仿宋_GB2312" w:hint="eastAsia"/>
          <w:color w:val="auto"/>
          <w:sz w:val="32"/>
          <w:szCs w:val="32"/>
          <w:lang w:eastAsia="zh-CN"/>
          <w:highlight w:val="auto"/>
        </w:rPr>
        <w:t>上缴上级支出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%；经营支出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%；对附属单位补助支出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w:t>
      </w:r>
      <w:r>
        <w:rPr>
          <w:rFonts w:ascii="Times New Roman" w:eastAsia="仿宋_GB2312" w:cs="仿宋_GB2312" w:hAnsi="Times New Roman" w:hint="eastAsia"/>
          <w:b/>
          <w:bCs/>
          <w:color w:val="auto"/>
          <w:sz w:val="32"/>
          <w:szCs w:val="32"/>
          <w:lang w:eastAsia="zh-CN"/>
          <w:highlight w:val="auto"/>
        </w:rPr>
        <w:t>（注：仅罗列本部门涉及的支出）</w:t>
      </w:r>
    </w:p>
    <w:p>
      <w:pPr>
        <w:ind w:firstLineChars="250" w:firstLine="800"/>
        <w:rPr>
          <w:rFonts w:ascii="Times New Roman" w:eastAsia="仿宋_GB2312" w:cs="仿宋_GB2312" w:hAnsi="Times New Roman"/>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（图3：支出决算结构图）（饼状图）</w:t>
      </w:r>
    </w:p>
    <w:p>
      <w:pPr>
        <w:pStyle w:val="15"/>
        <w:rPr>
          <w:rFonts w:hint="eastAsia"/>
        </w:rPr>
      </w:pPr>
      <w:r>
        <w:drawing>
          <wp:inline distT="0" distB="0" distL="85723" distR="85723">
            <wp:extent cx="4571929" cy="2743157"/>
            <wp:effectExtent l="0" t="0" r="1" b="1"/>
            <wp:docPr id="7" name="图片"/>
            <wp:cNvGraphicFramePr>
              <a:graphicFrameLocks noChangeAspect="1"/>
            </wp:cNvGraphicFramePr>
            <a:graphic>
              <a:graphicData uri="http://schemas.openxmlformats.org/drawingml/2006/picture">
                <pic:pic>
                  <pic:nvPicPr>
                    <pic:cNvPr id="9" name="图片 9"/>
                    <pic:cNvPicPr/>
                  </pic:nvPicPr>
                  <pic:blipFill>
                    <a:blip r:embed="rId6"/>
                    <a:stretch>
                      <a:fillRect/>
                    </a:stretch>
                  </pic:blipFill>
                  <pic:spPr>
                    <a:xfrm rot="0">
                      <a:off x="0" y="0"/>
                      <a:ext cx="4571929" cy="2743157"/>
                    </a:xfrm>
                    <a:prstGeom prst="rect"/>
                    <a:noFill/>
                    <a:ln w="9525" cmpd="sng" cap="flat">
                      <a:noFill/>
                      <a:prstDash val="solid"/>
                      <a:miter/>
                    </a:ln>
                  </pic:spPr>
                </pic:pic>
              </a:graphicData>
            </a:graphic>
          </wp:inline>
        </w:drawing>
      </w:r>
    </w:p>
    <w:p>
      <w:pPr>
        <w:ind w:firstLineChars="250" w:firstLine="800"/>
        <w:rPr>
          <w:rFonts w:ascii="Times New Roman" w:eastAsia="仿宋_GB2312" w:cs="仿宋_GB2312" w:hAnsi="Times New Roman" w:hint="eastAsia"/>
          <w:color w:val="auto"/>
          <w:sz w:val="32"/>
          <w:szCs w:val="32"/>
          <w:lang w:eastAsia="zh-CN"/>
          <w:highlight w:val="auto"/>
        </w:rPr>
      </w:pPr>
    </w:p>
    <w:p>
      <w:pPr>
        <w:spacing w:line="600" w:lineRule="exact"/>
        <w:ind w:firstLineChars="200" w:firstLine="640"/>
        <w:outlineLvl w:val="1"/>
        <w:rPr>
          <w:rStyle w:val="2Char"/>
          <w:rFonts w:ascii="Times New Roman" w:eastAsia="黑体" w:hAnsi="Times New Roman"/>
          <w:b w:val="0"/>
          <w:color w:val="auto"/>
          <w:highlight w:val="auto"/>
        </w:rPr>
      </w:pPr>
      <w:bookmarkStart w:id="26" w:name="_Toc15377208"/>
      <w:bookmarkStart w:id="27" w:name="_Toc15396606"/>
      <w:r>
        <w:rPr>
          <w:rFonts w:ascii="Times New Roman" w:eastAsia="黑体" w:hAnsi="Times New Roman" w:hint="eastAsia"/>
          <w:color w:val="auto"/>
          <w:sz w:val="32"/>
          <w:szCs w:val="32"/>
          <w:highlight w:val="auto"/>
        </w:rPr>
        <w:t>四、财</w:t>
      </w:r>
      <w:r>
        <w:rPr>
          <w:rStyle w:val="2Char"/>
          <w:rFonts w:ascii="Times New Roman" w:eastAsia="黑体" w:hAnsi="Times New Roman" w:hint="eastAsia"/>
          <w:b w:val="0"/>
          <w:color w:val="auto"/>
          <w:highlight w:val="auto"/>
        </w:rPr>
        <w:t>政拨款收入支出决算总体情况说明</w:t>
      </w:r>
      <w:bookmarkEnd w:id="26"/>
      <w:bookmarkEnd w:id="27"/>
    </w:p>
    <w:p>
      <w:pPr>
        <w:pStyle w:val="32"/>
        <w:keepNext w:val="0"/>
        <w:keepLines w:val="0"/>
        <w:pageBreakBefore w:val="0"/>
        <w:widowControl w:val="0"/>
        <w:kinsoku/>
        <w:wordWrap/>
        <w:overflowPunct/>
        <w:topLinePunct w:val="0"/>
        <w:autoSpaceDE/>
        <w:autoSpaceDN/>
        <w:adjustRightInd/>
        <w:snapToGrid/>
        <w:spacing w:line="600" w:lineRule="exact"/>
        <w:ind w:firstLineChars="200" w:firstLine="640"/>
        <w:outlineLvl w:val="1"/>
        <w:rPr>
          <w:rFonts w:eastAsia="仿宋_GB2312" w:cs="仿宋_GB2312" w:hint="eastAsia"/>
          <w:sz w:val="32"/>
          <w:szCs w:val="32"/>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年度财政拨款收入、支出总计均为</w:t>
      </w:r>
      <w:r>
        <w:rPr>
          <w:rFonts w:ascii="Times New Roman" w:eastAsia="仿宋_GB2312" w:cs="仿宋_GB2312" w:hAnsi="Times New Roman"/>
          <w:color w:val="auto"/>
          <w:kern w:val="2"/>
          <w:sz w:val="32"/>
          <w:szCs w:val="32"/>
          <w:lang w:val="en-US" w:eastAsia="zh-CN" w:bidi="ar-SA"/>
          <w:highlight w:val="auto"/>
        </w:rPr>
        <w:t>4784.47</w:t>
      </w:r>
      <w:r>
        <w:rPr>
          <w:rFonts w:ascii="Times New Roman" w:eastAsia="仿宋_GB2312" w:cs="仿宋_GB2312" w:hAnsi="Times New Roman" w:hint="eastAsia"/>
          <w:color w:val="auto"/>
          <w:kern w:val="2"/>
          <w:sz w:val="32"/>
          <w:szCs w:val="32"/>
          <w:lang w:val="en-US" w:eastAsia="zh-CN" w:bidi="ar-SA"/>
          <w:highlight w:val="auto"/>
        </w:rPr>
        <w:t>万元。与202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w:t>
      </w:r>
      <w:r>
        <w:rPr>
          <w:rFonts w:ascii="仿宋_GB2312" w:eastAsia="仿宋_GB2312" w:cs="仿宋_GB2312" w:hint="eastAsia"/>
          <w:sz w:val="32"/>
          <w:szCs w:val="32"/>
        </w:rPr>
        <w:t>4946.68</w:t>
      </w:r>
      <w:r>
        <w:rPr>
          <w:rFonts w:ascii="Times New Roman" w:eastAsia="仿宋_GB2312" w:cs="仿宋_GB2312" w:hAnsi="Times New Roman"/>
          <w:color w:val="auto"/>
          <w:kern w:val="2"/>
          <w:sz w:val="32"/>
          <w:szCs w:val="32"/>
          <w:lang w:val="en-US" w:eastAsia="zh-CN" w:bidi="ar-SA"/>
        </w:rPr>
        <w:t>万元</w:t>
      </w:r>
      <w:r>
        <w:rPr>
          <w:rFonts w:ascii="Times New Roman" w:eastAsia="仿宋_GB2312" w:cs="仿宋_GB2312" w:hAnsi="Times New Roman" w:hint="eastAsia"/>
          <w:color w:val="auto"/>
          <w:kern w:val="2"/>
          <w:sz w:val="32"/>
          <w:szCs w:val="32"/>
          <w:lang w:val="en-US" w:eastAsia="zh-CN" w:bidi="ar-SA"/>
          <w:highlight w:val="auto"/>
        </w:rPr>
        <w:t>相比，财政拨款收入总计、支出总计各减少</w:t>
      </w:r>
      <w:r>
        <w:rPr>
          <w:rFonts w:ascii="Times New Roman" w:eastAsia="仿宋_GB2312" w:cs="仿宋_GB2312" w:hAnsi="Times New Roman"/>
          <w:color w:val="auto"/>
          <w:kern w:val="2"/>
          <w:sz w:val="32"/>
          <w:szCs w:val="32"/>
          <w:lang w:val="en-US" w:eastAsia="zh-CN" w:bidi="ar-SA"/>
          <w:highlight w:val="auto"/>
        </w:rPr>
        <w:t>162.21</w:t>
      </w:r>
      <w:r>
        <w:rPr>
          <w:rFonts w:ascii="Times New Roman" w:eastAsia="仿宋_GB2312" w:cs="仿宋_GB2312" w:hAnsi="Times New Roman" w:hint="eastAsia"/>
          <w:color w:val="auto"/>
          <w:kern w:val="2"/>
          <w:sz w:val="32"/>
          <w:szCs w:val="32"/>
          <w:lang w:val="en-US" w:eastAsia="zh-CN" w:bidi="ar-SA"/>
          <w:highlight w:val="auto"/>
        </w:rPr>
        <w:t>万元，下降</w:t>
      </w:r>
      <w:r>
        <w:rPr>
          <w:rFonts w:ascii="Times New Roman" w:eastAsia="仿宋_GB2312" w:cs="仿宋_GB2312" w:hAnsi="Times New Roman"/>
          <w:color w:val="auto"/>
          <w:kern w:val="2"/>
          <w:sz w:val="32"/>
          <w:szCs w:val="32"/>
          <w:lang w:val="en-US" w:eastAsia="zh-CN" w:bidi="ar-SA"/>
          <w:highlight w:val="auto"/>
        </w:rPr>
        <w:t>3.3</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Chars="200"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（图4：财政拨款收、支决算总计变动情况）（柱状图）</w:t>
      </w:r>
    </w:p>
    <w:p>
      <w:pPr>
        <w:pStyle w:val="15"/>
        <w:rPr>
          <w:rFonts w:hint="eastAsia"/>
        </w:rPr>
      </w:pPr>
      <w:r>
        <w:drawing>
          <wp:inline distT="0" distB="0" distL="85723" distR="85723">
            <wp:extent cx="4571929" cy="2743157"/>
            <wp:effectExtent l="0" t="0" r="1" b="1"/>
            <wp:docPr id="10" name="图片"/>
            <wp:cNvGraphicFramePr>
              <a:graphicFrameLocks noChangeAspect="1"/>
            </wp:cNvGraphicFramePr>
            <a:graphic>
              <a:graphicData uri="http://schemas.openxmlformats.org/drawingml/2006/picture">
                <pic:pic>
                  <pic:nvPicPr>
                    <pic:cNvPr id="12" name="图片 12"/>
                    <pic:cNvPicPr/>
                  </pic:nvPicPr>
                  <pic:blipFill>
                    <a:blip r:embed="rId7"/>
                    <a:stretch>
                      <a:fillRect/>
                    </a:stretch>
                  </pic:blipFill>
                  <pic:spPr>
                    <a:xfrm rot="0">
                      <a:off x="0" y="0"/>
                      <a:ext cx="4571929" cy="2743157"/>
                    </a:xfrm>
                    <a:prstGeom prst="rect"/>
                    <a:noFill/>
                    <a:ln w="9525" cmpd="sng" cap="flat">
                      <a:noFill/>
                      <a:prstDash val="solid"/>
                      <a:miter/>
                    </a:ln>
                  </pic:spPr>
                </pic:pic>
              </a:graphicData>
            </a:graphic>
          </wp:inline>
        </w:drawing>
      </w:r>
    </w:p>
    <w:p>
      <w:pPr>
        <w:spacing w:line="600" w:lineRule="exact"/>
        <w:ind w:firstLineChars="200" w:firstLine="640"/>
        <w:outlineLvl w:val="1"/>
        <w:rPr>
          <w:rStyle w:val="2Char"/>
          <w:rFonts w:ascii="Times New Roman" w:eastAsia="黑体" w:hAnsi="Times New Roman"/>
          <w:b w:val="0"/>
          <w:color w:val="auto"/>
          <w:highlight w:val="auto"/>
        </w:rPr>
      </w:pPr>
      <w:bookmarkStart w:id="28" w:name="_Toc15377209"/>
      <w:bookmarkStart w:id="29" w:name="_Toc15396607"/>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28"/>
      <w:bookmarkEnd w:id="29"/>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0"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30"/>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年度一般公共预算财政拨款支出</w:t>
      </w:r>
      <w:r>
        <w:rPr>
          <w:rFonts w:ascii="Times New Roman" w:eastAsia="仿宋_GB2312" w:cs="仿宋_GB2312" w:hAnsi="Times New Roman"/>
          <w:color w:val="auto"/>
          <w:kern w:val="2"/>
          <w:sz w:val="32"/>
          <w:szCs w:val="32"/>
          <w:lang w:val="en-US" w:eastAsia="zh-CN" w:bidi="ar-SA"/>
          <w:highlight w:val="auto"/>
        </w:rPr>
        <w:t>4784.47</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sz w:val="32"/>
          <w:szCs w:val="32"/>
        </w:rPr>
        <w:t>89.26</w:t>
      </w:r>
      <w:r>
        <w:rPr>
          <w:rFonts w:ascii="仿宋_GB2312" w:eastAsia="仿宋_GB2312" w:cs="仿宋_GB2312" w:hint="eastAsia"/>
          <w:color w:val="auto"/>
          <w:kern w:val="2"/>
          <w:sz w:val="32"/>
          <w:szCs w:val="32"/>
          <w:lang w:val="en-US" w:eastAsia="zh-CN" w:bidi="ar-SA"/>
          <w:highlight w:val="auto"/>
        </w:rPr>
        <w:t>%。与202</w:t>
      </w:r>
      <w:r>
        <w:rPr>
          <w:rFonts w:ascii="仿宋_GB2312" w:eastAsia="仿宋_GB2312" w:cs="仿宋_GB2312"/>
          <w:color w:val="auto"/>
          <w:kern w:val="2"/>
          <w:sz w:val="32"/>
          <w:szCs w:val="32"/>
          <w:lang w:val="en-US" w:eastAsia="zh-CN" w:bidi="ar-SA"/>
          <w:highlight w:val="auto"/>
        </w:rPr>
        <w:t>4</w:t>
      </w:r>
      <w:r>
        <w:rPr>
          <w:rFonts w:ascii="仿宋_GB2312" w:eastAsia="仿宋_GB2312" w:cs="仿宋_GB2312" w:hint="eastAsia"/>
          <w:color w:val="auto"/>
          <w:kern w:val="2"/>
          <w:sz w:val="32"/>
          <w:szCs w:val="32"/>
          <w:lang w:val="en-US" w:eastAsia="zh-CN" w:bidi="ar-SA"/>
          <w:highlight w:val="auto"/>
        </w:rPr>
        <w:t>年度</w:t>
      </w:r>
      <w:r>
        <w:rPr>
          <w:rFonts w:ascii="仿宋_GB2312" w:eastAsia="仿宋_GB2312" w:cs="仿宋_GB2312" w:hint="eastAsia"/>
          <w:sz w:val="32"/>
          <w:szCs w:val="32"/>
        </w:rPr>
        <w:t>4946.68</w:t>
      </w:r>
      <w:r>
        <w:rPr>
          <w:rFonts w:ascii="Times New Roman" w:eastAsia="仿宋_GB2312" w:cs="仿宋_GB2312" w:hAnsi="Times New Roman"/>
          <w:color w:val="auto"/>
          <w:kern w:val="2"/>
          <w:sz w:val="32"/>
          <w:szCs w:val="32"/>
          <w:lang w:val="en-US" w:eastAsia="zh-CN" w:bidi="ar-SA"/>
        </w:rPr>
        <w:t>万元</w:t>
      </w:r>
      <w:r>
        <w:rPr>
          <w:rFonts w:ascii="仿宋_GB2312" w:eastAsia="仿宋_GB2312" w:cs="仿宋_GB2312" w:hint="eastAsia"/>
          <w:color w:val="auto"/>
          <w:kern w:val="2"/>
          <w:sz w:val="32"/>
          <w:szCs w:val="32"/>
          <w:lang w:val="en-US" w:eastAsia="zh-CN" w:bidi="ar-SA"/>
          <w:highlight w:val="auto"/>
        </w:rPr>
        <w:t>相比，一般公共预算财政拨款支出减少</w:t>
      </w:r>
      <w:r>
        <w:rPr>
          <w:rFonts w:ascii="Times New Roman" w:eastAsia="仿宋_GB2312" w:cs="仿宋_GB2312" w:hAnsi="Times New Roman"/>
          <w:color w:val="auto"/>
          <w:kern w:val="2"/>
          <w:sz w:val="32"/>
          <w:szCs w:val="32"/>
          <w:lang w:val="en-US" w:eastAsia="zh-CN" w:bidi="ar-SA"/>
          <w:highlight w:val="auto"/>
        </w:rPr>
        <w:t>162.21</w:t>
      </w:r>
      <w:r>
        <w:rPr>
          <w:rFonts w:ascii="仿宋_GB2312" w:eastAsia="仿宋_GB2312" w:cs="仿宋_GB2312" w:hint="eastAsia"/>
          <w:color w:val="auto"/>
          <w:kern w:val="2"/>
          <w:sz w:val="32"/>
          <w:szCs w:val="32"/>
          <w:lang w:val="en-US" w:eastAsia="zh-CN" w:bidi="ar-SA"/>
          <w:highlight w:val="auto"/>
        </w:rPr>
        <w:t>万元，下降</w:t>
      </w:r>
      <w:r>
        <w:rPr>
          <w:rFonts w:ascii="Times New Roman" w:eastAsia="仿宋_GB2312" w:cs="仿宋_GB2312" w:hAnsi="Times New Roman"/>
          <w:color w:val="auto"/>
          <w:kern w:val="2"/>
          <w:sz w:val="32"/>
          <w:szCs w:val="32"/>
          <w:lang w:val="en-US" w:eastAsia="zh-CN" w:bidi="ar-SA"/>
          <w:highlight w:val="auto"/>
        </w:rPr>
        <w:t>3.28</w:t>
      </w:r>
      <w:r>
        <w:rPr>
          <w:rFonts w:ascii="仿宋_GB2312" w:eastAsia="仿宋_GB2312" w:cs="仿宋_GB2312"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（图5：一般公共预算财政拨款支出决算变动情况）（柱状图）</w:t>
      </w:r>
    </w:p>
    <w:p>
      <w:pPr>
        <w:pStyle w:val="15"/>
        <w:rPr>
          <w:rFonts w:hint="eastAsia"/>
        </w:rPr>
      </w:pPr>
      <w:r>
        <w:drawing>
          <wp:inline distT="0" distB="0" distL="85723" distR="85723">
            <wp:extent cx="4571929" cy="2743157"/>
            <wp:effectExtent l="0" t="0" r="1" b="1"/>
            <wp:docPr id="13" name="图片"/>
            <wp:cNvGraphicFramePr>
              <a:graphicFrameLocks noChangeAspect="1"/>
            </wp:cNvGraphicFramePr>
            <a:graphic>
              <a:graphicData uri="http://schemas.openxmlformats.org/drawingml/2006/picture">
                <pic:pic>
                  <pic:nvPicPr>
                    <pic:cNvPr id="15" name="图片 15"/>
                    <pic:cNvPicPr/>
                  </pic:nvPicPr>
                  <pic:blipFill>
                    <a:blip r:embed="rId8"/>
                    <a:stretch>
                      <a:fillRect/>
                    </a:stretch>
                  </pic:blipFill>
                  <pic:spPr>
                    <a:xfrm rot="0">
                      <a:off x="0" y="0"/>
                      <a:ext cx="4571929" cy="2743157"/>
                    </a:xfrm>
                    <a:prstGeom prst="rect"/>
                    <a:noFill/>
                    <a:ln w="9525" cmpd="sng" cap="flat">
                      <a:noFill/>
                      <a:prstDash val="solid"/>
                      <a:miter/>
                    </a:ln>
                  </pic:spPr>
                </pic:pic>
              </a:graphicData>
            </a:graphic>
          </wp:inline>
        </w:drawing>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1"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31"/>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年度一般公共预算财政拨款支出</w:t>
      </w:r>
      <w:r>
        <w:rPr>
          <w:rFonts w:ascii="仿宋_GB2312" w:eastAsia="仿宋_GB2312" w:cs="仿宋_GB2312"/>
          <w:sz w:val="32"/>
          <w:szCs w:val="32"/>
        </w:rPr>
        <w:t>4784.47</w:t>
      </w:r>
      <w:r>
        <w:rPr>
          <w:rFonts w:ascii="仿宋_GB2312" w:eastAsia="仿宋_GB2312" w:cs="仿宋_GB2312" w:hint="eastAsia"/>
          <w:color w:val="auto"/>
          <w:kern w:val="2"/>
          <w:sz w:val="32"/>
          <w:szCs w:val="32"/>
          <w:lang w:val="en-US" w:eastAsia="zh-CN" w:bidi="ar-SA"/>
          <w:highlight w:val="auto"/>
        </w:rPr>
        <w:t>万元</w:t>
      </w:r>
      <w:r>
        <w:rPr>
          <w:rFonts w:ascii="Times New Roman" w:eastAsia="仿宋_GB2312" w:cs="仿宋_GB2312" w:hAnsi="Times New Roman" w:hint="eastAsia"/>
          <w:color w:val="auto"/>
          <w:kern w:val="2"/>
          <w:sz w:val="32"/>
          <w:szCs w:val="32"/>
          <w:lang w:val="en-US" w:eastAsia="zh-CN" w:bidi="ar-SA"/>
          <w:highlight w:val="auto"/>
        </w:rPr>
        <w:t>，主要用于以下方面</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一般公共服务支出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%；教育支出</w:t>
      </w:r>
      <w:r>
        <w:rPr>
          <w:rFonts w:ascii="Times New Roman" w:eastAsia="仿宋_GB2312" w:cs="仿宋_GB2312" w:hAnsi="Times New Roman"/>
          <w:color w:val="auto"/>
          <w:kern w:val="2"/>
          <w:sz w:val="32"/>
          <w:szCs w:val="32"/>
          <w:lang w:val="en-US" w:eastAsia="zh-CN" w:bidi="ar-SA"/>
        </w:rPr>
        <w:t>3754.86</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78.48</w:t>
      </w:r>
      <w:r>
        <w:rPr>
          <w:rFonts w:ascii="Times New Roman" w:eastAsia="仿宋_GB2312" w:cs="仿宋_GB2312" w:hAnsi="Times New Roman" w:hint="eastAsia"/>
          <w:color w:val="auto"/>
          <w:kern w:val="2"/>
          <w:sz w:val="32"/>
          <w:szCs w:val="32"/>
          <w:lang w:val="en-US" w:eastAsia="zh-CN" w:bidi="ar-SA"/>
          <w:highlight w:val="auto"/>
        </w:rPr>
        <w:t>%；科学技术支出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%；文化旅游体育与传媒支出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%；社会保障和就业支出</w:t>
      </w:r>
      <w:r>
        <w:rPr>
          <w:rFonts w:ascii="Times New Roman" w:eastAsia="仿宋_GB2312" w:cs="仿宋_GB2312" w:hAnsi="Times New Roman"/>
          <w:color w:val="auto"/>
          <w:kern w:val="2"/>
          <w:sz w:val="32"/>
          <w:szCs w:val="32"/>
          <w:lang w:val="en-US" w:eastAsia="zh-CN" w:bidi="ar-SA"/>
        </w:rPr>
        <w:t>546.71</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11.43</w:t>
      </w:r>
      <w:r>
        <w:rPr>
          <w:rFonts w:ascii="Times New Roman" w:eastAsia="仿宋_GB2312" w:cs="仿宋_GB2312" w:hAnsi="Times New Roman" w:hint="eastAsia"/>
          <w:color w:val="auto"/>
          <w:kern w:val="2"/>
          <w:sz w:val="32"/>
          <w:szCs w:val="32"/>
          <w:lang w:val="en-US" w:eastAsia="zh-CN" w:bidi="ar-SA"/>
          <w:highlight w:val="auto"/>
        </w:rPr>
        <w:t>%；卫生健康支出</w:t>
      </w:r>
      <w:r>
        <w:rPr>
          <w:rFonts w:ascii="Times New Roman" w:eastAsia="仿宋_GB2312" w:cs="仿宋_GB2312" w:hAnsi="Times New Roman"/>
          <w:color w:val="auto"/>
          <w:kern w:val="2"/>
          <w:sz w:val="32"/>
          <w:szCs w:val="32"/>
          <w:lang w:val="en-US" w:eastAsia="zh-CN" w:bidi="ar-SA"/>
        </w:rPr>
        <w:t>203.19</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4.25</w:t>
      </w:r>
      <w:r>
        <w:rPr>
          <w:rFonts w:ascii="Times New Roman" w:eastAsia="仿宋_GB2312" w:cs="仿宋_GB2312" w:hAnsi="Times New Roman" w:hint="eastAsia"/>
          <w:color w:val="auto"/>
          <w:kern w:val="2"/>
          <w:sz w:val="32"/>
          <w:szCs w:val="32"/>
          <w:lang w:val="en-US" w:eastAsia="zh-CN" w:bidi="ar-SA"/>
          <w:highlight w:val="auto"/>
        </w:rPr>
        <w:t>%；住房保障支出</w:t>
      </w:r>
      <w:r>
        <w:rPr>
          <w:rFonts w:ascii="Times New Roman" w:eastAsia="仿宋_GB2312" w:cs="仿宋_GB2312" w:hAnsi="Times New Roman"/>
          <w:color w:val="auto"/>
          <w:kern w:val="2"/>
          <w:sz w:val="32"/>
          <w:szCs w:val="32"/>
          <w:lang w:val="en-US" w:eastAsia="zh-CN" w:bidi="ar-SA"/>
        </w:rPr>
        <w:t>279.7</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5.85</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（注：仅罗列本部门涉及的全部功能分类科目，至类级）</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（图6：一般公共预算财政拨款支出决算结构）（饼状图）</w:t>
      </w:r>
    </w:p>
    <w:p>
      <w:pPr>
        <w:pStyle w:val="15"/>
        <w:rPr>
          <w:rFonts w:hint="eastAsia"/>
        </w:rPr>
      </w:pPr>
      <w:r>
        <w:drawing>
          <wp:inline distT="0" distB="0" distL="85723" distR="85723">
            <wp:extent cx="4571929" cy="2743157"/>
            <wp:effectExtent l="0" t="0" r="1" b="1"/>
            <wp:docPr id="16" name="图片"/>
            <wp:cNvGraphicFramePr>
              <a:graphicFrameLocks noChangeAspect="1"/>
            </wp:cNvGraphicFramePr>
            <a:graphic>
              <a:graphicData uri="http://schemas.openxmlformats.org/drawingml/2006/picture">
                <pic:pic>
                  <pic:nvPicPr>
                    <pic:cNvPr id="18" name="图片 18"/>
                    <pic:cNvPicPr/>
                  </pic:nvPicPr>
                  <pic:blipFill>
                    <a:blip r:embed="rId9"/>
                    <a:stretch>
                      <a:fillRect/>
                    </a:stretch>
                  </pic:blipFill>
                  <pic:spPr>
                    <a:xfrm rot="0">
                      <a:off x="0" y="0"/>
                      <a:ext cx="4571929" cy="2743157"/>
                    </a:xfrm>
                    <a:prstGeom prst="rect"/>
                    <a:noFill/>
                    <a:ln w="9525" cmpd="sng" cap="flat">
                      <a:noFill/>
                      <a:prstDash val="solid"/>
                      <a:miter/>
                    </a:ln>
                  </pic:spPr>
                </pic:pic>
              </a:graphicData>
            </a:graphic>
          </wp:inline>
        </w:drawing>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2" w:name="_Toc15377212"/>
      <w:r>
        <w:rPr>
          <w:rFonts w:ascii="Times New Roman" w:eastAsia="楷体_GB2312" w:cs="楷体_GB2312" w:hAnsi="Times New Roman" w:hint="eastAsia"/>
          <w:b/>
          <w:color w:val="auto"/>
          <w:sz w:val="32"/>
          <w:szCs w:val="32"/>
          <w:highlight w:val="auto"/>
        </w:rPr>
        <w:t>（三）一般公共预算财政拨款支出决算具体情况</w:t>
      </w:r>
      <w:bookmarkEnd w:id="32"/>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33" w:name="_Toc15377444"/>
      <w:bookmarkStart w:id="34" w:name="_Toc15378460"/>
      <w:bookmarkStart w:id="35" w:name="_Toc15377213"/>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年度一般公共预算财政拨款支出决算数为</w:t>
      </w:r>
      <w:r>
        <w:rPr>
          <w:rFonts w:ascii="仿宋_GB2312" w:eastAsia="仿宋_GB2312" w:cs="仿宋_GB2312"/>
          <w:sz w:val="32"/>
          <w:szCs w:val="32"/>
        </w:rPr>
        <w:t>4784.47</w:t>
      </w:r>
      <w:r>
        <w:rPr>
          <w:rFonts w:ascii="仿宋_GB2312" w:eastAsia="仿宋_GB2312" w:cs="仿宋_GB2312" w:hint="eastAsia"/>
          <w:color w:val="auto"/>
          <w:kern w:val="2"/>
          <w:sz w:val="32"/>
          <w:szCs w:val="32"/>
          <w:lang w:val="en-US" w:eastAsia="zh-CN" w:bidi="ar-SA"/>
          <w:highlight w:val="auto"/>
        </w:rPr>
        <w:t>，</w:t>
      </w:r>
      <w:r>
        <w:rPr>
          <w:rFonts w:ascii="仿宋_GB2312" w:eastAsia="仿宋_GB2312" w:cs="仿宋_GB2312"/>
          <w:color w:val="auto"/>
          <w:kern w:val="2"/>
          <w:sz w:val="32"/>
          <w:szCs w:val="32"/>
          <w:lang w:val="en-US" w:eastAsia="zh-CN" w:bidi="ar-SA"/>
          <w:highlight w:val="auto"/>
        </w:rPr>
        <w:t>万元</w:t>
      </w:r>
      <w:r>
        <w:rPr>
          <w:rFonts w:ascii="Times New Roman" w:eastAsia="仿宋_GB2312" w:cs="仿宋_GB2312" w:hAnsi="Times New Roman" w:hint="eastAsia"/>
          <w:color w:val="auto"/>
          <w:kern w:val="2"/>
          <w:sz w:val="32"/>
          <w:szCs w:val="32"/>
          <w:lang w:val="en-US" w:eastAsia="zh-CN" w:bidi="ar-SA"/>
          <w:highlight w:val="auto"/>
        </w:rPr>
        <w:t>完成预算</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%。其中：</w:t>
      </w:r>
      <w:bookmarkEnd w:id="33"/>
      <w:bookmarkEnd w:id="34"/>
      <w:bookmarkEnd w:id="35"/>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一般公共服务（类）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%，决算数小于/等于预算数的主要原因是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2.教育（类）</w:t>
      </w:r>
      <w:r>
        <w:rPr>
          <w:rFonts w:ascii="Times New Roman" w:eastAsia="仿宋_GB2312" w:cs="仿宋_GB2312" w:hAnsi="Times New Roman"/>
          <w:color w:val="auto"/>
          <w:kern w:val="2"/>
          <w:sz w:val="32"/>
          <w:szCs w:val="32"/>
          <w:lang w:val="en-US" w:eastAsia="zh-CN" w:bidi="ar-SA"/>
          <w:highlight w:val="auto"/>
        </w:rPr>
        <w:t>205</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02</w:t>
      </w:r>
      <w:r>
        <w:rPr>
          <w:rFonts w:ascii="Times New Roman" w:eastAsia="仿宋_GB2312" w:cs="仿宋_GB2312" w:hAnsi="Times New Roman" w:hint="eastAsia"/>
          <w:color w:val="auto"/>
          <w:kern w:val="2"/>
          <w:sz w:val="32"/>
          <w:szCs w:val="32"/>
          <w:lang w:val="en-US" w:eastAsia="zh-CN" w:bidi="ar-SA"/>
          <w:highlight w:val="auto"/>
        </w:rPr>
        <w:t>（项）: 支出决算为</w:t>
      </w:r>
      <w:r>
        <w:rPr>
          <w:rFonts w:ascii="Times New Roman" w:eastAsia="仿宋_GB2312" w:cs="仿宋_GB2312" w:hAnsi="Times New Roman"/>
          <w:color w:val="auto"/>
          <w:kern w:val="2"/>
          <w:sz w:val="32"/>
          <w:szCs w:val="32"/>
          <w:lang w:val="en-US" w:eastAsia="zh-CN" w:bidi="ar-SA"/>
        </w:rPr>
        <w:t>3754.86</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，决算数小于/等于预算数的主要原因是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3.科学技术（类）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%，决算数小于/等于预算数的主要原因是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4.文化旅游体育与传媒（类）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%，决算数小于/等于预算数的主要原因是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5.社会保障和就业（类）</w:t>
      </w:r>
      <w:r>
        <w:rPr>
          <w:rFonts w:ascii="Times New Roman" w:eastAsia="仿宋_GB2312" w:cs="仿宋_GB2312" w:hAnsi="Times New Roman"/>
          <w:color w:val="auto"/>
          <w:kern w:val="2"/>
          <w:sz w:val="32"/>
          <w:szCs w:val="32"/>
          <w:lang w:val="en-US" w:eastAsia="zh-CN" w:bidi="ar-SA"/>
          <w:highlight w:val="auto"/>
        </w:rPr>
        <w:t>208</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05</w:t>
      </w:r>
      <w:r>
        <w:rPr>
          <w:rFonts w:ascii="Times New Roman" w:eastAsia="仿宋_GB2312" w:cs="仿宋_GB2312" w:hAnsi="Times New Roman" w:hint="eastAsia"/>
          <w:color w:val="auto"/>
          <w:kern w:val="2"/>
          <w:sz w:val="32"/>
          <w:szCs w:val="32"/>
          <w:lang w:val="en-US" w:eastAsia="zh-CN" w:bidi="ar-SA"/>
          <w:highlight w:val="auto"/>
        </w:rPr>
        <w:t>（项）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rPr>
        <w:t>546.71</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%，决算数小于/等于预算数的主要原因是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6.卫生健康（类）</w:t>
      </w:r>
      <w:r>
        <w:rPr>
          <w:rFonts w:ascii="Times New Roman" w:eastAsia="仿宋_GB2312" w:cs="仿宋_GB2312" w:hAnsi="Times New Roman"/>
          <w:color w:val="auto"/>
          <w:kern w:val="2"/>
          <w:sz w:val="32"/>
          <w:szCs w:val="32"/>
          <w:lang w:val="en-US" w:eastAsia="zh-CN" w:bidi="ar-SA"/>
          <w:highlight w:val="auto"/>
        </w:rPr>
        <w:t>210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11</w:t>
      </w:r>
      <w:r>
        <w:rPr>
          <w:rFonts w:ascii="Times New Roman" w:eastAsia="仿宋_GB2312" w:cs="仿宋_GB2312" w:hAnsi="Times New Roman" w:hint="eastAsia"/>
          <w:color w:val="auto"/>
          <w:kern w:val="2"/>
          <w:sz w:val="32"/>
          <w:szCs w:val="32"/>
          <w:lang w:val="en-US" w:eastAsia="zh-CN" w:bidi="ar-SA"/>
          <w:highlight w:val="auto"/>
        </w:rPr>
        <w:t>（项）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rPr>
        <w:t>279.7</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%，决算数小于/等于预算数的主要原因是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7.</w:t>
      </w:r>
      <w:r>
        <w:rPr>
          <w:rFonts w:ascii="Times New Roman" w:eastAsia="仿宋_GB2312" w:cs="仿宋_GB2312" w:hAnsi="Times New Roman" w:hint="eastAsia"/>
          <w:color w:val="auto"/>
          <w:kern w:val="2"/>
          <w:sz w:val="32"/>
          <w:szCs w:val="32"/>
          <w:lang w:val="en-US" w:eastAsia="zh-CN" w:bidi="ar-SA"/>
          <w:highlight w:val="auto"/>
        </w:rPr>
        <w:t>住房保障</w:t>
      </w:r>
      <w:r>
        <w:rPr>
          <w:rFonts w:ascii="Times New Roman" w:eastAsia="仿宋_GB2312" w:cs="仿宋_GB2312" w:hAnsi="Times New Roman"/>
          <w:color w:val="auto"/>
          <w:kern w:val="2"/>
          <w:sz w:val="32"/>
          <w:szCs w:val="32"/>
          <w:lang w:val="en-US" w:eastAsia="zh-CN" w:bidi="ar-SA"/>
          <w:highlight w:val="auto"/>
        </w:rPr>
        <w:t>（类）221（款）02（项）</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rPr>
        <w:t>279.7</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（注：仅罗列本部门涉及的全部功能分类科目，至项级。上述“预算”口径为全年预算数。增减变动原因为决算数&lt;项级&gt;和全年预算数&lt;项级&gt;比较，与预算数持平可以不写原因）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tabs>
          <w:tab w:val="right" w:pos="8306"/>
        </w:tabs>
        <w:spacing w:line="600" w:lineRule="exact"/>
        <w:ind w:firstLine="640"/>
        <w:outlineLvl w:val="1"/>
        <w:rPr>
          <w:rStyle w:val="2Char"/>
          <w:rFonts w:ascii="Times New Roman" w:hAnsi="Times New Roman"/>
          <w:color w:val="auto"/>
          <w:highlight w:val="auto"/>
        </w:rPr>
      </w:pPr>
      <w:bookmarkStart w:id="36" w:name="_Toc15396608"/>
      <w:bookmarkStart w:id="37" w:name="_Toc15377214"/>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36"/>
      <w:bookmarkEnd w:id="37"/>
      <w:r>
        <w:rPr>
          <w:rStyle w:val="2Char"/>
          <w:rFonts w:ascii="Times New Roman" w:eastAsia="黑体" w:hAnsi="Times New Roman"/>
          <w:b w:val="0"/>
          <w:color w:val="auto"/>
          <w:highlight w:val="auto"/>
        </w:rPr>
        <w:tab/>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年度一般公共预算财政拨款基本支出</w:t>
      </w:r>
      <w:r>
        <w:rPr>
          <w:rFonts w:ascii="仿宋_GB2312" w:eastAsia="仿宋_GB2312" w:cs="仿宋_GB2312"/>
          <w:sz w:val="32"/>
          <w:szCs w:val="32"/>
        </w:rPr>
        <w:t>4784.47</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w:t>
      </w:r>
      <w:r>
        <w:rPr>
          <w:rFonts w:ascii="仿宋_GB2312" w:eastAsia="仿宋_GB2312" w:cs="仿宋_GB2312"/>
          <w:sz w:val="32"/>
          <w:szCs w:val="32"/>
        </w:rPr>
        <w:t>3789.37</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br/>
        <w:t>　　公用经费</w:t>
      </w:r>
      <w:r>
        <w:rPr>
          <w:rFonts w:ascii="仿宋_GB2312" w:eastAsia="仿宋_GB2312" w:cs="仿宋_GB2312"/>
          <w:sz w:val="32"/>
          <w:szCs w:val="32"/>
        </w:rPr>
        <w:t>352.55</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（注：仅罗列本部门实际支出涉及的经济分类科目）</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outlineLvl w:val="1"/>
        <w:rPr>
          <w:rStyle w:val="2Char"/>
          <w:rFonts w:ascii="Times New Roman" w:eastAsia="黑体" w:hAnsi="Times New Roman"/>
          <w:b w:val="0"/>
          <w:color w:val="auto"/>
          <w:highlight w:val="auto"/>
        </w:rPr>
      </w:pPr>
      <w:bookmarkStart w:id="38" w:name="_Toc15396609"/>
      <w:bookmarkStart w:id="39" w:name="_Toc15377215"/>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财政拨款</w:t>
      </w:r>
      <w:r>
        <w:rPr>
          <w:rStyle w:val="2Char"/>
          <w:rFonts w:ascii="Times New Roman" w:eastAsia="黑体" w:hAnsi="Times New Roman" w:hint="eastAsia"/>
          <w:color w:val="auto"/>
          <w:highlight w:val="auto"/>
        </w:rPr>
        <w:t>“</w:t>
      </w:r>
      <w:r>
        <w:rPr>
          <w:rStyle w:val="2Char"/>
          <w:rFonts w:ascii="Times New Roman" w:eastAsia="黑体" w:hAnsi="Times New Roman" w:hint="eastAsia"/>
          <w:b w:val="0"/>
          <w:color w:val="auto"/>
          <w:highlight w:val="auto"/>
        </w:rPr>
        <w:t>三公”经费支出决算情况说明</w:t>
      </w:r>
      <w:bookmarkEnd w:id="38"/>
      <w:bookmarkEnd w:id="39"/>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0" w:name="_Toc15377216"/>
      <w:r>
        <w:rPr>
          <w:rFonts w:ascii="Times New Roman" w:eastAsia="楷体_GB2312" w:cs="楷体_GB2312" w:hAnsi="Times New Roman" w:hint="eastAsia"/>
          <w:b/>
          <w:color w:val="auto"/>
          <w:sz w:val="32"/>
          <w:szCs w:val="32"/>
          <w:highlight w:val="auto"/>
        </w:rPr>
        <w:t>（一）“三公”经费财政拨款支出决算总体情况说明</w:t>
      </w:r>
      <w:bookmarkEnd w:id="40"/>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年度“三公”经费财政拨款支出决算为</w:t>
      </w:r>
      <w:r>
        <w:rPr>
          <w:rFonts w:ascii="仿宋_GB2312" w:eastAsia="仿宋_GB2312" w:cs="仿宋_GB2312"/>
          <w:sz w:val="32"/>
          <w:szCs w:val="32"/>
        </w:rPr>
        <w:t>10.04</w:t>
      </w:r>
      <w:r>
        <w:rPr>
          <w:rFonts w:ascii="仿宋_GB2312" w:eastAsia="仿宋_GB2312" w:cs="仿宋_GB2312" w:hint="eastAsia"/>
          <w:color w:val="auto"/>
          <w:kern w:val="2"/>
          <w:sz w:val="32"/>
          <w:szCs w:val="32"/>
          <w:lang w:val="en-US" w:eastAsia="zh-CN" w:bidi="ar-SA"/>
          <w:highlight w:val="auto"/>
        </w:rPr>
        <w:t>万元，完成预算</w:t>
      </w:r>
      <w:r>
        <w:rPr>
          <w:rFonts w:ascii="仿宋_GB2312" w:eastAsia="仿宋_GB2312" w:cs="仿宋_GB2312"/>
          <w:color w:val="auto"/>
          <w:kern w:val="2"/>
          <w:sz w:val="32"/>
          <w:szCs w:val="32"/>
          <w:lang w:val="en-US" w:eastAsia="zh-CN" w:bidi="ar-SA"/>
          <w:highlight w:val="auto"/>
        </w:rPr>
        <w:t>99.6</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较上年度</w:t>
      </w:r>
      <w:r>
        <w:rPr>
          <w:rFonts w:ascii="Times New Roman" w:eastAsia="仿宋_GB2312" w:cs="仿宋_GB2312" w:hAnsi="Times New Roman"/>
          <w:color w:val="auto"/>
          <w:kern w:val="2"/>
          <w:sz w:val="32"/>
          <w:szCs w:val="32"/>
          <w:lang w:val="en-US" w:eastAsia="zh-CN" w:bidi="ar-SA"/>
          <w:highlight w:val="auto"/>
        </w:rPr>
        <w:t>减少</w:t>
      </w:r>
      <w:r>
        <w:rPr>
          <w:rFonts w:ascii="Times New Roman" w:eastAsia="仿宋_GB2312" w:cs="仿宋_GB2312" w:hAnsi="Times New Roman"/>
          <w:color w:val="auto"/>
          <w:kern w:val="2"/>
          <w:sz w:val="32"/>
          <w:szCs w:val="32"/>
          <w:lang w:val="en-US" w:eastAsia="zh-CN" w:bidi="ar-SA"/>
        </w:rPr>
        <w:t>65.5</w:t>
      </w:r>
      <w:r>
        <w:rPr>
          <w:rFonts w:ascii="Times New Roman" w:eastAsia="仿宋_GB2312" w:cs="仿宋_GB2312" w:hAnsi="Times New Roman" w:hint="eastAsia"/>
          <w:color w:val="auto"/>
          <w:kern w:val="2"/>
          <w:sz w:val="32"/>
          <w:szCs w:val="32"/>
          <w:lang w:val="en-US" w:eastAsia="zh-CN" w:bidi="ar-SA"/>
          <w:highlight w:val="auto"/>
        </w:rPr>
        <w:t>万元，</w:t>
      </w:r>
      <w:r>
        <w:rPr>
          <w:rFonts w:ascii="Times New Roman" w:eastAsia="仿宋_GB2312" w:cs="仿宋_GB2312" w:hAnsi="Times New Roman"/>
          <w:color w:val="auto"/>
          <w:kern w:val="2"/>
          <w:sz w:val="32"/>
          <w:szCs w:val="32"/>
          <w:lang w:val="en-US" w:eastAsia="zh-CN" w:bidi="ar-SA"/>
          <w:highlight w:val="auto"/>
        </w:rPr>
        <w:t>减少86.71</w:t>
      </w:r>
      <w:r>
        <w:rPr>
          <w:rFonts w:ascii="Times New Roman" w:eastAsia="仿宋_GB2312" w:cs="仿宋_GB2312" w:hAnsi="Times New Roman" w:hint="eastAsia"/>
          <w:color w:val="auto"/>
          <w:kern w:val="2"/>
          <w:sz w:val="32"/>
          <w:szCs w:val="32"/>
          <w:lang w:val="en-US" w:eastAsia="zh-CN" w:bidi="ar-SA"/>
          <w:highlight w:val="auto"/>
        </w:rPr>
        <w:t>%。决算数</w:t>
      </w:r>
      <w:r>
        <w:rPr>
          <w:rFonts w:ascii="Times New Roman" w:eastAsia="仿宋_GB2312" w:cs="仿宋_GB2312" w:hAnsi="Times New Roman"/>
          <w:color w:val="auto"/>
          <w:kern w:val="2"/>
          <w:sz w:val="32"/>
          <w:szCs w:val="32"/>
          <w:lang w:val="en-US" w:eastAsia="zh-CN" w:bidi="ar-SA"/>
          <w:highlight w:val="auto"/>
        </w:rPr>
        <w:t>小于</w:t>
      </w:r>
      <w:r>
        <w:rPr>
          <w:rFonts w:ascii="Times New Roman" w:eastAsia="仿宋_GB2312" w:cs="仿宋_GB2312" w:hAnsi="Times New Roman" w:hint="eastAsia"/>
          <w:color w:val="auto"/>
          <w:kern w:val="2"/>
          <w:sz w:val="32"/>
          <w:szCs w:val="32"/>
          <w:lang w:val="en-US" w:eastAsia="zh-CN" w:bidi="ar-SA"/>
          <w:highlight w:val="auto"/>
        </w:rPr>
        <w:t>预算数（或与预算数持平）的主要原因是</w:t>
      </w:r>
      <w:r>
        <w:rPr>
          <w:rFonts w:ascii="Times New Roman" w:eastAsia="仿宋_GB2312" w:cs="仿宋_GB2312" w:hAnsi="Times New Roman"/>
          <w:color w:val="auto"/>
          <w:kern w:val="2"/>
          <w:sz w:val="32"/>
          <w:szCs w:val="32"/>
          <w:lang w:val="en-US" w:eastAsia="zh-CN" w:bidi="ar-SA"/>
          <w:highlight w:val="auto"/>
        </w:rPr>
        <w:t>2024年新购入一台公务用车，25年无公车购入。</w:t>
      </w:r>
    </w:p>
    <w:p>
      <w:pPr>
        <w:spacing w:line="600" w:lineRule="exact"/>
        <w:ind w:left="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（注：上述“预算”口径为全年预算数，包括一般公共预算和政府性基金预算财政拨款支出决算情况）</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1" w:name="_Toc15377217"/>
      <w:r>
        <w:rPr>
          <w:rFonts w:ascii="Times New Roman" w:eastAsia="楷体_GB2312" w:cs="楷体_GB2312" w:hAnsi="Times New Roman" w:hint="eastAsia"/>
          <w:b/>
          <w:color w:val="auto"/>
          <w:sz w:val="32"/>
          <w:szCs w:val="32"/>
          <w:highlight w:val="auto"/>
        </w:rPr>
        <w:t>（二）“三公”经费财政拨款支出决算具体情况说明</w:t>
      </w:r>
      <w:bookmarkEnd w:id="41"/>
    </w:p>
    <w:p>
      <w:pPr>
        <w:spacing w:line="600" w:lineRule="exact"/>
        <w:ind w:firstLine="640"/>
        <w:rPr>
          <w:rFonts w:ascii="仿宋_GB2312" w:eastAsia="仿宋_GB2312" w:cs="仿宋_GB2312"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年度“三公”经费财政拨款支出决算中，因公出国（境）费支出决算</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w:t>
      </w:r>
      <w:r>
        <w:rPr>
          <w:rFonts w:ascii="仿宋_GB2312" w:eastAsia="仿宋_GB2312" w:cs="仿宋_GB2312"/>
          <w:color w:val="auto"/>
          <w:kern w:val="2"/>
          <w:sz w:val="32"/>
          <w:szCs w:val="32"/>
          <w:lang w:val="en-US" w:eastAsia="zh-CN" w:bidi="ar-SA"/>
          <w:highlight w:val="auto"/>
        </w:rPr>
        <w:t>0</w:t>
      </w:r>
      <w:r>
        <w:rPr>
          <w:rFonts w:ascii="仿宋_GB2312" w:eastAsia="仿宋_GB2312" w:cs="仿宋_GB2312" w:hint="eastAsia"/>
          <w:color w:val="auto"/>
          <w:kern w:val="2"/>
          <w:sz w:val="32"/>
          <w:szCs w:val="32"/>
          <w:lang w:val="en-US" w:eastAsia="zh-CN" w:bidi="ar-SA"/>
          <w:highlight w:val="auto"/>
        </w:rPr>
        <w:t>%；公务用车购置及运行维护费支出决算</w:t>
      </w:r>
      <w:r>
        <w:rPr>
          <w:rFonts w:ascii="仿宋_GB2312" w:eastAsia="仿宋_GB2312" w:cs="仿宋_GB2312"/>
          <w:sz w:val="32"/>
          <w:szCs w:val="32"/>
        </w:rPr>
        <w:t>10.04</w:t>
      </w:r>
      <w:r>
        <w:rPr>
          <w:rFonts w:ascii="仿宋_GB2312" w:eastAsia="仿宋_GB2312" w:cs="仿宋_GB2312" w:hint="eastAsia"/>
          <w:color w:val="auto"/>
          <w:kern w:val="2"/>
          <w:sz w:val="32"/>
          <w:szCs w:val="32"/>
          <w:lang w:val="en-US" w:eastAsia="zh-CN" w:bidi="ar-SA"/>
          <w:highlight w:val="auto"/>
        </w:rPr>
        <w:t>万元，占</w:t>
      </w:r>
      <w:r>
        <w:rPr>
          <w:rFonts w:ascii="仿宋_GB2312" w:eastAsia="仿宋_GB2312" w:cs="仿宋_GB2312"/>
          <w:color w:val="auto"/>
          <w:kern w:val="2"/>
          <w:sz w:val="32"/>
          <w:szCs w:val="32"/>
          <w:lang w:val="en-US" w:eastAsia="zh-CN" w:bidi="ar-SA"/>
          <w:highlight w:val="auto"/>
        </w:rPr>
        <w:t>98</w:t>
      </w:r>
      <w:r>
        <w:rPr>
          <w:rFonts w:ascii="仿宋_GB2312" w:eastAsia="仿宋_GB2312" w:cs="仿宋_GB2312" w:hint="eastAsia"/>
          <w:color w:val="auto"/>
          <w:kern w:val="2"/>
          <w:sz w:val="32"/>
          <w:szCs w:val="32"/>
          <w:lang w:val="en-US" w:eastAsia="zh-CN" w:bidi="ar-SA"/>
          <w:highlight w:val="auto"/>
        </w:rPr>
        <w:t>%；公务接待费支出决算</w:t>
      </w:r>
      <w:r>
        <w:rPr>
          <w:rFonts w:ascii="仿宋_GB2312" w:eastAsia="仿宋_GB2312" w:cs="仿宋_GB2312"/>
          <w:sz w:val="32"/>
          <w:szCs w:val="32"/>
        </w:rPr>
        <w:t>0.21</w:t>
      </w:r>
      <w:r>
        <w:rPr>
          <w:rFonts w:ascii="仿宋_GB2312" w:eastAsia="仿宋_GB2312" w:cs="仿宋_GB2312" w:hint="eastAsia"/>
          <w:color w:val="auto"/>
          <w:kern w:val="2"/>
          <w:sz w:val="32"/>
          <w:szCs w:val="32"/>
          <w:lang w:val="en-US" w:eastAsia="zh-CN" w:bidi="ar-SA"/>
          <w:highlight w:val="auto"/>
        </w:rPr>
        <w:t>万元，占</w:t>
      </w:r>
      <w:r>
        <w:rPr>
          <w:rFonts w:ascii="仿宋_GB2312" w:eastAsia="仿宋_GB2312" w:cs="仿宋_GB2312"/>
          <w:color w:val="auto"/>
          <w:kern w:val="2"/>
          <w:sz w:val="32"/>
          <w:szCs w:val="32"/>
          <w:lang w:val="en-US" w:eastAsia="zh-CN" w:bidi="ar-SA"/>
          <w:highlight w:val="auto"/>
        </w:rPr>
        <w:t>2</w:t>
      </w:r>
      <w:r>
        <w:rPr>
          <w:rFonts w:ascii="仿宋_GB2312" w:eastAsia="仿宋_GB2312" w:cs="仿宋_GB2312" w:hint="eastAsia"/>
          <w:color w:val="auto"/>
          <w:kern w:val="2"/>
          <w:sz w:val="32"/>
          <w:szCs w:val="32"/>
          <w:lang w:val="en-US" w:eastAsia="zh-CN" w:bidi="ar-SA"/>
          <w:highlight w:val="auto"/>
        </w:rPr>
        <w:t>%。具体情况如下：</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（图7：“三公”经费财政拨款支出结构）（饼状图）</w:t>
      </w:r>
    </w:p>
    <w:p>
      <w:pPr>
        <w:pStyle w:val="15"/>
      </w:pPr>
    </w:p>
    <w:p>
      <w:pPr>
        <w:pStyle w:val="17"/>
      </w:pPr>
    </w:p>
    <w:p>
      <w:pPr>
        <w:pStyle w:val="17"/>
      </w:pPr>
      <w:r>
        <w:drawing>
          <wp:inline distT="0" distB="0" distL="85723" distR="85723">
            <wp:extent cx="4571929" cy="2743157"/>
            <wp:effectExtent l="0" t="0" r="1" b="1"/>
            <wp:docPr id="19" name="图片"/>
            <wp:cNvGraphicFramePr>
              <a:graphicFrameLocks noChangeAspect="1"/>
            </wp:cNvGraphicFramePr>
            <a:graphic>
              <a:graphicData uri="http://schemas.openxmlformats.org/drawingml/2006/picture">
                <pic:pic>
                  <pic:nvPicPr>
                    <pic:cNvPr id="21" name="图片 21"/>
                    <pic:cNvPicPr/>
                  </pic:nvPicPr>
                  <pic:blipFill>
                    <a:blip r:embed="rId10"/>
                    <a:stretch>
                      <a:fillRect/>
                    </a:stretch>
                  </pic:blipFill>
                  <pic:spPr>
                    <a:xfrm rot="0">
                      <a:off x="0" y="0"/>
                      <a:ext cx="4571929" cy="2743157"/>
                    </a:xfrm>
                    <a:prstGeom prst="rect"/>
                    <a:noFill/>
                    <a:ln w="9525" cmpd="sng" cap="flat">
                      <a:noFill/>
                      <a:prstDash val="solid"/>
                      <a:miter/>
                    </a:ln>
                  </pic:spPr>
                </pic:pic>
              </a:graphicData>
            </a:graphic>
          </wp:inline>
        </w:drawing>
      </w:r>
    </w:p>
    <w:p>
      <w:pPr>
        <w:pStyle w:val="17"/>
      </w:pPr>
    </w:p>
    <w:p>
      <w:pPr>
        <w:pStyle w:val="17"/>
        <w:rPr>
          <w:rFonts w:hint="eastAsia"/>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1.因公出国（境）经费支出</w:t>
      </w:r>
      <w:r>
        <w:rPr>
          <w:rFonts w:ascii="Times New Roman" w:eastAsia="仿宋_GB2312" w:cs="仿宋_GB2312" w:hAnsi="Times New Roman"/>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ascii="Times New Roman" w:eastAsia="仿宋_GB2312" w:cs="仿宋_GB2312" w:hAnsi="Times New Roman"/>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全年安排因公出国（境）团</w:t>
      </w:r>
      <w:r>
        <w:rPr>
          <w:rFonts w:ascii="仿宋_GB2312" w:eastAsia="仿宋_GB2312" w:cs="仿宋_GB2312" w:hint="eastAsia"/>
          <w:color w:val="auto"/>
          <w:kern w:val="2"/>
          <w:sz w:val="32"/>
          <w:szCs w:val="32"/>
          <w:lang w:val="en-US" w:eastAsia="zh-CN" w:bidi="ar-SA"/>
          <w:highlight w:val="auto"/>
        </w:rPr>
        <w:t>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人</w:t>
      </w:r>
      <w:r>
        <w:rPr>
          <w:rFonts w:ascii="Times New Roman" w:eastAsia="仿宋_GB2312" w:cs="仿宋_GB2312" w:hAnsi="Times New Roman" w:hint="eastAsia"/>
          <w:color w:val="auto"/>
          <w:kern w:val="2"/>
          <w:sz w:val="32"/>
          <w:szCs w:val="32"/>
          <w:lang w:val="en-US" w:eastAsia="zh-CN" w:bidi="ar-SA"/>
          <w:highlight w:val="auto"/>
        </w:rPr>
        <w:t>。因公出国（境）支出决算比202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年增加/减少</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开支内容包括：……（团组名称、出访地点、取得成效等）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ascii="仿宋_GB2312" w:eastAsia="仿宋_GB2312" w:cs="仿宋_GB2312"/>
          <w:b/>
          <w:bCs/>
          <w:color w:val="auto"/>
          <w:kern w:val="2"/>
          <w:sz w:val="32"/>
          <w:szCs w:val="32"/>
          <w:lang w:val="en-US" w:eastAsia="zh-CN" w:bidi="ar-SA"/>
          <w:highlight w:val="auto"/>
        </w:rPr>
        <w:t>10.04</w:t>
      </w:r>
      <w:r>
        <w:rPr>
          <w:rFonts w:ascii="仿宋_GB2312" w:eastAsia="仿宋_GB2312" w:cs="仿宋_GB2312" w:hint="eastAsia"/>
          <w:b/>
          <w:bCs/>
          <w:color w:val="auto"/>
          <w:kern w:val="2"/>
          <w:sz w:val="32"/>
          <w:szCs w:val="32"/>
          <w:lang w:val="en-US" w:eastAsia="zh-CN" w:bidi="ar-SA"/>
          <w:highlight w:val="auto"/>
        </w:rPr>
        <w:t>万</w:t>
      </w:r>
      <w:r>
        <w:rPr>
          <w:rFonts w:ascii="Times New Roman" w:eastAsia="仿宋_GB2312" w:cs="仿宋_GB2312" w:hAnsi="Times New Roman" w:hint="eastAsia"/>
          <w:b/>
          <w:bCs/>
          <w:color w:val="auto"/>
          <w:kern w:val="2"/>
          <w:sz w:val="32"/>
          <w:szCs w:val="32"/>
          <w:lang w:val="en-US" w:eastAsia="zh-CN" w:bidi="ar-SA"/>
          <w:highlight w:val="auto"/>
        </w:rPr>
        <w:t>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完成预算</w:t>
      </w:r>
      <w:r>
        <w:rPr>
          <w:rFonts w:ascii="Times New Roman" w:eastAsia="仿宋_GB2312" w:cs="仿宋_GB2312" w:hAnsi="Times New Roman"/>
          <w:b/>
          <w:bCs/>
          <w:color w:val="auto"/>
          <w:kern w:val="2"/>
          <w:sz w:val="32"/>
          <w:szCs w:val="32"/>
          <w:lang w:val="en-US" w:eastAsia="zh-CN" w:bidi="ar-SA"/>
          <w:highlight w:val="auto"/>
        </w:rPr>
        <w:t>99.6</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w:t>
      </w:r>
      <w:r>
        <w:rPr>
          <w:rFonts w:ascii="Times New Roman" w:eastAsia="仿宋_GB2312" w:cs="仿宋_GB2312" w:hAnsi="Times New Roman"/>
          <w:color w:val="auto"/>
          <w:kern w:val="2"/>
          <w:sz w:val="32"/>
          <w:szCs w:val="32"/>
          <w:lang w:val="en-US" w:eastAsia="zh-CN" w:bidi="ar-SA"/>
          <w:highlight w:val="auto"/>
        </w:rPr>
        <w:t>减少65.5</w:t>
      </w:r>
      <w:r>
        <w:rPr>
          <w:rFonts w:ascii="Times New Roman" w:eastAsia="仿宋_GB2312" w:cs="仿宋_GB2312" w:hAnsi="Times New Roman" w:hint="eastAsia"/>
          <w:color w:val="auto"/>
          <w:kern w:val="2"/>
          <w:sz w:val="32"/>
          <w:szCs w:val="32"/>
          <w:lang w:val="en-US" w:eastAsia="zh-CN" w:bidi="ar-SA"/>
          <w:highlight w:val="auto"/>
        </w:rPr>
        <w:t>万元，</w:t>
      </w:r>
      <w:r>
        <w:rPr>
          <w:rFonts w:ascii="Times New Roman" w:eastAsia="仿宋_GB2312" w:cs="仿宋_GB2312" w:hAnsi="Times New Roman"/>
          <w:color w:val="auto"/>
          <w:kern w:val="2"/>
          <w:sz w:val="32"/>
          <w:szCs w:val="32"/>
          <w:lang w:val="en-US" w:eastAsia="zh-CN" w:bidi="ar-SA"/>
          <w:highlight w:val="auto"/>
        </w:rPr>
        <w:t>减少86.71%</w:t>
      </w:r>
      <w:r>
        <w:rPr>
          <w:rFonts w:ascii="Times New Roman" w:eastAsia="仿宋_GB2312" w:cs="仿宋_GB2312" w:hAnsi="Times New Roman" w:hint="eastAsia"/>
          <w:color w:val="auto"/>
          <w:kern w:val="2"/>
          <w:sz w:val="32"/>
          <w:szCs w:val="32"/>
          <w:lang w:val="en-US" w:eastAsia="zh-CN" w:bidi="ar-SA"/>
          <w:highlight w:val="auto"/>
        </w:rPr>
        <w:t>。主要原因是</w:t>
      </w:r>
      <w:r>
        <w:rPr>
          <w:rFonts w:ascii="Times New Roman" w:eastAsia="仿宋_GB2312" w:cs="仿宋_GB2312" w:hAnsi="Times New Roman"/>
          <w:color w:val="auto"/>
          <w:kern w:val="2"/>
          <w:sz w:val="32"/>
          <w:szCs w:val="32"/>
          <w:lang w:val="en-US" w:eastAsia="zh-CN" w:bidi="ar-SA"/>
          <w:highlight w:val="auto"/>
        </w:rPr>
        <w:t>2024年新购入一台公务用车</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其中：公务用车购置支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sz w:val="32"/>
          <w:szCs w:val="32"/>
        </w:rPr>
        <w:t>0</w:t>
      </w:r>
      <w:r>
        <w:rPr>
          <w:rFonts w:ascii="Times New Roman" w:eastAsia="仿宋_GB2312" w:cs="仿宋_GB2312" w:hAnsi="Times New Roman" w:hint="eastAsia"/>
          <w:color w:val="auto"/>
          <w:kern w:val="2"/>
          <w:sz w:val="32"/>
          <w:szCs w:val="32"/>
          <w:lang w:val="en-US" w:eastAsia="zh-CN" w:bidi="ar-SA"/>
          <w:highlight w:val="auto"/>
        </w:rPr>
        <w:t>万元。全年按规定更新购置公务用车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辆，其中：轿车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万元，越野车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万元，载客汽车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万元，主要用于……。截至202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年12月31日，单位共有公务用车</w:t>
      </w:r>
      <w:r>
        <w:rPr>
          <w:rFonts w:ascii="Times New Roman" w:eastAsia="仿宋_GB2312" w:cs="仿宋_GB2312" w:hAnsi="Times New Roman"/>
          <w:color w:val="auto"/>
          <w:kern w:val="2"/>
          <w:sz w:val="32"/>
          <w:szCs w:val="32"/>
          <w:lang w:val="en-US" w:eastAsia="zh-CN" w:bidi="ar-SA"/>
          <w:highlight w:val="auto"/>
        </w:rPr>
        <w:t>3</w:t>
      </w:r>
      <w:r>
        <w:rPr>
          <w:rFonts w:ascii="Times New Roman" w:eastAsia="仿宋_GB2312" w:cs="仿宋_GB2312" w:hAnsi="Times New Roman" w:hint="eastAsia"/>
          <w:color w:val="auto"/>
          <w:kern w:val="2"/>
          <w:sz w:val="32"/>
          <w:szCs w:val="32"/>
          <w:lang w:val="en-US" w:eastAsia="zh-CN" w:bidi="ar-SA"/>
          <w:highlight w:val="auto"/>
        </w:rPr>
        <w:t>辆，其中：轿车</w:t>
      </w:r>
      <w:r>
        <w:rPr>
          <w:rFonts w:ascii="Times New Roman" w:eastAsia="仿宋_GB2312" w:cs="仿宋_GB2312" w:hAnsi="Times New Roman"/>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辆、越野车</w:t>
      </w:r>
      <w:r>
        <w:rPr>
          <w:rFonts w:ascii="Times New Roman" w:eastAsia="仿宋_GB2312" w:cs="仿宋_GB2312" w:hAnsi="Times New Roman"/>
          <w:color w:val="auto"/>
          <w:kern w:val="2"/>
          <w:sz w:val="32"/>
          <w:szCs w:val="32"/>
          <w:lang w:val="en-US" w:eastAsia="zh-CN" w:bidi="ar-SA"/>
          <w:highlight w:val="auto"/>
        </w:rPr>
        <w:t>2</w:t>
      </w:r>
      <w:r>
        <w:rPr>
          <w:rFonts w:ascii="Times New Roman" w:eastAsia="仿宋_GB2312" w:cs="仿宋_GB2312" w:hAnsi="Times New Roman" w:hint="eastAsia"/>
          <w:color w:val="auto"/>
          <w:kern w:val="2"/>
          <w:sz w:val="32"/>
          <w:szCs w:val="32"/>
          <w:lang w:val="en-US" w:eastAsia="zh-CN" w:bidi="ar-SA"/>
          <w:highlight w:val="auto"/>
        </w:rPr>
        <w:t>辆、载客汽车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公务用车运行维护费支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rPr>
        <w:t>10.0</w:t>
      </w:r>
      <w:r>
        <w:rPr>
          <w:rFonts w:ascii="仿宋_GB2312" w:eastAsia="仿宋_GB2312" w:cs="仿宋_GB2312"/>
          <w:sz w:val="32"/>
          <w:szCs w:val="32"/>
        </w:rPr>
        <w:t>4</w:t>
      </w:r>
      <w:r>
        <w:rPr>
          <w:rFonts w:ascii="Times New Roman" w:eastAsia="仿宋_GB2312" w:cs="仿宋_GB2312" w:hAnsi="Times New Roman" w:hint="eastAsia"/>
          <w:color w:val="auto"/>
          <w:kern w:val="2"/>
          <w:sz w:val="32"/>
          <w:szCs w:val="32"/>
          <w:lang w:val="en-US" w:eastAsia="zh-CN" w:bidi="ar-SA"/>
          <w:highlight w:val="auto"/>
        </w:rPr>
        <w:t>万元。主要用于</w:t>
      </w:r>
      <w:r>
        <w:rPr>
          <w:rFonts w:ascii="Times New Roman" w:eastAsia="仿宋_GB2312" w:cs="仿宋_GB2312" w:hAnsi="Times New Roman"/>
          <w:color w:val="auto"/>
          <w:kern w:val="2"/>
          <w:sz w:val="32"/>
          <w:szCs w:val="32"/>
          <w:lang w:val="en-US" w:eastAsia="zh-CN" w:bidi="ar-SA"/>
          <w:highlight w:val="auto"/>
        </w:rPr>
        <w:t>外出会议、参加各类活动、家访等日常活动</w:t>
      </w:r>
      <w:r>
        <w:rPr>
          <w:rFonts w:ascii="Times New Roman" w:eastAsia="仿宋_GB2312" w:cs="仿宋_GB2312" w:hAnsi="Times New Roman" w:hint="eastAsia"/>
          <w:color w:val="auto"/>
          <w:kern w:val="2"/>
          <w:sz w:val="32"/>
          <w:szCs w:val="32"/>
          <w:lang w:val="en-US" w:eastAsia="zh-CN" w:bidi="ar-SA"/>
          <w:highlight w:val="auto"/>
        </w:rPr>
        <w:t>所需的公务用车燃料费、维修费、过路过桥费、保险费等支出。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r>
        <w:rPr>
          <w:rFonts w:ascii="仿宋_GB2312" w:eastAsia="仿宋_GB2312" w:cs="仿宋_GB2312"/>
          <w:b/>
          <w:bCs/>
          <w:color w:val="auto"/>
          <w:kern w:val="2"/>
          <w:sz w:val="32"/>
          <w:szCs w:val="32"/>
          <w:lang w:val="en-US" w:eastAsia="zh-CN" w:bidi="ar-SA"/>
          <w:highlight w:val="auto"/>
        </w:rPr>
        <w:t>0.21</w:t>
      </w:r>
      <w:r>
        <w:rPr>
          <w:rFonts w:ascii="仿宋_GB2312" w:eastAsia="仿宋_GB2312" w:cs="仿宋_GB2312" w:hint="eastAsia"/>
          <w:b/>
          <w:bCs/>
          <w:color w:val="auto"/>
          <w:kern w:val="2"/>
          <w:sz w:val="32"/>
          <w:szCs w:val="32"/>
          <w:lang w:val="en-US" w:eastAsia="zh-CN" w:bidi="ar-SA"/>
          <w:highlight w:val="auto"/>
        </w:rPr>
        <w:t>万</w:t>
      </w:r>
      <w:r>
        <w:rPr>
          <w:rFonts w:ascii="Times New Roman" w:eastAsia="仿宋_GB2312" w:cs="仿宋_GB2312" w:hAnsi="Times New Roman" w:hint="eastAsia"/>
          <w:b/>
          <w:bCs/>
          <w:color w:val="auto"/>
          <w:kern w:val="2"/>
          <w:sz w:val="32"/>
          <w:szCs w:val="32"/>
          <w:lang w:val="en-US" w:eastAsia="zh-CN" w:bidi="ar-SA"/>
          <w:highlight w:val="auto"/>
        </w:rPr>
        <w:t>元，完成预算</w:t>
      </w:r>
      <w:r>
        <w:rPr>
          <w:rFonts w:ascii="Times New Roman" w:eastAsia="仿宋_GB2312" w:cs="仿宋_GB2312" w:hAnsi="Times New Roman"/>
          <w:b/>
          <w:bCs/>
          <w:color w:val="auto"/>
          <w:kern w:val="2"/>
          <w:sz w:val="32"/>
          <w:szCs w:val="32"/>
          <w:lang w:val="en-US" w:eastAsia="zh-CN" w:bidi="ar-SA"/>
          <w:highlight w:val="auto"/>
        </w:rPr>
        <w:t>4.8</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公务接待费支出决算比202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w:t>
      </w:r>
      <w:r>
        <w:rPr>
          <w:rFonts w:ascii="Times New Roman" w:eastAsia="仿宋_GB2312" w:cs="仿宋_GB2312" w:hAnsi="Times New Roman"/>
          <w:color w:val="auto"/>
          <w:kern w:val="2"/>
          <w:sz w:val="32"/>
          <w:szCs w:val="32"/>
          <w:lang w:val="en-US" w:eastAsia="zh-CN" w:bidi="ar-SA"/>
          <w:highlight w:val="auto"/>
        </w:rPr>
        <w:t>减少0.16</w:t>
      </w:r>
      <w:r>
        <w:rPr>
          <w:rFonts w:ascii="Times New Roman" w:eastAsia="仿宋_GB2312" w:cs="仿宋_GB2312" w:hAnsi="Times New Roman" w:hint="eastAsia"/>
          <w:color w:val="auto"/>
          <w:kern w:val="2"/>
          <w:sz w:val="32"/>
          <w:szCs w:val="32"/>
          <w:lang w:val="en-US" w:eastAsia="zh-CN" w:bidi="ar-SA"/>
          <w:highlight w:val="auto"/>
        </w:rPr>
        <w:t>万元，下降</w:t>
      </w:r>
      <w:r>
        <w:rPr>
          <w:rFonts w:ascii="Times New Roman" w:eastAsia="仿宋_GB2312" w:cs="仿宋_GB2312" w:hAnsi="Times New Roman"/>
          <w:color w:val="auto"/>
          <w:kern w:val="2"/>
          <w:sz w:val="32"/>
          <w:szCs w:val="32"/>
          <w:lang w:val="en-US" w:eastAsia="zh-CN" w:bidi="ar-SA"/>
          <w:highlight w:val="auto"/>
        </w:rPr>
        <w:t>43.24</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bdr w:val="none" w:sz="0" w:space="0" w:color="auto"/>
          <w:shd w:val="clear" w:color="auto" w:fill="auto"/>
          <w:lang w:val="en-US" w:eastAsia="zh-CN" w:bidi="ar-SA"/>
          <w:highlight w:val="auto"/>
        </w:rPr>
        <w:t>主要原因是</w:t>
      </w:r>
      <w:r>
        <w:rPr>
          <w:rFonts w:ascii="Times New Roman" w:eastAsia="仿宋_GB2312" w:cs="仿宋_GB2312" w:hAnsi="Times New Roman"/>
          <w:color w:val="auto"/>
          <w:kern w:val="2"/>
          <w:sz w:val="32"/>
          <w:szCs w:val="32"/>
          <w:bdr w:val="none" w:sz="0" w:space="0" w:color="auto"/>
          <w:shd w:val="clear" w:color="auto" w:fill="auto"/>
          <w:lang w:val="en-US" w:eastAsia="zh-CN" w:bidi="ar-SA"/>
          <w:highlight w:val="auto"/>
        </w:rPr>
        <w:t>部分原本需要实地开展的交流活动，出于提升效</w:t>
      </w:r>
      <w:r>
        <w:rPr>
          <w:rFonts w:ascii="Times New Roman" w:eastAsia="仿宋_GB2312" w:cs="仿宋_GB2312" w:hAnsi="Times New Roman"/>
          <w:color w:val="auto"/>
          <w:kern w:val="2"/>
          <w:sz w:val="32"/>
          <w:szCs w:val="32"/>
          <w:lang w:val="en-US" w:eastAsia="zh-CN" w:bidi="ar-SA"/>
          <w:highlight w:val="auto"/>
        </w:rPr>
        <w:t>率、降低成本、灵活安排等多方面考虑，改为线上形式，极大减少了线下接待频次。</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国内公务接待支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sz w:val="32"/>
          <w:szCs w:val="32"/>
        </w:rPr>
        <w:t>0.21</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元，主要用于</w:t>
      </w:r>
      <w:r>
        <w:rPr>
          <w:rFonts w:eastAsia="仿宋_GB2312" w:cs="仿宋_GB2312"/>
          <w:sz w:val="32"/>
          <w:szCs w:val="32"/>
        </w:rPr>
        <w:t>开展2025年阿坝州高中思政优质课堂教学评选活动专家领导接待费等</w:t>
      </w:r>
      <w:r>
        <w:rPr>
          <w:rFonts w:ascii="Times New Roman" w:eastAsia="仿宋_GB2312" w:cs="仿宋_GB2312" w:hAnsi="Times New Roman" w:hint="eastAsia"/>
          <w:color w:val="auto"/>
          <w:kern w:val="2"/>
          <w:sz w:val="32"/>
          <w:szCs w:val="32"/>
          <w:lang w:val="en-US" w:eastAsia="zh-CN" w:bidi="ar-SA"/>
          <w:highlight w:val="auto"/>
        </w:rPr>
        <w:t>。国内公务接</w:t>
      </w:r>
      <w:r>
        <w:rPr>
          <w:rFonts w:ascii="仿宋_GB2312" w:eastAsia="仿宋_GB2312" w:cs="仿宋_GB2312" w:hint="eastAsia"/>
          <w:color w:val="auto"/>
          <w:kern w:val="2"/>
          <w:sz w:val="32"/>
          <w:szCs w:val="32"/>
          <w:lang w:val="en-US" w:eastAsia="zh-CN" w:bidi="ar-SA"/>
          <w:highlight w:val="auto"/>
        </w:rPr>
        <w:t>待</w:t>
      </w:r>
      <w:r>
        <w:rPr>
          <w:rFonts w:ascii="仿宋_GB2312" w:eastAsia="仿宋_GB2312" w:cs="仿宋_GB2312"/>
          <w:sz w:val="32"/>
          <w:szCs w:val="32"/>
        </w:rPr>
        <w:t>1</w:t>
      </w:r>
      <w:r>
        <w:rPr>
          <w:rFonts w:ascii="仿宋_GB2312" w:eastAsia="仿宋_GB2312" w:cs="仿宋_GB2312" w:hint="eastAsia"/>
          <w:color w:val="auto"/>
          <w:kern w:val="2"/>
          <w:sz w:val="32"/>
          <w:szCs w:val="32"/>
          <w:lang w:val="en-US" w:eastAsia="zh-CN" w:bidi="ar-SA"/>
          <w:highlight w:val="auto"/>
        </w:rPr>
        <w:t>批次，</w:t>
      </w:r>
      <w:r>
        <w:rPr>
          <w:rFonts w:ascii="仿宋_GB2312" w:eastAsia="仿宋_GB2312" w:cs="仿宋_GB2312"/>
          <w:sz w:val="32"/>
          <w:szCs w:val="32"/>
        </w:rPr>
        <w:t>25</w:t>
      </w:r>
      <w:r>
        <w:rPr>
          <w:rFonts w:ascii="Times New Roman" w:eastAsia="仿宋_GB2312" w:cs="仿宋_GB2312" w:hAnsi="Times New Roman" w:hint="eastAsia"/>
          <w:color w:val="auto"/>
          <w:kern w:val="2"/>
          <w:sz w:val="32"/>
          <w:szCs w:val="32"/>
          <w:lang w:val="en-US" w:eastAsia="zh-CN" w:bidi="ar-SA"/>
          <w:highlight w:val="auto"/>
        </w:rPr>
        <w:t>人次（不包括陪同人员），共计支出</w:t>
      </w:r>
      <w:r>
        <w:rPr>
          <w:rFonts w:ascii="Times New Roman" w:eastAsia="仿宋_GB2312" w:cs="仿宋_GB2312" w:hAnsi="Times New Roman"/>
          <w:color w:val="auto"/>
          <w:kern w:val="2"/>
          <w:sz w:val="32"/>
          <w:szCs w:val="32"/>
          <w:lang w:val="en-US" w:eastAsia="zh-CN" w:bidi="ar-SA"/>
          <w:highlight w:val="auto"/>
        </w:rPr>
        <w:t>0.37</w:t>
      </w:r>
      <w:r>
        <w:rPr>
          <w:rFonts w:ascii="Times New Roman" w:eastAsia="仿宋_GB2312" w:cs="仿宋_GB2312" w:hAnsi="Times New Roman" w:hint="eastAsia"/>
          <w:color w:val="auto"/>
          <w:kern w:val="2"/>
          <w:sz w:val="32"/>
          <w:szCs w:val="32"/>
          <w:lang w:val="en-US" w:eastAsia="zh-CN" w:bidi="ar-SA"/>
          <w:highlight w:val="auto"/>
        </w:rPr>
        <w:t>万元，具体内容包括：</w:t>
      </w:r>
      <w:r>
        <w:rPr>
          <w:rFonts w:eastAsia="仿宋_GB2312" w:cs="仿宋_GB2312"/>
          <w:sz w:val="32"/>
          <w:szCs w:val="32"/>
        </w:rPr>
        <w:t>思政优质课堂教学评选活动</w:t>
      </w:r>
      <w:r>
        <w:rPr>
          <w:rFonts w:ascii="Times New Roman" w:eastAsia="仿宋_GB2312" w:cs="仿宋_GB2312" w:hAnsi="Times New Roman"/>
          <w:color w:val="auto"/>
          <w:kern w:val="2"/>
          <w:sz w:val="32"/>
          <w:szCs w:val="32"/>
          <w:lang w:val="en-US" w:eastAsia="zh-CN" w:bidi="ar-SA"/>
          <w:highlight w:val="auto"/>
        </w:rPr>
        <w:t>0.21万元</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外事接待支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万元，主要用于</w:t>
      </w:r>
      <w:r>
        <w:rPr>
          <w:rFonts w:ascii="仿宋_GB2312" w:eastAsia="仿宋_GB2312" w:cs="仿宋_GB2312"/>
          <w:color w:val="auto"/>
          <w:kern w:val="2"/>
          <w:sz w:val="32"/>
          <w:szCs w:val="32"/>
          <w:lang w:val="en-US" w:eastAsia="zh-CN" w:bidi="ar-SA"/>
          <w:highlight w:val="auto"/>
        </w:rPr>
        <w:t>无</w:t>
      </w:r>
      <w:r>
        <w:rPr>
          <w:rFonts w:ascii="仿宋_GB2312" w:eastAsia="仿宋_GB2312" w:cs="仿宋_GB2312" w:hint="eastAsia"/>
          <w:color w:val="auto"/>
          <w:kern w:val="2"/>
          <w:sz w:val="32"/>
          <w:szCs w:val="32"/>
          <w:lang w:val="en-US" w:eastAsia="zh-CN" w:bidi="ar-SA"/>
          <w:highlight w:val="auto"/>
        </w:rPr>
        <w:t>（具体项目）。外事接待</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批次，</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人次（不包括陪同人员），共计支出</w:t>
      </w:r>
      <w:r>
        <w:rPr>
          <w:rFonts w:ascii="仿宋_GB2312" w:eastAsia="仿宋_GB2312" w:cs="仿宋_GB2312"/>
          <w:color w:val="auto"/>
          <w:kern w:val="2"/>
          <w:sz w:val="32"/>
          <w:szCs w:val="32"/>
          <w:lang w:val="en-US" w:eastAsia="zh-CN" w:bidi="ar-SA"/>
          <w:highlight w:val="auto"/>
        </w:rPr>
        <w:t>0</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42" w:name="_Toc15377218"/>
      <w:bookmarkStart w:id="43" w:name="_Toc15396610"/>
    </w:p>
    <w:p>
      <w:pPr>
        <w:spacing w:line="600" w:lineRule="exact"/>
        <w:ind w:firstLine="640"/>
        <w:outlineLvl w:val="1"/>
        <w:rPr>
          <w:rStyle w:val="2Char"/>
          <w:rFonts w:ascii="Times New Roman" w:eastAsia="黑体" w:hAnsi="Times New Roman"/>
          <w:color w:val="auto"/>
          <w:highlight w:val="auto"/>
        </w:rPr>
      </w:pPr>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42"/>
      <w:bookmarkEnd w:id="43"/>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年度政府性基金预算财政拨款支出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。与202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年度相比，政府性基金预算财政拨款支出增加/减少</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%。主要变动原因是</w:t>
      </w:r>
      <w:r>
        <w:rPr>
          <w:rFonts w:ascii="Times New Roman" w:eastAsia="仿宋_GB2312" w:cs="仿宋_GB2312" w:hAnsi="Times New Roman"/>
          <w:color w:val="auto"/>
          <w:kern w:val="2"/>
          <w:sz w:val="32"/>
          <w:szCs w:val="32"/>
          <w:lang w:val="en-US" w:eastAsia="zh-CN" w:bidi="ar-SA"/>
          <w:highlight w:val="auto"/>
        </w:rPr>
        <w:t>无</w:t>
      </w:r>
      <w:r>
        <w:rPr>
          <w:rFonts w:ascii="Times New Roman" w:eastAsia="仿宋_GB2312" w:cs="仿宋_GB2312" w:hAnsi="Times New Roman" w:hint="eastAsia"/>
          <w:b/>
          <w:bCs/>
          <w:color w:val="auto"/>
          <w:kern w:val="2"/>
          <w:sz w:val="32"/>
          <w:szCs w:val="32"/>
          <w:lang w:val="en-US" w:eastAsia="zh-CN" w:bidi="ar-SA"/>
          <w:highlight w:val="auto"/>
        </w:rPr>
        <w:t>（注：支出数与上年持平可以不写原因）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left="630"/>
        <w:outlineLvl w:val="1"/>
        <w:rPr>
          <w:rStyle w:val="2Char"/>
          <w:rFonts w:ascii="Times New Roman" w:eastAsia="黑体" w:hAnsi="Times New Roman"/>
          <w:b w:val="0"/>
          <w:color w:val="auto"/>
          <w:highlight w:val="auto"/>
        </w:rPr>
      </w:pPr>
      <w:bookmarkStart w:id="44" w:name="_Toc15396611"/>
      <w:bookmarkStart w:id="45" w:name="_Toc15377219"/>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44"/>
      <w:bookmarkEnd w:id="45"/>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年度国有资本经营预算财政拨款支出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。与202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年度相比，国有资本经营预算财政拨款支出增加/减少</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%。主要变动原因是</w:t>
      </w:r>
      <w:r>
        <w:rPr>
          <w:rFonts w:ascii="Times New Roman" w:eastAsia="仿宋_GB2312" w:cs="仿宋_GB2312" w:hAnsi="Times New Roman"/>
          <w:color w:val="auto"/>
          <w:kern w:val="2"/>
          <w:sz w:val="32"/>
          <w:szCs w:val="32"/>
          <w:lang w:val="en-US" w:eastAsia="zh-CN" w:bidi="ar-SA"/>
          <w:highlight w:val="auto"/>
        </w:rPr>
        <w:t>无</w:t>
      </w:r>
      <w:r>
        <w:rPr>
          <w:rFonts w:ascii="Times New Roman" w:eastAsia="仿宋_GB2312" w:cs="仿宋_GB2312" w:hAnsi="Times New Roman" w:hint="eastAsia"/>
          <w:b/>
          <w:bCs/>
          <w:color w:val="auto"/>
          <w:kern w:val="2"/>
          <w:sz w:val="32"/>
          <w:szCs w:val="32"/>
          <w:lang w:val="en-US" w:eastAsia="zh-CN" w:bidi="ar-SA"/>
          <w:highlight w:val="auto"/>
        </w:rPr>
        <w:t>（注：支出数与上年持平可以不写原因）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left="630"/>
        <w:outlineLvl w:val="1"/>
        <w:rPr>
          <w:rStyle w:val="2Char"/>
          <w:rFonts w:ascii="Times New Roman" w:eastAsia="黑体" w:hAnsi="Times New Roman" w:hint="eastAsia"/>
          <w:b w:val="0"/>
          <w:color w:val="auto"/>
          <w:highlight w:val="auto"/>
        </w:rPr>
      </w:pPr>
      <w:bookmarkStart w:id="46" w:name="_Toc15396612"/>
      <w:bookmarkStart w:id="47" w:name="_Toc15377221"/>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46"/>
      <w:bookmarkEnd w:id="47"/>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8" w:name="_Toc15377222"/>
      <w:r>
        <w:rPr>
          <w:rFonts w:ascii="Times New Roman" w:eastAsia="楷体_GB2312" w:cs="楷体_GB2312" w:hAnsi="Times New Roman" w:hint="eastAsia"/>
          <w:b/>
          <w:color w:val="auto"/>
          <w:sz w:val="32"/>
          <w:szCs w:val="32"/>
          <w:highlight w:val="auto"/>
        </w:rPr>
        <w:t>（一）机关运行经费支出情况</w:t>
      </w:r>
      <w:bookmarkEnd w:id="48"/>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w:t>
      </w:r>
      <w:r>
        <w:rPr>
          <w:rFonts w:ascii="仿宋_GB2312" w:eastAsia="仿宋_GB2312" w:cs="仿宋_GB2312" w:hint="eastAsia"/>
          <w:color w:val="auto"/>
          <w:kern w:val="2"/>
          <w:sz w:val="32"/>
          <w:szCs w:val="32"/>
          <w:lang w:val="en-US" w:eastAsia="zh-CN" w:bidi="ar-SA"/>
          <w:highlight w:val="auto"/>
        </w:rPr>
        <w:t>，</w:t>
      </w:r>
      <w:r>
        <w:rPr>
          <w:rFonts w:ascii="仿宋_GB2312" w:eastAsia="仿宋_GB2312" w:cs="仿宋_GB2312" w:hint="eastAsia"/>
          <w:sz w:val="32"/>
          <w:szCs w:val="32"/>
        </w:rPr>
        <w:t>四川省阿坝州民族高级中学</w:t>
      </w:r>
      <w:r>
        <w:rPr>
          <w:rFonts w:ascii="仿宋_GB2312" w:eastAsia="仿宋_GB2312" w:cs="仿宋_GB2312" w:hint="eastAsia"/>
          <w:color w:val="auto"/>
          <w:kern w:val="2"/>
          <w:sz w:val="32"/>
          <w:szCs w:val="32"/>
          <w:lang w:val="en-US" w:eastAsia="zh-CN" w:bidi="ar-SA"/>
          <w:highlight w:val="auto"/>
        </w:rPr>
        <w:t>机关运行经费支出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年度增加/减少</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%（或与202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年度决算数持平）。主要原因是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9" w:name="_Toc15377223"/>
      <w:r>
        <w:rPr>
          <w:rFonts w:ascii="Times New Roman" w:eastAsia="楷体_GB2312" w:cs="楷体_GB2312" w:hAnsi="Times New Roman" w:hint="eastAsia"/>
          <w:b/>
          <w:color w:val="auto"/>
          <w:sz w:val="32"/>
          <w:szCs w:val="32"/>
          <w:highlight w:val="auto"/>
        </w:rPr>
        <w:t>（二）政府采购支出情况</w:t>
      </w:r>
      <w:bookmarkEnd w:id="49"/>
    </w:p>
    <w:p>
      <w:pPr>
        <w:spacing w:line="600" w:lineRule="exact"/>
        <w:ind w:firstLine="640"/>
        <w:rPr>
          <w:rFonts w:ascii="仿宋_GB2312" w:eastAsia="仿宋_GB2312" w:cs="仿宋_GB2312"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w:t>
      </w:r>
      <w:r>
        <w:rPr>
          <w:rFonts w:ascii="仿宋_GB2312" w:eastAsia="仿宋_GB2312" w:cs="仿宋_GB2312" w:hint="eastAsia"/>
          <w:sz w:val="32"/>
          <w:szCs w:val="32"/>
        </w:rPr>
        <w:t>四川省阿坝州民族高级中学</w:t>
      </w:r>
      <w:r>
        <w:rPr>
          <w:rFonts w:ascii="仿宋_GB2312" w:eastAsia="仿宋_GB2312" w:cs="仿宋_GB2312" w:hint="eastAsia"/>
          <w:color w:val="auto"/>
          <w:kern w:val="2"/>
          <w:sz w:val="32"/>
          <w:szCs w:val="32"/>
          <w:lang w:val="en-US" w:eastAsia="zh-CN" w:bidi="ar-SA"/>
          <w:highlight w:val="auto"/>
        </w:rPr>
        <w:t>政府采购支出总额</w:t>
      </w:r>
      <w:r>
        <w:rPr>
          <w:rFonts w:ascii="仿宋_GB2312" w:eastAsia="仿宋_GB2312" w:cs="仿宋_GB2312"/>
          <w:sz w:val="32"/>
          <w:szCs w:val="32"/>
        </w:rPr>
        <w:t>607.36</w:t>
      </w:r>
      <w:r>
        <w:rPr>
          <w:rFonts w:ascii="仿宋_GB2312" w:eastAsia="仿宋_GB2312" w:cs="仿宋_GB2312" w:hint="eastAsia"/>
          <w:color w:val="auto"/>
          <w:kern w:val="2"/>
          <w:sz w:val="32"/>
          <w:szCs w:val="32"/>
          <w:lang w:val="en-US" w:eastAsia="zh-CN" w:bidi="ar-SA"/>
          <w:highlight w:val="auto"/>
        </w:rPr>
        <w:t>万元，其中：政府采购货物支出</w:t>
      </w:r>
      <w:r>
        <w:rPr>
          <w:rFonts w:ascii="仿宋_GB2312" w:eastAsia="仿宋_GB2312" w:cs="仿宋_GB2312"/>
          <w:sz w:val="32"/>
          <w:szCs w:val="32"/>
        </w:rPr>
        <w:t>395.68</w:t>
      </w:r>
      <w:r>
        <w:rPr>
          <w:rFonts w:ascii="仿宋_GB2312" w:eastAsia="仿宋_GB2312" w:cs="仿宋_GB2312" w:hint="eastAsia"/>
          <w:color w:val="auto"/>
          <w:kern w:val="2"/>
          <w:sz w:val="32"/>
          <w:szCs w:val="32"/>
          <w:lang w:val="en-US" w:eastAsia="zh-CN" w:bidi="ar-SA"/>
          <w:highlight w:val="auto"/>
        </w:rPr>
        <w:t>万元</w:t>
      </w:r>
      <w:r>
        <w:rPr>
          <w:rFonts w:ascii="仿宋_GB2312" w:eastAsia="仿宋_GB2312" w:cs="仿宋_GB2312"/>
          <w:color w:val="auto"/>
          <w:kern w:val="2"/>
          <w:sz w:val="32"/>
          <w:szCs w:val="32"/>
          <w:lang w:val="en-US" w:eastAsia="zh-CN" w:bidi="ar-SA"/>
          <w:highlight w:val="auto"/>
        </w:rPr>
        <w:t>、</w:t>
      </w:r>
      <w:r>
        <w:rPr>
          <w:rFonts w:ascii="仿宋_GB2312" w:eastAsia="仿宋_GB2312" w:cs="仿宋_GB2312" w:hint="eastAsia"/>
          <w:color w:val="auto"/>
          <w:kern w:val="2"/>
          <w:sz w:val="32"/>
          <w:szCs w:val="32"/>
          <w:lang w:val="en-US" w:eastAsia="zh-CN" w:bidi="ar-SA"/>
          <w:highlight w:val="auto"/>
        </w:rPr>
        <w:t>政府采购工程支出</w:t>
      </w:r>
      <w:r>
        <w:rPr>
          <w:rFonts w:ascii="仿宋_GB2312" w:eastAsia="仿宋_GB2312" w:cs="仿宋_GB2312"/>
          <w:sz w:val="32"/>
          <w:szCs w:val="32"/>
        </w:rPr>
        <w:t>101.72</w:t>
      </w:r>
      <w:r>
        <w:rPr>
          <w:rFonts w:ascii="仿宋_GB2312" w:eastAsia="仿宋_GB2312" w:cs="仿宋_GB2312" w:hint="eastAsia"/>
          <w:color w:val="auto"/>
          <w:kern w:val="2"/>
          <w:sz w:val="32"/>
          <w:szCs w:val="32"/>
          <w:lang w:val="en-US" w:eastAsia="zh-CN" w:bidi="ar-SA"/>
          <w:highlight w:val="auto"/>
        </w:rPr>
        <w:t>万元</w:t>
      </w:r>
      <w:r>
        <w:rPr>
          <w:rFonts w:ascii="仿宋_GB2312" w:eastAsia="仿宋_GB2312" w:cs="仿宋_GB2312"/>
          <w:color w:val="auto"/>
          <w:kern w:val="2"/>
          <w:sz w:val="32"/>
          <w:szCs w:val="32"/>
          <w:lang w:val="en-US" w:eastAsia="zh-CN" w:bidi="ar-SA"/>
          <w:highlight w:val="auto"/>
        </w:rPr>
        <w:t>，主要为</w:t>
      </w:r>
      <w:r>
        <w:rPr>
          <w:rFonts w:ascii="仿宋_GB2312" w:eastAsia="仿宋_GB2312" w:cs="仿宋_GB2312"/>
          <w:color w:val="auto"/>
          <w:kern w:val="2"/>
          <w:sz w:val="32"/>
          <w:szCs w:val="32"/>
          <w:lang w:val="en-US" w:eastAsia="zh-CN" w:bidi="ar-SA"/>
        </w:rPr>
        <w:t>学生浴室饮用水改造和消防设施设备采购项目</w:t>
      </w:r>
      <w:r>
        <w:rPr>
          <w:rFonts w:ascii="仿宋_GB2312" w:eastAsia="仿宋_GB2312" w:cs="仿宋_GB2312" w:hint="eastAsia"/>
          <w:color w:val="auto"/>
          <w:kern w:val="2"/>
          <w:sz w:val="32"/>
          <w:szCs w:val="32"/>
          <w:lang w:val="en-US" w:eastAsia="zh-CN" w:bidi="ar-SA"/>
          <w:highlight w:val="auto"/>
        </w:rPr>
        <w:t>、政府采购服务支出</w:t>
      </w:r>
      <w:r>
        <w:rPr>
          <w:rFonts w:ascii="仿宋_GB2312" w:eastAsia="仿宋_GB2312" w:cs="仿宋_GB2312"/>
          <w:sz w:val="32"/>
          <w:szCs w:val="32"/>
        </w:rPr>
        <w:t>109.96</w:t>
      </w:r>
      <w:r>
        <w:rPr>
          <w:rFonts w:ascii="仿宋_GB2312" w:eastAsia="仿宋_GB2312" w:cs="仿宋_GB2312" w:hint="eastAsia"/>
          <w:color w:val="auto"/>
          <w:kern w:val="2"/>
          <w:sz w:val="32"/>
          <w:szCs w:val="32"/>
          <w:lang w:val="en-US" w:eastAsia="zh-CN" w:bidi="ar-SA"/>
          <w:highlight w:val="auto"/>
        </w:rPr>
        <w:t>万元。主要用于</w:t>
      </w:r>
      <w:r>
        <w:rPr>
          <w:rFonts w:ascii="仿宋_GB2312" w:eastAsia="仿宋_GB2312" w:cs="仿宋_GB2312"/>
          <w:color w:val="auto"/>
          <w:kern w:val="2"/>
          <w:sz w:val="32"/>
          <w:szCs w:val="32"/>
          <w:lang w:val="en-US" w:eastAsia="zh-CN" w:bidi="ar-SA"/>
          <w:highlight w:val="auto"/>
        </w:rPr>
        <w:t>学校临聘服务项目，食堂聘用人员工资；物业管理及公车维修保养等</w:t>
      </w:r>
      <w:r>
        <w:rPr>
          <w:rFonts w:ascii="仿宋_GB2312" w:eastAsia="仿宋_GB2312" w:cs="仿宋_GB2312" w:hint="eastAsia"/>
          <w:color w:val="auto"/>
          <w:kern w:val="2"/>
          <w:sz w:val="32"/>
          <w:szCs w:val="32"/>
          <w:lang w:val="en-US" w:eastAsia="zh-CN" w:bidi="ar-SA"/>
          <w:highlight w:val="auto"/>
        </w:rPr>
        <w:t>。授予中小企业合同金额</w:t>
      </w:r>
      <w:r>
        <w:rPr>
          <w:rFonts w:ascii="仿宋_GB2312" w:eastAsia="仿宋_GB2312" w:cs="仿宋_GB2312"/>
          <w:sz w:val="32"/>
          <w:szCs w:val="32"/>
        </w:rPr>
        <w:t>607.36</w:t>
      </w:r>
      <w:r>
        <w:rPr>
          <w:rFonts w:ascii="仿宋_GB2312" w:eastAsia="仿宋_GB2312" w:cs="仿宋_GB2312"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100</w:t>
      </w:r>
      <w:r>
        <w:rPr>
          <w:rFonts w:ascii="仿宋_GB2312" w:eastAsia="仿宋_GB2312" w:cs="仿宋_GB2312"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50" w:name="_Toc15377224"/>
      <w:r>
        <w:rPr>
          <w:rFonts w:ascii="Times New Roman" w:eastAsia="楷体_GB2312" w:cs="楷体_GB2312" w:hAnsi="Times New Roman" w:hint="eastAsia"/>
          <w:b/>
          <w:color w:val="auto"/>
          <w:sz w:val="32"/>
          <w:szCs w:val="32"/>
          <w:highlight w:val="auto"/>
        </w:rPr>
        <w:t>（三）国有资产占有使用情况</w:t>
      </w:r>
      <w:bookmarkEnd w:id="50"/>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截至202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年12月31日，</w:t>
      </w:r>
      <w:r>
        <w:rPr>
          <w:rFonts w:ascii="仿宋_GB2312" w:eastAsia="仿宋_GB2312" w:cs="仿宋_GB2312" w:hint="eastAsia"/>
          <w:sz w:val="32"/>
          <w:szCs w:val="32"/>
        </w:rPr>
        <w:t>四川省阿坝州民族高级中学</w:t>
      </w:r>
      <w:r>
        <w:rPr>
          <w:rFonts w:ascii="仿宋_GB2312" w:eastAsia="仿宋_GB2312" w:cs="仿宋_GB2312" w:hint="eastAsia"/>
          <w:color w:val="auto"/>
          <w:kern w:val="2"/>
          <w:sz w:val="32"/>
          <w:szCs w:val="32"/>
          <w:lang w:val="en-US" w:eastAsia="zh-CN" w:bidi="ar-SA"/>
          <w:highlight w:val="auto"/>
        </w:rPr>
        <w:t>共有车辆</w:t>
      </w:r>
      <w:r>
        <w:rPr>
          <w:rFonts w:ascii="仿宋_GB2312" w:eastAsia="仿宋_GB2312" w:cs="仿宋_GB2312" w:hint="eastAsia"/>
          <w:sz w:val="32"/>
          <w:szCs w:val="32"/>
        </w:rPr>
        <w:t>3</w:t>
      </w:r>
      <w:r>
        <w:rPr>
          <w:rFonts w:ascii="仿宋_GB2312" w:eastAsia="仿宋_GB2312" w:cs="仿宋_GB2312" w:hint="eastAsia"/>
          <w:color w:val="auto"/>
          <w:kern w:val="2"/>
          <w:sz w:val="32"/>
          <w:szCs w:val="32"/>
          <w:lang w:val="en-US" w:eastAsia="zh-CN" w:bidi="ar-SA"/>
          <w:highlight w:val="auto"/>
        </w:rPr>
        <w:t>辆，其中：主要负责人用车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辆、机要通信用车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辆、应急保障用车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辆、其他用车</w:t>
      </w:r>
      <w:r>
        <w:rPr>
          <w:rFonts w:ascii="仿宋_GB2312" w:eastAsia="仿宋_GB2312" w:cs="仿宋_GB2312" w:hint="eastAsia"/>
          <w:sz w:val="32"/>
          <w:szCs w:val="32"/>
        </w:rPr>
        <w:t>3</w:t>
      </w:r>
      <w:r>
        <w:rPr>
          <w:rFonts w:ascii="仿宋_GB2312" w:eastAsia="仿宋_GB2312" w:cs="仿宋_GB2312" w:hint="eastAsia"/>
          <w:color w:val="auto"/>
          <w:kern w:val="2"/>
          <w:sz w:val="32"/>
          <w:szCs w:val="32"/>
          <w:lang w:val="en-US" w:eastAsia="zh-CN" w:bidi="ar-SA"/>
          <w:highlight w:val="auto"/>
        </w:rPr>
        <w:t>辆，其他用车主要是用于</w:t>
      </w:r>
      <w:r>
        <w:rPr>
          <w:rFonts w:ascii="仿宋_GB2312" w:eastAsia="仿宋_GB2312" w:cs="仿宋_GB2312"/>
          <w:color w:val="auto"/>
          <w:kern w:val="2"/>
          <w:sz w:val="32"/>
          <w:szCs w:val="32"/>
          <w:lang w:val="en-US" w:eastAsia="zh-CN" w:bidi="ar-SA"/>
          <w:highlight w:val="auto"/>
        </w:rPr>
        <w:t>无</w:t>
      </w:r>
      <w:r>
        <w:rPr>
          <w:rFonts w:ascii="仿宋_GB2312" w:eastAsia="仿宋_GB2312" w:cs="仿宋_GB2312" w:hint="eastAsia"/>
          <w:color w:val="auto"/>
          <w:kern w:val="2"/>
          <w:sz w:val="32"/>
          <w:szCs w:val="32"/>
          <w:lang w:val="en-US" w:eastAsia="zh-CN" w:bidi="ar-SA"/>
          <w:highlight w:val="auto"/>
        </w:rPr>
        <w:t>。单价100万元（含）以上设备（不含车辆）</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台（套）</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根据预算绩效管理要求，</w:t>
      </w:r>
      <w:r>
        <w:rPr>
          <w:rFonts w:ascii="Times New Roman" w:eastAsia="仿宋_GB2312" w:cs="仿宋_GB2312" w:hAnsi="Times New Roman"/>
          <w:color w:val="auto"/>
          <w:kern w:val="2"/>
          <w:sz w:val="32"/>
          <w:szCs w:val="32"/>
          <w:lang w:val="en-US" w:eastAsia="zh-CN" w:bidi="ar-SA"/>
          <w:highlight w:val="auto"/>
        </w:rPr>
        <w:t>本单位</w:t>
      </w:r>
      <w:r>
        <w:rPr>
          <w:rFonts w:ascii="Times New Roman" w:eastAsia="仿宋_GB2312" w:cs="仿宋_GB2312" w:hAnsi="Times New Roman" w:hint="eastAsia"/>
          <w:color w:val="auto"/>
          <w:kern w:val="2"/>
          <w:sz w:val="32"/>
          <w:szCs w:val="32"/>
          <w:lang w:val="en-US" w:eastAsia="zh-CN" w:bidi="ar-SA"/>
          <w:highlight w:val="auto"/>
        </w:rPr>
        <w:t>在202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年度预算编制阶段，组织对</w:t>
      </w:r>
      <w:r>
        <w:rPr>
          <w:rFonts w:ascii="Times New Roman" w:eastAsia="仿宋_GB2312" w:cs="仿宋_GB2312" w:hAnsi="Times New Roman"/>
          <w:color w:val="auto"/>
          <w:kern w:val="2"/>
          <w:sz w:val="32"/>
          <w:szCs w:val="32"/>
          <w:lang w:val="en-US" w:eastAsia="zh-CN" w:bidi="ar-SA"/>
          <w:highlight w:val="auto"/>
        </w:rPr>
        <w:t>四川省阿坝州民族高级中学学校临聘服务</w:t>
      </w:r>
      <w:r>
        <w:rPr>
          <w:rFonts w:ascii="Times New Roman" w:eastAsia="仿宋_GB2312" w:cs="仿宋_GB2312" w:hAnsi="Times New Roman" w:hint="eastAsia"/>
          <w:color w:val="auto"/>
          <w:kern w:val="2"/>
          <w:sz w:val="32"/>
          <w:szCs w:val="32"/>
          <w:lang w:val="en-US" w:eastAsia="zh-CN" w:bidi="ar-SA"/>
          <w:highlight w:val="auto"/>
        </w:rPr>
        <w:t>（项目名称）等</w:t>
      </w:r>
      <w:r>
        <w:rPr>
          <w:rFonts w:ascii="Times New Roman" w:eastAsia="仿宋_GB2312" w:cs="仿宋_GB2312" w:hAnsi="Times New Roman"/>
          <w:color w:val="auto"/>
          <w:kern w:val="2"/>
          <w:sz w:val="32"/>
          <w:szCs w:val="32"/>
          <w:lang w:val="en-US" w:eastAsia="zh-CN" w:bidi="ar-SA"/>
          <w:highlight w:val="auto"/>
        </w:rPr>
        <w:t>13</w:t>
      </w:r>
      <w:r>
        <w:rPr>
          <w:rFonts w:ascii="Times New Roman" w:eastAsia="仿宋_GB2312" w:cs="仿宋_GB2312" w:hAnsi="Times New Roman" w:hint="eastAsia"/>
          <w:color w:val="auto"/>
          <w:kern w:val="2"/>
          <w:sz w:val="32"/>
          <w:szCs w:val="32"/>
          <w:lang w:val="en-US" w:eastAsia="zh-CN" w:bidi="ar-SA"/>
          <w:highlight w:val="auto"/>
        </w:rPr>
        <w:t>个项目开展了预算事前绩效评估，对</w:t>
      </w:r>
      <w:r>
        <w:rPr>
          <w:rFonts w:ascii="Times New Roman" w:eastAsia="仿宋_GB2312" w:cs="仿宋_GB2312" w:hAnsi="Times New Roman"/>
          <w:color w:val="auto"/>
          <w:kern w:val="2"/>
          <w:sz w:val="32"/>
          <w:szCs w:val="32"/>
          <w:lang w:val="en-US" w:eastAsia="zh-CN" w:bidi="ar-SA"/>
          <w:highlight w:val="auto"/>
        </w:rPr>
        <w:t>13</w:t>
      </w:r>
      <w:r>
        <w:rPr>
          <w:rFonts w:ascii="Times New Roman" w:eastAsia="仿宋_GB2312" w:cs="仿宋_GB2312" w:hAnsi="Times New Roman" w:hint="eastAsia"/>
          <w:color w:val="auto"/>
          <w:kern w:val="2"/>
          <w:sz w:val="32"/>
          <w:szCs w:val="32"/>
          <w:lang w:val="en-US" w:eastAsia="zh-CN" w:bidi="ar-SA"/>
          <w:highlight w:val="auto"/>
        </w:rPr>
        <w:t>个项目编制了绩效目标，预算执行过程中，选取</w:t>
      </w:r>
      <w:r>
        <w:rPr>
          <w:rFonts w:ascii="Times New Roman" w:eastAsia="仿宋_GB2312" w:cs="仿宋_GB2312" w:hAnsi="Times New Roman"/>
          <w:color w:val="auto"/>
          <w:kern w:val="2"/>
          <w:sz w:val="32"/>
          <w:szCs w:val="32"/>
          <w:lang w:val="en-US" w:eastAsia="zh-CN" w:bidi="ar-SA"/>
          <w:highlight w:val="auto"/>
        </w:rPr>
        <w:t>13</w:t>
      </w:r>
      <w:r>
        <w:rPr>
          <w:rFonts w:ascii="Times New Roman" w:eastAsia="仿宋_GB2312" w:cs="仿宋_GB2312" w:hAnsi="Times New Roman" w:hint="eastAsia"/>
          <w:color w:val="auto"/>
          <w:kern w:val="2"/>
          <w:sz w:val="32"/>
          <w:szCs w:val="32"/>
          <w:lang w:val="en-US" w:eastAsia="zh-CN" w:bidi="ar-SA"/>
          <w:highlight w:val="auto"/>
        </w:rPr>
        <w:t>个项目开展绩效监控。</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jc w:val="center"/>
        <w:outlineLvl w:val="0"/>
        <w:rPr>
          <w:rFonts w:ascii="Times New Roman" w:eastAsia="黑体" w:hAnsi="Times New Roman" w:hint="eastAsia"/>
          <w:color w:val="auto"/>
          <w:sz w:val="44"/>
          <w:szCs w:val="44"/>
          <w:highlight w:val="auto"/>
        </w:rPr>
      </w:pPr>
      <w:bookmarkStart w:id="51" w:name="_Toc15377225"/>
      <w:bookmarkStart w:id="52" w:name="_Toc15396613"/>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51"/>
      <w:bookmarkEnd w:id="52"/>
    </w:p>
    <w:p>
      <w:pPr>
        <w:spacing w:line="600" w:lineRule="exact"/>
        <w:jc w:val="left"/>
        <w:rPr>
          <w:rFonts w:ascii="Times New Roman" w:hAnsi="Times New Roman"/>
          <w:b/>
          <w:color w:val="auto"/>
          <w:sz w:val="44"/>
          <w:szCs w:val="44"/>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1.财政拨款收入：指单位从同级财政部门取得的财政预算资金。</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2.事业收入：指事业单位开展专业业务活动及辅助活动取得的收入。如……（二级预算单位事业收入情况）等。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3.经营收入：指事业单位在专业业务活动及其辅助活动之外开展非独立核算经营活动取得的收入。如……（二级预算单位经营收入情况）等。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4.其他收入：指单位取得的除上述收入以外的各项收入。主要是……（收入类型）等。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5.使用非财政拨款结余（含专用结余）：指事业单位使用以前年度积累的非财政拨款结余弥补当年收支差额的金额。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6.年初结转和结余：指以前年度尚未完成、结转到本年按有关规定继续使用的资金。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7.结余分配：指事业单位按照会计制度规定缴纳的所得税、提取的专用结余以及转入非财政拨款结余的金额等。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8.年末结转和结余：指单位按有关规定结转到下年或以后年度继续使用的资金。</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9.一般公共服务（类）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10.外交（类）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11.公共安全（类）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ind w:firstLineChars="200" w:firstLine="640"/>
        <w:rPr>
          <w:rFonts w:ascii="仿宋_GB2312" w:eastAsia="仿宋_GB2312"/>
          <w:sz w:val="32"/>
          <w:szCs w:val="32"/>
        </w:rPr>
      </w:pPr>
      <w:r>
        <w:rPr>
          <w:rFonts w:ascii="Times New Roman" w:eastAsia="仿宋_GB2312" w:cs="仿宋_GB2312" w:hAnsi="Times New Roman" w:hint="eastAsia"/>
          <w:color w:val="auto"/>
          <w:kern w:val="2"/>
          <w:sz w:val="32"/>
          <w:szCs w:val="32"/>
          <w:lang w:val="en-US" w:eastAsia="zh-CN" w:bidi="ar-SA"/>
          <w:highlight w:val="auto"/>
        </w:rPr>
        <w:t>12.</w:t>
      </w:r>
      <w:r>
        <w:rPr>
          <w:rFonts w:ascii="仿宋_GB2312" w:eastAsia="仿宋_GB2312" w:hint="eastAsia"/>
          <w:sz w:val="32"/>
          <w:szCs w:val="32"/>
        </w:rPr>
        <w:t>教育（类）</w:t>
      </w:r>
      <w:r>
        <w:rPr>
          <w:rFonts w:ascii="仿宋_GB2312" w:eastAsia="仿宋_GB2312" w:hint="eastAsia"/>
          <w:sz w:val="32"/>
          <w:szCs w:val="32"/>
          <w:lang w:val="en-US" w:eastAsia="zh-CN"/>
        </w:rPr>
        <w:t>205</w:t>
      </w:r>
      <w:r>
        <w:rPr>
          <w:rFonts w:ascii="仿宋_GB2312" w:eastAsia="仿宋_GB2312" w:hint="eastAsia"/>
          <w:sz w:val="32"/>
          <w:szCs w:val="32"/>
        </w:rPr>
        <w:t>（款）</w:t>
      </w:r>
      <w:r>
        <w:rPr>
          <w:rFonts w:ascii="仿宋_GB2312" w:eastAsia="仿宋_GB2312" w:hint="eastAsia"/>
          <w:sz w:val="32"/>
          <w:szCs w:val="32"/>
          <w:lang w:val="en-US" w:eastAsia="zh-CN"/>
        </w:rPr>
        <w:t>02/99</w:t>
      </w:r>
      <w:r>
        <w:rPr>
          <w:rFonts w:ascii="仿宋_GB2312" w:eastAsia="仿宋_GB2312" w:hint="eastAsia"/>
          <w:sz w:val="32"/>
          <w:szCs w:val="32"/>
        </w:rPr>
        <w:t>（项）：指20502</w:t>
      </w:r>
      <w:r>
        <w:rPr>
          <w:rFonts w:ascii="仿宋_GB2312" w:eastAsia="仿宋_GB2312"/>
          <w:sz w:val="32"/>
          <w:szCs w:val="32"/>
        </w:rPr>
        <w:t>04</w:t>
      </w:r>
      <w:r>
        <w:rPr>
          <w:rFonts w:ascii="仿宋_GB2312" w:eastAsia="仿宋_GB2312" w:hint="eastAsia"/>
          <w:sz w:val="32"/>
          <w:szCs w:val="32"/>
          <w:lang w:eastAsia="zh-CN"/>
        </w:rPr>
        <w:t>高中教育</w:t>
      </w:r>
      <w:r>
        <w:rPr>
          <w:rFonts w:ascii="仿宋_GB2312" w:eastAsia="仿宋_GB2312" w:hint="eastAsia"/>
          <w:sz w:val="32"/>
          <w:szCs w:val="32"/>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13.科学技术（类）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w:t>
      </w:r>
      <w:r>
        <w:rPr>
          <w:rFonts w:ascii="Times New Roman" w:eastAsia="仿宋_GB2312" w:cs="仿宋_GB2312" w:hAnsi="Times New Roman"/>
          <w:color w:val="auto"/>
          <w:kern w:val="2"/>
          <w:sz w:val="32"/>
          <w:szCs w:val="32"/>
          <w:lang w:val="en-US" w:eastAsia="zh-CN" w:bidi="ar-SA"/>
          <w:highlight w:val="auto"/>
        </w:rPr>
        <w:t>指无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14.文化旅游体育与传媒（类）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color w:val="auto"/>
          <w:kern w:val="2"/>
          <w:sz w:val="32"/>
          <w:szCs w:val="32"/>
          <w:lang w:val="en-US" w:eastAsia="zh-CN" w:bidi="ar-SA"/>
        </w:rPr>
      </w:pPr>
      <w:r>
        <w:rPr>
          <w:rFonts w:ascii="Times New Roman" w:eastAsia="仿宋_GB2312" w:cs="仿宋_GB2312" w:hAnsi="Times New Roman" w:hint="eastAsia"/>
          <w:color w:val="auto"/>
          <w:kern w:val="2"/>
          <w:sz w:val="32"/>
          <w:szCs w:val="32"/>
          <w:lang w:val="en-US" w:eastAsia="zh-CN" w:bidi="ar-SA"/>
          <w:highlight w:val="auto"/>
        </w:rPr>
        <w:t>15.社会保障和就业（类）</w:t>
      </w:r>
      <w:r>
        <w:rPr>
          <w:rFonts w:ascii="Times New Roman" w:eastAsia="仿宋_GB2312" w:cs="仿宋_GB2312" w:hAnsi="Times New Roman"/>
          <w:color w:val="auto"/>
          <w:kern w:val="2"/>
          <w:sz w:val="32"/>
          <w:szCs w:val="32"/>
          <w:lang w:val="en-US" w:eastAsia="zh-CN" w:bidi="ar-SA"/>
          <w:highlight w:val="auto"/>
        </w:rPr>
        <w:t>208</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05</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rPr>
        <w:t>2080502</w:t>
      </w:r>
    </w:p>
    <w:p>
      <w:pPr>
        <w:spacing w:line="600" w:lineRule="exact"/>
        <w:ind w:firstLine="640"/>
        <w:rPr>
          <w:rFonts w:ascii="Times New Roman" w:eastAsia="仿宋_GB2312" w:cs="仿宋_GB2312" w:hAnsi="Times New Roman"/>
          <w:color w:val="auto"/>
          <w:kern w:val="2"/>
          <w:sz w:val="32"/>
          <w:szCs w:val="32"/>
          <w:lang w:val="en-US" w:eastAsia="zh-CN" w:bidi="ar-SA"/>
        </w:rPr>
      </w:pPr>
      <w:r>
        <w:rPr>
          <w:rFonts w:ascii="Times New Roman" w:eastAsia="仿宋_GB2312" w:cs="仿宋_GB2312" w:hAnsi="Times New Roman"/>
          <w:color w:val="auto"/>
          <w:kern w:val="2"/>
          <w:sz w:val="32"/>
          <w:szCs w:val="32"/>
          <w:lang w:val="en-US" w:eastAsia="zh-CN" w:bidi="ar-SA"/>
        </w:rPr>
        <w:t>事业单位离退休,2080505机关事业单位基本养老保险缴费支出,2080506机关事业单位职业年金缴费支出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16.卫生健康（类）</w:t>
      </w:r>
      <w:r>
        <w:rPr>
          <w:rFonts w:ascii="Times New Roman" w:eastAsia="仿宋_GB2312" w:cs="仿宋_GB2312" w:hAnsi="Times New Roman"/>
          <w:color w:val="auto"/>
          <w:kern w:val="2"/>
          <w:sz w:val="32"/>
          <w:szCs w:val="32"/>
          <w:lang w:val="en-US" w:eastAsia="zh-CN" w:bidi="ar-SA"/>
          <w:highlight w:val="auto"/>
        </w:rPr>
        <w:t>210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11</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rPr>
        <w:t>2101102事业单位医疗,2101199其他行政事业单位医疗支出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17.节能环保（类）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18.城乡社区（类）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19.农林水（类）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20.交通运输（类）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21.资源勘探工业信息等（类）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22.商业服务业（类）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23.金融（类）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24.自然资源海洋气象等（类）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color w:val="auto"/>
          <w:kern w:val="2"/>
          <w:sz w:val="32"/>
          <w:szCs w:val="32"/>
          <w:lang w:val="en-US" w:eastAsia="zh-CN" w:bidi="ar-SA"/>
        </w:rPr>
      </w:pPr>
      <w:r>
        <w:rPr>
          <w:rFonts w:ascii="Times New Roman" w:eastAsia="仿宋_GB2312" w:cs="仿宋_GB2312" w:hAnsi="Times New Roman" w:hint="eastAsia"/>
          <w:color w:val="auto"/>
          <w:kern w:val="2"/>
          <w:sz w:val="32"/>
          <w:szCs w:val="32"/>
          <w:lang w:val="en-US" w:eastAsia="zh-CN" w:bidi="ar-SA"/>
          <w:highlight w:val="auto"/>
        </w:rPr>
        <w:t>25.住房保障（类）</w:t>
      </w:r>
      <w:r>
        <w:rPr>
          <w:rFonts w:ascii="Times New Roman" w:eastAsia="仿宋_GB2312" w:cs="仿宋_GB2312" w:hAnsi="Times New Roman"/>
          <w:color w:val="auto"/>
          <w:kern w:val="2"/>
          <w:sz w:val="32"/>
          <w:szCs w:val="32"/>
          <w:lang w:val="en-US" w:eastAsia="zh-CN" w:bidi="ar-SA"/>
          <w:highlight w:val="auto"/>
        </w:rPr>
        <w:t>221</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02</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rPr>
        <w:t>2210201住房公积金</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26.粮油物资储备（类）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w:t>
      </w:r>
      <w:r>
        <w:rPr>
          <w:rFonts w:eastAsia="仿宋_GB2312" w:cs="仿宋_GB2312" w:hint="eastAsia"/>
          <w:b/>
          <w:bCs/>
          <w:color w:val="auto"/>
          <w:kern w:val="2"/>
          <w:sz w:val="32"/>
          <w:szCs w:val="32"/>
          <w:lang w:val="en-US" w:eastAsia="zh-CN" w:bidi="ar-SA"/>
          <w:highlight w:val="auto"/>
        </w:rPr>
        <w:t>注：</w:t>
      </w:r>
      <w:r>
        <w:rPr>
          <w:rFonts w:ascii="Times New Roman" w:eastAsia="仿宋_GB2312" w:cs="仿宋_GB2312" w:hAnsi="Times New Roman" w:hint="eastAsia"/>
          <w:b/>
          <w:bCs/>
          <w:color w:val="auto"/>
          <w:kern w:val="2"/>
          <w:sz w:val="32"/>
          <w:szCs w:val="32"/>
          <w:lang w:val="en-US" w:eastAsia="zh-CN" w:bidi="ar-SA"/>
          <w:highlight w:val="auto"/>
        </w:rPr>
        <w:t>解释本部门决算报表中涉及的全部功能分类科目至项级，不涉及的科目请自行删除。请参照</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202</w:t>
      </w:r>
      <w:r>
        <w:rPr>
          <w:rFonts w:eastAsia="仿宋_GB2312" w:cs="仿宋_GB2312" w:hint="eastAsia"/>
          <w:b/>
          <w:bCs/>
          <w:color w:val="auto"/>
          <w:kern w:val="2"/>
          <w:sz w:val="32"/>
          <w:szCs w:val="32"/>
          <w:lang w:val="en-US" w:eastAsia="zh-CN" w:bidi="ar-SA"/>
          <w:highlight w:val="auto"/>
        </w:rPr>
        <w:t>4</w:t>
      </w:r>
      <w:r>
        <w:rPr>
          <w:rFonts w:ascii="Times New Roman" w:eastAsia="仿宋_GB2312" w:cs="仿宋_GB2312" w:hAnsi="Times New Roman" w:hint="eastAsia"/>
          <w:b/>
          <w:bCs/>
          <w:color w:val="auto"/>
          <w:kern w:val="2"/>
          <w:sz w:val="32"/>
          <w:szCs w:val="32"/>
          <w:lang w:val="en-US" w:eastAsia="zh-CN" w:bidi="ar-SA"/>
          <w:highlight w:val="auto"/>
        </w:rPr>
        <w:t>年政府收支分类科目</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增减内容）</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27.基本支出：指为保障机构正常运转、完成日常工作任务而发生的人员支出和公用支出。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28.项目支出：指在基本支出之外为完成特定行政任务和事业发展目标所发生的支出。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29.经营支出：指事业单位在专业业务活动及其辅助活动之外开展非独立核算经营活动发生的支出。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30.</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三公</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32.</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（注：名词解释部分请根据各部门实际列支情况罗列，并根据本部门职责职能增减名词解释内容）</w:t>
      </w:r>
    </w:p>
    <w:p>
      <w:pPr>
        <w:pStyle w:val="15"/>
      </w:pPr>
    </w:p>
    <w:p>
      <w:pPr>
        <w:pStyle w:val="17"/>
      </w:pPr>
    </w:p>
    <w:p>
      <w:pPr>
        <w:pStyle w:val="17"/>
      </w:pPr>
    </w:p>
    <w:p>
      <w:pPr>
        <w:pStyle w:val="17"/>
      </w:pPr>
    </w:p>
    <w:p>
      <w:pPr>
        <w:pStyle w:val="17"/>
      </w:pPr>
    </w:p>
    <w:p>
      <w:pPr>
        <w:pStyle w:val="17"/>
      </w:pPr>
    </w:p>
    <w:p>
      <w:pPr>
        <w:pStyle w:val="17"/>
      </w:pPr>
    </w:p>
    <w:p>
      <w:pPr>
        <w:pStyle w:val="17"/>
        <w:ind w:leftChars="0" w:left="0" w:firstLineChars="0" w:firstLine="0"/>
      </w:pPr>
    </w:p>
    <w:p>
      <w:pPr>
        <w:pStyle w:val="17"/>
        <w:ind w:leftChars="0" w:left="0" w:firstLineChars="0" w:firstLine="0"/>
      </w:pPr>
    </w:p>
    <w:p>
      <w:pPr>
        <w:pStyle w:val="17"/>
        <w:ind w:leftChars="0" w:left="0" w:firstLineChars="0" w:firstLine="0"/>
        <w:rPr>
          <w:rFonts w:ascii="Times New Roman" w:hAnsi="Times New Roman"/>
          <w:lang w:eastAsia="zh-CN"/>
        </w:rPr>
      </w:pPr>
    </w:p>
    <w:p>
      <w:pPr>
        <w:widowControl/>
        <w:spacing w:line="580" w:lineRule="exact"/>
        <w:contextualSpacing/>
        <w:jc w:val="center"/>
        <w:rPr>
          <w:rFonts w:ascii="仿宋" w:eastAsia="仿宋" w:cs="仿宋" w:hint="eastAsia"/>
          <w:b/>
          <w:sz w:val="44"/>
          <w:szCs w:val="44"/>
          <w:shd w:val="clear" w:color="auto" w:fill="FFFFFF"/>
        </w:rPr>
      </w:pPr>
      <w:r>
        <w:rPr>
          <w:rFonts w:ascii="仿宋" w:eastAsia="仿宋" w:cs="仿宋" w:hint="eastAsia"/>
          <w:b/>
          <w:sz w:val="44"/>
          <w:szCs w:val="44"/>
          <w:shd w:val="clear" w:color="auto" w:fill="FFFFFF"/>
        </w:rPr>
        <w:t>四川省阿坝州民族高级中学</w:t>
      </w:r>
    </w:p>
    <w:p>
      <w:pPr>
        <w:widowControl/>
        <w:spacing w:line="580" w:lineRule="exact"/>
        <w:contextualSpacing/>
        <w:jc w:val="center"/>
        <w:rPr>
          <w:rFonts w:ascii="仿宋" w:eastAsia="仿宋" w:cs="仿宋" w:hint="eastAsia"/>
          <w:b/>
          <w:sz w:val="44"/>
          <w:szCs w:val="44"/>
          <w:shd w:val="clear" w:color="auto" w:fill="FFFFFF"/>
        </w:rPr>
      </w:pPr>
      <w:r>
        <w:rPr>
          <w:rFonts w:ascii="仿宋" w:eastAsia="仿宋" w:cs="仿宋" w:hint="eastAsia"/>
          <w:b/>
          <w:sz w:val="44"/>
          <w:szCs w:val="44"/>
          <w:shd w:val="clear" w:color="auto" w:fill="FFFFFF"/>
        </w:rPr>
        <w:t>202</w:t>
      </w:r>
      <w:r>
        <w:rPr>
          <w:rFonts w:ascii="仿宋" w:eastAsia="仿宋" w:cs="仿宋"/>
          <w:b/>
          <w:sz w:val="44"/>
          <w:szCs w:val="44"/>
          <w:shd w:val="clear" w:color="auto" w:fill="FFFFFF"/>
          <w:lang w:val="en-US" w:eastAsia="zh-CN"/>
        </w:rPr>
        <w:t>5</w:t>
      </w:r>
      <w:r>
        <w:rPr>
          <w:rFonts w:ascii="仿宋" w:eastAsia="仿宋" w:cs="仿宋" w:hint="eastAsia"/>
          <w:b/>
          <w:sz w:val="44"/>
          <w:szCs w:val="44"/>
          <w:shd w:val="clear" w:color="auto" w:fill="FFFFFF"/>
        </w:rPr>
        <w:t>年整体支出绩效评价报告</w:t>
      </w:r>
    </w:p>
    <w:p>
      <w:pPr>
        <w:widowControl/>
        <w:adjustRightInd w:val="0"/>
        <w:snapToGrid w:val="0"/>
        <w:spacing w:line="580" w:lineRule="exact"/>
        <w:ind w:firstLineChars="200" w:firstLine="480"/>
        <w:contextualSpacing/>
        <w:jc w:val="left"/>
        <w:rPr>
          <w:rFonts w:ascii="仿宋" w:eastAsia="仿宋" w:cs="仿宋" w:hint="eastAsia"/>
          <w:color w:val="000000"/>
          <w:kern w:val="0"/>
          <w:sz w:val="24"/>
          <w:szCs w:val="32"/>
          <w:shd w:val="clear" w:color="auto" w:fill="FFFFFF"/>
        </w:rPr>
      </w:pPr>
    </w:p>
    <w:p>
      <w:pPr>
        <w:keepNext w:val="0"/>
        <w:keepLines w:val="0"/>
        <w:pageBreakBefore w:val="0"/>
        <w:widowControl/>
        <w:kinsoku/>
        <w:wordWrap/>
        <w:overflowPunct/>
        <w:topLinePunct w:val="0"/>
        <w:autoSpaceDE/>
        <w:autoSpaceDN/>
        <w:adjustRightInd w:val="0"/>
        <w:snapToGrid w:val="0"/>
        <w:spacing w:line="578" w:lineRule="exact"/>
        <w:ind w:left="0" w:firstLineChars="200" w:firstLine="640"/>
        <w:contextualSpacing/>
        <w:jc w:val="left"/>
        <w:rPr>
          <w:rFonts w:ascii="仿宋" w:eastAsia="仿宋" w:cs="仿宋" w:hint="eastAsia"/>
          <w:b/>
          <w:color w:val="000000"/>
          <w:kern w:val="0"/>
          <w:sz w:val="32"/>
          <w:szCs w:val="32"/>
          <w:shd w:val="clear" w:color="auto" w:fill="FFFFFF"/>
          <w:lang w:val="zh-CN"/>
        </w:rPr>
      </w:pPr>
      <w:r>
        <w:rPr>
          <w:rFonts w:ascii="仿宋" w:eastAsia="仿宋" w:cs="仿宋" w:hint="eastAsia"/>
          <w:b/>
          <w:color w:val="000000"/>
          <w:kern w:val="0"/>
          <w:sz w:val="32"/>
          <w:szCs w:val="32"/>
          <w:shd w:val="clear" w:color="auto" w:fill="FFFFFF"/>
          <w:lang w:val="zh-CN"/>
        </w:rPr>
        <w:t>一、部门（单位）概况</w:t>
      </w:r>
    </w:p>
    <w:p>
      <w:pPr>
        <w:widowControl/>
        <w:adjustRightInd w:val="0"/>
        <w:snapToGrid w:val="0"/>
        <w:spacing w:line="580" w:lineRule="exact"/>
        <w:ind w:firstLineChars="200" w:firstLine="640"/>
        <w:contextualSpacing/>
        <w:jc w:val="left"/>
        <w:rPr>
          <w:rFonts w:ascii="仿宋" w:eastAsia="仿宋" w:cs="仿宋" w:hint="eastAsia"/>
          <w:b/>
          <w:color w:val="000000"/>
          <w:kern w:val="0"/>
          <w:sz w:val="32"/>
          <w:szCs w:val="32"/>
          <w:shd w:val="clear" w:color="auto" w:fill="FFFFFF"/>
          <w:lang w:val="zh-CN"/>
        </w:rPr>
      </w:pPr>
      <w:bookmarkStart w:id="53" w:name="OLE_LINK1"/>
      <w:r>
        <w:rPr>
          <w:rFonts w:ascii="仿宋" w:eastAsia="仿宋" w:cs="仿宋" w:hint="eastAsia"/>
          <w:b/>
          <w:color w:val="000000"/>
          <w:kern w:val="0"/>
          <w:sz w:val="32"/>
          <w:szCs w:val="32"/>
          <w:shd w:val="clear" w:color="auto" w:fill="FFFFFF"/>
          <w:lang w:val="zh-CN"/>
        </w:rPr>
        <w:t>（一）机构组成。</w:t>
      </w:r>
    </w:p>
    <w:p>
      <w:pPr>
        <w:widowControl/>
        <w:adjustRightInd w:val="0"/>
        <w:snapToGrid w:val="0"/>
        <w:spacing w:line="580" w:lineRule="exact"/>
        <w:ind w:firstLineChars="200" w:firstLine="640"/>
        <w:contextualSpacing/>
        <w:jc w:val="left"/>
        <w:rPr>
          <w:rFonts w:ascii="仿宋" w:eastAsia="仿宋" w:cs="仿宋" w:hint="eastAsia"/>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rPr>
        <w:t>四川省阿坝州民族高级中学是独立的二级预算单位，学校办学宗旨是教书育人，以三语（即藏、汉、英）教育教学，为各行各业培养优秀人才。学校校编制155名，其中：行政编制0名；事业编制155名；工勤编制0名。在职人员总数</w:t>
      </w:r>
      <w:r>
        <w:rPr>
          <w:rFonts w:ascii="仿宋" w:eastAsia="仿宋" w:cs="仿宋"/>
          <w:color w:val="000000"/>
          <w:kern w:val="0"/>
          <w:sz w:val="32"/>
          <w:szCs w:val="32"/>
          <w:shd w:val="clear" w:color="auto" w:fill="FFFFFF"/>
        </w:rPr>
        <w:t>140</w:t>
      </w:r>
      <w:r>
        <w:rPr>
          <w:rFonts w:ascii="仿宋" w:eastAsia="仿宋" w:cs="仿宋" w:hint="eastAsia"/>
          <w:color w:val="000000"/>
          <w:kern w:val="0"/>
          <w:sz w:val="32"/>
          <w:szCs w:val="32"/>
          <w:shd w:val="clear" w:color="auto" w:fill="FFFFFF"/>
        </w:rPr>
        <w:t>人，其中：事业人员</w:t>
      </w:r>
      <w:r>
        <w:rPr>
          <w:rFonts w:ascii="仿宋" w:eastAsia="仿宋" w:cs="仿宋"/>
          <w:color w:val="000000"/>
          <w:kern w:val="0"/>
          <w:sz w:val="32"/>
          <w:szCs w:val="32"/>
          <w:shd w:val="clear" w:color="auto" w:fill="FFFFFF"/>
        </w:rPr>
        <w:t>140</w:t>
      </w:r>
      <w:r>
        <w:rPr>
          <w:rFonts w:ascii="仿宋" w:eastAsia="仿宋" w:cs="仿宋" w:hint="eastAsia"/>
          <w:color w:val="000000"/>
          <w:kern w:val="0"/>
          <w:sz w:val="32"/>
          <w:szCs w:val="32"/>
          <w:shd w:val="clear" w:color="auto" w:fill="FFFFFF"/>
        </w:rPr>
        <w:t>人，行政人员0人，参照公务员法管理的事业人员0人；退休人员</w:t>
      </w:r>
      <w:r>
        <w:rPr>
          <w:rFonts w:ascii="仿宋" w:eastAsia="仿宋" w:cs="仿宋"/>
          <w:color w:val="000000"/>
          <w:kern w:val="0"/>
          <w:sz w:val="32"/>
          <w:szCs w:val="32"/>
          <w:shd w:val="solid" w:color="FFFFFF" w:fill="FFFFFF"/>
        </w:rPr>
        <w:t>61人。</w:t>
      </w:r>
    </w:p>
    <w:p>
      <w:pPr>
        <w:widowControl/>
        <w:adjustRightInd w:val="0"/>
        <w:snapToGrid w:val="0"/>
        <w:spacing w:line="580" w:lineRule="exact"/>
        <w:ind w:firstLineChars="200" w:firstLine="640"/>
        <w:contextualSpacing/>
        <w:jc w:val="left"/>
        <w:rPr>
          <w:rFonts w:ascii="仿宋" w:eastAsia="仿宋" w:cs="仿宋" w:hint="eastAsia"/>
          <w:b/>
          <w:color w:val="000000"/>
          <w:kern w:val="0"/>
          <w:sz w:val="32"/>
          <w:szCs w:val="32"/>
          <w:shd w:val="clear" w:color="auto" w:fill="FFFFFF"/>
          <w:lang w:val="zh-CN"/>
        </w:rPr>
      </w:pPr>
      <w:r>
        <w:rPr>
          <w:rFonts w:ascii="仿宋" w:eastAsia="仿宋" w:cs="仿宋" w:hint="eastAsia"/>
          <w:b/>
          <w:color w:val="000000"/>
          <w:kern w:val="0"/>
          <w:sz w:val="32"/>
          <w:szCs w:val="32"/>
          <w:shd w:val="clear" w:color="auto" w:fill="FFFFFF"/>
          <w:lang w:val="zh-CN"/>
        </w:rPr>
        <w:t>（二）机构职能。</w:t>
      </w:r>
    </w:p>
    <w:p>
      <w:pPr>
        <w:widowControl/>
        <w:adjustRightInd w:val="0"/>
        <w:snapToGrid w:val="0"/>
        <w:spacing w:line="580" w:lineRule="exact"/>
        <w:ind w:firstLineChars="200" w:firstLine="640"/>
        <w:contextualSpacing/>
        <w:jc w:val="left"/>
        <w:rPr>
          <w:rFonts w:ascii="仿宋" w:eastAsia="仿宋" w:cs="仿宋" w:hint="eastAsia"/>
          <w:b/>
          <w:bCs/>
          <w:color w:val="000000"/>
          <w:kern w:val="0"/>
          <w:sz w:val="32"/>
          <w:szCs w:val="32"/>
          <w:shd w:val="clear" w:color="auto" w:fill="FFFFFF"/>
        </w:rPr>
      </w:pPr>
      <w:r>
        <w:rPr>
          <w:rFonts w:ascii="仿宋" w:eastAsia="仿宋" w:cs="仿宋" w:hint="eastAsia"/>
          <w:b/>
          <w:bCs/>
          <w:color w:val="000000"/>
          <w:kern w:val="0"/>
          <w:sz w:val="32"/>
          <w:szCs w:val="32"/>
          <w:shd w:val="clear" w:color="auto" w:fill="FFFFFF"/>
        </w:rPr>
        <w:t>1、凝聚人心，抓好班子建设</w:t>
      </w:r>
    </w:p>
    <w:p>
      <w:pPr>
        <w:widowControl/>
        <w:adjustRightInd w:val="0"/>
        <w:snapToGrid w:val="0"/>
        <w:spacing w:line="580" w:lineRule="exact"/>
        <w:ind w:firstLineChars="200" w:firstLine="640"/>
        <w:contextualSpacing/>
        <w:jc w:val="left"/>
        <w:rPr>
          <w:rFonts w:ascii="仿宋" w:eastAsia="仿宋" w:cs="仿宋" w:hint="eastAsia"/>
          <w:bCs/>
          <w:color w:val="000000"/>
          <w:kern w:val="0"/>
          <w:sz w:val="32"/>
          <w:szCs w:val="32"/>
          <w:shd w:val="clear" w:color="auto" w:fill="FFFFFF"/>
        </w:rPr>
      </w:pPr>
      <w:r>
        <w:rPr>
          <w:rFonts w:ascii="仿宋" w:eastAsia="仿宋" w:cs="仿宋" w:hint="eastAsia"/>
          <w:color w:val="000000"/>
          <w:kern w:val="0"/>
          <w:sz w:val="32"/>
          <w:szCs w:val="32"/>
          <w:shd w:val="clear" w:color="auto" w:fill="FFFFFF"/>
        </w:rPr>
        <w:t>学校以创建“四好”班子为载体，继续</w:t>
      </w:r>
      <w:r>
        <w:rPr>
          <w:rFonts w:ascii="仿宋" w:eastAsia="仿宋" w:cs="仿宋" w:hint="eastAsia"/>
          <w:bCs/>
          <w:color w:val="000000"/>
          <w:kern w:val="0"/>
          <w:sz w:val="32"/>
          <w:szCs w:val="32"/>
          <w:shd w:val="clear" w:color="auto" w:fill="FFFFFF"/>
        </w:rPr>
        <w:t>从“严”入手，深化作风建设，在民心稳定、思想统一的基础上进一步严格制度、严肃纪律、严谨工作，实现严规守纪、求真务实、创新求变的良好局面，确保各项工作的顺利开展。</w:t>
      </w:r>
    </w:p>
    <w:p>
      <w:pPr>
        <w:widowControl/>
        <w:adjustRightInd w:val="0"/>
        <w:snapToGrid w:val="0"/>
        <w:spacing w:line="580" w:lineRule="exact"/>
        <w:ind w:firstLineChars="200" w:firstLine="640"/>
        <w:contextualSpacing/>
        <w:jc w:val="left"/>
        <w:rPr>
          <w:rFonts w:ascii="仿宋" w:eastAsia="仿宋" w:cs="仿宋" w:hint="eastAsia"/>
          <w:b/>
          <w:color w:val="000000"/>
          <w:kern w:val="0"/>
          <w:sz w:val="32"/>
          <w:szCs w:val="32"/>
          <w:shd w:val="clear" w:color="auto" w:fill="FFFFFF"/>
        </w:rPr>
      </w:pPr>
      <w:r>
        <w:rPr>
          <w:rFonts w:ascii="仿宋" w:eastAsia="仿宋" w:cs="仿宋" w:hint="eastAsia"/>
          <w:b/>
          <w:bCs/>
          <w:color w:val="000000"/>
          <w:kern w:val="0"/>
          <w:sz w:val="32"/>
          <w:szCs w:val="32"/>
          <w:shd w:val="clear" w:color="auto" w:fill="FFFFFF"/>
        </w:rPr>
        <w:t>2、教学相长</w:t>
      </w:r>
      <w:r>
        <w:rPr>
          <w:rFonts w:ascii="仿宋" w:eastAsia="仿宋" w:cs="仿宋" w:hint="eastAsia"/>
          <w:b/>
          <w:color w:val="000000"/>
          <w:kern w:val="0"/>
          <w:sz w:val="32"/>
          <w:szCs w:val="32"/>
          <w:shd w:val="clear" w:color="auto" w:fill="FFFFFF"/>
        </w:rPr>
        <w:t>，抓好教师队伍建设</w:t>
      </w:r>
    </w:p>
    <w:p>
      <w:pPr>
        <w:widowControl/>
        <w:adjustRightInd w:val="0"/>
        <w:snapToGrid w:val="0"/>
        <w:spacing w:line="580"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通过招聘</w:t>
      </w:r>
      <w:r>
        <w:rPr>
          <w:rFonts w:ascii="仿宋" w:eastAsia="仿宋" w:cs="仿宋"/>
          <w:color w:val="000000"/>
          <w:kern w:val="0"/>
          <w:sz w:val="32"/>
          <w:szCs w:val="32"/>
          <w:shd w:val="clear" w:color="auto" w:fill="FFFFFF"/>
        </w:rPr>
        <w:t>及人才引进</w:t>
      </w:r>
      <w:r>
        <w:rPr>
          <w:rFonts w:ascii="仿宋" w:eastAsia="仿宋" w:cs="仿宋" w:hint="eastAsia"/>
          <w:color w:val="000000"/>
          <w:kern w:val="0"/>
          <w:sz w:val="32"/>
          <w:szCs w:val="32"/>
          <w:shd w:val="clear" w:color="auto" w:fill="FFFFFF"/>
        </w:rPr>
        <w:t>补充新鲜血液,强化宗旨意识，弘扬师德师风,强化内部教研和校本培训,加强校本研修力度,走出去观摩学习,深入开展教学公开课,</w:t>
      </w:r>
      <w:r>
        <w:rPr>
          <w:rFonts w:ascii="仿宋" w:eastAsia="仿宋" w:cs="仿宋" w:hint="eastAsia"/>
          <w:bCs/>
          <w:color w:val="000000"/>
          <w:kern w:val="0"/>
          <w:sz w:val="32"/>
          <w:szCs w:val="32"/>
          <w:shd w:val="clear" w:color="auto" w:fill="FFFFFF"/>
        </w:rPr>
        <w:t>认真做好语言文字工作,</w:t>
      </w:r>
      <w:r>
        <w:rPr>
          <w:rFonts w:ascii="仿宋" w:eastAsia="仿宋" w:cs="仿宋" w:hint="eastAsia"/>
          <w:color w:val="000000"/>
          <w:kern w:val="0"/>
          <w:sz w:val="32"/>
          <w:szCs w:val="32"/>
          <w:shd w:val="clear" w:color="auto" w:fill="FFFFFF"/>
        </w:rPr>
        <w:t>完成各类培训工作。</w:t>
      </w:r>
    </w:p>
    <w:p>
      <w:pPr>
        <w:widowControl/>
        <w:adjustRightInd w:val="0"/>
        <w:snapToGrid w:val="0"/>
        <w:spacing w:line="580"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b/>
          <w:bCs/>
          <w:color w:val="000000"/>
          <w:kern w:val="0"/>
          <w:sz w:val="32"/>
          <w:szCs w:val="32"/>
          <w:shd w:val="clear" w:color="auto" w:fill="FFFFFF"/>
        </w:rPr>
        <w:t>3、质量立校</w:t>
      </w:r>
      <w:r>
        <w:rPr>
          <w:rFonts w:ascii="仿宋" w:eastAsia="仿宋" w:cs="仿宋" w:hint="eastAsia"/>
          <w:b/>
          <w:color w:val="000000"/>
          <w:kern w:val="0"/>
          <w:sz w:val="32"/>
          <w:szCs w:val="32"/>
          <w:shd w:val="clear" w:color="auto" w:fill="FFFFFF"/>
        </w:rPr>
        <w:t>，抓好教育教学管理</w:t>
      </w:r>
    </w:p>
    <w:p>
      <w:pPr>
        <w:widowControl/>
        <w:adjustRightInd w:val="0"/>
        <w:snapToGrid w:val="0"/>
        <w:spacing w:line="580"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认真抓好双语高中教学工作，做好了学校招考工作。明确了培养目标和教学计划，规范了办学行为和招生制度，完成了高中阶段招生统一评卷工作，按时上报招生旬报，无违规招生行为。</w:t>
      </w:r>
    </w:p>
    <w:p>
      <w:pPr>
        <w:widowControl/>
        <w:adjustRightInd w:val="0"/>
        <w:snapToGrid w:val="0"/>
        <w:spacing w:line="580" w:lineRule="exact"/>
        <w:ind w:firstLineChars="200" w:firstLine="640"/>
        <w:contextualSpacing/>
        <w:jc w:val="left"/>
        <w:rPr>
          <w:rFonts w:ascii="仿宋" w:eastAsia="仿宋" w:cs="仿宋" w:hint="eastAsia"/>
          <w:b/>
          <w:bCs/>
          <w:color w:val="000000"/>
          <w:kern w:val="0"/>
          <w:sz w:val="32"/>
          <w:szCs w:val="32"/>
          <w:shd w:val="clear" w:color="auto" w:fill="FFFFFF"/>
        </w:rPr>
      </w:pPr>
      <w:r>
        <w:rPr>
          <w:rFonts w:ascii="仿宋" w:eastAsia="仿宋" w:cs="仿宋" w:hint="eastAsia"/>
          <w:b/>
          <w:bCs/>
          <w:color w:val="000000"/>
          <w:kern w:val="0"/>
          <w:sz w:val="32"/>
          <w:szCs w:val="32"/>
          <w:shd w:val="clear" w:color="auto" w:fill="FFFFFF"/>
        </w:rPr>
        <w:t>4、立德立本，抓好安全德育管理</w:t>
      </w:r>
    </w:p>
    <w:p>
      <w:pPr>
        <w:widowControl/>
        <w:adjustRightInd w:val="0"/>
        <w:snapToGrid w:val="0"/>
        <w:spacing w:line="580"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一是认真做好德育管理工作。二是认真做好安全管理工作。</w:t>
      </w:r>
    </w:p>
    <w:p>
      <w:pPr>
        <w:widowControl/>
        <w:adjustRightInd w:val="0"/>
        <w:snapToGrid w:val="0"/>
        <w:spacing w:line="580" w:lineRule="exact"/>
        <w:ind w:firstLineChars="200" w:firstLine="640"/>
        <w:contextualSpacing/>
        <w:jc w:val="left"/>
        <w:rPr>
          <w:rFonts w:ascii="仿宋" w:eastAsia="仿宋" w:cs="仿宋" w:hint="eastAsia"/>
          <w:b/>
          <w:color w:val="000000"/>
          <w:kern w:val="0"/>
          <w:sz w:val="32"/>
          <w:szCs w:val="32"/>
          <w:shd w:val="clear" w:color="auto" w:fill="FFFFFF"/>
          <w:lang w:val="zh-CN"/>
        </w:rPr>
      </w:pPr>
      <w:r>
        <w:rPr>
          <w:rFonts w:ascii="仿宋" w:eastAsia="仿宋" w:cs="仿宋" w:hint="eastAsia"/>
          <w:b/>
          <w:color w:val="000000"/>
          <w:kern w:val="0"/>
          <w:sz w:val="32"/>
          <w:szCs w:val="32"/>
          <w:shd w:val="clear" w:color="auto" w:fill="FFFFFF"/>
          <w:lang w:val="zh-CN"/>
        </w:rPr>
        <w:t>（三）人员概况。</w:t>
      </w:r>
    </w:p>
    <w:p>
      <w:pPr>
        <w:widowControl/>
        <w:adjustRightInd w:val="0"/>
        <w:snapToGrid w:val="0"/>
        <w:spacing w:line="480" w:lineRule="exact"/>
        <w:ind w:firstLineChars="200" w:firstLine="640"/>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lang w:val="zh-CN"/>
        </w:rPr>
        <w:t>四川省阿坝州民族高级中学事业编制</w:t>
      </w:r>
      <w:r>
        <w:rPr>
          <w:rFonts w:ascii="仿宋" w:eastAsia="仿宋" w:cs="仿宋" w:hint="eastAsia"/>
          <w:color w:val="000000"/>
          <w:kern w:val="0"/>
          <w:sz w:val="32"/>
          <w:szCs w:val="32"/>
        </w:rPr>
        <w:t>155个，</w:t>
      </w:r>
      <w:r>
        <w:rPr>
          <w:rFonts w:ascii="仿宋" w:eastAsia="仿宋" w:cs="仿宋" w:hint="eastAsia"/>
          <w:color w:val="000000"/>
          <w:kern w:val="0"/>
          <w:sz w:val="32"/>
          <w:szCs w:val="32"/>
          <w:lang w:val="zh-CN"/>
        </w:rPr>
        <w:t>截止</w:t>
      </w:r>
      <w:r>
        <w:rPr>
          <w:rFonts w:ascii="仿宋" w:eastAsia="仿宋" w:cs="仿宋" w:hint="eastAsia"/>
          <w:color w:val="000000"/>
          <w:kern w:val="0"/>
          <w:sz w:val="32"/>
          <w:szCs w:val="32"/>
        </w:rPr>
        <w:t>202</w:t>
      </w:r>
      <w:r>
        <w:rPr>
          <w:rFonts w:ascii="仿宋" w:eastAsia="仿宋" w:cs="仿宋"/>
          <w:color w:val="000000"/>
          <w:kern w:val="0"/>
          <w:sz w:val="32"/>
          <w:szCs w:val="32"/>
          <w:lang w:val="en-US" w:eastAsia="zh-CN"/>
        </w:rPr>
        <w:t>5</w:t>
      </w:r>
      <w:r>
        <w:rPr>
          <w:rFonts w:ascii="仿宋" w:eastAsia="仿宋" w:cs="仿宋" w:hint="eastAsia"/>
          <w:color w:val="000000"/>
          <w:kern w:val="0"/>
          <w:sz w:val="32"/>
          <w:szCs w:val="32"/>
        </w:rPr>
        <w:t>年</w:t>
      </w:r>
      <w:r>
        <w:rPr>
          <w:rFonts w:ascii="仿宋" w:eastAsia="仿宋" w:cs="仿宋"/>
          <w:color w:val="000000"/>
          <w:kern w:val="0"/>
          <w:sz w:val="32"/>
          <w:szCs w:val="32"/>
        </w:rPr>
        <w:t>末</w:t>
      </w:r>
      <w:r>
        <w:rPr>
          <w:rFonts w:ascii="仿宋" w:eastAsia="仿宋" w:cs="仿宋" w:hint="eastAsia"/>
          <w:color w:val="000000"/>
          <w:kern w:val="0"/>
          <w:sz w:val="32"/>
          <w:szCs w:val="32"/>
        </w:rPr>
        <w:t>实有</w:t>
      </w:r>
      <w:r>
        <w:rPr>
          <w:rFonts w:ascii="仿宋" w:eastAsia="仿宋" w:cs="仿宋"/>
          <w:color w:val="000000"/>
          <w:kern w:val="0"/>
          <w:sz w:val="32"/>
          <w:szCs w:val="32"/>
          <w:lang w:val="en-US" w:eastAsia="zh-CN"/>
        </w:rPr>
        <w:t>140</w:t>
      </w:r>
      <w:r>
        <w:rPr>
          <w:rFonts w:ascii="仿宋" w:eastAsia="仿宋" w:cs="仿宋" w:hint="eastAsia"/>
          <w:color w:val="000000"/>
          <w:kern w:val="0"/>
          <w:sz w:val="32"/>
          <w:szCs w:val="32"/>
        </w:rPr>
        <w:t>人为在编事业人员，</w:t>
      </w:r>
      <w:r>
        <w:rPr>
          <w:rStyle w:val="38"/>
          <w:rFonts w:ascii="仿宋" w:eastAsia="仿宋" w:cs="仿宋" w:hint="eastAsia"/>
          <w:sz w:val="32"/>
          <w:szCs w:val="32"/>
        </w:rPr>
        <w:t>行政人员0人，参</w:t>
      </w:r>
      <w:r>
        <w:rPr>
          <w:rStyle w:val="39"/>
          <w:rFonts w:ascii="仿宋" w:eastAsia="仿宋" w:cs="仿宋" w:hint="eastAsia"/>
          <w:color w:val="333333"/>
          <w:sz w:val="32"/>
          <w:szCs w:val="32"/>
        </w:rPr>
        <w:t>照公务员法管理的事业人员0人。</w:t>
      </w:r>
    </w:p>
    <w:p>
      <w:pPr>
        <w:widowControl/>
        <w:adjustRightInd w:val="0"/>
        <w:snapToGrid w:val="0"/>
        <w:spacing w:line="580" w:lineRule="exact"/>
        <w:ind w:firstLineChars="200" w:firstLine="640"/>
        <w:contextualSpacing/>
        <w:jc w:val="left"/>
        <w:rPr>
          <w:rFonts w:ascii="仿宋" w:eastAsia="仿宋" w:cs="仿宋" w:hint="eastAsia"/>
          <w:b/>
          <w:color w:val="000000"/>
          <w:kern w:val="0"/>
          <w:sz w:val="32"/>
          <w:szCs w:val="32"/>
          <w:shd w:val="clear" w:color="auto" w:fill="FFFFFF"/>
          <w:lang w:val="zh-CN"/>
        </w:rPr>
      </w:pPr>
      <w:bookmarkEnd w:id="53"/>
      <w:r>
        <w:rPr>
          <w:rFonts w:ascii="仿宋" w:eastAsia="仿宋" w:cs="仿宋" w:hint="eastAsia"/>
          <w:b/>
          <w:color w:val="000000"/>
          <w:kern w:val="0"/>
          <w:sz w:val="32"/>
          <w:szCs w:val="32"/>
          <w:shd w:val="clear" w:color="auto" w:fill="FFFFFF"/>
          <w:lang w:val="zh-CN"/>
        </w:rPr>
        <w:t>二、部门财政资金收支情况</w:t>
      </w:r>
    </w:p>
    <w:p>
      <w:pPr>
        <w:widowControl/>
        <w:adjustRightInd w:val="0"/>
        <w:snapToGrid w:val="0"/>
        <w:spacing w:line="580" w:lineRule="exact"/>
        <w:ind w:firstLineChars="200" w:firstLine="640"/>
        <w:contextualSpacing/>
        <w:jc w:val="left"/>
        <w:rPr>
          <w:rFonts w:ascii="仿宋" w:eastAsia="仿宋" w:cs="仿宋" w:hint="eastAsia"/>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lang w:val="zh-CN"/>
        </w:rPr>
        <w:t>（</w:t>
      </w:r>
      <w:r>
        <w:rPr>
          <w:rFonts w:ascii="仿宋" w:eastAsia="仿宋" w:cs="仿宋" w:hint="eastAsia"/>
          <w:b/>
          <w:color w:val="000000"/>
          <w:kern w:val="0"/>
          <w:sz w:val="32"/>
          <w:szCs w:val="32"/>
          <w:shd w:val="clear" w:color="auto" w:fill="FFFFFF"/>
          <w:lang w:val="zh-CN"/>
        </w:rPr>
        <w:t>一）部门财政资金收入情况。</w:t>
      </w:r>
    </w:p>
    <w:p>
      <w:pPr>
        <w:widowControl/>
        <w:adjustRightInd w:val="0"/>
        <w:snapToGrid w:val="0"/>
        <w:spacing w:line="560" w:lineRule="exact"/>
        <w:ind w:firstLineChars="200" w:firstLine="640"/>
        <w:rPr>
          <w:rFonts w:ascii="仿宋" w:eastAsia="仿宋" w:cs="仿宋" w:hint="eastAsia"/>
          <w:color w:val="000000"/>
          <w:kern w:val="0"/>
          <w:sz w:val="32"/>
          <w:szCs w:val="32"/>
          <w:lang w:val="zh-CN"/>
        </w:rPr>
      </w:pPr>
      <w:r>
        <w:rPr>
          <w:rFonts w:ascii="仿宋" w:eastAsia="仿宋" w:cs="仿宋" w:hint="eastAsia"/>
          <w:b/>
          <w:bCs/>
          <w:color w:val="000000"/>
          <w:kern w:val="0"/>
          <w:sz w:val="32"/>
          <w:szCs w:val="32"/>
        </w:rPr>
        <w:t>202</w:t>
      </w:r>
      <w:r>
        <w:rPr>
          <w:rFonts w:ascii="仿宋" w:eastAsia="仿宋" w:cs="仿宋"/>
          <w:b/>
          <w:bCs/>
          <w:color w:val="000000"/>
          <w:kern w:val="0"/>
          <w:sz w:val="32"/>
          <w:szCs w:val="32"/>
        </w:rPr>
        <w:t>5</w:t>
      </w:r>
      <w:r>
        <w:rPr>
          <w:rFonts w:ascii="仿宋" w:eastAsia="仿宋" w:cs="仿宋" w:hint="eastAsia"/>
          <w:b/>
          <w:bCs/>
          <w:color w:val="000000"/>
          <w:kern w:val="0"/>
          <w:sz w:val="32"/>
          <w:szCs w:val="32"/>
        </w:rPr>
        <w:t>年部门财政资金收入情况：</w:t>
      </w:r>
      <w:r>
        <w:rPr>
          <w:rFonts w:ascii="仿宋" w:eastAsia="仿宋" w:cs="仿宋" w:hint="eastAsia"/>
          <w:color w:val="000000"/>
          <w:kern w:val="0"/>
          <w:sz w:val="32"/>
          <w:szCs w:val="32"/>
        </w:rPr>
        <w:t>2</w:t>
      </w:r>
      <w:r>
        <w:rPr>
          <w:rFonts w:ascii="仿宋" w:eastAsia="仿宋" w:cs="仿宋" w:hint="eastAsia"/>
          <w:color w:val="000000"/>
          <w:kern w:val="0"/>
          <w:sz w:val="32"/>
          <w:szCs w:val="32"/>
          <w:lang w:val="zh-CN"/>
        </w:rPr>
        <w:t>02</w:t>
      </w:r>
      <w:r>
        <w:rPr>
          <w:rFonts w:ascii="仿宋" w:eastAsia="仿宋" w:cs="仿宋" w:hint="eastAsia"/>
          <w:color w:val="000000"/>
          <w:kern w:val="0"/>
          <w:sz w:val="32"/>
          <w:szCs w:val="32"/>
          <w:lang w:val="zh-CN" w:eastAsia="zh-CN"/>
        </w:rPr>
        <w:t>5</w:t>
      </w:r>
      <w:r>
        <w:rPr>
          <w:rFonts w:ascii="仿宋" w:eastAsia="仿宋" w:cs="仿宋" w:hint="eastAsia"/>
          <w:color w:val="000000"/>
          <w:kern w:val="0"/>
          <w:sz w:val="32"/>
          <w:szCs w:val="32"/>
          <w:lang w:val="zh-CN"/>
        </w:rPr>
        <w:t>年财政一般公共预算数47,844,670.25元，202</w:t>
      </w:r>
      <w:r>
        <w:rPr>
          <w:rFonts w:ascii="仿宋" w:eastAsia="仿宋" w:cs="仿宋" w:hint="eastAsia"/>
          <w:color w:val="000000"/>
          <w:kern w:val="0"/>
          <w:sz w:val="32"/>
          <w:szCs w:val="32"/>
          <w:lang w:val="zh-CN" w:eastAsia="zh-CN"/>
        </w:rPr>
        <w:t>4</w:t>
      </w:r>
      <w:r>
        <w:rPr>
          <w:rFonts w:ascii="仿宋" w:eastAsia="仿宋" w:cs="仿宋" w:hint="eastAsia"/>
          <w:color w:val="000000"/>
          <w:kern w:val="0"/>
          <w:sz w:val="32"/>
          <w:szCs w:val="32"/>
          <w:lang w:val="zh-CN"/>
        </w:rPr>
        <w:t>年财政一般公共预算数</w:t>
      </w:r>
      <w:r>
        <w:rPr>
          <w:rFonts w:ascii="仿宋" w:eastAsia="仿宋" w:cs="仿宋" w:hint="eastAsia"/>
          <w:color w:val="000000"/>
          <w:kern w:val="0"/>
          <w:sz w:val="32"/>
          <w:szCs w:val="32"/>
          <w:lang w:val="zh-CN" w:eastAsia="zh-CN"/>
        </w:rPr>
        <w:t>49466806.96</w:t>
      </w:r>
      <w:r>
        <w:rPr>
          <w:rFonts w:ascii="仿宋" w:eastAsia="仿宋" w:cs="仿宋" w:hint="eastAsia"/>
          <w:color w:val="000000"/>
          <w:kern w:val="0"/>
          <w:sz w:val="32"/>
          <w:szCs w:val="32"/>
          <w:lang w:val="zh-CN"/>
        </w:rPr>
        <w:t>元，2025年一般公共预算财政拨款收入较上年</w:t>
      </w:r>
      <w:r>
        <w:rPr>
          <w:rFonts w:ascii="仿宋" w:eastAsia="仿宋" w:cs="仿宋" w:hint="eastAsia"/>
          <w:color w:val="000000"/>
          <w:kern w:val="0"/>
          <w:sz w:val="32"/>
          <w:szCs w:val="32"/>
          <w:lang w:val="zh-CN" w:eastAsia="zh-CN"/>
        </w:rPr>
        <w:t>减少1622136.71</w:t>
      </w:r>
      <w:r>
        <w:rPr>
          <w:rFonts w:ascii="仿宋" w:eastAsia="仿宋" w:cs="仿宋" w:hint="eastAsia"/>
          <w:color w:val="000000"/>
          <w:kern w:val="0"/>
          <w:sz w:val="32"/>
          <w:szCs w:val="32"/>
          <w:lang w:val="zh-CN"/>
        </w:rPr>
        <w:t>元，主要是项目减少</w:t>
      </w:r>
      <w:r>
        <w:rPr>
          <w:rFonts w:ascii="仿宋" w:eastAsia="仿宋" w:cs="仿宋" w:hint="eastAsia"/>
          <w:color w:val="000000"/>
          <w:kern w:val="0"/>
          <w:sz w:val="32"/>
          <w:szCs w:val="32"/>
          <w:lang w:val="zh-CN" w:eastAsia="zh-CN"/>
        </w:rPr>
        <w:t>；其他收入为</w:t>
      </w:r>
      <w:r>
        <w:rPr>
          <w:rFonts w:ascii="仿宋" w:eastAsia="仿宋" w:cs="仿宋" w:hint="eastAsia"/>
          <w:color w:val="000000"/>
          <w:kern w:val="0"/>
          <w:sz w:val="32"/>
          <w:szCs w:val="32"/>
          <w:lang w:val="zh-CN"/>
        </w:rPr>
        <w:t>9,208,477.50元</w:t>
      </w:r>
      <w:r>
        <w:rPr>
          <w:rFonts w:ascii="仿宋" w:eastAsia="仿宋" w:cs="仿宋" w:hint="eastAsia"/>
          <w:color w:val="000000"/>
          <w:kern w:val="0"/>
          <w:sz w:val="32"/>
          <w:szCs w:val="32"/>
          <w:lang w:val="zh-CN" w:eastAsia="zh-CN"/>
        </w:rPr>
        <w:t>，结转3451708.62元，为非财政拨款收入</w:t>
      </w:r>
      <w:r>
        <w:rPr>
          <w:rFonts w:ascii="仿宋" w:eastAsia="仿宋" w:cs="仿宋" w:hint="eastAsia"/>
          <w:color w:val="000000"/>
          <w:kern w:val="0"/>
          <w:sz w:val="32"/>
          <w:szCs w:val="32"/>
          <w:lang w:val="zh-CN"/>
        </w:rPr>
        <w:t>。</w:t>
      </w:r>
    </w:p>
    <w:p>
      <w:pPr>
        <w:widowControl/>
        <w:adjustRightInd w:val="0"/>
        <w:snapToGrid w:val="0"/>
        <w:spacing w:line="580" w:lineRule="exact"/>
        <w:ind w:firstLineChars="200" w:firstLine="640"/>
        <w:contextualSpacing/>
        <w:jc w:val="left"/>
        <w:rPr>
          <w:rFonts w:ascii="仿宋" w:eastAsia="仿宋" w:cs="仿宋" w:hint="eastAsia"/>
          <w:color w:val="000000"/>
          <w:kern w:val="0"/>
          <w:sz w:val="32"/>
          <w:szCs w:val="32"/>
          <w:shd w:val="clear" w:color="auto" w:fill="FFFFFF"/>
          <w:lang w:val="zh-CN"/>
        </w:rPr>
      </w:pPr>
      <w:r>
        <w:rPr>
          <w:rFonts w:ascii="仿宋" w:eastAsia="仿宋" w:cs="仿宋" w:hint="eastAsia"/>
          <w:b/>
          <w:color w:val="000000"/>
          <w:kern w:val="0"/>
          <w:sz w:val="32"/>
          <w:szCs w:val="32"/>
          <w:shd w:val="clear" w:color="auto" w:fill="FFFFFF"/>
          <w:lang w:val="zh-CN"/>
        </w:rPr>
        <w:t>（二）部门财政资金支出情况</w:t>
      </w:r>
      <w:r>
        <w:rPr>
          <w:rFonts w:ascii="仿宋" w:eastAsia="仿宋" w:cs="仿宋" w:hint="eastAsia"/>
          <w:color w:val="000000"/>
          <w:kern w:val="0"/>
          <w:sz w:val="32"/>
          <w:szCs w:val="32"/>
          <w:shd w:val="clear" w:color="auto" w:fill="FFFFFF"/>
          <w:lang w:val="zh-CN"/>
        </w:rPr>
        <w:t>。</w:t>
      </w:r>
    </w:p>
    <w:p>
      <w:pPr>
        <w:widowControl/>
        <w:adjustRightInd w:val="0"/>
        <w:snapToGrid w:val="0"/>
        <w:spacing w:line="580" w:lineRule="exact"/>
        <w:ind w:firstLineChars="200" w:firstLine="640"/>
        <w:contextualSpacing/>
        <w:jc w:val="left"/>
        <w:rPr>
          <w:rFonts w:ascii="仿宋" w:eastAsia="仿宋" w:cs="仿宋" w:hint="eastAsia"/>
          <w:color w:val="000000"/>
          <w:kern w:val="0"/>
          <w:sz w:val="32"/>
          <w:szCs w:val="32"/>
          <w:lang w:val="zh-CN"/>
        </w:rPr>
      </w:pPr>
      <w:r>
        <w:rPr>
          <w:rFonts w:ascii="仿宋" w:eastAsia="仿宋" w:cs="仿宋" w:hint="eastAsia"/>
          <w:color w:val="000000"/>
          <w:kern w:val="0"/>
          <w:sz w:val="32"/>
          <w:szCs w:val="32"/>
        </w:rPr>
        <w:t>2</w:t>
      </w:r>
      <w:r>
        <w:rPr>
          <w:rFonts w:ascii="仿宋" w:eastAsia="仿宋" w:cs="仿宋" w:hint="eastAsia"/>
          <w:color w:val="000000"/>
          <w:kern w:val="0"/>
          <w:sz w:val="32"/>
          <w:szCs w:val="32"/>
          <w:lang w:val="zh-CN"/>
        </w:rPr>
        <w:t>02</w:t>
      </w:r>
      <w:r>
        <w:rPr>
          <w:rFonts w:ascii="仿宋" w:eastAsia="仿宋" w:cs="仿宋" w:hint="eastAsia"/>
          <w:color w:val="000000"/>
          <w:kern w:val="0"/>
          <w:sz w:val="32"/>
          <w:szCs w:val="32"/>
          <w:lang w:val="zh-CN" w:eastAsia="zh-CN"/>
        </w:rPr>
        <w:t>5</w:t>
      </w:r>
      <w:r>
        <w:rPr>
          <w:rFonts w:ascii="仿宋" w:eastAsia="仿宋" w:cs="仿宋" w:hint="eastAsia"/>
          <w:color w:val="000000"/>
          <w:kern w:val="0"/>
          <w:sz w:val="32"/>
          <w:szCs w:val="32"/>
          <w:lang w:val="zh-CN"/>
        </w:rPr>
        <w:t>年一般公共预算支出决算数为47844670.25元，</w:t>
      </w:r>
      <w:r>
        <w:rPr>
          <w:rFonts w:ascii="仿宋" w:eastAsia="仿宋" w:cs="仿宋" w:hint="eastAsia"/>
          <w:color w:val="000000"/>
          <w:kern w:val="0"/>
          <w:sz w:val="32"/>
          <w:szCs w:val="32"/>
          <w:lang w:val="zh-CN" w:eastAsia="zh-CN"/>
        </w:rPr>
        <w:t>年末结转结余0元</w:t>
      </w:r>
      <w:r>
        <w:rPr>
          <w:rFonts w:ascii="仿宋" w:eastAsia="仿宋" w:cs="仿宋" w:hint="eastAsia"/>
          <w:color w:val="000000"/>
          <w:kern w:val="0"/>
          <w:sz w:val="32"/>
          <w:szCs w:val="32"/>
          <w:lang w:val="zh-CN"/>
        </w:rPr>
        <w:t>，其中208社会保障和就业支出5,467,118.90元，占总收入</w:t>
      </w:r>
      <w:r>
        <w:rPr>
          <w:rFonts w:ascii="仿宋" w:eastAsia="仿宋" w:cs="仿宋" w:hint="eastAsia"/>
          <w:color w:val="000000"/>
          <w:kern w:val="0"/>
          <w:sz w:val="32"/>
          <w:szCs w:val="32"/>
          <w:lang w:val="zh-CN" w:eastAsia="zh-CN"/>
        </w:rPr>
        <w:t>11.43</w:t>
      </w:r>
      <w:r>
        <w:rPr>
          <w:rFonts w:ascii="仿宋" w:eastAsia="仿宋" w:cs="仿宋" w:hint="eastAsia"/>
          <w:color w:val="000000"/>
          <w:kern w:val="0"/>
          <w:sz w:val="32"/>
          <w:szCs w:val="32"/>
          <w:lang w:val="zh-CN"/>
        </w:rPr>
        <w:t>%；210卫生健康支出2,031,931.17元，占总收入</w:t>
      </w:r>
      <w:r>
        <w:rPr>
          <w:rFonts w:ascii="仿宋" w:eastAsia="仿宋" w:cs="仿宋" w:hint="eastAsia"/>
          <w:color w:val="000000"/>
          <w:kern w:val="0"/>
          <w:sz w:val="32"/>
          <w:szCs w:val="32"/>
          <w:lang w:val="zh-CN" w:eastAsia="zh-CN"/>
        </w:rPr>
        <w:t>4.25</w:t>
      </w:r>
      <w:r>
        <w:rPr>
          <w:rFonts w:ascii="仿宋" w:eastAsia="仿宋" w:cs="仿宋" w:hint="eastAsia"/>
          <w:color w:val="000000"/>
          <w:kern w:val="0"/>
          <w:sz w:val="32"/>
          <w:szCs w:val="32"/>
          <w:lang w:val="zh-CN"/>
        </w:rPr>
        <w:t>%；221住房保障支出2,797,002.00元，占总收入</w:t>
      </w:r>
      <w:r>
        <w:rPr>
          <w:rFonts w:ascii="仿宋" w:eastAsia="仿宋" w:cs="仿宋" w:hint="eastAsia"/>
          <w:color w:val="000000"/>
          <w:kern w:val="0"/>
          <w:sz w:val="32"/>
          <w:szCs w:val="32"/>
          <w:lang w:val="zh-CN" w:eastAsia="zh-CN"/>
        </w:rPr>
        <w:t>5.84</w:t>
      </w:r>
      <w:r>
        <w:rPr>
          <w:rFonts w:ascii="仿宋" w:eastAsia="仿宋" w:cs="仿宋" w:hint="eastAsia"/>
          <w:color w:val="000000"/>
          <w:kern w:val="0"/>
          <w:sz w:val="32"/>
          <w:szCs w:val="32"/>
          <w:lang w:val="zh-CN"/>
        </w:rPr>
        <w:t>%；205教育支出37,548,618.18元，占总收入78.48%；文化旅游体育与传媒支出</w:t>
      </w:r>
      <w:r>
        <w:rPr>
          <w:rFonts w:ascii="仿宋" w:eastAsia="仿宋" w:cs="仿宋" w:hint="eastAsia"/>
          <w:color w:val="000000"/>
          <w:kern w:val="0"/>
          <w:sz w:val="32"/>
          <w:szCs w:val="32"/>
          <w:lang w:val="zh-CN" w:eastAsia="zh-CN"/>
        </w:rPr>
        <w:t>0</w:t>
      </w:r>
      <w:r>
        <w:rPr>
          <w:rFonts w:ascii="仿宋" w:eastAsia="仿宋" w:cs="仿宋" w:hint="eastAsia"/>
          <w:color w:val="000000"/>
          <w:kern w:val="0"/>
          <w:sz w:val="32"/>
          <w:szCs w:val="32"/>
          <w:lang w:val="zh-CN"/>
        </w:rPr>
        <w:t>元，占比</w:t>
      </w:r>
      <w:r>
        <w:rPr>
          <w:rFonts w:ascii="仿宋" w:eastAsia="仿宋" w:cs="仿宋" w:hint="eastAsia"/>
          <w:color w:val="000000"/>
          <w:kern w:val="0"/>
          <w:sz w:val="32"/>
          <w:szCs w:val="32"/>
          <w:lang w:val="zh-CN" w:eastAsia="zh-CN"/>
        </w:rPr>
        <w:t>0</w:t>
      </w:r>
      <w:r>
        <w:rPr>
          <w:rFonts w:ascii="仿宋" w:eastAsia="仿宋" w:cs="仿宋" w:hint="eastAsia"/>
          <w:color w:val="000000"/>
          <w:kern w:val="0"/>
          <w:sz w:val="32"/>
          <w:szCs w:val="32"/>
          <w:lang w:val="zh-CN"/>
        </w:rPr>
        <w:t>%。</w:t>
      </w:r>
    </w:p>
    <w:p>
      <w:pPr>
        <w:keepNext w:val="0"/>
        <w:keepLines w:val="0"/>
        <w:pageBreakBefore w:val="0"/>
        <w:widowControl/>
        <w:kinsoku/>
        <w:wordWrap/>
        <w:overflowPunct/>
        <w:topLinePunct w:val="0"/>
        <w:autoSpaceDE/>
        <w:autoSpaceDN/>
        <w:adjustRightInd w:val="0"/>
        <w:snapToGrid w:val="0"/>
        <w:spacing w:line="578" w:lineRule="exact"/>
        <w:ind w:left="0" w:firstLineChars="200" w:firstLine="640"/>
        <w:contextualSpacing/>
        <w:jc w:val="left"/>
        <w:rPr>
          <w:rFonts w:ascii="仿宋" w:eastAsia="仿宋" w:cs="仿宋" w:hint="eastAsia"/>
          <w:b/>
          <w:color w:val="000000"/>
          <w:kern w:val="0"/>
          <w:sz w:val="32"/>
          <w:szCs w:val="32"/>
          <w:shd w:val="clear" w:color="auto" w:fill="FFFFFF"/>
          <w:lang w:val="zh-CN"/>
        </w:rPr>
      </w:pPr>
      <w:r>
        <w:rPr>
          <w:rFonts w:ascii="仿宋" w:eastAsia="仿宋" w:cs="仿宋" w:hint="eastAsia"/>
          <w:b/>
          <w:color w:val="000000"/>
          <w:kern w:val="0"/>
          <w:sz w:val="32"/>
          <w:szCs w:val="32"/>
          <w:shd w:val="clear" w:color="auto" w:fill="FFFFFF"/>
          <w:lang w:val="zh-CN"/>
        </w:rPr>
        <w:t>三、部门整体预算绩效管理情况</w:t>
      </w:r>
    </w:p>
    <w:p>
      <w:pPr>
        <w:widowControl/>
        <w:adjustRightInd w:val="0"/>
        <w:snapToGrid w:val="0"/>
        <w:spacing w:line="580" w:lineRule="exact"/>
        <w:ind w:firstLineChars="200" w:firstLine="640"/>
        <w:contextualSpacing/>
        <w:jc w:val="left"/>
        <w:rPr>
          <w:rFonts w:ascii="仿宋" w:eastAsia="仿宋" w:cs="仿宋" w:hint="eastAsia"/>
          <w:b/>
          <w:bCs/>
          <w:color w:val="000000"/>
          <w:kern w:val="0"/>
          <w:sz w:val="32"/>
          <w:szCs w:val="32"/>
          <w:shd w:val="clear" w:color="auto" w:fill="FFFFFF"/>
          <w:lang w:val="zh-CN"/>
          <w:highlight w:val="auto"/>
        </w:rPr>
      </w:pPr>
      <w:r>
        <w:rPr>
          <w:rFonts w:ascii="仿宋" w:eastAsia="仿宋" w:cs="仿宋" w:hint="eastAsia"/>
          <w:b/>
          <w:bCs/>
          <w:color w:val="000000"/>
          <w:kern w:val="0"/>
          <w:sz w:val="32"/>
          <w:szCs w:val="32"/>
          <w:shd w:val="clear" w:color="auto" w:fill="FFFFFF"/>
          <w:lang w:val="zh-CN"/>
          <w:highlight w:val="auto"/>
        </w:rPr>
        <w:t>（一）部门预算总体绩效分析。</w:t>
      </w:r>
    </w:p>
    <w:p>
      <w:pPr>
        <w:widowControl/>
        <w:numPr>
          <w:ilvl w:val="0"/>
          <w:numId w:val="1"/>
        </w:numPr>
        <w:adjustRightInd w:val="0"/>
        <w:snapToGrid w:val="0"/>
        <w:spacing w:line="580" w:lineRule="exact"/>
        <w:ind w:left="0" w:firstLineChars="200" w:firstLine="640"/>
        <w:contextualSpacing/>
        <w:jc w:val="left"/>
        <w:rPr>
          <w:rFonts w:ascii="仿宋" w:eastAsia="仿宋" w:cs="仿宋" w:hint="eastAsia"/>
          <w:color w:val="000000"/>
          <w:kern w:val="0"/>
          <w:sz w:val="32"/>
          <w:szCs w:val="32"/>
          <w:lang w:val="zh-CN"/>
        </w:rPr>
      </w:pPr>
      <w:r>
        <w:rPr>
          <w:rFonts w:ascii="仿宋" w:eastAsia="仿宋" w:cs="仿宋" w:hint="eastAsia"/>
          <w:color w:val="000000"/>
          <w:kern w:val="0"/>
          <w:sz w:val="32"/>
          <w:szCs w:val="32"/>
          <w:lang w:val="zh-CN"/>
          <w:highlight w:val="auto"/>
        </w:rPr>
        <w:t>履职效能：202</w:t>
      </w:r>
      <w:r>
        <w:rPr>
          <w:rFonts w:ascii="仿宋" w:eastAsia="仿宋" w:cs="仿宋" w:hint="eastAsia"/>
          <w:color w:val="000000"/>
          <w:kern w:val="0"/>
          <w:sz w:val="32"/>
          <w:szCs w:val="32"/>
          <w:lang w:val="zh-CN" w:eastAsia="zh-CN"/>
          <w:highlight w:val="auto"/>
        </w:rPr>
        <w:t>5</w:t>
      </w:r>
      <w:r>
        <w:rPr>
          <w:rFonts w:ascii="仿宋" w:eastAsia="仿宋" w:cs="仿宋" w:hint="eastAsia"/>
          <w:color w:val="000000"/>
          <w:kern w:val="0"/>
          <w:sz w:val="32"/>
          <w:szCs w:val="32"/>
          <w:lang w:val="zh-CN"/>
          <w:highlight w:val="auto"/>
        </w:rPr>
        <w:t>年单位运转持续稳定，各项目及时按质按量完成，</w:t>
      </w:r>
      <w:r>
        <w:rPr>
          <w:rFonts w:ascii="仿宋" w:eastAsia="仿宋" w:cs="仿宋" w:hint="eastAsia"/>
          <w:color w:val="000000"/>
          <w:kern w:val="0"/>
          <w:sz w:val="32"/>
          <w:szCs w:val="32"/>
          <w:lang w:val="zh-CN" w:eastAsia="zh-CN"/>
          <w:highlight w:val="auto"/>
        </w:rPr>
        <w:t>学校食堂自主经营，</w:t>
      </w:r>
      <w:r>
        <w:rPr>
          <w:rFonts w:ascii="仿宋" w:eastAsia="仿宋" w:cs="仿宋" w:hint="eastAsia"/>
          <w:color w:val="000000"/>
          <w:kern w:val="0"/>
          <w:sz w:val="32"/>
          <w:szCs w:val="32"/>
          <w:lang w:val="zh-CN" w:eastAsia="zh-CN"/>
        </w:rPr>
        <w:t>学生食堂食材配送服务采购项目，</w:t>
      </w:r>
      <w:r>
        <w:rPr>
          <w:rFonts w:ascii="仿宋" w:eastAsia="仿宋" w:cs="仿宋" w:hint="eastAsia"/>
          <w:color w:val="000000"/>
          <w:kern w:val="0"/>
          <w:sz w:val="32"/>
          <w:szCs w:val="32"/>
          <w:lang w:val="zh-CN" w:eastAsia="zh-CN"/>
          <w:highlight w:val="auto"/>
        </w:rPr>
        <w:t>严格把控餐食安全与质量，家访等家校活动开展，建立了良好的家校沟通机制，</w:t>
      </w:r>
      <w:r>
        <w:rPr>
          <w:rFonts w:ascii="仿宋" w:eastAsia="仿宋" w:cs="仿宋" w:hint="eastAsia"/>
          <w:color w:val="000000"/>
          <w:kern w:val="0"/>
          <w:sz w:val="32"/>
          <w:szCs w:val="32"/>
          <w:lang w:val="zh-CN" w:eastAsia="zh-CN"/>
        </w:rPr>
        <w:t>食堂设施设备采购和楼顶防水的实施，整洁卫生的就餐环境、高效稳定的供餐系统，硬件设施的全面提升。</w:t>
      </w:r>
    </w:p>
    <w:p>
      <w:pPr>
        <w:widowControl/>
        <w:numPr>
          <w:ilvl w:val="0"/>
          <w:numId w:val="1"/>
        </w:numPr>
        <w:adjustRightInd w:val="0"/>
        <w:snapToGrid w:val="0"/>
        <w:spacing w:line="580" w:lineRule="exact"/>
        <w:ind w:left="0" w:firstLineChars="200" w:firstLine="640"/>
        <w:contextualSpacing/>
        <w:jc w:val="left"/>
        <w:rPr>
          <w:rFonts w:ascii="仿宋" w:eastAsia="仿宋" w:cs="仿宋" w:hint="eastAsia"/>
          <w:color w:val="000000"/>
          <w:kern w:val="0"/>
          <w:sz w:val="32"/>
          <w:szCs w:val="32"/>
          <w:lang w:val="zh-CN"/>
        </w:rPr>
      </w:pPr>
      <w:r>
        <w:rPr>
          <w:rFonts w:ascii="仿宋" w:eastAsia="仿宋" w:cs="仿宋" w:hint="eastAsia"/>
          <w:color w:val="000000"/>
          <w:kern w:val="0"/>
          <w:sz w:val="32"/>
          <w:szCs w:val="32"/>
          <w:lang w:val="zh-CN"/>
        </w:rPr>
        <w:t>教育教学履职效果：2025年，学校紧扣立德树人根本任务铸牢中华民族共同体意识主线，立足民族地区办学实际，深化课堂改革、强化师资建设、优化育人保障、抓实质量提升，教育教学履职全面落地，办学质校与民族教育服务能力显著增强，综合提升教育教学水平。</w:t>
      </w:r>
    </w:p>
    <w:p>
      <w:pPr>
        <w:widowControl/>
        <w:adjustRightInd w:val="0"/>
        <w:snapToGrid w:val="0"/>
        <w:spacing w:line="580" w:lineRule="exact"/>
        <w:contextualSpacing/>
        <w:jc w:val="left"/>
        <w:rPr>
          <w:rFonts w:ascii="仿宋" w:eastAsia="仿宋" w:cs="仿宋" w:hint="eastAsia"/>
          <w:color w:val="000000"/>
          <w:kern w:val="0"/>
          <w:sz w:val="32"/>
          <w:szCs w:val="32"/>
          <w:lang w:val="zh-CN"/>
        </w:rPr>
      </w:pPr>
      <w:r>
        <w:rPr>
          <w:rFonts w:ascii="仿宋" w:eastAsia="仿宋" w:cs="仿宋" w:hint="eastAsia"/>
          <w:color w:val="000000"/>
          <w:kern w:val="0"/>
          <w:sz w:val="32"/>
          <w:szCs w:val="32"/>
          <w:lang w:val="zh-CN"/>
        </w:rPr>
        <w:t>师资队伍履职效果：全体教师严格落实教学常规，备课、上课、作业、辅导、评价闭环管理到位，立足民族学生学情优化教学设计，推行分成教学、问题驱动课堂，双语教学与学科融合成效突出。开展青年教师说课比赛、高考真题讲解大赛、随堂课展评等活动，教师课堂把控、学情适配与教考衔接能力显著增强，课堂效率与学生获得感同步提升，教学过程规范度、完成度均达年度目标。</w:t>
      </w:r>
    </w:p>
    <w:p>
      <w:pPr>
        <w:widowControl/>
        <w:adjustRightInd w:val="0"/>
        <w:snapToGrid w:val="0"/>
        <w:spacing w:line="580" w:lineRule="exact"/>
        <w:contextualSpacing/>
        <w:jc w:val="left"/>
        <w:rPr>
          <w:rFonts w:ascii="仿宋" w:eastAsia="仿宋" w:cs="仿宋" w:hint="eastAsia"/>
          <w:color w:val="000000"/>
          <w:kern w:val="0"/>
          <w:sz w:val="32"/>
          <w:szCs w:val="32"/>
          <w:lang w:val="zh-CN"/>
          <w:highlight w:val="auto"/>
        </w:rPr>
      </w:pPr>
      <w:r>
        <w:rPr>
          <w:rFonts w:ascii="仿宋" w:eastAsia="仿宋" w:cs="仿宋" w:hint="eastAsia"/>
          <w:color w:val="000000"/>
          <w:kern w:val="0"/>
          <w:sz w:val="32"/>
          <w:szCs w:val="32"/>
          <w:lang w:val="zh-CN"/>
        </w:rPr>
        <w:t>学生发展与满意度履职效果：2025年，我校立足民族地区学生特点，围绕思想品格、学业提升、身心健康、综合素养全面推进学生发展工作，持续优化教育服务与校园保障，学生综合稳步提升，师生、家长及社会满意度持续向好，圆满完成年度学生发展与满意度建设目标。</w:t>
      </w:r>
    </w:p>
    <w:p>
      <w:pPr>
        <w:widowControl/>
        <w:adjustRightInd w:val="0"/>
        <w:snapToGrid w:val="0"/>
        <w:spacing w:line="580" w:lineRule="exact"/>
        <w:ind w:firstLineChars="200" w:firstLine="640"/>
        <w:contextualSpacing/>
        <w:jc w:val="left"/>
        <w:rPr>
          <w:rFonts w:ascii="仿宋" w:eastAsia="仿宋" w:cs="仿宋" w:hint="eastAsia"/>
          <w:color w:val="000000"/>
          <w:kern w:val="0"/>
          <w:sz w:val="32"/>
          <w:szCs w:val="32"/>
          <w:lang w:val="zh-CN" w:eastAsia="zh-CN"/>
        </w:rPr>
      </w:pPr>
      <w:r>
        <w:rPr>
          <w:rFonts w:ascii="仿宋" w:eastAsia="仿宋" w:cs="仿宋" w:hint="eastAsia"/>
          <w:color w:val="000000"/>
          <w:kern w:val="0"/>
          <w:sz w:val="32"/>
          <w:szCs w:val="32"/>
          <w:lang w:val="zh-CN" w:eastAsia="zh-CN"/>
          <w:highlight w:val="auto"/>
        </w:rPr>
        <w:t>2.</w:t>
      </w:r>
      <w:r>
        <w:rPr>
          <w:rFonts w:ascii="仿宋" w:eastAsia="仿宋" w:cs="仿宋" w:hint="eastAsia"/>
          <w:color w:val="000000"/>
          <w:kern w:val="0"/>
          <w:sz w:val="32"/>
          <w:szCs w:val="32"/>
          <w:lang w:val="zh-CN"/>
          <w:highlight w:val="auto"/>
        </w:rPr>
        <w:t>预算管理：</w:t>
      </w:r>
      <w:r>
        <w:rPr>
          <w:rFonts w:ascii="仿宋" w:eastAsia="仿宋" w:cs="仿宋" w:hint="eastAsia"/>
          <w:color w:val="000000"/>
          <w:kern w:val="0"/>
          <w:sz w:val="32"/>
          <w:szCs w:val="32"/>
          <w:lang w:val="zh-CN"/>
        </w:rPr>
        <w:t>严格按照州级部门预算编制通知和有关要求，根据我校年度工作计划制定了202</w:t>
      </w:r>
      <w:r>
        <w:rPr>
          <w:rFonts w:ascii="仿宋" w:eastAsia="仿宋" w:cs="仿宋" w:hint="eastAsia"/>
          <w:color w:val="000000"/>
          <w:kern w:val="0"/>
          <w:sz w:val="32"/>
          <w:szCs w:val="32"/>
          <w:lang w:val="zh-CN" w:eastAsia="zh-CN"/>
        </w:rPr>
        <w:t>5</w:t>
      </w:r>
      <w:r>
        <w:rPr>
          <w:rFonts w:ascii="仿宋" w:eastAsia="仿宋" w:cs="仿宋" w:hint="eastAsia"/>
          <w:color w:val="000000"/>
          <w:kern w:val="0"/>
          <w:sz w:val="32"/>
          <w:szCs w:val="32"/>
          <w:lang w:val="zh-CN"/>
        </w:rPr>
        <w:t>年部门整体绩效目标，按时保质保量地完成预算编制工作。根据州级部门预算编制会议精神及编制要求，切实做到部门预算编准、编实、编细。预算编制填入预算编报软件，认真填写专项预算的绩效目标申请表。</w:t>
      </w:r>
      <w:r>
        <w:rPr>
          <w:rFonts w:ascii="仿宋" w:eastAsia="仿宋" w:cs="仿宋" w:hint="eastAsia"/>
          <w:color w:val="000000"/>
          <w:kern w:val="0"/>
          <w:sz w:val="32"/>
          <w:szCs w:val="32"/>
          <w:lang w:val="zh-CN" w:eastAsia="zh-CN"/>
        </w:rPr>
        <w:t>2025年一般公共预算收入</w:t>
      </w:r>
      <w:r>
        <w:rPr>
          <w:rFonts w:ascii="仿宋" w:eastAsia="仿宋" w:cs="仿宋" w:hint="eastAsia"/>
          <w:color w:val="000000"/>
          <w:kern w:val="0"/>
          <w:sz w:val="32"/>
          <w:szCs w:val="32"/>
          <w:lang w:val="zh-CN"/>
        </w:rPr>
        <w:t>47844670.25</w:t>
      </w:r>
      <w:r>
        <w:rPr>
          <w:rFonts w:ascii="仿宋" w:eastAsia="仿宋" w:cs="仿宋" w:hint="eastAsia"/>
          <w:color w:val="000000"/>
          <w:kern w:val="0"/>
          <w:sz w:val="32"/>
          <w:szCs w:val="32"/>
          <w:lang w:val="zh-CN" w:eastAsia="zh-CN"/>
        </w:rPr>
        <w:t>元，支出</w:t>
      </w:r>
      <w:r>
        <w:rPr>
          <w:rFonts w:ascii="仿宋" w:eastAsia="仿宋" w:cs="仿宋" w:hint="eastAsia"/>
          <w:color w:val="000000"/>
          <w:kern w:val="0"/>
          <w:sz w:val="32"/>
          <w:szCs w:val="32"/>
          <w:lang w:val="zh-CN"/>
        </w:rPr>
        <w:t>47844670.25</w:t>
      </w:r>
      <w:r>
        <w:rPr>
          <w:rFonts w:ascii="仿宋" w:eastAsia="仿宋" w:cs="仿宋" w:hint="eastAsia"/>
          <w:color w:val="000000"/>
          <w:kern w:val="0"/>
          <w:sz w:val="32"/>
          <w:szCs w:val="32"/>
          <w:lang w:val="zh-CN" w:eastAsia="zh-CN"/>
        </w:rPr>
        <w:t>元，执行进度为100%</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仿宋" w:eastAsia="仿宋" w:cs="仿宋" w:hint="eastAsia"/>
          <w:color w:val="000000"/>
          <w:kern w:val="0"/>
          <w:sz w:val="32"/>
          <w:szCs w:val="32"/>
          <w:lang w:val="zh-CN"/>
          <w:highlight w:val="auto"/>
        </w:rPr>
      </w:pPr>
      <w:r>
        <w:rPr>
          <w:rFonts w:ascii="仿宋" w:eastAsia="仿宋" w:cs="仿宋" w:hint="eastAsia"/>
          <w:color w:val="000000"/>
          <w:kern w:val="0"/>
          <w:sz w:val="32"/>
          <w:szCs w:val="32"/>
          <w:lang w:val="zh-CN"/>
          <w:highlight w:val="auto"/>
        </w:rPr>
        <w:t>3.财务管理：我校财务管理严格贯彻执行国家有关法律法规和财务规章制度，严格实行“收支两条线”管理，加强对支出的核算和管理，严格控制支出范围和标准，确保支出真实性、合理性和合法性；岗位设置符合不相容岗位相关规定；资金支付均按预算下达目标使用不存在无预算超预算违规列支等问题。</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仿宋" w:eastAsia="仿宋" w:cs="仿宋" w:hint="eastAsia"/>
          <w:color w:val="000000"/>
          <w:kern w:val="0"/>
          <w:sz w:val="32"/>
          <w:szCs w:val="32"/>
          <w:lang w:val="zh-CN"/>
        </w:rPr>
      </w:pPr>
      <w:r>
        <w:rPr>
          <w:rFonts w:ascii="仿宋" w:eastAsia="仿宋" w:cs="仿宋" w:hint="eastAsia"/>
          <w:color w:val="000000"/>
          <w:kern w:val="0"/>
          <w:sz w:val="32"/>
          <w:szCs w:val="32"/>
          <w:lang w:val="zh-CN"/>
        </w:rPr>
        <w:t>4.</w:t>
      </w:r>
      <w:r>
        <w:rPr>
          <w:rFonts w:ascii="仿宋" w:eastAsia="仿宋" w:cs="仿宋" w:hint="eastAsia"/>
          <w:bCs/>
          <w:color w:val="000000"/>
          <w:kern w:val="0"/>
          <w:sz w:val="32"/>
          <w:szCs w:val="32"/>
          <w:lang w:val="zh-CN" w:eastAsia="zh-CN"/>
        </w:rPr>
        <w:t>资产管理:</w:t>
      </w:r>
      <w:r>
        <w:rPr>
          <w:rFonts w:ascii="仿宋" w:eastAsia="仿宋" w:cs="仿宋" w:hint="eastAsia"/>
          <w:color w:val="000000"/>
          <w:kern w:val="0"/>
          <w:sz w:val="32"/>
          <w:szCs w:val="32"/>
          <w:lang w:val="zh-CN" w:eastAsia="zh-CN"/>
        </w:rPr>
        <w:t>建立健全资产管理制度，截止2025年12月31日，我单位资产总额17551.91，2024年末总资产为18154.71万元，较上年减少3.32%。2025年总负债233.76,2024年末总负债645.01万元，较上年减少63.75%。2025年净资产17318.15，2024年末净资产17954万元，较上年减少3.67%。</w:t>
      </w:r>
    </w:p>
    <w:p>
      <w:pPr>
        <w:keepNext w:val="0"/>
        <w:keepLines w:val="0"/>
        <w:pageBreakBefore w:val="0"/>
        <w:widowControl w:val="0"/>
        <w:kinsoku/>
        <w:wordWrap/>
        <w:overflowPunct/>
        <w:topLinePunct w:val="0"/>
        <w:autoSpaceDE/>
        <w:autoSpaceDN/>
        <w:adjustRightInd w:val="0"/>
        <w:snapToGrid w:val="0"/>
        <w:spacing w:line="578" w:lineRule="exact"/>
        <w:ind w:left="0" w:firstLineChars="200" w:firstLine="640"/>
        <w:contextualSpacing/>
        <w:jc w:val="left"/>
        <w:rPr>
          <w:rFonts w:ascii="仿宋" w:eastAsia="仿宋" w:cs="仿宋" w:hint="eastAsia"/>
          <w:color w:val="000000"/>
          <w:kern w:val="0"/>
          <w:sz w:val="32"/>
          <w:szCs w:val="32"/>
          <w:lang w:val="zh-CN" w:eastAsia="zh-CN"/>
        </w:rPr>
      </w:pPr>
      <w:r>
        <w:rPr>
          <w:rFonts w:ascii="仿宋" w:eastAsia="仿宋" w:cs="仿宋" w:hint="eastAsia"/>
          <w:color w:val="000000"/>
          <w:kern w:val="0"/>
          <w:sz w:val="32"/>
          <w:szCs w:val="32"/>
          <w:lang w:val="zh-CN" w:eastAsia="zh-CN"/>
          <w:highlight w:val="auto"/>
        </w:rPr>
        <w:t>5.</w:t>
      </w:r>
      <w:r>
        <w:rPr>
          <w:rFonts w:ascii="仿宋" w:eastAsia="仿宋" w:cs="仿宋" w:hint="eastAsia"/>
          <w:color w:val="000000"/>
          <w:kern w:val="0"/>
          <w:sz w:val="32"/>
          <w:szCs w:val="32"/>
          <w:lang w:val="zh-CN"/>
          <w:highlight w:val="auto"/>
        </w:rPr>
        <w:t>采购管理：我校严格按照政府采购目录及流程进行采购，202</w:t>
      </w:r>
      <w:r>
        <w:rPr>
          <w:rFonts w:ascii="仿宋" w:eastAsia="仿宋" w:cs="仿宋" w:hint="eastAsia"/>
          <w:color w:val="000000"/>
          <w:kern w:val="0"/>
          <w:sz w:val="32"/>
          <w:szCs w:val="32"/>
          <w:lang w:val="zh-CN" w:eastAsia="zh-CN"/>
          <w:highlight w:val="auto"/>
        </w:rPr>
        <w:t>5</w:t>
      </w:r>
      <w:r>
        <w:rPr>
          <w:rFonts w:ascii="仿宋" w:eastAsia="仿宋" w:cs="仿宋" w:hint="eastAsia"/>
          <w:color w:val="000000"/>
          <w:kern w:val="0"/>
          <w:sz w:val="32"/>
          <w:szCs w:val="32"/>
          <w:lang w:val="zh-CN"/>
          <w:highlight w:val="auto"/>
        </w:rPr>
        <w:t>年共有政府采购项目</w:t>
      </w:r>
      <w:r>
        <w:rPr>
          <w:rFonts w:ascii="仿宋" w:eastAsia="仿宋" w:cs="仿宋" w:hint="eastAsia"/>
          <w:color w:val="000000"/>
          <w:kern w:val="0"/>
          <w:sz w:val="32"/>
          <w:szCs w:val="32"/>
          <w:lang w:val="zh-CN" w:eastAsia="zh-CN"/>
          <w:highlight w:val="auto"/>
        </w:rPr>
        <w:t>5</w:t>
      </w:r>
      <w:r>
        <w:rPr>
          <w:rFonts w:ascii="仿宋" w:eastAsia="仿宋" w:cs="仿宋" w:hint="eastAsia"/>
          <w:color w:val="000000"/>
          <w:kern w:val="0"/>
          <w:sz w:val="32"/>
          <w:szCs w:val="32"/>
          <w:lang w:val="zh-CN"/>
          <w:highlight w:val="auto"/>
        </w:rPr>
        <w:t>项，分别为</w:t>
      </w:r>
      <w:r>
        <w:rPr>
          <w:rFonts w:ascii="仿宋" w:eastAsia="仿宋" w:cs="仿宋" w:hint="eastAsia"/>
          <w:color w:val="000000"/>
          <w:kern w:val="0"/>
          <w:sz w:val="32"/>
          <w:szCs w:val="32"/>
          <w:lang w:val="zh-CN"/>
        </w:rPr>
        <w:t>学校临聘服务</w:t>
      </w:r>
      <w:r>
        <w:rPr>
          <w:rFonts w:ascii="仿宋" w:eastAsia="仿宋" w:cs="仿宋" w:hint="eastAsia"/>
          <w:color w:val="000000"/>
          <w:kern w:val="0"/>
          <w:sz w:val="32"/>
          <w:szCs w:val="32"/>
          <w:lang w:val="zh-CN"/>
          <w:highlight w:val="auto"/>
        </w:rPr>
        <w:t>，</w:t>
      </w:r>
      <w:r>
        <w:rPr>
          <w:rFonts w:ascii="仿宋" w:eastAsia="仿宋" w:cs="仿宋" w:hint="eastAsia"/>
          <w:color w:val="000000"/>
          <w:kern w:val="0"/>
          <w:sz w:val="32"/>
          <w:szCs w:val="32"/>
          <w:lang w:val="zh-CN"/>
        </w:rPr>
        <w:t>物业管理费，食堂设施设备采购和楼顶防水，学生浴室饮用水改造和消防设施设备采购，阿坝州民族高级中学打印设备采购</w:t>
      </w:r>
      <w:r>
        <w:rPr>
          <w:rFonts w:ascii="仿宋" w:eastAsia="仿宋" w:cs="仿宋" w:hint="eastAsia"/>
          <w:color w:val="000000"/>
          <w:kern w:val="0"/>
          <w:sz w:val="32"/>
          <w:szCs w:val="32"/>
          <w:lang w:val="zh-CN"/>
          <w:highlight w:val="auto"/>
        </w:rPr>
        <w:t>，</w:t>
      </w:r>
      <w:r>
        <w:rPr>
          <w:rFonts w:ascii="仿宋" w:eastAsia="仿宋" w:cs="仿宋" w:hint="eastAsia"/>
          <w:color w:val="000000"/>
          <w:kern w:val="0"/>
          <w:sz w:val="32"/>
          <w:szCs w:val="32"/>
          <w:lang w:val="zh-CN" w:eastAsia="zh-CN"/>
          <w:highlight w:val="auto"/>
        </w:rPr>
        <w:t>5个项目均完成2025年预期目标。</w:t>
      </w:r>
    </w:p>
    <w:p>
      <w:pPr>
        <w:widowControl/>
        <w:adjustRightInd w:val="0"/>
        <w:snapToGrid w:val="0"/>
        <w:spacing w:line="580" w:lineRule="exact"/>
        <w:ind w:firstLineChars="200" w:firstLine="640"/>
        <w:contextualSpacing/>
        <w:jc w:val="left"/>
        <w:rPr>
          <w:rFonts w:ascii="仿宋" w:eastAsia="仿宋" w:cs="仿宋" w:hint="eastAsia"/>
          <w:b/>
          <w:bCs/>
          <w:color w:val="000000"/>
          <w:kern w:val="0"/>
          <w:sz w:val="32"/>
          <w:szCs w:val="32"/>
          <w:shd w:val="clear" w:color="auto" w:fill="FFFFFF"/>
          <w:lang w:val="zh-CN"/>
          <w:highlight w:val="auto"/>
        </w:rPr>
      </w:pPr>
      <w:r>
        <w:rPr>
          <w:rFonts w:ascii="仿宋" w:eastAsia="仿宋" w:cs="仿宋" w:hint="eastAsia"/>
          <w:b/>
          <w:bCs/>
          <w:color w:val="000000"/>
          <w:kern w:val="0"/>
          <w:sz w:val="32"/>
          <w:szCs w:val="32"/>
          <w:shd w:val="clear" w:color="auto" w:fill="FFFFFF"/>
          <w:lang w:val="zh-CN"/>
          <w:highlight w:val="auto"/>
        </w:rPr>
        <w:t>（二）部门预算项目绩效分析。</w:t>
      </w:r>
    </w:p>
    <w:p>
      <w:pPr>
        <w:keepNext w:val="0"/>
        <w:keepLines w:val="0"/>
        <w:pageBreakBefore w:val="0"/>
        <w:widowControl w:val="0"/>
        <w:kinsoku/>
        <w:wordWrap/>
        <w:overflowPunct/>
        <w:topLinePunct w:val="0"/>
        <w:autoSpaceDE/>
        <w:autoSpaceDN/>
        <w:bidi w:val="0"/>
        <w:adjustRightInd w:val="0"/>
        <w:snapToGrid w:val="0"/>
        <w:spacing w:line="578" w:lineRule="exact"/>
        <w:ind w:firstLineChars="150" w:firstLine="480"/>
        <w:contextualSpacing/>
        <w:jc w:val="left"/>
        <w:textAlignment w:val="auto"/>
        <w:outlineLvl w:val="9"/>
        <w:rPr>
          <w:rFonts w:ascii="仿宋" w:eastAsia="仿宋" w:cs="仿宋" w:hint="eastAsia"/>
          <w:color w:val="000000"/>
          <w:kern w:val="0"/>
          <w:sz w:val="32"/>
          <w:szCs w:val="32"/>
          <w:lang w:val="zh-CN" w:eastAsia="zh-CN"/>
          <w:highlight w:val="auto"/>
        </w:rPr>
      </w:pPr>
      <w:r>
        <w:rPr>
          <w:rFonts w:ascii="仿宋" w:eastAsia="仿宋" w:cs="仿宋" w:hint="eastAsia"/>
          <w:color w:val="000000"/>
          <w:kern w:val="0"/>
          <w:sz w:val="32"/>
          <w:szCs w:val="32"/>
          <w:lang w:val="zh-CN" w:eastAsia="zh-CN"/>
          <w:highlight w:val="auto"/>
        </w:rPr>
        <w:t>常年项目绩效分析。该类项目总数8个，涉及预算总金额   278.78万元，</w:t>
      </w:r>
      <w:r>
        <w:rPr>
          <w:rFonts w:ascii="仿宋" w:eastAsia="仿宋" w:cs="仿宋" w:hint="eastAsia"/>
          <w:color w:val="000000"/>
          <w:kern w:val="0"/>
          <w:sz w:val="32"/>
          <w:szCs w:val="32"/>
          <w:lang w:val="zh-CN"/>
          <w:highlight w:val="auto"/>
        </w:rPr>
        <w:t>1</w:t>
      </w:r>
      <w:r>
        <w:rPr>
          <w:rFonts w:ascii="仿宋" w:eastAsia="仿宋" w:cs="仿宋" w:hint="eastAsia"/>
          <w:color w:val="000000"/>
          <w:kern w:val="0"/>
          <w:sz w:val="32"/>
          <w:szCs w:val="32"/>
          <w:lang w:val="zh-CN" w:eastAsia="zh-CN"/>
          <w:highlight w:val="auto"/>
        </w:rPr>
        <w:t>—</w:t>
      </w:r>
      <w:r>
        <w:rPr>
          <w:rFonts w:ascii="仿宋" w:eastAsia="仿宋" w:cs="仿宋" w:hint="eastAsia"/>
          <w:color w:val="000000"/>
          <w:kern w:val="0"/>
          <w:sz w:val="32"/>
          <w:szCs w:val="32"/>
          <w:lang w:val="zh-CN"/>
          <w:highlight w:val="auto"/>
        </w:rPr>
        <w:t>1</w:t>
      </w:r>
      <w:r>
        <w:rPr>
          <w:rFonts w:ascii="仿宋" w:eastAsia="仿宋" w:cs="仿宋" w:hint="eastAsia"/>
          <w:color w:val="000000"/>
          <w:kern w:val="0"/>
          <w:sz w:val="32"/>
          <w:szCs w:val="32"/>
          <w:lang w:val="zh-CN" w:eastAsia="zh-CN"/>
          <w:highlight w:val="auto"/>
        </w:rPr>
        <w:t>2</w:t>
      </w:r>
      <w:r>
        <w:rPr>
          <w:rFonts w:ascii="仿宋" w:eastAsia="仿宋" w:cs="仿宋" w:hint="eastAsia"/>
          <w:color w:val="000000"/>
          <w:kern w:val="0"/>
          <w:sz w:val="32"/>
          <w:szCs w:val="32"/>
          <w:lang w:val="zh-CN"/>
          <w:highlight w:val="auto"/>
        </w:rPr>
        <w:t>月预算执行总体进度为100%，其中：</w:t>
      </w:r>
      <w:r>
        <w:rPr>
          <w:rFonts w:ascii="仿宋" w:eastAsia="仿宋" w:cs="仿宋" w:hint="eastAsia"/>
          <w:color w:val="000000"/>
          <w:kern w:val="0"/>
          <w:sz w:val="32"/>
          <w:szCs w:val="32"/>
          <w:lang w:val="zh-CN" w:eastAsia="zh-CN"/>
          <w:highlight w:val="auto"/>
        </w:rPr>
        <w:t>预算结余率大于10%的项目共计0个。</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仿宋" w:eastAsia="仿宋" w:cs="仿宋" w:hint="eastAsia"/>
          <w:color w:val="000000"/>
          <w:kern w:val="0"/>
          <w:sz w:val="32"/>
          <w:szCs w:val="32"/>
          <w:lang w:val="zh-CN" w:eastAsia="zh-CN"/>
          <w:highlight w:val="auto"/>
        </w:rPr>
      </w:pPr>
      <w:r>
        <w:rPr>
          <w:rFonts w:ascii="仿宋" w:eastAsia="仿宋" w:cs="仿宋" w:hint="eastAsia"/>
          <w:color w:val="000000"/>
          <w:kern w:val="0"/>
          <w:sz w:val="32"/>
          <w:szCs w:val="32"/>
          <w:lang w:val="zh-CN" w:eastAsia="zh-CN"/>
          <w:highlight w:val="auto"/>
        </w:rPr>
        <w:t>阶段（一次性）项目绩效分析。该类项目总数3个，涉及预算总金额  218.66万元，</w:t>
      </w:r>
      <w:r>
        <w:rPr>
          <w:rFonts w:ascii="仿宋" w:eastAsia="仿宋" w:cs="仿宋" w:hint="eastAsia"/>
          <w:color w:val="000000"/>
          <w:kern w:val="0"/>
          <w:sz w:val="32"/>
          <w:szCs w:val="32"/>
          <w:lang w:val="zh-CN"/>
          <w:highlight w:val="auto"/>
        </w:rPr>
        <w:t>1</w:t>
      </w:r>
      <w:r>
        <w:rPr>
          <w:rFonts w:ascii="仿宋" w:eastAsia="仿宋" w:cs="仿宋" w:hint="eastAsia"/>
          <w:color w:val="000000"/>
          <w:kern w:val="0"/>
          <w:sz w:val="32"/>
          <w:szCs w:val="32"/>
          <w:lang w:val="zh-CN" w:eastAsia="zh-CN"/>
          <w:highlight w:val="auto"/>
        </w:rPr>
        <w:t>—</w:t>
      </w:r>
      <w:r>
        <w:rPr>
          <w:rFonts w:ascii="仿宋" w:eastAsia="仿宋" w:cs="仿宋" w:hint="eastAsia"/>
          <w:color w:val="000000"/>
          <w:kern w:val="0"/>
          <w:sz w:val="32"/>
          <w:szCs w:val="32"/>
          <w:lang w:val="zh-CN"/>
          <w:highlight w:val="auto"/>
        </w:rPr>
        <w:t>1</w:t>
      </w:r>
      <w:r>
        <w:rPr>
          <w:rFonts w:ascii="仿宋" w:eastAsia="仿宋" w:cs="仿宋" w:hint="eastAsia"/>
          <w:color w:val="000000"/>
          <w:kern w:val="0"/>
          <w:sz w:val="32"/>
          <w:szCs w:val="32"/>
          <w:lang w:val="zh-CN" w:eastAsia="zh-CN"/>
          <w:highlight w:val="auto"/>
        </w:rPr>
        <w:t>2</w:t>
      </w:r>
      <w:r>
        <w:rPr>
          <w:rFonts w:ascii="仿宋" w:eastAsia="仿宋" w:cs="仿宋" w:hint="eastAsia"/>
          <w:color w:val="000000"/>
          <w:kern w:val="0"/>
          <w:sz w:val="32"/>
          <w:szCs w:val="32"/>
          <w:lang w:val="zh-CN"/>
          <w:highlight w:val="auto"/>
        </w:rPr>
        <w:t>月预算执行总体进度为</w:t>
      </w:r>
      <w:r>
        <w:rPr>
          <w:rFonts w:ascii="仿宋" w:eastAsia="仿宋" w:cs="仿宋" w:hint="eastAsia"/>
          <w:color w:val="000000"/>
          <w:kern w:val="0"/>
          <w:sz w:val="32"/>
          <w:szCs w:val="32"/>
          <w:lang w:val="zh-CN" w:eastAsia="zh-CN"/>
          <w:highlight w:val="auto"/>
        </w:rPr>
        <w:t xml:space="preserve">100 </w:t>
      </w:r>
      <w:r>
        <w:rPr>
          <w:rFonts w:ascii="仿宋" w:eastAsia="仿宋" w:cs="仿宋" w:hint="eastAsia"/>
          <w:color w:val="000000"/>
          <w:kern w:val="0"/>
          <w:sz w:val="32"/>
          <w:szCs w:val="32"/>
          <w:lang w:val="zh-CN"/>
          <w:highlight w:val="auto"/>
        </w:rPr>
        <w:t>%，其中：</w:t>
      </w:r>
      <w:r>
        <w:rPr>
          <w:rFonts w:ascii="仿宋" w:eastAsia="仿宋" w:cs="仿宋" w:hint="eastAsia"/>
          <w:color w:val="000000"/>
          <w:kern w:val="0"/>
          <w:sz w:val="32"/>
          <w:szCs w:val="32"/>
          <w:lang w:val="zh-CN" w:eastAsia="zh-CN"/>
          <w:highlight w:val="auto"/>
        </w:rPr>
        <w:t>预算结余率大于10%的项目共计 0个。</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仿宋" w:eastAsia="仿宋" w:cs="仿宋" w:hint="eastAsia"/>
          <w:color w:val="000000"/>
          <w:kern w:val="0"/>
          <w:sz w:val="32"/>
          <w:szCs w:val="32"/>
          <w:lang w:val="zh-CN"/>
          <w:highlight w:val="auto"/>
        </w:rPr>
      </w:pPr>
      <w:r>
        <w:rPr>
          <w:rFonts w:ascii="仿宋" w:eastAsia="仿宋" w:cs="仿宋" w:hint="eastAsia"/>
          <w:color w:val="000000"/>
          <w:kern w:val="0"/>
          <w:sz w:val="32"/>
          <w:szCs w:val="32"/>
          <w:lang w:val="zh-CN" w:eastAsia="zh-CN"/>
          <w:highlight w:val="auto"/>
        </w:rPr>
        <w:t>1.</w:t>
      </w:r>
      <w:r>
        <w:rPr>
          <w:rFonts w:ascii="仿宋" w:eastAsia="仿宋" w:cs="仿宋" w:hint="eastAsia"/>
          <w:color w:val="000000"/>
          <w:kern w:val="0"/>
          <w:sz w:val="32"/>
          <w:szCs w:val="32"/>
          <w:lang w:val="zh-CN"/>
          <w:highlight w:val="auto"/>
        </w:rPr>
        <w:t>项目决策。对提议的项目进行可行性研究，经审批环节后填写</w:t>
      </w:r>
      <w:r>
        <w:rPr>
          <w:rFonts w:ascii="仿宋" w:eastAsia="仿宋" w:cs="仿宋" w:hint="eastAsia"/>
          <w:color w:val="000000"/>
          <w:kern w:val="0"/>
          <w:sz w:val="32"/>
          <w:szCs w:val="32"/>
          <w:lang w:val="zh-CN"/>
        </w:rPr>
        <w:t>项目事前绩效评估报告，在系统中完善项目并入库。</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仿宋" w:eastAsia="仿宋" w:cs="仿宋" w:hint="eastAsia"/>
          <w:color w:val="000000"/>
          <w:kern w:val="0"/>
          <w:sz w:val="32"/>
          <w:szCs w:val="32"/>
          <w:lang w:val="zh-CN"/>
          <w:highlight w:val="auto"/>
        </w:rPr>
      </w:pPr>
      <w:r>
        <w:rPr>
          <w:rFonts w:ascii="仿宋" w:eastAsia="仿宋" w:cs="仿宋" w:hint="eastAsia"/>
          <w:color w:val="000000"/>
          <w:kern w:val="0"/>
          <w:sz w:val="32"/>
          <w:szCs w:val="32"/>
          <w:lang w:val="zh-CN" w:eastAsia="zh-CN"/>
          <w:highlight w:val="auto"/>
        </w:rPr>
        <w:t>2.项目执行</w:t>
      </w:r>
      <w:r>
        <w:rPr>
          <w:rFonts w:ascii="仿宋" w:eastAsia="仿宋" w:cs="仿宋" w:hint="eastAsia"/>
          <w:color w:val="000000"/>
          <w:kern w:val="0"/>
          <w:sz w:val="32"/>
          <w:szCs w:val="32"/>
          <w:lang w:val="zh-CN"/>
          <w:highlight w:val="auto"/>
        </w:rPr>
        <w:t>。各项目的执行均按项目规定用途进行支付。</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仿宋" w:eastAsia="仿宋" w:cs="仿宋" w:hint="eastAsia"/>
          <w:color w:val="000000"/>
          <w:kern w:val="0"/>
          <w:sz w:val="32"/>
          <w:szCs w:val="32"/>
          <w:lang w:val="zh-CN"/>
          <w:highlight w:val="auto"/>
        </w:rPr>
      </w:pPr>
      <w:r>
        <w:rPr>
          <w:rFonts w:ascii="仿宋" w:eastAsia="仿宋" w:cs="仿宋" w:hint="eastAsia"/>
          <w:color w:val="000000"/>
          <w:kern w:val="0"/>
          <w:sz w:val="32"/>
          <w:szCs w:val="32"/>
          <w:lang w:val="zh-CN" w:eastAsia="zh-CN"/>
          <w:highlight w:val="auto"/>
        </w:rPr>
        <w:t>3.</w:t>
      </w:r>
      <w:r>
        <w:rPr>
          <w:rFonts w:ascii="仿宋" w:eastAsia="仿宋" w:cs="仿宋" w:hint="eastAsia"/>
          <w:color w:val="000000"/>
          <w:kern w:val="0"/>
          <w:sz w:val="32"/>
          <w:szCs w:val="32"/>
          <w:lang w:val="zh-CN"/>
          <w:highlight w:val="auto"/>
        </w:rPr>
        <w:t>目标实现。所有项目均全部按既定目标实现。</w:t>
      </w:r>
    </w:p>
    <w:p>
      <w:pPr>
        <w:keepNext w:val="0"/>
        <w:keepLines w:val="0"/>
        <w:pageBreakBefore w:val="0"/>
        <w:widowControl/>
        <w:kinsoku/>
        <w:wordWrap/>
        <w:overflowPunct/>
        <w:topLinePunct w:val="0"/>
        <w:autoSpaceDE/>
        <w:autoSpaceDN/>
        <w:adjustRightInd w:val="0"/>
        <w:snapToGrid w:val="0"/>
        <w:spacing w:line="578" w:lineRule="exact"/>
        <w:ind w:firstLineChars="200" w:firstLine="640"/>
        <w:contextualSpacing/>
        <w:jc w:val="left"/>
        <w:rPr>
          <w:rFonts w:ascii="仿宋" w:eastAsia="仿宋" w:cs="仿宋" w:hint="eastAsia"/>
          <w:b/>
          <w:bCs/>
          <w:color w:val="000000"/>
          <w:kern w:val="0"/>
          <w:sz w:val="32"/>
          <w:szCs w:val="32"/>
          <w:shd w:val="clear" w:color="auto" w:fill="FFFFFF"/>
          <w:lang w:val="zh-CN"/>
        </w:rPr>
      </w:pPr>
      <w:r>
        <w:rPr>
          <w:rFonts w:ascii="仿宋" w:eastAsia="仿宋" w:cs="仿宋" w:hint="eastAsia"/>
          <w:b/>
          <w:bCs/>
          <w:color w:val="000000"/>
          <w:kern w:val="0"/>
          <w:sz w:val="32"/>
          <w:szCs w:val="32"/>
          <w:shd w:val="clear" w:color="auto" w:fill="FFFFFF"/>
          <w:lang w:val="zh-CN"/>
          <w:highlight w:val="auto"/>
        </w:rPr>
        <w:t>（三）</w:t>
      </w:r>
      <w:r>
        <w:rPr>
          <w:rFonts w:ascii="仿宋" w:eastAsia="仿宋" w:cs="仿宋" w:hint="eastAsia"/>
          <w:b/>
          <w:bCs/>
          <w:color w:val="000000"/>
          <w:kern w:val="0"/>
          <w:sz w:val="32"/>
          <w:szCs w:val="32"/>
          <w:shd w:val="clear" w:color="auto" w:fill="FFFFFF"/>
          <w:lang w:val="zh-CN" w:eastAsia="zh-CN"/>
          <w:highlight w:val="auto"/>
        </w:rPr>
        <w:t>重点领域</w:t>
      </w:r>
      <w:r>
        <w:rPr>
          <w:rFonts w:ascii="仿宋" w:eastAsia="仿宋" w:cs="仿宋" w:hint="eastAsia"/>
          <w:b/>
          <w:bCs/>
          <w:color w:val="000000"/>
          <w:kern w:val="0"/>
          <w:sz w:val="32"/>
          <w:szCs w:val="32"/>
          <w:shd w:val="clear" w:color="auto" w:fill="FFFFFF"/>
          <w:lang w:val="zh-CN"/>
          <w:highlight w:val="auto"/>
        </w:rPr>
        <w:t>绩效分析</w:t>
      </w:r>
      <w:r>
        <w:rPr>
          <w:rFonts w:ascii="仿宋" w:eastAsia="仿宋" w:cs="仿宋" w:hint="eastAsia"/>
          <w:b/>
          <w:bCs/>
          <w:color w:val="000000"/>
          <w:kern w:val="0"/>
          <w:sz w:val="32"/>
          <w:szCs w:val="32"/>
          <w:shd w:val="clear" w:color="auto" w:fill="FFFFFF"/>
          <w:lang w:val="zh-CN" w:eastAsia="zh-CN"/>
          <w:highlight w:val="auto"/>
        </w:rPr>
        <w:t>。</w:t>
      </w:r>
    </w:p>
    <w:p>
      <w:pPr>
        <w:widowControl/>
        <w:adjustRightInd w:val="0"/>
        <w:snapToGrid w:val="0"/>
        <w:spacing w:line="580" w:lineRule="exact"/>
        <w:ind w:firstLineChars="200" w:firstLine="640"/>
        <w:contextualSpacing/>
        <w:jc w:val="left"/>
        <w:rPr>
          <w:rFonts w:ascii="仿宋" w:eastAsia="仿宋" w:cs="仿宋" w:hint="eastAsia"/>
          <w:bCs/>
          <w:color w:val="000000"/>
          <w:kern w:val="0"/>
          <w:sz w:val="32"/>
          <w:szCs w:val="32"/>
          <w:lang w:val="zh-CN" w:eastAsia="zh-CN"/>
        </w:rPr>
      </w:pPr>
      <w:r>
        <w:rPr>
          <w:rFonts w:ascii="仿宋" w:eastAsia="仿宋" w:cs="仿宋" w:hint="eastAsia"/>
          <w:bCs/>
          <w:color w:val="000000"/>
          <w:kern w:val="0"/>
          <w:sz w:val="32"/>
          <w:szCs w:val="32"/>
          <w:lang w:val="zh-CN" w:eastAsia="zh-CN"/>
        </w:rPr>
        <w:t>无</w:t>
      </w:r>
    </w:p>
    <w:p>
      <w:pPr>
        <w:widowControl/>
        <w:adjustRightInd w:val="0"/>
        <w:snapToGrid w:val="0"/>
        <w:spacing w:line="580" w:lineRule="exact"/>
        <w:ind w:firstLineChars="200" w:firstLine="640"/>
        <w:contextualSpacing/>
        <w:jc w:val="left"/>
        <w:rPr>
          <w:rFonts w:ascii="仿宋" w:eastAsia="仿宋" w:cs="仿宋" w:hint="eastAsia"/>
          <w:b/>
          <w:bCs/>
          <w:color w:val="000000"/>
          <w:kern w:val="0"/>
          <w:sz w:val="32"/>
          <w:szCs w:val="32"/>
          <w:shd w:val="clear" w:color="auto" w:fill="FFFFFF"/>
          <w:lang w:val="zh-CN"/>
        </w:rPr>
      </w:pPr>
      <w:r>
        <w:rPr>
          <w:rFonts w:ascii="仿宋" w:eastAsia="仿宋" w:cs="仿宋" w:hint="eastAsia"/>
          <w:b/>
          <w:bCs/>
          <w:color w:val="000000"/>
          <w:kern w:val="0"/>
          <w:sz w:val="32"/>
          <w:szCs w:val="32"/>
          <w:shd w:val="clear" w:color="auto" w:fill="FFFFFF"/>
          <w:lang w:val="zh-CN"/>
        </w:rPr>
        <w:t>（四）绩效结果应用情况。</w:t>
      </w:r>
    </w:p>
    <w:p>
      <w:pPr>
        <w:widowControl/>
        <w:numPr>
          <w:ilvl w:val="0"/>
          <w:numId w:val="2"/>
        </w:numPr>
        <w:adjustRightInd w:val="0"/>
        <w:snapToGrid w:val="0"/>
        <w:spacing w:line="580" w:lineRule="exact"/>
        <w:contextualSpacing/>
        <w:jc w:val="left"/>
        <w:rPr>
          <w:rFonts w:ascii="仿宋" w:eastAsia="仿宋" w:cs="仿宋" w:hint="eastAsia"/>
          <w:b/>
          <w:bCs/>
          <w:color w:val="000000"/>
          <w:kern w:val="0"/>
          <w:szCs w:val="32"/>
          <w:shd w:val="clear" w:color="auto" w:fill="FFFFFF"/>
          <w:lang w:val="zh-CN"/>
        </w:rPr>
      </w:pPr>
      <w:r>
        <w:rPr>
          <w:rFonts w:ascii="仿宋" w:eastAsia="仿宋" w:cs="仿宋"/>
          <w:b/>
          <w:bCs/>
          <w:color w:val="000000"/>
          <w:kern w:val="0"/>
          <w:sz w:val="32"/>
          <w:szCs w:val="32"/>
          <w:shd w:val="clear" w:color="auto" w:fill="FFFFFF"/>
          <w:lang w:val="zh-CN"/>
        </w:rPr>
        <w:t>绩效结果</w:t>
      </w:r>
      <w:r>
        <w:rPr>
          <w:rFonts w:ascii="仿宋" w:eastAsia="仿宋" w:cs="仿宋" w:hint="eastAsia"/>
          <w:b/>
          <w:bCs/>
          <w:color w:val="000000"/>
          <w:kern w:val="0"/>
          <w:sz w:val="32"/>
          <w:szCs w:val="32"/>
          <w:shd w:val="clear" w:color="auto" w:fill="FFFFFF"/>
          <w:lang w:val="zh-CN"/>
        </w:rPr>
        <w:t>。</w:t>
      </w:r>
    </w:p>
    <w:p>
      <w:pPr>
        <w:widowControl/>
        <w:adjustRightInd w:val="0"/>
        <w:snapToGrid w:val="0"/>
        <w:spacing w:line="580" w:lineRule="exact"/>
        <w:ind w:left="0" w:firstLineChars="200" w:firstLine="640"/>
        <w:contextualSpacing/>
        <w:jc w:val="left"/>
        <w:rPr>
          <w:rFonts w:ascii="仿宋" w:eastAsia="仿宋" w:cs="仿宋" w:hint="eastAsia"/>
          <w:color w:val="000000"/>
          <w:kern w:val="0"/>
          <w:sz w:val="32"/>
          <w:szCs w:val="32"/>
          <w:lang w:val="zh-CN"/>
        </w:rPr>
      </w:pPr>
      <w:r>
        <w:rPr>
          <w:rFonts w:ascii="仿宋" w:eastAsia="仿宋" w:cs="仿宋" w:hint="eastAsia"/>
          <w:color w:val="000000"/>
          <w:kern w:val="0"/>
          <w:sz w:val="32"/>
          <w:szCs w:val="32"/>
          <w:lang w:val="zh-CN"/>
        </w:rPr>
        <w:t>预算执行：门预算执行进度在6月达到49.7%，9月达到70.7%，11月达到88.1%，全年基本达到执行进度。</w:t>
      </w:r>
    </w:p>
    <w:p>
      <w:pPr>
        <w:widowControl/>
        <w:adjustRightInd w:val="0"/>
        <w:snapToGrid w:val="0"/>
        <w:spacing w:line="580" w:lineRule="exact"/>
        <w:ind w:firstLineChars="200" w:firstLine="640"/>
        <w:contextualSpacing/>
        <w:jc w:val="left"/>
        <w:rPr>
          <w:rFonts w:ascii="仿宋" w:eastAsia="仿宋" w:cs="仿宋" w:hint="eastAsia"/>
          <w:color w:val="000000"/>
          <w:kern w:val="0"/>
          <w:sz w:val="32"/>
          <w:szCs w:val="32"/>
          <w:lang w:val="zh-CN"/>
        </w:rPr>
      </w:pPr>
      <w:r>
        <w:rPr>
          <w:rFonts w:ascii="仿宋" w:eastAsia="仿宋" w:cs="仿宋" w:hint="eastAsia"/>
          <w:color w:val="000000"/>
          <w:kern w:val="0"/>
          <w:sz w:val="32"/>
          <w:szCs w:val="32"/>
          <w:lang w:val="zh-CN"/>
        </w:rPr>
        <w:t>2025年我校预算严格按照各项目预定目标执行，严控“三公经费”、培训费、差旅费、等支出，严格报账程序，严把票据审核，认真做好会计核算、强化内控建设，确保各项工作有序运转，全年预算执行率为100%，且无违规记录。</w:t>
      </w:r>
    </w:p>
    <w:p>
      <w:pPr>
        <w:widowControl/>
        <w:adjustRightInd w:val="0"/>
        <w:snapToGrid w:val="0"/>
        <w:spacing w:line="580" w:lineRule="exact"/>
        <w:ind w:firstLineChars="200" w:firstLine="640"/>
        <w:contextualSpacing/>
        <w:jc w:val="left"/>
        <w:rPr>
          <w:rFonts w:ascii="仿宋" w:eastAsia="仿宋" w:cs="仿宋" w:hint="eastAsia"/>
          <w:b/>
          <w:bCs/>
          <w:color w:val="000000"/>
          <w:kern w:val="0"/>
          <w:sz w:val="32"/>
          <w:szCs w:val="32"/>
          <w:shd w:val="clear" w:color="auto" w:fill="FFFFFF"/>
          <w:lang w:val="zh-CN"/>
        </w:rPr>
      </w:pPr>
      <w:r>
        <w:rPr>
          <w:rFonts w:ascii="仿宋" w:eastAsia="仿宋" w:cs="仿宋" w:hint="eastAsia"/>
          <w:b/>
          <w:bCs/>
          <w:color w:val="000000"/>
          <w:kern w:val="0"/>
          <w:sz w:val="32"/>
          <w:szCs w:val="32"/>
          <w:shd w:val="clear" w:color="auto" w:fill="FFFFFF"/>
          <w:lang w:val="zh-CN"/>
        </w:rPr>
        <w:t>2、结果应用情况。</w:t>
      </w:r>
    </w:p>
    <w:p>
      <w:pPr>
        <w:widowControl/>
        <w:shd w:val="clear" w:color="auto" w:fill="auto"/>
        <w:adjustRightInd w:val="0"/>
        <w:snapToGrid w:val="0"/>
        <w:spacing w:line="580" w:lineRule="exact"/>
        <w:ind w:firstLineChars="200" w:firstLine="640"/>
        <w:contextualSpacing/>
        <w:jc w:val="left"/>
        <w:rPr>
          <w:rFonts w:ascii="仿宋" w:eastAsia="仿宋" w:cs="仿宋" w:hint="eastAsia"/>
          <w:color w:val="000000"/>
          <w:kern w:val="0"/>
          <w:sz w:val="32"/>
          <w:szCs w:val="32"/>
          <w:lang w:val="zh-CN"/>
        </w:rPr>
      </w:pPr>
      <w:r>
        <w:rPr>
          <w:rFonts w:ascii="仿宋" w:eastAsia="仿宋" w:cs="仿宋" w:hint="eastAsia"/>
          <w:color w:val="000000"/>
          <w:kern w:val="0"/>
          <w:sz w:val="32"/>
          <w:szCs w:val="32"/>
          <w:lang w:val="zh-CN" w:eastAsia="zh-CN"/>
        </w:rPr>
        <w:t>我校按要求将部门整体绩效自评情况和自行组织的评价情况将相关绩效信息透明公开；通过财政整体绩效结果刚性应用，学校预算标准更科学、资金执行更高效、内控管理更规范、资源配置更精准，有效保障民族教育高质量发展，财政资金使用效益与办学保障能力显著提升。</w:t>
      </w:r>
    </w:p>
    <w:p>
      <w:pPr>
        <w:keepNext w:val="0"/>
        <w:keepLines w:val="0"/>
        <w:pageBreakBefore w:val="0"/>
        <w:widowControl/>
        <w:kinsoku/>
        <w:wordWrap/>
        <w:overflowPunct/>
        <w:topLinePunct w:val="0"/>
        <w:autoSpaceDE/>
        <w:autoSpaceDN/>
        <w:adjustRightInd w:val="0"/>
        <w:snapToGrid w:val="0"/>
        <w:spacing w:line="578" w:lineRule="exact"/>
        <w:ind w:firstLineChars="200" w:firstLine="640"/>
        <w:contextualSpacing/>
        <w:jc w:val="left"/>
        <w:rPr>
          <w:rFonts w:ascii="仿宋" w:eastAsia="仿宋" w:cs="仿宋" w:hint="eastAsia"/>
          <w:b/>
          <w:bCs/>
          <w:color w:val="000000"/>
          <w:kern w:val="0"/>
          <w:sz w:val="32"/>
          <w:szCs w:val="32"/>
          <w:shd w:val="clear" w:color="auto" w:fill="FFFFFF"/>
          <w:lang w:val="zh-CN"/>
        </w:rPr>
      </w:pPr>
      <w:r>
        <w:rPr>
          <w:rFonts w:ascii="仿宋" w:eastAsia="仿宋" w:cs="仿宋" w:hint="eastAsia"/>
          <w:b/>
          <w:bCs/>
          <w:color w:val="000000"/>
          <w:kern w:val="0"/>
          <w:sz w:val="32"/>
          <w:szCs w:val="32"/>
          <w:shd w:val="clear" w:color="auto" w:fill="FFFFFF"/>
          <w:lang w:val="zh-CN"/>
        </w:rPr>
        <w:t>四、评价结论及建议</w:t>
      </w:r>
    </w:p>
    <w:p>
      <w:pPr>
        <w:keepNext w:val="0"/>
        <w:keepLines w:val="0"/>
        <w:pageBreakBefore w:val="0"/>
        <w:widowControl w:val="0"/>
        <w:kinsoku/>
        <w:wordWrap/>
        <w:overflowPunct/>
        <w:topLinePunct w:val="0"/>
        <w:autoSpaceDE/>
        <w:autoSpaceDN/>
        <w:adjustRightInd w:val="0"/>
        <w:snapToGrid w:val="0"/>
        <w:spacing w:line="578" w:lineRule="exact"/>
        <w:ind w:left="0" w:firstLineChars="200" w:firstLine="640"/>
        <w:contextualSpacing/>
        <w:jc w:val="left"/>
        <w:rPr>
          <w:rFonts w:ascii="仿宋" w:eastAsia="仿宋" w:cs="仿宋" w:hint="eastAsia"/>
          <w:b/>
          <w:bCs/>
          <w:color w:val="000000"/>
          <w:kern w:val="0"/>
          <w:sz w:val="32"/>
          <w:szCs w:val="32"/>
          <w:shd w:val="clear" w:color="auto" w:fill="FFFFFF"/>
          <w:lang w:val="zh-CN"/>
        </w:rPr>
      </w:pPr>
      <w:r>
        <w:rPr>
          <w:rFonts w:ascii="仿宋" w:eastAsia="仿宋" w:cs="仿宋" w:hint="eastAsia"/>
          <w:b/>
          <w:bCs/>
          <w:color w:val="000000"/>
          <w:kern w:val="0"/>
          <w:sz w:val="32"/>
          <w:szCs w:val="32"/>
          <w:shd w:val="clear" w:color="auto" w:fill="FFFFFF"/>
          <w:lang w:val="zh-CN"/>
          <w:highlight w:val="auto"/>
        </w:rPr>
        <w:t>（一）评价结论。</w:t>
      </w:r>
    </w:p>
    <w:p>
      <w:pPr>
        <w:keepNext w:val="0"/>
        <w:keepLines w:val="0"/>
        <w:pageBreakBefore w:val="0"/>
        <w:widowControl w:val="0"/>
        <w:kinsoku/>
        <w:wordWrap/>
        <w:overflowPunct/>
        <w:topLinePunct w:val="0"/>
        <w:autoSpaceDE/>
        <w:autoSpaceDN/>
        <w:adjustRightInd w:val="0"/>
        <w:snapToGrid w:val="0"/>
        <w:spacing w:line="578" w:lineRule="exact"/>
        <w:ind w:left="0" w:firstLineChars="200" w:firstLine="640"/>
        <w:contextualSpacing/>
        <w:jc w:val="left"/>
        <w:rPr>
          <w:rFonts w:ascii="仿宋" w:eastAsia="仿宋" w:cs="仿宋" w:hint="eastAsia"/>
          <w:color w:val="000000"/>
          <w:kern w:val="0"/>
          <w:sz w:val="32"/>
          <w:szCs w:val="32"/>
          <w:lang w:val="zh-CN"/>
        </w:rPr>
      </w:pPr>
      <w:r>
        <w:rPr>
          <w:rFonts w:ascii="仿宋" w:eastAsia="仿宋" w:cs="仿宋" w:hint="eastAsia"/>
          <w:color w:val="000000"/>
          <w:kern w:val="0"/>
          <w:sz w:val="32"/>
          <w:szCs w:val="32"/>
          <w:lang w:val="zh-CN"/>
        </w:rPr>
        <w:t>建立健全规章制度，制度执行严格合规，会计核算符合相关规定，资金专款专用，资金支付依据和开支标准合法合规，支出进度总体良好，报2024年度部门预算绩效评价指标体系，自评结论</w:t>
      </w:r>
      <w:r>
        <w:rPr>
          <w:rFonts w:ascii="仿宋" w:eastAsia="仿宋" w:cs="仿宋" w:hint="eastAsia"/>
          <w:color w:val="000000"/>
          <w:kern w:val="0"/>
          <w:sz w:val="32"/>
          <w:szCs w:val="32"/>
          <w:lang w:val="zh-CN"/>
          <w:highlight w:val="auto"/>
        </w:rPr>
        <w:t>为</w:t>
      </w:r>
      <w:r>
        <w:rPr>
          <w:rFonts w:ascii="仿宋" w:eastAsia="仿宋" w:cs="仿宋" w:hint="eastAsia"/>
          <w:color w:val="000000"/>
          <w:kern w:val="0"/>
          <w:sz w:val="32"/>
          <w:szCs w:val="32"/>
          <w:lang w:val="zh-CN"/>
        </w:rPr>
        <w:t>91分在履职效能方面，我校基本实现预期目标</w:t>
      </w:r>
      <w:r>
        <w:rPr>
          <w:rFonts w:ascii="仿宋" w:eastAsia="仿宋" w:cs="仿宋" w:hint="eastAsia"/>
          <w:color w:val="000000"/>
          <w:kern w:val="0"/>
          <w:sz w:val="32"/>
          <w:szCs w:val="32"/>
          <w:lang w:val="zh-CN"/>
          <w:highlight w:val="auto"/>
        </w:rPr>
        <w:t>并取得相应成果。</w:t>
      </w:r>
    </w:p>
    <w:p>
      <w:pPr>
        <w:widowControl/>
        <w:adjustRightInd w:val="0"/>
        <w:snapToGrid w:val="0"/>
        <w:spacing w:line="560" w:lineRule="exact"/>
        <w:rPr>
          <w:rFonts w:ascii="仿宋" w:eastAsia="仿宋" w:cs="仿宋" w:hint="eastAsia"/>
          <w:b/>
          <w:bCs/>
          <w:sz w:val="32"/>
          <w:szCs w:val="32"/>
        </w:rPr>
      </w:pPr>
      <w:r>
        <w:rPr>
          <w:rFonts w:ascii="仿宋" w:eastAsia="仿宋" w:cs="仿宋" w:hint="eastAsia"/>
          <w:b/>
          <w:bCs/>
          <w:color w:val="000000"/>
          <w:kern w:val="0"/>
          <w:sz w:val="32"/>
          <w:szCs w:val="32"/>
          <w:lang w:val="zh-CN"/>
        </w:rPr>
        <w:t>（二）存在问题。</w:t>
      </w:r>
    </w:p>
    <w:p>
      <w:pPr>
        <w:spacing w:line="560" w:lineRule="exact"/>
        <w:rPr>
          <w:rFonts w:ascii="仿宋" w:eastAsia="仿宋" w:cs="仿宋" w:hint="eastAsia"/>
          <w:b/>
          <w:bCs/>
          <w:color w:val="000000"/>
          <w:kern w:val="0"/>
          <w:sz w:val="32"/>
          <w:szCs w:val="32"/>
        </w:rPr>
      </w:pPr>
      <w:r>
        <w:rPr>
          <w:rFonts w:ascii="仿宋" w:eastAsia="仿宋" w:cs="仿宋" w:hint="eastAsia"/>
          <w:b/>
          <w:bCs/>
          <w:color w:val="000000"/>
          <w:kern w:val="0"/>
          <w:sz w:val="32"/>
          <w:szCs w:val="32"/>
        </w:rPr>
        <w:t>1、部门预算执行缓慢。</w:t>
      </w:r>
    </w:p>
    <w:p>
      <w:pPr>
        <w:spacing w:line="560" w:lineRule="exact"/>
        <w:ind w:firstLineChars="200" w:firstLine="640"/>
        <w:rPr>
          <w:rFonts w:ascii="仿宋" w:eastAsia="仿宋" w:cs="仿宋" w:hint="eastAsia"/>
          <w:color w:val="000000"/>
          <w:kern w:val="0"/>
          <w:sz w:val="32"/>
          <w:szCs w:val="32"/>
          <w:lang w:val="en-US" w:eastAsia="zh-CN"/>
        </w:rPr>
      </w:pPr>
      <w:r>
        <w:rPr>
          <w:rFonts w:ascii="仿宋" w:eastAsia="仿宋" w:cs="仿宋" w:hint="eastAsia"/>
          <w:color w:val="000000"/>
          <w:kern w:val="0"/>
          <w:sz w:val="32"/>
          <w:szCs w:val="32"/>
        </w:rPr>
        <w:t>202</w:t>
      </w:r>
      <w:r>
        <w:rPr>
          <w:rFonts w:ascii="仿宋" w:eastAsia="仿宋" w:cs="仿宋"/>
          <w:color w:val="000000"/>
          <w:kern w:val="0"/>
          <w:sz w:val="32"/>
          <w:szCs w:val="32"/>
          <w:lang w:val="en-US" w:eastAsia="zh-CN"/>
        </w:rPr>
        <w:t>5</w:t>
      </w:r>
      <w:r>
        <w:rPr>
          <w:rFonts w:ascii="仿宋" w:eastAsia="仿宋" w:cs="仿宋" w:hint="eastAsia"/>
          <w:color w:val="000000"/>
          <w:kern w:val="0"/>
          <w:sz w:val="32"/>
          <w:szCs w:val="32"/>
        </w:rPr>
        <w:t>年资金支付缓慢，</w:t>
      </w:r>
      <w:r>
        <w:rPr>
          <w:rFonts w:ascii="仿宋" w:eastAsia="仿宋" w:cs="仿宋"/>
          <w:color w:val="000000"/>
          <w:kern w:val="0"/>
          <w:sz w:val="32"/>
          <w:szCs w:val="32"/>
        </w:rPr>
        <w:t>整体支付进度主要存在以下问题</w:t>
      </w:r>
      <w:r>
        <w:rPr>
          <w:rFonts w:ascii="仿宋" w:eastAsia="仿宋" w:cs="仿宋" w:hint="eastAsia"/>
          <w:color w:val="000000"/>
          <w:kern w:val="0"/>
          <w:sz w:val="32"/>
          <w:szCs w:val="32"/>
        </w:rPr>
        <w:t>：</w:t>
      </w:r>
      <w:r>
        <w:rPr>
          <w:rFonts w:ascii="仿宋" w:eastAsia="仿宋" w:cs="仿宋"/>
          <w:color w:val="000000"/>
          <w:kern w:val="0"/>
          <w:sz w:val="32"/>
          <w:szCs w:val="32"/>
        </w:rPr>
        <w:t>部分项目事前准备不充分</w:t>
      </w:r>
      <w:r>
        <w:rPr>
          <w:rFonts w:ascii="仿宋" w:eastAsia="仿宋" w:cs="仿宋" w:hint="eastAsia"/>
          <w:color w:val="000000"/>
          <w:kern w:val="0"/>
          <w:sz w:val="32"/>
          <w:szCs w:val="32"/>
        </w:rPr>
        <w:t>，导致支付有一定的延迟；</w:t>
      </w:r>
      <w:r>
        <w:rPr>
          <w:rFonts w:ascii="仿宋" w:eastAsia="仿宋" w:cs="仿宋"/>
          <w:color w:val="000000"/>
          <w:kern w:val="0"/>
          <w:sz w:val="32"/>
          <w:szCs w:val="32"/>
        </w:rPr>
        <w:t>食堂餐具及食堂楼顶维修等部分项目</w:t>
      </w:r>
      <w:r>
        <w:rPr>
          <w:rFonts w:ascii="仿宋" w:eastAsia="仿宋" w:cs="仿宋" w:hint="eastAsia"/>
          <w:color w:val="000000"/>
          <w:kern w:val="0"/>
          <w:sz w:val="32"/>
          <w:szCs w:val="32"/>
          <w:lang w:eastAsia="zh-CN"/>
        </w:rPr>
        <w:t>需在寒暑假等节假日开展</w:t>
      </w:r>
      <w:r>
        <w:rPr>
          <w:rFonts w:ascii="仿宋" w:eastAsia="仿宋" w:cs="仿宋"/>
          <w:color w:val="000000"/>
          <w:kern w:val="0"/>
          <w:sz w:val="32"/>
          <w:szCs w:val="32"/>
        </w:rPr>
        <w:t>；</w:t>
      </w:r>
    </w:p>
    <w:p>
      <w:pPr>
        <w:widowControl/>
        <w:adjustRightInd w:val="0"/>
        <w:snapToGrid w:val="0"/>
        <w:spacing w:line="560" w:lineRule="exact"/>
        <w:rPr>
          <w:rFonts w:ascii="仿宋" w:eastAsia="仿宋" w:cs="仿宋" w:hint="eastAsia"/>
          <w:b/>
          <w:color w:val="000000"/>
          <w:kern w:val="0"/>
          <w:sz w:val="32"/>
          <w:szCs w:val="32"/>
          <w:lang w:val="zh-CN"/>
        </w:rPr>
      </w:pPr>
      <w:r>
        <w:rPr>
          <w:rFonts w:ascii="仿宋" w:eastAsia="仿宋" w:cs="仿宋" w:hint="eastAsia"/>
          <w:b/>
          <w:color w:val="000000"/>
          <w:kern w:val="0"/>
          <w:sz w:val="32"/>
          <w:szCs w:val="32"/>
          <w:lang w:val="zh-CN"/>
        </w:rPr>
        <w:t>（三）改进建议。</w:t>
      </w:r>
    </w:p>
    <w:p>
      <w:pPr>
        <w:pStyle w:val="37"/>
        <w:spacing w:before="0" w:after="0" w:line="560" w:lineRule="exact"/>
        <w:jc w:val="both"/>
        <w:outlineLvl w:val="9"/>
        <w:rPr>
          <w:rFonts w:ascii="仿宋" w:eastAsia="仿宋" w:cs="仿宋" w:hint="eastAsia"/>
          <w:b w:val="0"/>
          <w:bCs w:val="0"/>
          <w:sz w:val="32"/>
          <w:szCs w:val="32"/>
        </w:rPr>
      </w:pPr>
      <w:r>
        <w:rPr>
          <w:rFonts w:ascii="仿宋" w:eastAsia="仿宋" w:cs="仿宋" w:hint="eastAsia"/>
          <w:sz w:val="32"/>
          <w:szCs w:val="32"/>
        </w:rPr>
        <w:t>1、加强预算编制准确性。</w:t>
      </w:r>
    </w:p>
    <w:p>
      <w:pPr>
        <w:pStyle w:val="37"/>
        <w:keepNext w:val="0"/>
        <w:keepLines w:val="0"/>
        <w:pageBreakBefore w:val="0"/>
        <w:widowControl w:val="0"/>
        <w:kinsoku/>
        <w:wordWrap/>
        <w:overflowPunct/>
        <w:topLinePunct w:val="0"/>
        <w:autoSpaceDE/>
        <w:autoSpaceDN/>
        <w:bidi w:val="0"/>
        <w:adjustRightInd/>
        <w:snapToGrid/>
        <w:spacing w:before="0" w:after="0" w:line="360" w:lineRule="auto"/>
        <w:ind w:firstLineChars="200" w:firstLine="640"/>
        <w:jc w:val="both"/>
        <w:textAlignment w:val="auto"/>
        <w:outlineLvl w:val="9"/>
        <w:rPr>
          <w:rFonts w:ascii="仿宋" w:eastAsia="仿宋" w:cs="仿宋" w:hint="eastAsia"/>
          <w:b w:val="0"/>
          <w:bCs w:val="0"/>
          <w:sz w:val="32"/>
          <w:szCs w:val="32"/>
        </w:rPr>
      </w:pPr>
      <w:r>
        <w:rPr>
          <w:rFonts w:ascii="仿宋" w:eastAsia="仿宋" w:cs="仿宋" w:hint="eastAsia"/>
          <w:b w:val="0"/>
          <w:bCs w:val="0"/>
          <w:sz w:val="32"/>
          <w:szCs w:val="32"/>
        </w:rPr>
        <w:t>建议进一步强化预算编制工作，结合年度工作任务目标和项目计划实施进度，加强预算项目前期评估，提高预算编制准确性和执行进度，严禁超预算或无预算安排支出。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eastAsia="仿宋" w:cs="仿宋" w:hint="eastAsia"/>
          <w:sz w:val="32"/>
          <w:szCs w:val="32"/>
        </w:rPr>
      </w:pPr>
      <w:r>
        <w:rPr>
          <w:rFonts w:ascii="仿宋" w:eastAsia="仿宋" w:cs="仿宋" w:hint="eastAsia"/>
          <w:b/>
          <w:bCs/>
          <w:color w:val="000000"/>
          <w:sz w:val="32"/>
          <w:szCs w:val="32"/>
        </w:rPr>
        <w:t>2、加强预算执行力度</w:t>
      </w:r>
      <w:r>
        <w:rPr>
          <w:rFonts w:ascii="仿宋" w:eastAsia="仿宋" w:cs="仿宋" w:hint="eastAsia"/>
          <w:color w:val="000000"/>
          <w:sz w:val="32"/>
          <w:szCs w:val="32"/>
        </w:rPr>
        <w:t>。</w:t>
      </w:r>
    </w:p>
    <w:p>
      <w:pPr>
        <w:pStyle w:val="36"/>
        <w:widowControl/>
        <w:shd w:val="clear" w:color="auto" w:fill="FFFFFF"/>
        <w:spacing w:beforeAutospacing="0" w:afterAutospacing="0" w:line="598" w:lineRule="exact"/>
        <w:ind w:firstLineChars="231" w:firstLine="739"/>
        <w:jc w:val="both"/>
        <w:rPr>
          <w:rFonts w:ascii="仿宋" w:eastAsia="仿宋" w:cs="仿宋"/>
          <w:kern w:val="2"/>
          <w:sz w:val="32"/>
          <w:szCs w:val="32"/>
        </w:rPr>
      </w:pPr>
      <w:r>
        <w:rPr>
          <w:rFonts w:ascii="仿宋" w:eastAsia="仿宋" w:cs="仿宋" w:hint="eastAsia"/>
          <w:b w:val="0"/>
          <w:bCs w:val="0"/>
          <w:kern w:val="2"/>
          <w:sz w:val="32"/>
          <w:szCs w:val="32"/>
          <w:lang w:val="en-US" w:eastAsia="zh-CN" w:bidi="ar-SA"/>
        </w:rPr>
        <w:t>在部门预算执行过程中，掌握项目进展情况，确保资金安排与项目进展一致。在以后工作中，不断加强对财经纪律的学习，切实发挥财务监督作用。</w:t>
      </w:r>
    </w:p>
    <w:p>
      <w:pPr>
        <w:keepNext w:val="0"/>
        <w:keepLines w:val="0"/>
        <w:pageBreakBefore w:val="0"/>
        <w:widowControl w:val="0"/>
        <w:kinsoku/>
        <w:wordWrap/>
        <w:overflowPunct/>
        <w:topLinePunct w:val="0"/>
        <w:autoSpaceDE/>
        <w:autoSpaceDN/>
        <w:adjustRightInd/>
        <w:snapToGrid/>
        <w:spacing w:line="360" w:lineRule="auto"/>
        <w:rPr>
          <w:rFonts w:ascii="仿宋" w:eastAsia="仿宋" w:cs="仿宋" w:hint="eastAsia"/>
          <w:b/>
          <w:bCs/>
          <w:color w:val="000000"/>
          <w:sz w:val="32"/>
          <w:szCs w:val="32"/>
        </w:rPr>
      </w:pPr>
      <w:r>
        <w:rPr>
          <w:rFonts w:ascii="仿宋" w:eastAsia="仿宋" w:cs="仿宋" w:hint="eastAsia"/>
          <w:b/>
          <w:bCs/>
          <w:color w:val="000000"/>
          <w:sz w:val="32"/>
          <w:szCs w:val="32"/>
        </w:rPr>
        <w:t>3.加强绩效评价相关工作</w:t>
      </w:r>
    </w:p>
    <w:p>
      <w:pPr>
        <w:keepNext w:val="0"/>
        <w:keepLines w:val="0"/>
        <w:pageBreakBefore w:val="0"/>
        <w:widowControl w:val="0"/>
        <w:kinsoku/>
        <w:wordWrap/>
        <w:overflowPunct/>
        <w:topLinePunct w:val="0"/>
        <w:autoSpaceDE/>
        <w:autoSpaceDN/>
        <w:adjustRightInd/>
        <w:snapToGrid/>
        <w:spacing w:line="360" w:lineRule="auto"/>
        <w:ind w:firstLineChars="200" w:firstLine="640"/>
        <w:rPr>
          <w:rFonts w:ascii="仿宋" w:eastAsia="仿宋" w:cs="仿宋" w:hint="eastAsia"/>
          <w:sz w:val="32"/>
          <w:szCs w:val="32"/>
        </w:rPr>
      </w:pPr>
      <w:r>
        <w:rPr>
          <w:rFonts w:ascii="仿宋" w:eastAsia="仿宋" w:cs="仿宋" w:hint="eastAsia"/>
          <w:sz w:val="32"/>
          <w:szCs w:val="32"/>
        </w:rPr>
        <w:t>建立预算执行分析机制、定期通报预算执行情况，分析存在问题、提出改进建议，提高执行有效性，杜绝无预算、超预算支出等事项发生。</w:t>
      </w:r>
    </w:p>
    <w:p>
      <w:pPr>
        <w:pStyle w:val="36"/>
        <w:widowControl/>
        <w:shd w:val="clear" w:color="auto" w:fill="FFFFFF"/>
        <w:spacing w:beforeAutospacing="0" w:afterAutospacing="0" w:line="598" w:lineRule="exact"/>
        <w:ind w:firstLineChars="231" w:firstLine="739"/>
        <w:jc w:val="both"/>
        <w:rPr>
          <w:rFonts w:ascii="仿宋" w:eastAsia="仿宋" w:cs="仿宋" w:hint="eastAsia"/>
          <w:kern w:val="2"/>
          <w:sz w:val="32"/>
          <w:szCs w:val="32"/>
        </w:rPr>
      </w:pPr>
      <w:r>
        <w:rPr>
          <w:rFonts w:ascii="仿宋" w:eastAsia="仿宋" w:cs="仿宋" w:hint="eastAsia"/>
          <w:kern w:val="2"/>
          <w:sz w:val="32"/>
          <w:szCs w:val="32"/>
        </w:rPr>
        <w:t>加大财务绩效评价工作的宣传和培训力度，制定更加科学的绩效评价指标，细化评价标准，提升对绩效评价的重视程度。</w:t>
      </w:r>
    </w:p>
    <w:p>
      <w:pPr>
        <w:pStyle w:val="35"/>
        <w:rPr>
          <w:rFonts w:ascii="仿宋" w:eastAsia="仿宋" w:cs="仿宋" w:hint="eastAsia"/>
          <w:color w:val="auto"/>
          <w:kern w:val="2"/>
          <w:sz w:val="32"/>
          <w:szCs w:val="32"/>
          <w:lang w:val="en-US"/>
        </w:rPr>
      </w:pPr>
    </w:p>
    <w:p>
      <w:pPr>
        <w:keepNext w:val="0"/>
        <w:keepLines w:val="0"/>
        <w:pageBreakBefore w:val="0"/>
        <w:widowControl w:val="0"/>
        <w:kinsoku/>
        <w:wordWrap/>
        <w:overflowPunct/>
        <w:topLinePunct w:val="0"/>
        <w:autoSpaceDE/>
        <w:autoSpaceDN/>
        <w:bidi w:val="0"/>
        <w:spacing w:line="578" w:lineRule="exact"/>
        <w:ind w:firstLineChars="200" w:firstLine="640"/>
        <w:textAlignment w:val="auto"/>
        <w:rPr>
          <w:rFonts w:ascii="仿宋" w:eastAsia="仿宋" w:cs="仿宋" w:hint="eastAsia"/>
          <w:sz w:val="32"/>
          <w:szCs w:val="32"/>
        </w:rPr>
      </w:pPr>
      <w:r>
        <w:rPr>
          <w:rFonts w:ascii="仿宋" w:eastAsia="仿宋" w:cs="仿宋" w:hint="eastAsia"/>
          <w:sz w:val="32"/>
          <w:szCs w:val="32"/>
          <w:highlight w:val="auto"/>
        </w:rPr>
        <w:t>附表：1.</w:t>
      </w:r>
      <w:r>
        <w:rPr>
          <w:rFonts w:ascii="仿宋" w:eastAsia="仿宋" w:cs="仿宋" w:hint="eastAsia"/>
          <w:sz w:val="32"/>
          <w:szCs w:val="32"/>
        </w:rPr>
        <w:t>部门预算绩效自评打分表</w:t>
      </w:r>
    </w:p>
    <w:p>
      <w:pPr>
        <w:keepNext w:val="0"/>
        <w:keepLines w:val="0"/>
        <w:pageBreakBefore w:val="0"/>
        <w:widowControl w:val="0"/>
        <w:kinsoku/>
        <w:wordWrap/>
        <w:overflowPunct/>
        <w:topLinePunct w:val="0"/>
        <w:autoSpaceDE/>
        <w:autoSpaceDN/>
        <w:bidi w:val="0"/>
        <w:spacing w:line="578" w:lineRule="exact"/>
        <w:ind w:firstLineChars="500" w:firstLine="1600"/>
        <w:textAlignment w:val="auto"/>
        <w:rPr>
          <w:rFonts w:ascii="仿宋" w:eastAsia="仿宋" w:cs="仿宋" w:hint="eastAsia"/>
          <w:sz w:val="32"/>
          <w:szCs w:val="32"/>
          <w:highlight w:val="auto"/>
        </w:rPr>
      </w:pPr>
      <w:r>
        <w:rPr>
          <w:rFonts w:ascii="仿宋" w:eastAsia="仿宋" w:cs="仿宋" w:hint="eastAsia"/>
          <w:sz w:val="32"/>
          <w:szCs w:val="32"/>
        </w:rPr>
        <w:t>2.</w:t>
      </w:r>
      <w:r>
        <w:rPr>
          <w:rFonts w:ascii="仿宋" w:eastAsia="仿宋" w:cs="仿宋" w:hint="eastAsia"/>
          <w:sz w:val="32"/>
          <w:szCs w:val="32"/>
          <w:highlight w:val="auto"/>
        </w:rPr>
        <w:t>部门整体绩效目标完成情况自评表</w:t>
      </w:r>
    </w:p>
    <w:p>
      <w:pPr>
        <w:keepNext w:val="0"/>
        <w:keepLines w:val="0"/>
        <w:pageBreakBefore w:val="0"/>
        <w:widowControl w:val="0"/>
        <w:kinsoku/>
        <w:wordWrap/>
        <w:overflowPunct/>
        <w:topLinePunct w:val="0"/>
        <w:autoSpaceDE/>
        <w:autoSpaceDN/>
        <w:bidi w:val="0"/>
        <w:spacing w:line="578" w:lineRule="exact"/>
        <w:ind w:firstLineChars="500" w:firstLine="1600"/>
        <w:textAlignment w:val="auto"/>
        <w:rPr>
          <w:rFonts w:hint="eastAsia"/>
          <w:sz w:val="32"/>
          <w:szCs w:val="32"/>
        </w:rPr>
      </w:pPr>
      <w:r>
        <w:rPr>
          <w:rFonts w:ascii="仿宋" w:eastAsia="仿宋" w:cs="仿宋" w:hint="eastAsia"/>
          <w:sz w:val="32"/>
          <w:szCs w:val="32"/>
          <w:highlight w:val="auto"/>
        </w:rPr>
        <w:t>3.</w:t>
      </w:r>
      <w:r>
        <w:rPr>
          <w:rFonts w:ascii="仿宋" w:eastAsia="仿宋" w:cs="仿宋" w:hint="eastAsia"/>
          <w:sz w:val="32"/>
          <w:szCs w:val="32"/>
        </w:rPr>
        <w:t>部门预算项目支出绩效评价表（2025年度）</w:t>
      </w:r>
    </w:p>
    <w:p>
      <w:pPr>
        <w:pStyle w:val="27"/>
        <w:rPr>
          <w:rFonts w:ascii="Times New Roman" w:eastAsia="宋体" w:hAnsi="Times New Roman" w:hint="eastAsia"/>
          <w:b w:val="0"/>
          <w:sz w:val="32"/>
          <w:szCs w:val="32"/>
        </w:rPr>
      </w:pPr>
    </w:p>
    <w:p>
      <w:pPr>
        <w:tabs>
          <w:tab w:val="left" w:pos="3438"/>
        </w:tabs>
        <w:jc w:val="right"/>
        <w:rPr>
          <w:rFonts w:ascii="仿宋" w:eastAsia="仿宋" w:cs="仿宋" w:hint="eastAsia"/>
          <w:sz w:val="32"/>
          <w:szCs w:val="32"/>
        </w:rPr>
      </w:pPr>
      <w:r>
        <w:rPr>
          <w:rFonts w:ascii="仿宋" w:eastAsia="仿宋" w:cs="仿宋" w:hint="eastAsia"/>
          <w:sz w:val="32"/>
          <w:szCs w:val="32"/>
        </w:rPr>
        <w:t>四川省阿坝州民族高级中学</w:t>
      </w:r>
    </w:p>
    <w:p>
      <w:pPr>
        <w:pStyle w:val="37"/>
        <w:jc w:val="right"/>
        <w:rPr>
          <w:rFonts w:ascii="仿宋" w:eastAsia="仿宋" w:cs="仿宋" w:hint="eastAsia"/>
          <w:b w:val="0"/>
          <w:bCs w:val="0"/>
        </w:rPr>
      </w:pPr>
      <w:r>
        <w:rPr>
          <w:rFonts w:ascii="仿宋" w:eastAsia="仿宋" w:cs="仿宋" w:hint="eastAsia"/>
          <w:b w:val="0"/>
          <w:bCs w:val="0"/>
          <w:sz w:val="32"/>
          <w:szCs w:val="32"/>
        </w:rPr>
        <w:t>202</w:t>
      </w:r>
      <w:r>
        <w:rPr>
          <w:rFonts w:ascii="仿宋" w:eastAsia="仿宋" w:cs="仿宋"/>
          <w:b w:val="0"/>
          <w:bCs w:val="0"/>
          <w:sz w:val="32"/>
          <w:szCs w:val="32"/>
          <w:lang w:val="en-US" w:eastAsia="zh-CN"/>
        </w:rPr>
        <w:t>6</w:t>
      </w:r>
      <w:r>
        <w:rPr>
          <w:rFonts w:ascii="仿宋" w:eastAsia="仿宋" w:cs="仿宋" w:hint="eastAsia"/>
          <w:b w:val="0"/>
          <w:bCs w:val="0"/>
          <w:sz w:val="32"/>
          <w:szCs w:val="32"/>
        </w:rPr>
        <w:t>年</w:t>
      </w:r>
      <w:r>
        <w:rPr>
          <w:rFonts w:ascii="仿宋" w:eastAsia="仿宋" w:cs="仿宋"/>
          <w:b w:val="0"/>
          <w:bCs w:val="0"/>
          <w:sz w:val="32"/>
          <w:szCs w:val="32"/>
          <w:lang w:val="en-US" w:eastAsia="zh-CN"/>
        </w:rPr>
        <w:t>3</w:t>
      </w:r>
      <w:r>
        <w:rPr>
          <w:rFonts w:ascii="仿宋" w:eastAsia="仿宋" w:cs="仿宋" w:hint="eastAsia"/>
          <w:b w:val="0"/>
          <w:bCs w:val="0"/>
          <w:sz w:val="32"/>
          <w:szCs w:val="32"/>
        </w:rPr>
        <w:t>月</w:t>
      </w:r>
      <w:r>
        <w:rPr>
          <w:rFonts w:ascii="仿宋" w:eastAsia="仿宋" w:cs="仿宋"/>
          <w:b w:val="0"/>
          <w:bCs w:val="0"/>
          <w:sz w:val="32"/>
          <w:szCs w:val="32"/>
          <w:lang w:val="en-US" w:eastAsia="zh-CN"/>
        </w:rPr>
        <w:t>11</w:t>
      </w:r>
      <w:r>
        <w:rPr>
          <w:rFonts w:ascii="仿宋" w:eastAsia="仿宋" w:cs="仿宋" w:hint="eastAsia"/>
          <w:b w:val="0"/>
          <w:bCs w:val="0"/>
          <w:sz w:val="32"/>
          <w:szCs w:val="32"/>
        </w:rPr>
        <w:t>日</w:t>
      </w:r>
    </w:p>
    <w:p>
      <w:pPr>
        <w:keepNext w:val="0"/>
        <w:keepLines w:val="0"/>
        <w:pageBreakBefore w:val="0"/>
        <w:widowControl w:val="0"/>
        <w:kinsoku/>
        <w:wordWrap/>
        <w:overflowPunct/>
        <w:topLinePunct w:val="0"/>
        <w:autoSpaceDE/>
        <w:autoSpaceDN/>
        <w:bidi w:val="0"/>
        <w:spacing w:line="578" w:lineRule="exact"/>
        <w:jc w:val="left"/>
        <w:textAlignment w:val="auto"/>
        <w:rPr>
          <w:rFonts w:ascii="Times New Roman" w:eastAsia="黑体" w:cs="Times New Roman" w:hAnsi="Times New Roman" w:hint="eastAsia"/>
          <w:kern w:val="2"/>
          <w:sz w:val="32"/>
          <w:szCs w:val="24"/>
          <w:lang w:val="en-US" w:eastAsia="zh-CN" w:bidi="ar-SA"/>
          <w:highlight w:val="auto"/>
        </w:rPr>
      </w:pPr>
      <w:r>
        <w:rPr>
          <w:rFonts w:ascii="Times New Roman" w:cs="Times New Roman" w:hAnsi="Times New Roman"/>
          <w:color w:val="000000"/>
          <w:kern w:val="0"/>
          <w:szCs w:val="32"/>
          <w:shd w:val="clear" w:color="auto" w:fill="FFFFFF"/>
          <w:lang w:val="en-US" w:eastAsia="zh-CN"/>
          <w:highlight w:val="auto"/>
        </w:rPr>
        <w:br w:type="page"/>
      </w:r>
      <w:r>
        <w:rPr>
          <w:rFonts w:ascii="Times New Roman" w:eastAsia="黑体" w:cs="Times New Roman" w:hAnsi="Times New Roman"/>
          <w:kern w:val="2"/>
          <w:sz w:val="32"/>
          <w:szCs w:val="24"/>
          <w:lang w:val="en-US" w:eastAsia="zh-CN" w:bidi="ar-SA"/>
          <w:highlight w:val="auto"/>
        </w:rPr>
        <w:t>附表</w:t>
      </w:r>
      <w:r>
        <w:rPr>
          <w:rFonts w:ascii="Times New Roman" w:eastAsia="黑体" w:cs="Times New Roman" w:hAnsi="Times New Roman" w:hint="eastAsia"/>
          <w:kern w:val="2"/>
          <w:sz w:val="32"/>
          <w:szCs w:val="24"/>
          <w:lang w:val="en-US" w:eastAsia="zh-CN" w:bidi="ar-SA"/>
          <w:highlight w:val="auto"/>
        </w:rPr>
        <w:t>1</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ascii="Times New Roman" w:eastAsia="方正小标宋简体" w:cs="Times New Roman" w:hAnsi="Times New Roman" w:hint="eastAsia"/>
          <w:i w:val="0"/>
          <w:color w:val="000000"/>
          <w:kern w:val="0"/>
          <w:sz w:val="44"/>
          <w:szCs w:val="44"/>
          <w:u w:val="none"/>
          <w:lang w:val="en-US" w:eastAsia="zh-CN"/>
        </w:rPr>
      </w:pPr>
      <w:r>
        <w:rPr>
          <w:rFonts w:ascii="Times New Roman" w:eastAsia="方正小标宋简体" w:cs="Times New Roman" w:hAnsi="Times New Roman" w:hint="eastAsia"/>
          <w:i w:val="0"/>
          <w:color w:val="000000"/>
          <w:kern w:val="0"/>
          <w:sz w:val="44"/>
          <w:szCs w:val="44"/>
          <w:u w:val="none"/>
          <w:lang w:val="en-US" w:eastAsia="zh-CN"/>
        </w:rPr>
        <w:t>部门预算绩效自评打分表</w:t>
      </w:r>
    </w:p>
    <w:tbl>
      <w:tblPr>
        <w:jc w:val="center"/>
        <w:tblW w:w="10758" w:type="dxa"/>
        <w:tblBorders>
          <w:top w:val="none" w:sz="0" w:space="0" w:color="auto"/>
          <w:left w:val="none" w:sz="0" w:space="0" w:color="auto"/>
          <w:bottom w:val="none" w:sz="0" w:space="0" w:color="auto"/>
          <w:right w:val="none" w:sz="0" w:space="0" w:color="auto"/>
        </w:tblBorders>
        <w:shd w:val="clear" w:color="auto" w:fill="auto"/>
        <w:tblLayout w:type="fixed"/>
        <w:tblCellMar>
          <w:top w:w="0" w:type="dxa"/>
          <w:left w:w="108" w:type="dxa"/>
          <w:bottom w:w="0" w:type="dxa"/>
          <w:right w:w="108" w:type="dxa"/>
        </w:tblCellMar>
      </w:tblPr>
      <w:tblGrid>
        <w:gridCol w:w="998"/>
        <w:gridCol w:w="1454"/>
        <w:gridCol w:w="1655"/>
        <w:gridCol w:w="1297"/>
        <w:gridCol w:w="4128"/>
        <w:gridCol w:w="751"/>
        <w:gridCol w:w="475"/>
      </w:tblGrid>
      <w:tr>
        <w:trPr>
          <w:trHeight w:val="268"/>
        </w:trPr>
        <w:tc>
          <w:tcPr>
            <w:tcW w:w="5404"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ascii="黑体" w:eastAsia="黑体" w:cs="黑体" w:hint="eastAsia"/>
                <w:i w:val="0"/>
                <w:color w:val="000000"/>
                <w:kern w:val="0"/>
                <w:sz w:val="24"/>
                <w:szCs w:val="24"/>
                <w:u w:val="none"/>
                <w:lang w:val="en-US" w:eastAsia="zh-CN"/>
              </w:rPr>
              <w:t>绩效评价指标指标分值</w:t>
            </w:r>
          </w:p>
        </w:tc>
        <w:tc>
          <w:tcPr>
            <w:tcW w:w="412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hint="eastAsia"/>
                <w:i w:val="0"/>
                <w:color w:val="000000"/>
                <w:sz w:val="24"/>
                <w:szCs w:val="24"/>
                <w:u w:val="none"/>
              </w:rPr>
            </w:pPr>
            <w:r>
              <w:rPr>
                <w:rFonts w:ascii="黑体" w:eastAsia="黑体" w:cs="黑体" w:hint="eastAsia"/>
                <w:i w:val="0"/>
                <w:color w:val="000000"/>
                <w:kern w:val="0"/>
                <w:sz w:val="24"/>
                <w:szCs w:val="24"/>
                <w:u w:val="none"/>
                <w:lang w:val="en-US" w:eastAsia="zh-CN"/>
              </w:rPr>
              <w:t>指标解释</w:t>
            </w:r>
          </w:p>
        </w:tc>
        <w:tc>
          <w:tcPr>
            <w:tcW w:w="751"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hint="eastAsia"/>
                <w:i w:val="0"/>
                <w:color w:val="000000"/>
                <w:kern w:val="0"/>
                <w:sz w:val="24"/>
                <w:szCs w:val="24"/>
                <w:u w:val="none"/>
                <w:lang w:val="en-US" w:eastAsia="zh-CN"/>
              </w:rPr>
            </w:pPr>
            <w:r>
              <w:rPr>
                <w:rFonts w:ascii="黑体" w:eastAsia="黑体" w:cs="黑体" w:hint="eastAsia"/>
                <w:i w:val="0"/>
                <w:color w:val="000000"/>
                <w:kern w:val="0"/>
                <w:sz w:val="24"/>
                <w:szCs w:val="24"/>
                <w:u w:val="none"/>
                <w:lang w:val="en-US" w:eastAsia="zh-CN"/>
              </w:rPr>
              <w:t>自评得分</w:t>
            </w:r>
          </w:p>
        </w:tc>
        <w:tc>
          <w:tcPr>
            <w:tcW w:w="475"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hint="eastAsia"/>
                <w:i w:val="0"/>
                <w:color w:val="000000"/>
                <w:kern w:val="0"/>
                <w:sz w:val="24"/>
                <w:szCs w:val="24"/>
                <w:u w:val="none"/>
                <w:lang w:val="en-US" w:eastAsia="zh-CN"/>
              </w:rPr>
            </w:pPr>
            <w:r>
              <w:rPr>
                <w:rFonts w:ascii="黑体" w:eastAsia="黑体" w:cs="黑体" w:hint="eastAsia"/>
                <w:i w:val="0"/>
                <w:color w:val="000000"/>
                <w:kern w:val="0"/>
                <w:sz w:val="24"/>
                <w:szCs w:val="24"/>
                <w:u w:val="none"/>
                <w:lang w:val="en-US" w:eastAsia="zh-CN"/>
              </w:rPr>
              <w:t>备注</w:t>
            </w:r>
          </w:p>
        </w:tc>
      </w:tr>
      <w:tr>
        <w:trPr>
          <w:trHeight w:val="525"/>
        </w:trPr>
        <w:tc>
          <w:tcPr>
            <w:tcW w:w="998" w:type="dxa"/>
            <w:tcBorders>
              <w:top w:val="single" w:sz="4" w:space="0" w:color="000000"/>
              <w:left w:val="single" w:sz="4" w:space="0" w:color="000000"/>
              <w:bottom w:val="single" w:sz="4" w:space="0" w:color="00000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hint="eastAsia"/>
                <w:i w:val="0"/>
                <w:color w:val="000000"/>
                <w:sz w:val="24"/>
                <w:szCs w:val="24"/>
                <w:u w:val="none"/>
              </w:rPr>
            </w:pPr>
            <w:r>
              <w:rPr>
                <w:rFonts w:ascii="黑体" w:eastAsia="黑体" w:cs="黑体" w:hint="eastAsia"/>
                <w:i w:val="0"/>
                <w:color w:val="000000"/>
                <w:kern w:val="0"/>
                <w:sz w:val="24"/>
                <w:szCs w:val="24"/>
                <w:u w:val="none"/>
                <w:lang w:val="en-US" w:eastAsia="zh-CN"/>
              </w:rPr>
              <w:t>一级指标</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hint="eastAsia"/>
                <w:i w:val="0"/>
                <w:color w:val="000000"/>
                <w:sz w:val="24"/>
                <w:szCs w:val="24"/>
                <w:u w:val="none"/>
              </w:rPr>
            </w:pPr>
            <w:r>
              <w:rPr>
                <w:rFonts w:ascii="黑体" w:eastAsia="黑体" w:cs="黑体" w:hint="eastAsia"/>
                <w:i w:val="0"/>
                <w:color w:val="000000"/>
                <w:kern w:val="0"/>
                <w:sz w:val="24"/>
                <w:szCs w:val="24"/>
                <w:u w:val="none"/>
                <w:lang w:val="en-US" w:eastAsia="zh-CN"/>
              </w:rPr>
              <w:t>二级指标</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hint="eastAsia"/>
                <w:i w:val="0"/>
                <w:color w:val="000000"/>
                <w:sz w:val="24"/>
                <w:szCs w:val="24"/>
                <w:u w:val="none"/>
              </w:rPr>
            </w:pPr>
            <w:r>
              <w:rPr>
                <w:rFonts w:ascii="黑体" w:eastAsia="黑体" w:cs="黑体" w:hint="eastAsia"/>
                <w:i w:val="0"/>
                <w:color w:val="000000"/>
                <w:kern w:val="0"/>
                <w:sz w:val="24"/>
                <w:szCs w:val="24"/>
                <w:u w:val="none"/>
                <w:lang w:val="en-US" w:eastAsia="zh-CN"/>
              </w:rPr>
              <w:t>三级指标</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hint="eastAsia"/>
                <w:i w:val="0"/>
                <w:color w:val="000000"/>
                <w:sz w:val="24"/>
                <w:szCs w:val="24"/>
                <w:u w:val="none"/>
              </w:rPr>
            </w:pPr>
            <w:r>
              <w:rPr>
                <w:rFonts w:ascii="黑体" w:eastAsia="黑体" w:cs="黑体" w:hint="eastAsia"/>
                <w:i w:val="0"/>
                <w:color w:val="000000"/>
                <w:kern w:val="0"/>
                <w:sz w:val="24"/>
                <w:szCs w:val="24"/>
                <w:u w:val="none"/>
                <w:lang w:val="en-US" w:eastAsia="zh-CN"/>
              </w:rPr>
              <w:t>指标</w:t>
              <w:br/>
              <w:t>分值</w:t>
            </w:r>
          </w:p>
        </w:tc>
        <w:tc>
          <w:tcPr>
            <w:tcW w:w="412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51" w:type="dxa"/>
            <w:vMerge/>
            <w:tcBorders>
              <w:top w:val="nil"/>
              <w:left w:val="single" w:sz="4" w:space="0" w:color="000000"/>
              <w:bottom w:val="single" w:sz="4" w:space="0" w:color="000000"/>
              <w:right w:val="single" w:sz="4" w:space="0" w:color="000000"/>
            </w:tcBorders>
            <w:shd w:val="clear" w:color="auto" w:fill="auto"/>
            <w:noWrap/>
            <w:vAlign w:val="center"/>
          </w:tcPr>
          <w:p/>
        </w:tc>
        <w:tc>
          <w:tcPr>
            <w:tcW w:w="475" w:type="dxa"/>
            <w:vMerge/>
            <w:tcBorders>
              <w:top w:val="nil"/>
              <w:left w:val="single" w:sz="4" w:space="0" w:color="000000"/>
              <w:bottom w:val="single" w:sz="4" w:space="0" w:color="000000"/>
              <w:right w:val="single" w:sz="4" w:space="0" w:color="000000"/>
            </w:tcBorders>
            <w:shd w:val="clear" w:color="auto" w:fill="auto"/>
            <w:noWrap/>
            <w:vAlign w:val="center"/>
          </w:tcPr>
          <w:p/>
        </w:tc>
      </w:tr>
      <w:tr>
        <w:trPr>
          <w:trHeight w:val="525"/>
        </w:trPr>
        <w:tc>
          <w:tcPr>
            <w:tcW w:w="99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总体绩效</w:t>
              <w:br/>
              <w:t>（65分）</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履职效能</w:t>
              <w:br/>
              <w:t>（15分）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Times New Roman" w:cs="Times New Roman" w:hAnsi="Times New Roman" w:hint="eastAsia"/>
                <w:lang w:val="en-US" w:eastAsia="zh-CN"/>
              </w:rPr>
            </w:pPr>
            <w:r>
              <w:rPr>
                <w:rFonts w:ascii="Times New Roman" w:cs="Times New Roman" w:hAnsi="Times New Roman" w:hint="eastAsia"/>
                <w:lang w:val="en-US" w:eastAsia="zh-CN"/>
              </w:rPr>
              <w:t>1.</w:t>
            </w:r>
            <w:r>
              <w:rPr>
                <w:rFonts w:ascii="Times New Roman" w:cs="Times New Roman" w:hAnsi="Times New Roman"/>
                <w:lang w:val="en-US" w:eastAsia="zh-CN"/>
              </w:rPr>
              <w:t>基础设施维修护，提升办学环境</w:t>
            </w:r>
          </w:p>
          <w:p>
            <w:pPr>
              <w:rPr>
                <w:rFonts w:ascii="Times New Roman" w:cs="Times New Roman" w:hAnsi="Times New Roman" w:hint="eastAsia"/>
              </w:rPr>
            </w:pPr>
            <w:r>
              <w:rPr>
                <w:rFonts w:ascii="Times New Roman" w:cs="Times New Roman" w:hAnsi="Times New Roman" w:hint="eastAsia"/>
                <w:lang w:val="en-US" w:eastAsia="zh-CN"/>
              </w:rPr>
              <w:t>2.</w:t>
            </w:r>
            <w:r>
              <w:rPr>
                <w:rFonts w:ascii="Times New Roman" w:cs="Times New Roman" w:hAnsi="Times New Roman"/>
              </w:rPr>
              <w:t>人才引进与招录，优化学科结构</w:t>
            </w:r>
          </w:p>
          <w:p>
            <w:pPr>
              <w:rPr>
                <w:rFonts w:hint="eastAsia"/>
              </w:rPr>
            </w:pPr>
            <w:r>
              <w:rPr>
                <w:rFonts w:hint="eastAsia"/>
                <w:lang w:val="en-US" w:eastAsia="zh-CN"/>
              </w:rPr>
              <w:t>3.</w:t>
            </w:r>
            <w:r>
              <w:rPr>
                <w:lang w:val="en-US" w:eastAsia="zh-CN"/>
              </w:rPr>
              <w:t>加强教育教学及安全教育，保障正常运转。</w:t>
            </w:r>
          </w:p>
        </w:tc>
        <w:tc>
          <w:tcPr>
            <w:tcW w:w="1297" w:type="dxa"/>
            <w:tcBorders>
              <w:top w:val="nil"/>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15</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部门整体绩效目标中选定3-5个核心职能目标，反映该项职能目标完成效果情况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hint="eastAsia"/>
                <w:i w:val="0"/>
                <w:color w:val="000000"/>
                <w:kern w:val="0"/>
                <w:sz w:val="24"/>
                <w:szCs w:val="24"/>
                <w:u w:val="none"/>
                <w:lang w:val="en-US" w:eastAsia="zh-CN"/>
              </w:rPr>
              <w:t>15</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预算管理</w:t>
              <w:br/>
              <w:t>（25分）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预算编制质量</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8</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部门是否严格按要求编制年初部门预算，年初预算编制的科学性和准确性</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7.76</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68"/>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单位收入统筹</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部门统筹自有收入程度</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hint="eastAsia"/>
                <w:i w:val="0"/>
                <w:color w:val="000000"/>
                <w:kern w:val="0"/>
                <w:sz w:val="24"/>
                <w:szCs w:val="24"/>
                <w:u w:val="none"/>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553"/>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支出执行进度</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6</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部门1至6月、1至10月预算执行情况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5.6</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400"/>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预算年终结余</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2</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部门整体年终预算结余情况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1.99</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783"/>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严控一般性支出</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5</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部门严控“三公”经费、会议、培训、差旅、办节办展、办公设备购置、信息网络及软件购置更新、课题经费等8项一般性支出情况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2.2</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68"/>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财务管理</w:t>
              <w:br/>
              <w:t>（10分）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财务管理制度</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部门财务管理制度建立情况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hint="eastAsia"/>
                <w:i w:val="0"/>
                <w:color w:val="000000"/>
                <w:kern w:val="0"/>
                <w:sz w:val="24"/>
                <w:szCs w:val="24"/>
                <w:u w:val="none"/>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财务岗位设置</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2</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部门财务岗位设置是否符合相关财务管理制度要求</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hint="eastAsia"/>
                <w:i w:val="0"/>
                <w:color w:val="000000"/>
                <w:kern w:val="0"/>
                <w:sz w:val="24"/>
                <w:szCs w:val="24"/>
                <w:u w:val="none"/>
                <w:lang w:val="en-US" w:eastAsia="zh-CN"/>
              </w:rPr>
              <w:t>2</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资金使用规范</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部门资金使用是否符合相关财务管理制度规定</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hint="eastAsia"/>
                <w:i w:val="0"/>
                <w:color w:val="000000"/>
                <w:kern w:val="0"/>
                <w:sz w:val="24"/>
                <w:szCs w:val="24"/>
                <w:u w:val="none"/>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资产管理</w:t>
              <w:br/>
              <w:t>（9分）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人均资产变化率</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3</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部门人均资产变化情况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hint="eastAsia"/>
                <w:i w:val="0"/>
                <w:color w:val="000000"/>
                <w:kern w:val="0"/>
                <w:sz w:val="24"/>
                <w:szCs w:val="24"/>
                <w:u w:val="none"/>
                <w:lang w:val="en-US" w:eastAsia="zh-CN"/>
              </w:rPr>
              <w:t>1.8</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680"/>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资产利用率</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3</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部门资产超最低使用年限情况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1.8</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525"/>
        </w:trPr>
        <w:tc>
          <w:tcPr>
            <w:tcW w:w="99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总体绩效</w:t>
              <w:br/>
              <w:t>（65分）</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资产管理</w:t>
              <w:br/>
              <w:t>（9分）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资产盘活率</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3</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部门闲置一年以上的资产盘活情况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hint="eastAsia"/>
                <w:i w:val="0"/>
                <w:color w:val="000000"/>
                <w:kern w:val="0"/>
                <w:sz w:val="24"/>
                <w:szCs w:val="24"/>
                <w:u w:val="none"/>
                <w:lang w:val="en-US" w:eastAsia="zh-CN"/>
              </w:rPr>
              <w:t>1.2</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采购管理</w:t>
              <w:br/>
              <w:t>（6分）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支持中小企业发展</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3</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部门是否严格执行政府采购促进中小企业发展相关管理办法</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hint="eastAsia"/>
                <w:i w:val="0"/>
                <w:color w:val="000000"/>
                <w:kern w:val="0"/>
                <w:sz w:val="24"/>
                <w:szCs w:val="24"/>
                <w:u w:val="none"/>
                <w:lang w:val="en-US" w:eastAsia="zh-CN"/>
              </w:rPr>
              <w:t>3</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640"/>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采购执行率</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3</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部门政府采购项目资金支付比例情况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2.95</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525"/>
        </w:trPr>
        <w:tc>
          <w:tcPr>
            <w:tcW w:w="99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项目绩效</w:t>
              <w:br/>
              <w:t>（35分）</w:t>
            </w:r>
          </w:p>
        </w:tc>
        <w:tc>
          <w:tcPr>
            <w:tcW w:w="1454"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项目决策</w:t>
              <w:br/>
              <w:t>（12分）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决策程序</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部门预算项目设立是否按规定履行评估论证、申报程序</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hint="eastAsia"/>
                <w:i w:val="0"/>
                <w:color w:val="000000"/>
                <w:kern w:val="0"/>
                <w:sz w:val="24"/>
                <w:szCs w:val="24"/>
                <w:u w:val="none"/>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1041"/>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nil"/>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目标设置</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部门预算项目绩效目标与计划期内的任务量、预算安排的资金量匹配情况，绩效目标设置是否科学合理、规范完整、量化细化、预算匹配</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3.63</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nil"/>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项目入库</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部门预算项目是否在规定时间完成项目入库</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项目执行</w:t>
              <w:br/>
              <w:t>（12分）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执行同向</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部门预算项目实际列支内容是否与绩效目标设置方向相符</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hint="eastAsia"/>
                <w:i w:val="0"/>
                <w:color w:val="000000"/>
                <w:kern w:val="0"/>
                <w:sz w:val="24"/>
                <w:szCs w:val="24"/>
                <w:u w:val="none"/>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68"/>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nil"/>
              <w:right w:val="single" w:sz="4" w:space="0" w:color="000000"/>
            </w:tcBorders>
            <w:shd w:val="clear" w:color="auto" w:fill="auto"/>
            <w:noWrap/>
            <w:vAlign w:val="center"/>
          </w:tcPr>
          <w:p/>
        </w:tc>
        <w:tc>
          <w:tcPr>
            <w:tcW w:w="1655" w:type="dxa"/>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项目调整</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部门预算项目是否采取对应调整措施</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3.63</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68"/>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nil"/>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执行结果</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部门预算项目预算执行情况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hint="eastAsia"/>
                <w:i w:val="0"/>
                <w:color w:val="000000"/>
                <w:kern w:val="0"/>
                <w:sz w:val="24"/>
                <w:szCs w:val="24"/>
                <w:u w:val="none"/>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68"/>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目标实现</w:t>
              <w:br/>
              <w:t>（11分）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目标完成</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部门预算项目绩效目标数量指标完成情况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目标偏离</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部门预算项目绩效目标数量指标实现程度与预期目标的偏离情况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hint="eastAsia"/>
                <w:i w:val="0"/>
                <w:color w:val="000000"/>
                <w:kern w:val="0"/>
                <w:sz w:val="24"/>
                <w:szCs w:val="24"/>
                <w:u w:val="none"/>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68"/>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实现效果</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3</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部门预算项目绩效目标效益指标实施效果</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ascii="宋体" w:eastAsia="宋体" w:cs="宋体" w:hint="eastAsia"/>
                <w:i w:val="0"/>
                <w:color w:val="000000"/>
                <w:kern w:val="0"/>
                <w:sz w:val="24"/>
                <w:szCs w:val="24"/>
                <w:u w:val="none"/>
                <w:lang w:val="en-US" w:eastAsia="zh-CN"/>
              </w:rPr>
              <w:t>3</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794"/>
        </w:trPr>
        <w:tc>
          <w:tcPr>
            <w:tcW w:w="99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扣分项</w:t>
              <w:br/>
              <w:t>（10分）</w:t>
            </w:r>
          </w:p>
        </w:tc>
        <w:tc>
          <w:tcPr>
            <w:tcW w:w="310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被评价部门配合度</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被评价对象工作配合情况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bl>
    <w:p>
      <w:pPr>
        <w:pStyle w:val="27"/>
        <w:keepNext/>
        <w:keepLines/>
        <w:pageBreakBefore w:val="0"/>
        <w:widowControl w:val="0"/>
        <w:kinsoku/>
        <w:wordWrap/>
        <w:overflowPunct/>
        <w:topLinePunct w:val="0"/>
        <w:autoSpaceDE/>
        <w:autoSpaceDN/>
        <w:bidi w:val="0"/>
        <w:adjustRightInd/>
        <w:snapToGrid/>
        <w:spacing w:line="20" w:lineRule="exact"/>
        <w:textAlignment w:val="auto"/>
        <w:rPr>
          <w:lang w:val="en-US" w:eastAsia="zh-CN"/>
        </w:rPr>
      </w:pPr>
    </w:p>
    <w:p>
      <w:pPr>
        <w:rPr>
          <w:rFonts w:ascii="Times New Roman" w:eastAsia="黑体" w:cs="Times New Roman" w:hAnsi="Times New Roman"/>
          <w:kern w:val="2"/>
          <w:sz w:val="32"/>
          <w:szCs w:val="24"/>
          <w:lang w:val="en-US" w:eastAsia="zh-CN" w:bidi="ar-SA"/>
          <w:highlight w:val="auto"/>
        </w:rPr>
      </w:pPr>
      <w:r>
        <w:rPr>
          <w:rFonts w:ascii="Times New Roman" w:eastAsia="黑体" w:cs="Times New Roman" w:hAnsi="Times New Roman"/>
          <w:kern w:val="2"/>
          <w:sz w:val="32"/>
          <w:szCs w:val="24"/>
          <w:lang w:val="en-US" w:eastAsia="zh-CN" w:bidi="ar-SA"/>
          <w:highlight w:val="auto"/>
        </w:rPr>
        <w:br w:type="page"/>
      </w:r>
    </w:p>
    <w:p>
      <w:pPr>
        <w:keepNext w:val="0"/>
        <w:keepLines w:val="0"/>
        <w:pageBreakBefore w:val="0"/>
        <w:widowControl w:val="0"/>
        <w:kinsoku/>
        <w:wordWrap/>
        <w:overflowPunct/>
        <w:topLinePunct w:val="0"/>
        <w:autoSpaceDE/>
        <w:autoSpaceDN/>
        <w:bidi w:val="0"/>
        <w:spacing w:line="578" w:lineRule="exact"/>
        <w:jc w:val="left"/>
        <w:textAlignment w:val="auto"/>
        <w:rPr>
          <w:rFonts w:ascii="Times New Roman" w:eastAsia="黑体" w:cs="Times New Roman" w:hAnsi="Times New Roman"/>
          <w:kern w:val="2"/>
          <w:sz w:val="32"/>
          <w:szCs w:val="24"/>
          <w:lang w:val="en-US" w:eastAsia="zh-CN" w:bidi="ar-SA"/>
          <w:highlight w:val="auto"/>
        </w:rPr>
      </w:pPr>
      <w:r>
        <w:rPr>
          <w:rFonts w:ascii="Times New Roman" w:eastAsia="黑体" w:cs="Times New Roman" w:hAnsi="Times New Roman"/>
          <w:kern w:val="2"/>
          <w:sz w:val="32"/>
          <w:szCs w:val="24"/>
          <w:lang w:val="en-US" w:eastAsia="zh-CN" w:bidi="ar-SA"/>
          <w:highlight w:val="auto"/>
        </w:rPr>
        <w:t>附表</w:t>
      </w:r>
      <w:r>
        <w:rPr>
          <w:rFonts w:ascii="Times New Roman" w:eastAsia="黑体" w:cs="Times New Roman" w:hAnsi="Times New Roman" w:hint="eastAsia"/>
          <w:kern w:val="2"/>
          <w:sz w:val="32"/>
          <w:szCs w:val="24"/>
          <w:lang w:val="en-US" w:eastAsia="zh-CN" w:bidi="ar-SA"/>
          <w:highlight w:val="auto"/>
        </w:rPr>
        <w:t>2</w:t>
      </w:r>
    </w:p>
    <w:tbl>
      <w:tblPr>
        <w:jc w:val="center"/>
        <w:tblW w:w="10560" w:type="dxa"/>
        <w:tblBorders>
          <w:top w:val="none" w:sz="0" w:space="0" w:color="auto"/>
          <w:left w:val="none" w:sz="0" w:space="0" w:color="auto"/>
          <w:bottom w:val="none" w:sz="0" w:space="0" w:color="auto"/>
          <w:right w:val="none" w:sz="0" w:space="0" w:color="auto"/>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trPr>
          <w:trHeight w:hRule="exact" w:val="762"/>
        </w:trPr>
        <w:tc>
          <w:tcPr>
            <w:tcW w:w="10560" w:type="dxa"/>
            <w:gridSpan w:val="10"/>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ascii="Times New Roman" w:eastAsia="黑体" w:cs="Times New Roman" w:hAnsi="Times New Roman"/>
                <w:i w:val="0"/>
                <w:color w:val="000000"/>
                <w:sz w:val="28"/>
                <w:szCs w:val="28"/>
                <w:u w:val="none"/>
              </w:rPr>
            </w:pPr>
            <w:r>
              <w:rPr>
                <w:rFonts w:ascii="Times New Roman" w:eastAsia="方正小标宋简体" w:cs="Times New Roman" w:hAnsi="Times New Roman"/>
                <w:i w:val="0"/>
                <w:color w:val="000000"/>
                <w:kern w:val="0"/>
                <w:sz w:val="44"/>
                <w:szCs w:val="44"/>
                <w:u w:val="none"/>
                <w:lang w:val="en-US" w:eastAsia="zh-CN"/>
              </w:rPr>
              <w:t>部门整体绩效目标完成情况自评表</w:t>
            </w:r>
          </w:p>
        </w:tc>
      </w:tr>
      <w:tr>
        <w:trPr>
          <w:trHeight w:val="23"/>
        </w:trPr>
        <w:tc>
          <w:tcPr>
            <w:tcW w:w="10560" w:type="dxa"/>
            <w:gridSpan w:val="10"/>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8"/>
                <w:szCs w:val="28"/>
                <w:u w:val="none"/>
              </w:rPr>
            </w:pPr>
            <w:r>
              <w:rPr>
                <w:rFonts w:ascii="Times New Roman" w:eastAsia="宋体" w:cs="Times New Roman" w:hAnsi="Times New Roman"/>
                <w:i w:val="0"/>
                <w:color w:val="000000"/>
                <w:kern w:val="0"/>
                <w:sz w:val="28"/>
                <w:szCs w:val="28"/>
                <w:u w:val="none"/>
                <w:lang w:val="en-US" w:eastAsia="zh-CN"/>
              </w:rPr>
              <w:t>（2025年度）</w:t>
            </w:r>
          </w:p>
        </w:tc>
      </w:tr>
      <w:tr>
        <w:trPr>
          <w:trHeight w:val="23"/>
        </w:trPr>
        <w:tc>
          <w:tcPr>
            <w:tcW w:w="10560" w:type="dxa"/>
            <w:gridSpan w:val="10"/>
            <w:tcBorders>
              <w:top w:val="nil"/>
              <w:left w:val="nil"/>
              <w:bottom w:val="single" w:sz="4" w:space="0" w:color="00000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ascii="Times New Roman" w:eastAsia="宋体" w:cs="Times New Roman" w:hAnsi="Times New Roman"/>
                <w:i w:val="0"/>
                <w:color w:val="000000"/>
                <w:sz w:val="21"/>
                <w:szCs w:val="21"/>
                <w:u w:val="none"/>
              </w:rPr>
            </w:pPr>
            <w:r>
              <w:rPr>
                <w:rFonts w:ascii="Times New Roman" w:eastAsia="宋体" w:cs="Times New Roman" w:hAnsi="Times New Roman"/>
                <w:i w:val="0"/>
                <w:color w:val="000000"/>
                <w:kern w:val="0"/>
                <w:sz w:val="21"/>
                <w:szCs w:val="21"/>
                <w:u w:val="none"/>
                <w:lang w:val="en-US" w:eastAsia="zh-CN"/>
              </w:rPr>
              <w:t>单位：万元</w:t>
            </w:r>
          </w:p>
        </w:tc>
      </w:tr>
      <w:tr>
        <w:trPr>
          <w:trHeight w:val="23"/>
        </w:trPr>
        <w:tc>
          <w:tcPr>
            <w:tcW w:w="3929"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部门名称</w:t>
            </w:r>
          </w:p>
        </w:tc>
        <w:tc>
          <w:tcPr>
            <w:tcW w:w="6631"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hint="eastAsia"/>
                <w:i w:val="0"/>
                <w:color w:val="000000"/>
                <w:sz w:val="24"/>
                <w:szCs w:val="24"/>
                <w:u w:val="none"/>
                <w:lang w:val="en-US" w:eastAsia="zh-CN"/>
              </w:rPr>
            </w:pPr>
            <w:r>
              <w:rPr>
                <w:rFonts w:ascii="Times New Roman" w:eastAsia="宋体" w:cs="Times New Roman" w:hAnsi="Times New Roman" w:hint="eastAsia"/>
                <w:i w:val="0"/>
                <w:color w:val="000000"/>
                <w:sz w:val="24"/>
                <w:szCs w:val="24"/>
                <w:u w:val="none"/>
                <w:lang w:val="en-US" w:eastAsia="zh-CN"/>
              </w:rPr>
              <w:t>四川省阿坝州民族高级中学</w:t>
            </w:r>
          </w:p>
        </w:tc>
      </w:tr>
      <w:tr>
        <w:trPr>
          <w:trHeight w:val="23"/>
        </w:trPr>
        <w:tc>
          <w:tcPr>
            <w:tcW w:w="13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年度部门整体支出预算</w:t>
            </w: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资金总额</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财政拨款</w:t>
            </w:r>
          </w:p>
        </w:tc>
        <w:tc>
          <w:tcPr>
            <w:tcW w:w="438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其他资金</w:t>
            </w: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i w:val="0"/>
                <w:color w:val="000000"/>
                <w:sz w:val="24"/>
                <w:szCs w:val="24"/>
                <w:u w:val="none"/>
                <w:lang w:val="en-US" w:eastAsia="zh-CN"/>
              </w:rPr>
              <w:t>5705.32</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lang w:val="en-US"/>
              </w:rPr>
            </w:pPr>
            <w:r>
              <w:rPr>
                <w:rFonts w:ascii="Times New Roman" w:eastAsia="宋体" w:cs="Times New Roman" w:hAnsi="Times New Roman"/>
                <w:i w:val="0"/>
                <w:color w:val="000000"/>
                <w:kern w:val="0"/>
                <w:sz w:val="24"/>
                <w:szCs w:val="24"/>
                <w:u w:val="none"/>
                <w:lang w:val="en-US" w:eastAsia="zh-CN"/>
              </w:rPr>
              <w:t>4784.47</w:t>
            </w:r>
          </w:p>
        </w:tc>
        <w:tc>
          <w:tcPr>
            <w:tcW w:w="438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920.85</w:t>
            </w:r>
          </w:p>
        </w:tc>
      </w:tr>
      <w:tr>
        <w:trPr>
          <w:trHeight w:val="23"/>
        </w:trPr>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i w:val="0"/>
                <w:color w:val="000000"/>
                <w:kern w:val="0"/>
                <w:sz w:val="24"/>
                <w:szCs w:val="24"/>
                <w:u w:val="none"/>
                <w:lang w:val="en-US" w:eastAsia="zh-CN"/>
              </w:rPr>
              <w:t>年度总体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目标</w:t>
            </w:r>
          </w:p>
        </w:tc>
        <w:tc>
          <w:tcPr>
            <w:tcW w:w="9251" w:type="dxa"/>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坚持为党育人、为国育才，落实立德树人根本任务，提升教育教学质量，加强师资队伍建设，完善校园管理与安全保障，优化资源配置，规范财务运行，办好人民满意的高中，助力阿坝教育高质量发展。</w:t>
            </w:r>
          </w:p>
        </w:tc>
      </w:tr>
      <w:tr>
        <w:trPr>
          <w:trHeight w:val="23"/>
        </w:trPr>
        <w:tc>
          <w:tcPr>
            <w:tcW w:w="13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i w:val="0"/>
                <w:color w:val="000000"/>
                <w:kern w:val="0"/>
                <w:sz w:val="24"/>
                <w:szCs w:val="24"/>
                <w:u w:val="none"/>
                <w:lang w:val="en-US" w:eastAsia="zh-CN"/>
              </w:rPr>
              <w:t>年度主要</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任务</w:t>
            </w: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任务名称</w:t>
            </w:r>
          </w:p>
        </w:tc>
        <w:tc>
          <w:tcPr>
            <w:tcW w:w="6631"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主要内容</w:t>
            </w: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eastAsia="宋体" w:hint="eastAsia"/>
                <w:color w:val="000000"/>
                <w:sz w:val="24"/>
                <w:lang w:eastAsia="zh-CN"/>
              </w:rPr>
            </w:pPr>
            <w:r>
              <w:rPr>
                <w:rFonts w:eastAsia="宋体" w:hint="eastAsia"/>
                <w:color w:val="000000"/>
                <w:sz w:val="24"/>
                <w:lang w:eastAsia="zh-CN"/>
              </w:rPr>
              <w:t>保障学校正常运转</w:t>
            </w:r>
          </w:p>
        </w:tc>
        <w:tc>
          <w:tcPr>
            <w:tcW w:w="6631"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numPr>
                <w:ilvl w:val="0"/>
                <w:numId w:val="3"/>
              </w:numPr>
              <w:suppressLineNumbers w:val="0"/>
              <w:kinsoku/>
              <w:wordWrap/>
              <w:overflowPunct/>
              <w:topLinePunct w:val="0"/>
              <w:autoSpaceDE/>
              <w:autoSpaceDN/>
              <w:adjustRightInd/>
              <w:snapToGrid/>
              <w:spacing w:line="300" w:lineRule="exact"/>
              <w:jc w:val="left"/>
              <w:textAlignment w:val="center"/>
              <w:rPr>
                <w:rFonts w:eastAsia="宋体"/>
                <w:color w:val="000000"/>
                <w:sz w:val="24"/>
              </w:rPr>
            </w:pPr>
            <w:r>
              <w:rPr>
                <w:rFonts w:eastAsia="宋体"/>
                <w:color w:val="000000"/>
                <w:sz w:val="24"/>
                <w:lang w:eastAsia="zh-CN"/>
              </w:rPr>
              <w:t>强化教育教学管理，提升教学质量与办学水平</w:t>
            </w:r>
          </w:p>
          <w:p>
            <w:pPr>
              <w:keepNext w:val="0"/>
              <w:keepLines w:val="0"/>
              <w:pageBreakBefore w:val="0"/>
              <w:widowControl/>
              <w:numPr>
                <w:ilvl w:val="0"/>
                <w:numId w:val="3"/>
              </w:numPr>
              <w:suppressLineNumbers w:val="0"/>
              <w:kinsoku/>
              <w:wordWrap/>
              <w:overflowPunct/>
              <w:topLinePunct w:val="0"/>
              <w:autoSpaceDE/>
              <w:autoSpaceDN/>
              <w:adjustRightInd/>
              <w:snapToGrid/>
              <w:spacing w:line="300" w:lineRule="exact"/>
              <w:jc w:val="left"/>
              <w:textAlignment w:val="center"/>
              <w:rPr>
                <w:rFonts w:eastAsia="宋体"/>
                <w:color w:val="000000"/>
                <w:sz w:val="24"/>
              </w:rPr>
            </w:pPr>
            <w:r>
              <w:rPr>
                <w:rFonts w:eastAsia="宋体"/>
                <w:color w:val="000000"/>
                <w:sz w:val="24"/>
              </w:rPr>
              <w:t>加强教师队伍建设，开展培训教研</w:t>
            </w:r>
          </w:p>
          <w:p>
            <w:pPr>
              <w:keepNext w:val="0"/>
              <w:keepLines w:val="0"/>
              <w:pageBreakBefore w:val="0"/>
              <w:widowControl w:val="0"/>
              <w:numPr>
                <w:ilvl w:val="0"/>
                <w:numId w:val="4"/>
              </w:numPr>
              <w:suppressLineNumbers w:val="0"/>
              <w:suppressAutoHyphens w:val="0"/>
              <w:rPr>
                <w:rFonts w:eastAsia="宋体"/>
                <w:color w:val="000000"/>
                <w:sz w:val="24"/>
              </w:rPr>
            </w:pPr>
            <w:r>
              <w:rPr>
                <w:rFonts w:eastAsia="宋体"/>
                <w:color w:val="000000"/>
                <w:sz w:val="24"/>
              </w:rPr>
              <w:t>做好学生教育、德育及民族团结教育、促进学生全面发展</w:t>
            </w:r>
          </w:p>
          <w:p>
            <w:pPr>
              <w:keepNext w:val="0"/>
              <w:keepLines w:val="0"/>
              <w:pageBreakBefore w:val="0"/>
              <w:widowControl w:val="0"/>
              <w:numPr>
                <w:ilvl w:val="0"/>
                <w:numId w:val="4"/>
              </w:numPr>
              <w:suppressLineNumbers w:val="0"/>
              <w:suppressAutoHyphens w:val="0"/>
              <w:rPr>
                <w:rFonts w:eastAsia="宋体"/>
                <w:color w:val="000000"/>
                <w:sz w:val="24"/>
              </w:rPr>
            </w:pPr>
            <w:r>
              <w:rPr>
                <w:rFonts w:eastAsia="宋体"/>
                <w:color w:val="000000"/>
                <w:sz w:val="24"/>
              </w:rPr>
              <w:t>保障校园安全、后勤服务与基础设施正常运行、维护校园稳定。</w:t>
            </w:r>
          </w:p>
          <w:p>
            <w:pPr>
              <w:keepNext w:val="0"/>
              <w:keepLines w:val="0"/>
              <w:pageBreakBefore w:val="0"/>
              <w:widowControl/>
              <w:suppressLineNumbers w:val="0"/>
              <w:kinsoku/>
              <w:wordWrap/>
              <w:overflowPunct/>
              <w:topLinePunct w:val="0"/>
              <w:autoSpaceDE/>
              <w:autoSpaceDN/>
              <w:adjustRightInd/>
              <w:snapToGrid/>
              <w:spacing w:line="300" w:lineRule="exact"/>
              <w:jc w:val="left"/>
              <w:textAlignment w:val="center"/>
              <w:rPr>
                <w:rFonts w:eastAsia="宋体"/>
                <w:color w:val="000000"/>
                <w:sz w:val="24"/>
              </w:rPr>
            </w:pPr>
            <w:r>
              <w:rPr>
                <w:rFonts w:eastAsia="宋体"/>
                <w:color w:val="000000"/>
                <w:sz w:val="24"/>
              </w:rPr>
              <w:t>5.严格执行预算及财务制度，规范经费使用，提高自己使用效益。6.完成上级下达的各项工作任务，推动学校持续健康发展。</w:t>
            </w:r>
          </w:p>
          <w:p>
            <w:pPr>
              <w:pStyle w:val="27"/>
              <w:keepNext/>
              <w:keepLines/>
              <w:pageBreakBefore w:val="0"/>
              <w:widowControl w:val="0"/>
              <w:suppressLineNumbers w:val="0"/>
              <w:suppressAutoHyphens w:val="0"/>
              <w:bidi w:val="0"/>
              <w:spacing w:line="377" w:lineRule="auto"/>
              <w:outlineLvl w:val="4"/>
              <w:rPr>
                <w:rFonts w:ascii="Times New Roman" w:eastAsia="宋体" w:hAnsi="Times New Roman" w:hint="eastAsia"/>
                <w:b w:val="0"/>
                <w:color w:val="000000"/>
                <w:szCs w:val="24"/>
              </w:rPr>
            </w:pP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6631"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r>
      <w:tr>
        <w:trPr>
          <w:trHeight w:val="23"/>
        </w:trPr>
        <w:tc>
          <w:tcPr>
            <w:tcW w:w="1309"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i w:val="0"/>
                <w:color w:val="000000"/>
                <w:kern w:val="0"/>
                <w:sz w:val="24"/>
                <w:szCs w:val="24"/>
                <w:u w:val="none"/>
                <w:lang w:val="en-US" w:eastAsia="zh-CN"/>
              </w:rPr>
              <w:t>年度绩效</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指标</w:t>
            </w:r>
          </w:p>
        </w:tc>
        <w:tc>
          <w:tcPr>
            <w:tcW w:w="13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一级指标</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二级指标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三级指标</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i w:val="0"/>
                <w:color w:val="000000"/>
                <w:kern w:val="0"/>
                <w:sz w:val="24"/>
                <w:szCs w:val="24"/>
                <w:u w:val="none"/>
                <w:lang w:val="en-US" w:eastAsia="zh-CN"/>
              </w:rPr>
              <w:t>绩效指标</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性质</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绩效指标值</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绩效度量单位</w:t>
            </w:r>
          </w:p>
        </w:tc>
        <w:tc>
          <w:tcPr>
            <w:tcW w:w="926" w:type="dxa"/>
            <w:tcBorders>
              <w:top w:val="single" w:sz="4" w:space="0" w:color="000000"/>
              <w:left w:val="single" w:sz="4" w:space="0" w:color="000000"/>
              <w:bottom w:val="single" w:sz="4" w:space="0" w:color="00000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权重</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i w:val="0"/>
                <w:color w:val="000000"/>
                <w:kern w:val="0"/>
                <w:sz w:val="24"/>
                <w:szCs w:val="24"/>
                <w:u w:val="none"/>
                <w:lang w:val="en-US" w:eastAsia="zh-CN"/>
              </w:rPr>
              <w:t>实际完成</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指标值</w:t>
            </w: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p>
        </w:tc>
        <w:tc>
          <w:tcPr>
            <w:tcW w:w="926" w:type="dxa"/>
            <w:tcBorders>
              <w:top w:val="single" w:sz="4" w:space="0" w:color="000000"/>
              <w:left w:val="single" w:sz="4" w:space="0" w:color="000000"/>
              <w:bottom w:val="single" w:sz="4" w:space="0" w:color="00000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产出指标</w:t>
            </w:r>
          </w:p>
        </w:tc>
        <w:tc>
          <w:tcPr>
            <w:tcW w:w="127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数量指标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hint="eastAsia"/>
                <w:i w:val="0"/>
                <w:color w:val="000000"/>
                <w:kern w:val="0"/>
                <w:sz w:val="24"/>
                <w:szCs w:val="24"/>
                <w:u w:val="none"/>
                <w:lang w:val="en-US" w:eastAsia="zh-CN"/>
              </w:rPr>
              <w:t>项目完成个数</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hint="eastAsia"/>
                <w:i w:val="0"/>
                <w:color w:val="000000"/>
                <w:sz w:val="24"/>
                <w:szCs w:val="24"/>
                <w:u w:val="none"/>
                <w:lang w:eastAsia="zh-CN"/>
              </w:rPr>
            </w:pPr>
            <w:r>
              <w:rPr>
                <w:rFonts w:ascii="Times New Roman" w:eastAsia="宋体" w:cs="Times New Roman" w:hAnsi="Times New Roman" w:hint="eastAsia"/>
                <w:i w:val="0"/>
                <w:color w:val="000000"/>
                <w:sz w:val="24"/>
                <w:szCs w:val="24"/>
                <w:u w:val="none"/>
                <w:lang w:eastAsia="zh-CN"/>
              </w:rPr>
              <w:t>等于</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i w:val="0"/>
                <w:color w:val="000000"/>
                <w:sz w:val="24"/>
                <w:szCs w:val="24"/>
                <w:u w:val="none"/>
                <w:lang w:val="en-US"/>
              </w:rPr>
            </w:pPr>
            <w:r>
              <w:rPr>
                <w:rFonts w:ascii="Times New Roman" w:eastAsia="宋体" w:cs="Times New Roman" w:hAnsi="Times New Roman"/>
                <w:i w:val="0"/>
                <w:color w:val="000000"/>
                <w:kern w:val="0"/>
                <w:sz w:val="24"/>
                <w:szCs w:val="24"/>
                <w:u w:val="none"/>
                <w:lang w:val="en-US" w:eastAsia="zh-CN"/>
              </w:rPr>
              <w:t>11</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hint="eastAsia"/>
                <w:i w:val="0"/>
                <w:color w:val="000000"/>
                <w:kern w:val="0"/>
                <w:sz w:val="24"/>
                <w:szCs w:val="24"/>
                <w:u w:val="none"/>
                <w:lang w:val="en-US" w:eastAsia="zh-CN"/>
              </w:rPr>
              <w:t>个</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hint="eastAsia"/>
                <w:i w:val="0"/>
                <w:color w:val="000000"/>
                <w:kern w:val="0"/>
                <w:sz w:val="24"/>
                <w:szCs w:val="24"/>
                <w:u w:val="none"/>
                <w:lang w:val="en-US" w:eastAsia="zh-CN"/>
              </w:rPr>
              <w:t>15</w:t>
            </w:r>
          </w:p>
        </w:tc>
        <w:tc>
          <w:tcPr>
            <w:tcW w:w="1113" w:type="dxa"/>
            <w:tcBorders>
              <w:top w:val="nil"/>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i w:val="0"/>
                <w:color w:val="000000"/>
                <w:sz w:val="24"/>
                <w:szCs w:val="24"/>
                <w:u w:val="none"/>
                <w:lang w:val="en-US"/>
              </w:rPr>
            </w:pPr>
            <w:r>
              <w:rPr>
                <w:rFonts w:ascii="Times New Roman" w:eastAsia="宋体" w:cs="Times New Roman" w:hAnsi="Times New Roman"/>
                <w:i w:val="0"/>
                <w:color w:val="000000"/>
                <w:kern w:val="0"/>
                <w:sz w:val="24"/>
                <w:szCs w:val="24"/>
                <w:u w:val="none"/>
                <w:lang w:val="en-US" w:eastAsia="zh-CN"/>
              </w:rPr>
              <w:t>11</w:t>
            </w: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7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hint="eastAsia"/>
                <w:i w:val="0"/>
                <w:color w:val="000000"/>
                <w:sz w:val="24"/>
                <w:szCs w:val="24"/>
                <w:u w:val="none"/>
                <w:lang w:eastAsia="zh-CN"/>
              </w:rPr>
            </w:pPr>
            <w:r>
              <w:rPr>
                <w:rFonts w:ascii="Times New Roman" w:eastAsia="宋体" w:cs="Times New Roman" w:hAnsi="Times New Roman"/>
                <w:i w:val="0"/>
                <w:color w:val="000000"/>
                <w:sz w:val="24"/>
                <w:szCs w:val="24"/>
                <w:u w:val="none"/>
                <w:lang w:eastAsia="zh-CN"/>
              </w:rPr>
              <w:t>公用经费支付率</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hint="eastAsia"/>
                <w:i w:val="0"/>
                <w:color w:val="000000"/>
                <w:sz w:val="24"/>
                <w:szCs w:val="24"/>
                <w:u w:val="none"/>
                <w:lang w:val="en-US" w:eastAsia="zh-CN"/>
              </w:rPr>
            </w:pPr>
            <w:r>
              <w:rPr>
                <w:rFonts w:ascii="宋体" w:eastAsia="宋体" w:cs="宋体" w:hint="eastAsia"/>
                <w:i w:val="0"/>
                <w:color w:val="000000"/>
                <w:sz w:val="24"/>
                <w:szCs w:val="24"/>
                <w:u w:val="none"/>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hint="eastAsia"/>
                <w:i w:val="0"/>
                <w:color w:val="000000"/>
                <w:sz w:val="24"/>
                <w:szCs w:val="24"/>
                <w:u w:val="none"/>
                <w:lang w:val="en-US" w:eastAsia="zh-CN"/>
              </w:rPr>
              <w:t>95</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hint="eastAsia"/>
                <w:i w:val="0"/>
                <w:color w:val="000000"/>
                <w:sz w:val="24"/>
                <w:szCs w:val="24"/>
                <w:u w:val="none"/>
                <w:lang w:val="en-US" w:eastAsia="zh-CN"/>
              </w:rPr>
            </w:pPr>
            <w:r>
              <w:rPr>
                <w:rFonts w:ascii="Times New Roman" w:eastAsia="宋体" w:cs="Times New Roman" w:hAnsi="Times New Roman" w:hint="eastAsia"/>
                <w:i w:val="0"/>
                <w:color w:val="000000"/>
                <w:sz w:val="24"/>
                <w:szCs w:val="24"/>
                <w:u w:val="none"/>
                <w:lang w:val="en-US" w:eastAsia="zh-CN"/>
              </w:rPr>
              <w:t>%</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hint="eastAsia"/>
                <w:i w:val="0"/>
                <w:color w:val="000000"/>
                <w:sz w:val="24"/>
                <w:szCs w:val="24"/>
                <w:u w:val="none"/>
                <w:lang w:val="en-US" w:eastAsia="zh-CN"/>
              </w:rPr>
              <w:t>10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hint="eastAsia"/>
                <w:i w:val="0"/>
                <w:color w:val="000000"/>
                <w:sz w:val="24"/>
                <w:szCs w:val="24"/>
                <w:u w:val="none"/>
                <w:lang w:val="en-US" w:eastAsia="zh-CN"/>
              </w:rPr>
              <w:t>100%</w:t>
            </w: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质量指标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hint="eastAsia"/>
                <w:i w:val="0"/>
                <w:color w:val="000000"/>
                <w:sz w:val="24"/>
                <w:szCs w:val="24"/>
                <w:u w:val="none"/>
                <w:lang w:eastAsia="zh-CN"/>
              </w:rPr>
            </w:pPr>
            <w:r>
              <w:rPr>
                <w:rFonts w:ascii="Times New Roman" w:eastAsia="宋体" w:cs="Times New Roman" w:hAnsi="Times New Roman"/>
                <w:i w:val="0"/>
                <w:color w:val="000000"/>
                <w:sz w:val="24"/>
                <w:szCs w:val="24"/>
                <w:u w:val="none"/>
                <w:lang w:eastAsia="zh-CN"/>
              </w:rPr>
              <w:t>提升整体办学环境</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定性</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i w:val="0"/>
                <w:color w:val="000000"/>
                <w:sz w:val="24"/>
                <w:szCs w:val="24"/>
                <w:u w:val="none"/>
                <w:lang w:val="en-US" w:eastAsia="zh-CN"/>
              </w:rPr>
              <w:t>有效提升</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hint="eastAsia"/>
                <w:i w:val="0"/>
                <w:color w:val="000000"/>
                <w:sz w:val="24"/>
                <w:szCs w:val="24"/>
                <w:u w:val="none"/>
                <w:lang w:val="en-US" w:eastAsia="zh-CN"/>
              </w:rPr>
            </w:pP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hint="eastAsia"/>
                <w:i w:val="0"/>
                <w:color w:val="000000"/>
                <w:sz w:val="24"/>
                <w:szCs w:val="24"/>
                <w:u w:val="none"/>
                <w:lang w:val="en-US" w:eastAsia="zh-CN"/>
              </w:rPr>
              <w:t>20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i w:val="0"/>
                <w:color w:val="000000"/>
                <w:sz w:val="24"/>
                <w:szCs w:val="24"/>
                <w:u w:val="none"/>
                <w:lang w:val="en-US" w:eastAsia="zh-CN"/>
              </w:rPr>
              <w:t>有效提升</w:t>
            </w: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时效指标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hint="eastAsia"/>
                <w:i w:val="0"/>
                <w:color w:val="000000"/>
                <w:sz w:val="24"/>
                <w:szCs w:val="24"/>
                <w:u w:val="none"/>
                <w:lang w:eastAsia="zh-CN"/>
              </w:rPr>
            </w:pPr>
            <w:r>
              <w:rPr>
                <w:rFonts w:ascii="Times New Roman" w:eastAsia="宋体" w:cs="Times New Roman" w:hAnsi="Times New Roman"/>
                <w:i w:val="0"/>
                <w:color w:val="000000"/>
                <w:sz w:val="24"/>
                <w:szCs w:val="24"/>
                <w:u w:val="none"/>
                <w:lang w:eastAsia="zh-CN"/>
              </w:rPr>
              <w:t>资金使用年度</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i w:val="0"/>
                <w:color w:val="000000"/>
                <w:sz w:val="24"/>
                <w:szCs w:val="24"/>
                <w:u w:val="none"/>
                <w:lang w:val="en-US" w:eastAsia="zh-CN"/>
              </w:rPr>
              <w:t>2025</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hint="eastAsia"/>
                <w:i w:val="0"/>
                <w:color w:val="000000"/>
                <w:sz w:val="24"/>
                <w:szCs w:val="24"/>
                <w:u w:val="none"/>
                <w:lang w:val="en-US" w:eastAsia="zh-CN"/>
              </w:rPr>
            </w:pPr>
            <w:r>
              <w:rPr>
                <w:rFonts w:ascii="Times New Roman" w:eastAsia="宋体" w:cs="Times New Roman" w:hAnsi="Times New Roman"/>
                <w:i w:val="0"/>
                <w:color w:val="000000"/>
                <w:sz w:val="24"/>
                <w:szCs w:val="24"/>
                <w:u w:val="none"/>
                <w:lang w:val="en-US" w:eastAsia="zh-CN"/>
              </w:rPr>
              <w:t>年</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hint="eastAsia"/>
                <w:i w:val="0"/>
                <w:color w:val="000000"/>
                <w:sz w:val="24"/>
                <w:szCs w:val="24"/>
                <w:u w:val="none"/>
                <w:lang w:val="en-US" w:eastAsia="zh-CN"/>
              </w:rPr>
              <w:t>10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hint="eastAsia"/>
                <w:i w:val="0"/>
                <w:color w:val="000000"/>
                <w:sz w:val="24"/>
                <w:szCs w:val="24"/>
                <w:u w:val="none"/>
                <w:lang w:val="en-US" w:eastAsia="zh-CN"/>
              </w:rPr>
              <w:t>100%</w:t>
            </w: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效益指标</w:t>
            </w:r>
          </w:p>
        </w:tc>
        <w:tc>
          <w:tcPr>
            <w:tcW w:w="1273"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i w:val="0"/>
                <w:color w:val="000000"/>
                <w:kern w:val="0"/>
                <w:sz w:val="24"/>
                <w:szCs w:val="24"/>
                <w:u w:val="none"/>
                <w:lang w:val="en-US" w:eastAsia="zh-CN"/>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hint="eastAsia"/>
                <w:i w:val="0"/>
                <w:color w:val="000000"/>
                <w:sz w:val="24"/>
                <w:szCs w:val="24"/>
                <w:u w:val="none"/>
                <w:lang w:eastAsia="zh-CN"/>
              </w:rPr>
            </w:pPr>
            <w:r>
              <w:rPr>
                <w:rFonts w:ascii="Times New Roman" w:eastAsia="宋体" w:cs="Times New Roman" w:hAnsi="Times New Roman"/>
                <w:i w:val="0"/>
                <w:color w:val="000000"/>
                <w:sz w:val="24"/>
                <w:szCs w:val="24"/>
                <w:u w:val="none"/>
                <w:lang w:eastAsia="zh-CN"/>
              </w:rPr>
              <w:t>保障学校正常运转</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i w:val="0"/>
                <w:color w:val="000000"/>
                <w:sz w:val="24"/>
                <w:szCs w:val="24"/>
                <w:u w:val="none"/>
                <w:lang w:val="en-US" w:eastAsia="zh-CN"/>
              </w:rPr>
              <w:t>定性</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i w:val="0"/>
                <w:color w:val="000000"/>
                <w:sz w:val="24"/>
                <w:szCs w:val="24"/>
                <w:u w:val="none"/>
                <w:lang w:val="en-US" w:eastAsia="zh-CN"/>
              </w:rPr>
              <w:t>正常运转</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hint="eastAsia"/>
                <w:i w:val="0"/>
                <w:color w:val="000000"/>
                <w:sz w:val="24"/>
                <w:szCs w:val="24"/>
                <w:u w:val="none"/>
                <w:lang w:val="en-US" w:eastAsia="zh-CN"/>
              </w:rPr>
            </w:pP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hint="eastAsia"/>
                <w:i w:val="0"/>
                <w:color w:val="000000"/>
                <w:sz w:val="24"/>
                <w:szCs w:val="24"/>
                <w:u w:val="none"/>
                <w:lang w:val="en-US" w:eastAsia="zh-CN"/>
              </w:rPr>
              <w:t>15</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i w:val="0"/>
                <w:color w:val="000000"/>
                <w:sz w:val="24"/>
                <w:szCs w:val="24"/>
                <w:u w:val="none"/>
                <w:lang w:val="en-US" w:eastAsia="zh-CN"/>
              </w:rPr>
              <w:t>正常运转</w:t>
            </w: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73" w:type="dxa"/>
            <w:vMerge/>
            <w:tcBorders>
              <w:top w:val="single" w:sz="4" w:space="0" w:color="000000"/>
              <w:left w:val="single" w:sz="4" w:space="0" w:color="000000"/>
              <w:bottom w:val="nil"/>
              <w:right w:val="single" w:sz="4" w:space="0" w:color="000000"/>
            </w:tcBorders>
            <w:shd w:val="clear" w:color="auto" w:fill="auto"/>
            <w:noWrap/>
            <w:vAlign w:val="center"/>
          </w:tc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满意度指标</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满意度指标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hint="eastAsia"/>
                <w:i w:val="0"/>
                <w:color w:val="000000"/>
                <w:sz w:val="24"/>
                <w:szCs w:val="24"/>
                <w:u w:val="none"/>
                <w:lang w:eastAsia="zh-CN"/>
              </w:rPr>
            </w:pPr>
            <w:r>
              <w:rPr>
                <w:rFonts w:ascii="Times New Roman" w:eastAsia="宋体" w:cs="Times New Roman" w:hAnsi="Times New Roman" w:hint="eastAsia"/>
                <w:i w:val="0"/>
                <w:color w:val="000000"/>
                <w:sz w:val="24"/>
                <w:szCs w:val="24"/>
                <w:u w:val="none"/>
                <w:lang w:eastAsia="zh-CN"/>
              </w:rPr>
              <w:t>师生满意度</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bookmarkStart w:id="54" w:name="OLE_LINK4"/>
            <w:r>
              <w:rPr>
                <w:rFonts w:ascii="宋体" w:eastAsia="宋体" w:cs="宋体" w:hint="eastAsia"/>
                <w:i w:val="0"/>
                <w:color w:val="000000"/>
                <w:sz w:val="24"/>
                <w:szCs w:val="24"/>
                <w:u w:val="none"/>
              </w:rPr>
              <w:t>≧</w:t>
            </w:r>
            <w:bookmarkEnd w:id="54"/>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hint="eastAsia"/>
                <w:i w:val="0"/>
                <w:color w:val="000000"/>
                <w:sz w:val="24"/>
                <w:szCs w:val="24"/>
                <w:u w:val="none"/>
                <w:lang w:val="en-US" w:eastAsia="zh-CN"/>
              </w:rPr>
              <w:t>95</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hint="eastAsia"/>
                <w:i w:val="0"/>
                <w:color w:val="000000"/>
                <w:sz w:val="24"/>
                <w:szCs w:val="24"/>
                <w:u w:val="none"/>
                <w:lang w:val="en-US" w:eastAsia="zh-CN"/>
              </w:rPr>
            </w:pPr>
            <w:r>
              <w:rPr>
                <w:rFonts w:ascii="Times New Roman" w:eastAsia="宋体" w:cs="Times New Roman" w:hAnsi="Times New Roman" w:hint="eastAsia"/>
                <w:i w:val="0"/>
                <w:color w:val="000000"/>
                <w:sz w:val="24"/>
                <w:szCs w:val="24"/>
                <w:u w:val="none"/>
                <w:lang w:val="en-US" w:eastAsia="zh-CN"/>
              </w:rPr>
              <w:t>%</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hint="eastAsia"/>
                <w:i w:val="0"/>
                <w:color w:val="000000"/>
                <w:sz w:val="24"/>
                <w:szCs w:val="24"/>
                <w:u w:val="none"/>
                <w:lang w:val="en-US" w:eastAsia="zh-CN"/>
              </w:rPr>
              <w:t>10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hint="eastAsia"/>
                <w:i w:val="0"/>
                <w:color w:val="000000"/>
                <w:sz w:val="24"/>
                <w:szCs w:val="24"/>
                <w:u w:val="none"/>
                <w:lang w:val="en-US" w:eastAsia="zh-CN"/>
              </w:rPr>
              <w:t>100%</w:t>
            </w:r>
          </w:p>
        </w:tc>
      </w:tr>
      <w:tr>
        <w:trPr>
          <w:trHeight w:val="23"/>
        </w:trPr>
        <w:tc>
          <w:tcPr>
            <w:tcW w:w="1309" w:type="dxa"/>
            <w:vMerge/>
            <w:tcBorders>
              <w:top w:val="nil"/>
              <w:left w:val="single" w:sz="4" w:space="0" w:color="000000"/>
              <w:bottom w:val="single" w:sz="4" w:space="0" w:color="000000"/>
              <w:right w:val="single" w:sz="4" w:space="0" w:color="000000"/>
            </w:tcBorders>
            <w:shd w:val="clear" w:color="auto" w:fill="auto"/>
            <w:noWrap/>
            <w:vAlign w:val="center"/>
          </w:tcPr>
          <w:p/>
        </w:tc>
        <w:tc>
          <w:tcPr>
            <w:tcW w:w="13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hint="eastAsia"/>
                <w:i w:val="0"/>
                <w:color w:val="000000"/>
                <w:kern w:val="0"/>
                <w:sz w:val="24"/>
                <w:szCs w:val="24"/>
                <w:u w:val="none"/>
                <w:lang w:val="en-US" w:eastAsia="zh-CN"/>
              </w:rPr>
              <w:t>成本指标</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hint="eastAsia"/>
                <w:i w:val="0"/>
                <w:color w:val="000000"/>
                <w:kern w:val="0"/>
                <w:sz w:val="24"/>
                <w:szCs w:val="24"/>
                <w:u w:val="none"/>
                <w:lang w:val="en-US" w:eastAsia="zh-CN"/>
              </w:rPr>
              <w:t>经济成本指标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hint="eastAsia"/>
                <w:i w:val="0"/>
                <w:color w:val="000000"/>
                <w:sz w:val="24"/>
                <w:szCs w:val="24"/>
                <w:u w:val="none"/>
                <w:lang w:eastAsia="zh-CN"/>
              </w:rPr>
            </w:pPr>
            <w:r>
              <w:rPr>
                <w:rFonts w:ascii="Times New Roman" w:eastAsia="宋体" w:cs="Times New Roman" w:hAnsi="Times New Roman" w:hint="eastAsia"/>
                <w:i w:val="0"/>
                <w:color w:val="000000"/>
                <w:sz w:val="24"/>
                <w:szCs w:val="24"/>
                <w:u w:val="none"/>
                <w:lang w:eastAsia="zh-CN"/>
              </w:rPr>
              <w:t>单位整体运行成本</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bookmarkStart w:id="55" w:name="OLE_LINK3"/>
            <w:r>
              <w:rPr>
                <w:rFonts w:ascii="宋体" w:eastAsia="宋体" w:cs="宋体" w:hint="eastAsia"/>
                <w:i w:val="0"/>
                <w:color w:val="000000"/>
                <w:sz w:val="24"/>
                <w:szCs w:val="24"/>
                <w:u w:val="none"/>
              </w:rPr>
              <w:t>≦</w:t>
            </w:r>
            <w:bookmarkEnd w:id="55"/>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i w:val="0"/>
                <w:color w:val="000000"/>
                <w:sz w:val="24"/>
                <w:szCs w:val="24"/>
                <w:u w:val="none"/>
                <w:lang w:val="en-US" w:eastAsia="zh-CN"/>
              </w:rPr>
              <w:t>5705.32</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hint="eastAsia"/>
                <w:i w:val="0"/>
                <w:color w:val="000000"/>
                <w:sz w:val="24"/>
                <w:szCs w:val="24"/>
                <w:u w:val="none"/>
                <w:lang w:val="en-US" w:eastAsia="zh-CN"/>
              </w:rPr>
            </w:pPr>
            <w:r>
              <w:rPr>
                <w:rFonts w:ascii="Times New Roman" w:eastAsia="宋体" w:cs="Times New Roman" w:hAnsi="Times New Roman" w:hint="eastAsia"/>
                <w:i w:val="0"/>
                <w:color w:val="000000"/>
                <w:sz w:val="24"/>
                <w:szCs w:val="24"/>
                <w:u w:val="none"/>
                <w:lang w:val="en-US" w:eastAsia="zh-CN"/>
              </w:rPr>
              <w:t>万元</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lang w:val="en-US" w:eastAsia="zh-CN"/>
              </w:rPr>
            </w:pPr>
            <w:r>
              <w:rPr>
                <w:rFonts w:ascii="Times New Roman" w:eastAsia="宋体" w:cs="Times New Roman" w:hAnsi="Times New Roman" w:hint="eastAsia"/>
                <w:i w:val="0"/>
                <w:color w:val="000000"/>
                <w:sz w:val="24"/>
                <w:szCs w:val="24"/>
                <w:u w:val="none"/>
                <w:lang w:val="en-US" w:eastAsia="zh-CN"/>
              </w:rPr>
              <w:t>20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hint="eastAsia"/>
                <w:i w:val="0"/>
                <w:color w:val="000000"/>
                <w:sz w:val="24"/>
                <w:szCs w:val="24"/>
                <w:u w:val="none"/>
                <w:lang w:val="en-US" w:eastAsia="zh-CN"/>
              </w:rPr>
            </w:pPr>
            <w:r>
              <w:rPr>
                <w:rFonts w:ascii="Times New Roman" w:eastAsia="宋体" w:cs="Times New Roman" w:hAnsi="Times New Roman"/>
                <w:i w:val="0"/>
                <w:color w:val="000000"/>
                <w:sz w:val="24"/>
                <w:szCs w:val="24"/>
                <w:u w:val="none"/>
                <w:lang w:val="en-US" w:eastAsia="zh-CN"/>
              </w:rPr>
              <w:t>5705.32万元</w:t>
            </w:r>
          </w:p>
        </w:tc>
      </w:tr>
    </w:tbl>
    <w:p>
      <w:pPr>
        <w:rPr>
          <w:rFonts w:ascii="Times New Roman" w:eastAsia="黑体" w:cs="Times New Roman" w:hAnsi="Times New Roman"/>
          <w:sz w:val="24"/>
          <w:szCs w:val="24"/>
          <w:lang w:val="en-US" w:eastAsia="zh-CN"/>
          <w:highlight w:val="auto"/>
        </w:rPr>
      </w:pPr>
      <w:r>
        <w:rPr>
          <w:rFonts w:ascii="Times New Roman" w:eastAsia="黑体" w:cs="Times New Roman" w:hAnsi="Times New Roman"/>
          <w:sz w:val="24"/>
          <w:szCs w:val="24"/>
          <w:lang w:val="en-US" w:eastAsia="zh-CN"/>
          <w:highlight w:val="auto"/>
        </w:rPr>
        <w:br w:type="page"/>
      </w:r>
    </w:p>
    <w:p>
      <w:pPr>
        <w:pStyle w:val="17"/>
        <w:pageBreakBefore w:val="0"/>
        <w:widowControl w:val="0"/>
        <w:kinsoku/>
        <w:wordWrap/>
        <w:overflowPunct/>
        <w:topLinePunct w:val="0"/>
        <w:autoSpaceDE/>
        <w:autoSpaceDN/>
        <w:bidi w:val="0"/>
        <w:adjustRightInd/>
        <w:snapToGrid/>
        <w:spacing w:after="0" w:line="578" w:lineRule="exact"/>
        <w:ind w:leftChars="0" w:left="0" w:firstLineChars="0" w:firstLine="0"/>
        <w:rPr>
          <w:rFonts w:ascii="Times New Roman" w:eastAsia="黑体" w:cs="Times New Roman" w:hAnsi="Times New Roman" w:hint="eastAsia"/>
          <w:kern w:val="2"/>
          <w:sz w:val="32"/>
          <w:szCs w:val="24"/>
          <w:lang w:val="en-US" w:eastAsia="zh-CN" w:bidi="ar-SA"/>
          <w:highlight w:val="auto"/>
        </w:rPr>
      </w:pPr>
      <w:r>
        <w:rPr>
          <w:rFonts w:ascii="Times New Roman" w:eastAsia="黑体" w:cs="Times New Roman" w:hAnsi="Times New Roman"/>
          <w:kern w:val="2"/>
          <w:sz w:val="32"/>
          <w:szCs w:val="24"/>
          <w:lang w:val="en-US" w:eastAsia="zh-CN" w:bidi="ar-SA"/>
          <w:highlight w:val="auto"/>
        </w:rPr>
        <w:t>附表</w:t>
      </w:r>
      <w:r>
        <w:rPr>
          <w:rFonts w:ascii="Times New Roman" w:eastAsia="黑体" w:cs="Times New Roman" w:hAnsi="Times New Roman" w:hint="eastAsia"/>
          <w:kern w:val="2"/>
          <w:sz w:val="32"/>
          <w:szCs w:val="24"/>
          <w:lang w:val="en-US" w:eastAsia="zh-CN" w:bidi="ar-SA"/>
          <w:highlight w:val="auto"/>
        </w:rPr>
        <w:t>3</w:t>
      </w:r>
    </w:p>
    <w:p>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ascii="Times New Roman" w:eastAsia="方正小标宋简体" w:cs="Times New Roman" w:hAnsi="Times New Roman"/>
          <w:i w:val="0"/>
          <w:color w:val="000000"/>
          <w:kern w:val="0"/>
          <w:sz w:val="44"/>
          <w:szCs w:val="44"/>
          <w:u w:val="none"/>
          <w:lang w:val="en-US" w:eastAsia="zh-CN"/>
        </w:rPr>
      </w:pPr>
      <w:r>
        <w:rPr>
          <w:rFonts w:ascii="Times New Roman" w:eastAsia="方正小标宋简体" w:cs="Times New Roman" w:hAnsi="Times New Roman"/>
          <w:i w:val="0"/>
          <w:color w:val="000000"/>
          <w:kern w:val="0"/>
          <w:sz w:val="44"/>
          <w:szCs w:val="44"/>
          <w:u w:val="none"/>
          <w:lang w:val="en-US" w:eastAsia="zh-CN"/>
        </w:rPr>
        <w:t>部门预算项目支出绩效评价表</w:t>
      </w:r>
    </w:p>
    <w:p>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ascii="Times New Roman" w:eastAsia="方正小标宋简体" w:cs="Times New Roman" w:hAnsi="Times New Roman"/>
          <w:i w:val="0"/>
          <w:color w:val="000000"/>
          <w:kern w:val="0"/>
          <w:sz w:val="32"/>
          <w:szCs w:val="32"/>
          <w:u w:val="none"/>
          <w:lang w:val="en-US" w:eastAsia="zh-CN"/>
        </w:rPr>
      </w:pPr>
      <w:r>
        <w:rPr>
          <w:rFonts w:ascii="Times New Roman" w:eastAsia="方正小标宋简体" w:cs="Times New Roman" w:hAnsi="Times New Roman"/>
          <w:i w:val="0"/>
          <w:color w:val="000000"/>
          <w:kern w:val="0"/>
          <w:sz w:val="32"/>
          <w:szCs w:val="32"/>
          <w:u w:val="none"/>
          <w:lang w:val="en-US" w:eastAsia="zh-CN"/>
        </w:rPr>
        <w:t>（2025年度）</w:t>
      </w:r>
    </w:p>
    <w:p>
      <w:pPr>
        <w:pStyle w:val="27"/>
        <w:keepNext/>
        <w:keepLines/>
        <w:pageBreakBefore w:val="0"/>
        <w:widowControl w:val="0"/>
        <w:kinsoku/>
        <w:wordWrap/>
        <w:overflowPunct/>
        <w:topLinePunct w:val="0"/>
        <w:autoSpaceDE/>
        <w:autoSpaceDN/>
        <w:bidi w:val="0"/>
        <w:adjustRightInd/>
        <w:snapToGrid/>
        <w:spacing w:before="0" w:after="0" w:line="578" w:lineRule="exact"/>
        <w:ind w:firstLineChars="200" w:firstLine="640"/>
        <w:rPr>
          <w:rFonts w:ascii="Times New Roman" w:eastAsia="仿宋_GB2312" w:cs="Times New Roman" w:hAnsi="Times New Roman" w:hint="eastAsia"/>
          <w:b w:val="0"/>
          <w:color w:val="000000"/>
          <w:kern w:val="0"/>
          <w:sz w:val="32"/>
          <w:szCs w:val="32"/>
          <w:shd w:val="clear" w:color="auto" w:fill="FFFFFF"/>
          <w:lang w:val="en-US" w:eastAsia="zh-CN" w:bidi="ar-SA"/>
          <w:highlight w:val="auto"/>
        </w:rPr>
      </w:pPr>
    </w:p>
    <w:p>
      <w:pPr>
        <w:pStyle w:val="27"/>
        <w:keepNext/>
        <w:keepLines/>
        <w:pageBreakBefore w:val="0"/>
        <w:widowControl w:val="0"/>
        <w:kinsoku/>
        <w:wordWrap/>
        <w:overflowPunct/>
        <w:topLinePunct w:val="0"/>
        <w:autoSpaceDE/>
        <w:autoSpaceDN/>
        <w:bidi w:val="0"/>
        <w:adjustRightInd/>
        <w:snapToGrid/>
        <w:spacing w:before="0" w:after="0" w:line="578" w:lineRule="exact"/>
        <w:ind w:firstLineChars="200" w:firstLine="640"/>
        <w:rPr>
          <w:lang w:val="en-US" w:eastAsia="zh-CN"/>
        </w:rPr>
      </w:pPr>
      <w:r>
        <w:rPr>
          <w:rFonts w:ascii="Times New Roman" w:eastAsia="仿宋_GB2312" w:cs="Times New Roman" w:hAnsi="Times New Roman" w:hint="eastAsia"/>
          <w:b w:val="0"/>
          <w:color w:val="000000"/>
          <w:kern w:val="0"/>
          <w:sz w:val="32"/>
          <w:szCs w:val="32"/>
          <w:shd w:val="clear" w:color="auto" w:fill="FFFFFF"/>
          <w:lang w:val="en-US" w:eastAsia="zh-CN" w:bidi="ar-SA"/>
          <w:highlight w:val="auto"/>
        </w:rPr>
        <w:t>“</w:t>
      </w:r>
      <w:r>
        <w:rPr>
          <w:rFonts w:ascii="Times New Roman" w:eastAsia="仿宋_GB2312" w:cs="Times New Roman" w:hAnsi="Times New Roman"/>
          <w:b w:val="0"/>
          <w:color w:val="000000"/>
          <w:kern w:val="0"/>
          <w:sz w:val="32"/>
          <w:szCs w:val="32"/>
          <w:shd w:val="clear" w:color="auto" w:fill="FFFFFF"/>
          <w:lang w:val="en-US" w:eastAsia="zh-CN" w:bidi="ar-SA"/>
          <w:highlight w:val="auto"/>
        </w:rPr>
        <w:t>部门预算项目支出绩效评价表</w:t>
      </w:r>
      <w:r>
        <w:rPr>
          <w:rFonts w:ascii="Times New Roman" w:eastAsia="仿宋_GB2312" w:cs="Times New Roman" w:hAnsi="Times New Roman" w:hint="eastAsia"/>
          <w:b w:val="0"/>
          <w:color w:val="000000"/>
          <w:kern w:val="0"/>
          <w:sz w:val="32"/>
          <w:szCs w:val="32"/>
          <w:shd w:val="clear" w:color="auto" w:fill="FFFFFF"/>
          <w:lang w:val="en-US" w:eastAsia="zh-CN" w:bidi="ar-SA"/>
          <w:highlight w:val="auto"/>
        </w:rPr>
        <w:t>”</w:t>
      </w:r>
      <w:r>
        <w:rPr>
          <w:rFonts w:ascii="Times New Roman" w:eastAsia="仿宋_GB2312" w:cs="Times New Roman" w:hAnsi="Times New Roman"/>
          <w:b w:val="0"/>
          <w:color w:val="000000"/>
          <w:kern w:val="0"/>
          <w:sz w:val="32"/>
          <w:szCs w:val="32"/>
          <w:shd w:val="clear" w:color="auto" w:fill="FFFFFF"/>
          <w:lang w:val="en-US" w:eastAsia="zh-CN" w:bidi="ar-SA"/>
          <w:highlight w:val="auto"/>
        </w:rPr>
        <w:t>在预算管理一体化系统</w:t>
      </w:r>
      <w:r>
        <w:rPr>
          <w:rFonts w:ascii="Times New Roman" w:eastAsia="仿宋_GB2312" w:cs="Times New Roman" w:hAnsi="Times New Roman" w:hint="eastAsia"/>
          <w:b w:val="0"/>
          <w:color w:val="000000"/>
          <w:kern w:val="0"/>
          <w:sz w:val="32"/>
          <w:szCs w:val="32"/>
          <w:shd w:val="clear" w:color="auto" w:fill="FFFFFF"/>
          <w:lang w:val="en-US" w:eastAsia="zh-CN" w:bidi="ar-SA"/>
          <w:highlight w:val="auto"/>
        </w:rPr>
        <w:t>—</w:t>
      </w:r>
      <w:r>
        <w:rPr>
          <w:rFonts w:ascii="Times New Roman" w:eastAsia="仿宋_GB2312" w:cs="Times New Roman" w:hAnsi="Times New Roman"/>
          <w:b w:val="0"/>
          <w:color w:val="000000"/>
          <w:kern w:val="0"/>
          <w:sz w:val="32"/>
          <w:szCs w:val="32"/>
          <w:shd w:val="clear" w:color="auto" w:fill="FFFFFF"/>
          <w:lang w:val="en-US" w:eastAsia="zh-CN" w:bidi="ar-SA"/>
          <w:highlight w:val="auto"/>
        </w:rPr>
        <w:t>综合报表查询</w:t>
      </w:r>
      <w:r>
        <w:rPr>
          <w:rFonts w:ascii="Times New Roman" w:eastAsia="仿宋_GB2312" w:cs="Times New Roman" w:hAnsi="Times New Roman" w:hint="eastAsia"/>
          <w:b w:val="0"/>
          <w:color w:val="000000"/>
          <w:kern w:val="0"/>
          <w:sz w:val="32"/>
          <w:szCs w:val="32"/>
          <w:shd w:val="clear" w:color="auto" w:fill="FFFFFF"/>
          <w:lang w:val="en-US" w:eastAsia="zh-CN" w:bidi="ar-SA"/>
          <w:highlight w:val="auto"/>
        </w:rPr>
        <w:t>—</w:t>
      </w:r>
      <w:r>
        <w:rPr>
          <w:rFonts w:ascii="Times New Roman" w:eastAsia="仿宋_GB2312" w:cs="Times New Roman" w:hAnsi="Times New Roman"/>
          <w:b w:val="0"/>
          <w:color w:val="000000"/>
          <w:kern w:val="0"/>
          <w:sz w:val="32"/>
          <w:szCs w:val="32"/>
          <w:shd w:val="clear" w:color="auto" w:fill="FFFFFF"/>
          <w:lang w:val="en-US" w:eastAsia="zh-CN" w:bidi="ar-SA"/>
          <w:highlight w:val="auto"/>
        </w:rPr>
        <w:t>预算绩效报表模块中</w:t>
      </w:r>
      <w:r>
        <w:rPr>
          <w:rFonts w:ascii="Times New Roman" w:eastAsia="仿宋_GB2312" w:cs="Times New Roman" w:hAnsi="Times New Roman" w:hint="eastAsia"/>
          <w:b w:val="0"/>
          <w:color w:val="000000"/>
          <w:kern w:val="0"/>
          <w:sz w:val="32"/>
          <w:szCs w:val="32"/>
          <w:shd w:val="clear" w:color="auto" w:fill="FFFFFF"/>
          <w:lang w:val="en-US" w:eastAsia="zh-CN" w:bidi="ar-SA"/>
          <w:highlight w:val="auto"/>
        </w:rPr>
        <w:t>进行</w:t>
      </w:r>
      <w:r>
        <w:rPr>
          <w:rFonts w:ascii="Times New Roman" w:eastAsia="仿宋_GB2312" w:cs="Times New Roman" w:hAnsi="Times New Roman"/>
          <w:b w:val="0"/>
          <w:color w:val="000000"/>
          <w:kern w:val="0"/>
          <w:sz w:val="32"/>
          <w:szCs w:val="32"/>
          <w:shd w:val="clear" w:color="auto" w:fill="FFFFFF"/>
          <w:lang w:val="en-US" w:eastAsia="zh-CN" w:bidi="ar-SA"/>
          <w:highlight w:val="auto"/>
        </w:rPr>
        <w:t>下载</w:t>
      </w:r>
      <w:r>
        <w:rPr>
          <w:rFonts w:ascii="Times New Roman" w:eastAsia="仿宋_GB2312" w:cs="Times New Roman" w:hAnsi="Times New Roman" w:hint="eastAsia"/>
          <w:b w:val="0"/>
          <w:color w:val="000000"/>
          <w:kern w:val="0"/>
          <w:sz w:val="32"/>
          <w:szCs w:val="32"/>
          <w:shd w:val="clear" w:color="auto" w:fill="FFFFFF"/>
          <w:lang w:val="en-US" w:eastAsia="zh-CN" w:bidi="ar-SA"/>
          <w:highlight w:val="auto"/>
        </w:rPr>
        <w:t>，完成相关内容填报后作为本处附表。</w:t>
      </w:r>
    </w:p>
    <w:tbl>
      <w:tblPr>
        <w:tblpPr w:leftFromText="180" w:rightFromText="180" w:vertAnchor="text" w:horzAnchor="page" w:tblpX="1333" w:tblpY="736"/>
        <w:tblOverlap w:val="never"/>
        <w:tblW w:w="1495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766"/>
        <w:gridCol w:w="2132"/>
        <w:gridCol w:w="1847"/>
        <w:gridCol w:w="2342"/>
        <w:gridCol w:w="601"/>
        <w:gridCol w:w="1757"/>
        <w:gridCol w:w="601"/>
        <w:gridCol w:w="1171"/>
        <w:gridCol w:w="586"/>
        <w:gridCol w:w="525"/>
        <w:gridCol w:w="2628"/>
      </w:tblGrid>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51320021T000000045778-学生公用经费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　为1092名学生支付日常测试试卷打印费及购买篮球、实验用器材等体育用品及教育教学用品，购买教育教学用品，提升学生学习积极性，促进教育发展。</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22"/>
              </w:rPr>
            </w:pPr>
            <w:r>
              <w:rPr>
                <w:rFonts w:ascii="宋体" w:eastAsia="宋体" w:cs="Arial"/>
                <w:color w:val="000000"/>
                <w:sz w:val="22"/>
              </w:rPr>
              <w:t>资金主要用于学生试卷打印，活动开展及实验室用品等日常办公用品购买。</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10.92</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10.92</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10.92</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10.92</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10.92</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10.92</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学习用品采购完成率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产品合格率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教育发展促进率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可持续影响指标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提升学生学习积极性</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显著提升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显著提升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师生满意度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项目总成本</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10.92</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10.92</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严格把控资金支付，按预期完成项目特定目标</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bookmarkStart w:id="56" w:name="_GoBack"/>
            <w:bookmarkEnd w:id="56"/>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项目负责人：嘎瓦扎西</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51320021T000000045830-高中信息技术费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高中信息技术费</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主要用于钉钉选课排分系统及其他教学系统</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10.92</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10.83</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10.83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10.92</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10.83</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10.83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任务完成率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网络覆盖率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促进教育发展</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可持续影响指标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提升教学质量</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有效提升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有效提升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师生满意度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项目总成本</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10.83</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10.92</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严格按照资金使用途径支付，完整项目预定目标</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项目负责人：嘎瓦扎西</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51320021T000000046341--学生取暖费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　学生取暖</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用电取暖，用于支付电费</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4.37</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4.37</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4.37</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4.37</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4.37</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4.37</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任务完成率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学生取暖覆盖率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完善取暖设施</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完善</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完善</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生态效益指标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电力取暖减少污染</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满意</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项目总成本</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4.37</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4.37</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项目按规定规定足额保障校园供暖与学生取暖需求。</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51320021T000000046442-基本目标奖</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基本目标奖</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教师周工作量为12节，音、体、美教师周工作量为14节”的规定，统计教师工作量，超出标准工作量的付超课时费。超课时费为1课时40元，周末及假期超课时费1节50元</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实施期计划任务完成率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运转保障率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可持续影响指标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激发教师教学激情</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有效激发</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有效激发</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师生满意度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项目总成本</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153</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项目实施规范有序，资金使用合规高效，较好完成年度基本目标.</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项目负责人：嘎瓦扎西</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51320022R000005202861-追加州级部门一次性抚恤金及丧葬费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严格执行相关政策，保障待遇资金足额发放</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15.90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15.90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15.90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15.90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项目实施规范有序，资金使用合规高效，较好完成年度基本目标.</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51320022R000005203810-追加州级部门建房补贴</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执行相关整整则，保障资金及时、足额发放</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项目实施规范有序，资金使用合规高效，较好完成年度基本目标.</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51320022R000005298850-追加州级部门遗嘱生活补助</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执行相关整整则，保障资金及时、足额发放</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0.75</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0.75</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0.75</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0.75</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项目实施规范有序，资金使用合规高效，完成年度目标.</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51320022R000005969462-追加州级部门编内退休人员一次性退休补贴</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执行相关整整则，保障资金及时、足额发放</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执行相关整整则，保障资金及时、足额发放</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29.96</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29.96</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29.96</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29.96</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项目实施规范有序，资金使用合规高效，完成年度目标.</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51320022T000000354681-学校临聘服务</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学校食堂劳务费</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r>
              <w:rPr>
                <w:rFonts w:ascii="宋体" w:eastAsia="宋体"/>
                <w:color w:val="000000"/>
                <w:sz w:val="18"/>
              </w:rPr>
              <w:t>学校应根据学生就餐规模，切实做好定岗、定责、定薪工作，合理配置人员。</w:t>
              <w:br/>
              <w:t>我校师生员工共计1340人，应配备食堂工作人员22人。</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85.00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78.24</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77.74</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99.36%</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85.00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78.24</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77.74</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99.36%</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预算编制误差</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3</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食品安全检测合格率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生态效益指标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环保餐具使用率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项目成本</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85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77.74</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项目总体实施效果良好，劳务服务到位，运营保障充分，有效提升食堂服务效率与就餐环境</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51320022T000006772634-代管资金（作业本费）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代买学生作业本</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代买学生作业本费，全部发放</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3.42</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3.42</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3.42</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3.42</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资金转款专用</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51320023R000007728618-目标绩效奖（按月随工资发放70%部分）</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执行相关整整则，保障资金及时、足额发放</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604.43</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604.43</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604.43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604.43</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604.43</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604.43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严格执行工资发放及社保缴费相关规定，及时、足额缴纳及发放</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51320023R000009914893-工资性支出</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执行相关整整则，保障资金及时、足额发放</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1,464.77</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1,464.76</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1,464.76</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1,464.77</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1,464.76</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1,464.76</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严格执行工资发放及社保缴费相关规定，及时、足额缴纳及发放</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51320023R000009915221-单位缴费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执行相关整整则，保障资金及时、足额缴纳</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1,053.08</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1,014.66</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1,014.66</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1,053.08</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1,014.66</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1,014.66</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严格执行工资发放及社保缴费相关规定，及时、足额缴纳及发放</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51320023R000009915925-聘用人员经费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执行相关整整则，保障资金及时、足额发放</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76.32</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58.58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58.58</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76.32</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58.58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58.58</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严格执行工资发放及社保缴费相关规定，及时、足额缴纳及发放</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51320023R000009916588-其他支出</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执行相关整整则，保障资金及时、足额发放</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2.24</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2.24</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2.24</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2.24</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2.24</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2.24</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严格执行工资发放及社保缴费相关规定，及时、足额缴纳及发放</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51320023T000008025028-保安聘用费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保安聘用</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我校保安人员5人，人均公用经费为42000元/人/年，按合同支付</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21.00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20.93</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20.93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21.00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20.93</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20.93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任务完成率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维护安全合格率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安全隐患排查避免经济损失额</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6</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维护校园安全</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师生满意度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项目金额</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21</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20.93</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坚持以服务教育教学为中心，为保障正常开展各项日常教育教学为重点，为高中学校日常运转提供有力保障，各类教育教学活动有序开展，校园安全得到有力保障</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项目负责人：周德富</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51320023T000008556544-履约保证金及质保金等（财政代管）</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按期退还保障金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按合同退还履约保证金</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74.99</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1.20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1.60%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74.99</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1.20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1.60%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转款专用，严格资金管控。</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51320023Y000009917272-日常公用经费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提高预算编制质量，严格执行预算，保障单位日常运转。</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严格执行预算，保障单位日常运转。</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121.68</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136.41</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135.01</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98.97%</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121.68</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116.41</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115.25</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99.00%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19.76</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98.80%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科目调整次数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次</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3</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67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预算编制准确率（计算方法为：∣（执行数-预算数）/预算数∣）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89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“三公经费”控制率[计算方法为：（三公经费实际支出数/预算安排数]×100%）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运转保障率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严格执行预算，保障单位日常运转。</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51320024R000010654621-退休人员经费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163.38</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159.76</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159.76</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163.38</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159.76</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159.76</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严格执行相关政策，保障工资及时、足额发放或社保及时、足额缴纳，预算编制科学合理，减少结余资金。</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51320024T000011098777-州直属学校教师节慰问金</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教师节慰问金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用于教师节活动费用及慰问在职教师</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6.29</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6.29</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5.29</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5.29</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任务完成率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促进教育发展</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有效促进</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教师满意度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教师慰问部分兑现到个人，活动费用按照相关规定支付</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51320024T000011797128-2023年全州教育质量提升奖励部分资金</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按照相关规定核算后发放给老师个人</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68.45</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68.45</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68.45</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68.45</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项目资金全部按照方案发放到老师个人</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项目负责人：嘎瓦扎西</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51320025R000012338995-追加人员工资性支出</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269.93</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269.93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269.93</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269.93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项目实施规范有序，资金使用合规高效，较好完成年度基本目标.</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51320025R000012408768-年度考核奖（30%）</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165.40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165.40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165.40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165.40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项目实施规范有序，资金使用合规高效，较好完成年度基本目标.</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51320025T000012136478-学生食堂食材配送服务采购项目</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通过食材采购，确保采购的食材新鲜、安全、符合国家相关质量标准，提供丰富多样的食材选择，满足学生的营养需求和口味偏好，有利于建立稳定可靠的供应链，保障食材的及时供应和食品安全。</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保障学校食堂食材的供应，保障学生安全营养的就餐环境</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387.21</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346.47</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89.48%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387.21</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346.47</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89.48%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新鲜度达标率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食品安全合规率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食材提供及时性</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促进教育发展</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有效促进</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每年320万元</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387</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346</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保障学校食堂食材正常供应，保障了学生安全营养的就餐环境</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51320025T000012550076-普通高中助学金</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普通高中助学金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按标准发放选出的困难优秀学生助学金</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143.99</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133.39</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92.63%</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143.99</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133.39</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92.63%</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任务完成率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有效促进</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有效促进</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成本控制率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按标准发放选出的困难优秀学生助学金，及时兑现到学生个人账户</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51320025T000012646427-代课老师费用</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保障教育教学有序稳定开展</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代课老师的费用</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39.60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24.87</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24.87</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39.60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24.87</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24.87</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任务完成率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资金划拨率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可持续发展指标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有效持续教学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有效持续</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可持续影响指标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课程完成率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师生满意度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项目总成本</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39.6</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24.87</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按约定足额完成支付，款项支付合规，项目执行情况良好</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项目负责人：嘎让扎西</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51320025T000012681311-物业管理费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226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根据《四川省民族地区寄宿制学校管理办法》第七章第三十七条“寄宿制学校原则上应按每100名寄宿学生配1名标准配足生活教师”和《中小学幼儿园安全防范工作规范（试行》第二章第五条“学校保安员应当按照不低于以下标准配备：寄宿制学校至少配2名专职保安员，在上述标准的基础上每增加300名寄宿生增配1名专职保安员”的规定，并结合学校实际，需配备项目经理1名1*5000=5000、保安员6名4000*6=24000、保洁员12名4000*12=48000、维修员2名2*5000=10000、绿化员1名1*4000=4000、宿管教师11名4000*11=44000、日常巡检员1名1*4000=4000，共计34名。资金共计139000*12=1668000元/年，三方公司管理费10%为167000元每年，包括该项目所有小项招标代理费25000元，该项目共需1860000元</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确保学校公共区域保洁、安保、设施维护等物业服务正常开展，保障办公及学习环境</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39.53</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29.47</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74.54%</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39.53</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29.47</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74.54%</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资金划拨率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整合资源节省相较于分散工种聘请资金额</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提升学校整体形象</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显著提升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提升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师生满意度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项目成本</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186</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59</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按约定足额支付物业管理费用</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51320025T000013158447-食堂设施设备采购和楼顶防水</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提高食堂运营效率、保障食堂正常运营、营造舒适就餐环境</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完成食堂设施设备采购及食堂楼顶防水工程，按规范流程组织施工，确保质量和安全</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48.12</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48.12</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48.12</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48.12</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资金划拨率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改善食堂就餐环境</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有效改善</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师生满意度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项目成本</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98</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48.12</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项目实施复返，采购及工程质量符合要求，有效改善食堂条件并消除安全隐患</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51320025T000013453051-免学费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非财政拨款资金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补充学校运营经费的不足，保障学校正常运转与教育教学工作得的顺利开展</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421.88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145.83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34.57%</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421.88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145.83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34.57%</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任务完成率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促进教育发展</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有效促进</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成本控制率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25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有效补充徐晓运营经费不足，保障了学校正常运转与教育教学工作得的顺利开展，资金使用规范合理</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51320025T000013453228-高中公用经费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非财政拨款</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补充学校运营经费的不足，保障学校正常运转与教育教学工作得的顺利开展</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80.50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73.53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91.34%</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80.50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73.53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91.34%</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促进教育发展</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有效促进</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成本控制率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91.25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有效补充徐晓运营经费不足，保障了学校正常运转与教育教学工作得的顺利开展，资金使用规范合理</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51320025T000013635723-教职工食堂</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非财政拨款资金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教职工食堂食材采购，保障教职工安全的用餐环境</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27.94</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27.94</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27.94</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27.94</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促进教育发展</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有效促进</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教师满意度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成本控制率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支付教职工食堂食材采购费用，手续齐全，报账合规</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51320025T000013635795-普通话测试</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非财政拨款资金</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按规定收取普通话测试费用，专项用于测试工作人员劳务报酬及测试相关支出，规范完成费用支付</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96.99%</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96.99%</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任务完成率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促进教育发展</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有效促进</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成本控制率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测试费用转款专用，支出合规合理，保障了普通话测试工作的有序开展</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项目负责人：周泉</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51320025T000013648452-寄宿制生活补助</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春季秋季寄宿制生活补助</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严格按照政策为寄宿制学生发放生活补助，完成自己拨付与审核发放全流程管理</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244.38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230.82</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94.45%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244.38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230.82</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94.45%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资金发放准确率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帮助贫困学生</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有效帮助</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成本控制率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补助发放及时，精准、合规，切实减轻了学生家庭负担，惠及全体寄宿制学生</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51320025T000013676085-其他往来资金</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往年结余资金198448.56元，个税退手续费6423元，教师节慰问金10000元，质保金585562.77元</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往年结余自己、个税手续费、教师节慰问金质保金等</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7.88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1.88</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23.90%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7.88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1.88</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23.90%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合格率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生态效益指标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促进教育发展</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有效促进</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成本控制率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16</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资金支付合规</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51320025T000013930449-食堂餐厨设备采购</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食堂餐厨设备采购</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完成食堂餐厨设备采购，保障食堂正常运营</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43.90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43.90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43.90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43.90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完成食堂餐厨设备采购，质量合规</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51320025T000013989870-学生浴室饮用水改造和消防设施设备采购</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学生浴室饮用水改造和消防设施设备采购</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新增净水设备，改造学生浴室</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144.67</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144.67</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144.67</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144.67</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实施计划任务完成率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产品合格率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可持续发展指标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保障食堂正常运转</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有效保障</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项目实施成本</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209</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144</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满足学生洗浴需求，提升校园服务质量，项目按期完成，资金按时支付</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51320025Y000012974203-日常公用经费（其他运转类）</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提高预算编制质量，严格执行预算，保障单位日常运转。</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严格执行预算，保障单位日常运转。</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251.56</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243.55</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237.30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97.43%</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251.56</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243.47</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237.30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97.47%</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科目调整次数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次</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3</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67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预算编制准确率（计算方法为：∣（执行数-预算数）/预算数∣）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3</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89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“三公经费”控制率[计算方法为：（三公经费实际支出数/预算安排数]×100%）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运转保障率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严格执行预算，保障单位日常运转。</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51320025Y000013371712-财政代管资金</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提高预算编制质量，严格执行预算，保障单位日常运转</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严格执行预算，保障单位日常运转。</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3.42</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3.42</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科目调整次数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次</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3</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67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预算编制准确率（计算方法为：∣（执行数-预算数）/预算数∣）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3</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89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“三公经费”控制率[计算方法为：（三公经费实际支出数/预算安排数]×100%）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运转保障率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严格执行预算，保障单位日常运转。</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51320026T000014192648-暖心学路交通补贴</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缓解农村籍学生的交通经济负担</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按文件要求将交通补贴发放到学生个人</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0.40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0.40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0.40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0.40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惠及人数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23</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人数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23</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补贴对象精准率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补贴及时发放率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出勤提升率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帮扶对象满意度指标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98</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项目总成本</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0.3978</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0.3978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转款专用按期发放</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项目负责人：周鑫</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51320026T000014353497-新生校服及床上用品采购费用</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学生床上用品及校服统一采购</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开展学生床上用品及校服统一采购工作，按照规范完成需求摸排，采购遴选，组织物资验收后发放至学生</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41.22</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41.17</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99.89%</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41.22</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41.17</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99.89%</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15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微软雅黑" w:eastAsia="微软雅黑"/>
                <w:i/>
                <w:color w:val="000000"/>
                <w:sz w:val="16"/>
              </w:rPr>
            </w:pPr>
            <w:r>
              <w:rPr>
                <w:rFonts w:ascii="微软雅黑" w:eastAsia="微软雅黑"/>
                <w:i/>
                <w:color w:val="000000"/>
                <w:sz w:val="16"/>
              </w:rPr>
              <w:t>1、</w:t>
              <w:tab/>
              <w:t>满足学生基础在校需求，校服是校园文化标识、统一着装的基本要求，床上用品是学生住宿生活的必备物资；统一采购能直接解决学生及家长“自行准备不达标、采购渠道分散”的痛点，确保物资符合校园安全与使用标准。</w:t>
              <w:br/>
              <w:t>2、规范采购管理与费用透明，通过统一立项采购、科避免学生自主采购时出现的质量参差不齐、价格混乱等问题；同时将费用纳入专项管理，明确资金用途，通过公示采购流程和明细，保障家长知情权，杜绝零散采购的不透明风险。</w:t>
              <w:br/>
              <w:t>3、提升校园管理效率与公平性，统一采购能实现校服款式、床上用品规格的标准化、减少因物资差异带来的不便，同时避免学生间因物资品牌、价格差异产生的攀比，营造更公平的环境。</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项目负责人：周鑫</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51320026T000014431115-阿坝州民族高级中学打印设备采购</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阿坝州民族高级中学打印设备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为京瓷/Kyocera彩色激光复印机（型号ECOSYS M8130cidn）1*21000=21000元、京瓷/Kyocera彩色激光复印机（型号ECOSYS MZ2400cidn）1*13000=13000元、沧田/cumtenn A4黑白激光一体机（型号CTP-3069DN）4*3000=12000元</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4.60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4.60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4.60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4.60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满足学校办公室、教务处（学籍室）、总务处及各年级组办公需求，提升各科室办公效率，结合学校各科室现有设备老化、功能不足等实际情况，拟开展打印机设备采购项目，全面升级硬件设施，提高办公效率。</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51320026T000014431186-学业水平监考费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学业水平监考费</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按预期目标完成</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按实际监考人员发放监考费</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0.32</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0.32</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0.32</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0.32</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专款专用，及时支付</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项目负责人：马启萍</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51320026T000014450614-爱心企业助学资助项目</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爱心企业捐赠</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资金暂未支付，等待捐赠方日期安排</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资金暂未支付，等待捐赠方日期安排</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22.68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22.68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资金暂未支付，等待捐赠方日期安排</w:t>
            </w: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w:t>
            </w:r>
          </w:p>
        </w:tc>
      </w:tr>
      <w:tr>
        <w:trPr>
          <w:trHeight w:val="284"/>
        </w:trPr>
        <w:tc>
          <w:tcPr>
            <w:tcW w:w="765" w:type="dxa"/>
            <w:tcBorders>
              <w:top w:val="nil"/>
              <w:left w:val="nil"/>
              <w:bottom w:val="nil"/>
              <w:right w:val="nil"/>
              <w:tl2br w:val="nil"/>
              <w:tr2bl w:val="nil"/>
            </w:tcBorders>
            <w:noWrap/>
            <w:vAlign w:val="center"/>
          </w:tcPr>
          <w:p>
            <w:pPr>
              <w:rPr>
                <w:rFonts w:ascii="SimSun" w:eastAsia="SimSun"/>
                <w:color w:val="000000"/>
                <w:sz w:val="18"/>
              </w:rPr>
            </w:pPr>
          </w:p>
        </w:tc>
        <w:tc>
          <w:tcPr>
            <w:tcW w:w="2130" w:type="dxa"/>
            <w:tcBorders>
              <w:top w:val="nil"/>
              <w:left w:val="nil"/>
              <w:bottom w:val="nil"/>
              <w:right w:val="nil"/>
              <w:tl2br w:val="nil"/>
              <w:tr2bl w:val="nil"/>
            </w:tcBorders>
            <w:noWrap/>
            <w:vAlign w:val="center"/>
          </w:tcPr>
          <w:p>
            <w:pPr>
              <w:rPr>
                <w:rFonts w:ascii="SimSun" w:eastAsia="SimSun"/>
                <w:color w:val="000000"/>
                <w:sz w:val="18"/>
              </w:rPr>
            </w:pPr>
          </w:p>
        </w:tc>
        <w:tc>
          <w:tcPr>
            <w:tcW w:w="1845" w:type="dxa"/>
            <w:tcBorders>
              <w:top w:val="nil"/>
              <w:left w:val="nil"/>
              <w:bottom w:val="nil"/>
              <w:right w:val="nil"/>
              <w:tl2br w:val="nil"/>
              <w:tr2bl w:val="nil"/>
            </w:tcBorders>
            <w:noWrap/>
            <w:vAlign w:val="center"/>
          </w:tcPr>
          <w:p>
            <w:pPr>
              <w:rPr>
                <w:rFonts w:ascii="SimSun" w:eastAsia="SimSun"/>
                <w:color w:val="000000"/>
                <w:sz w:val="18"/>
              </w:rPr>
            </w:pPr>
          </w:p>
        </w:tc>
        <w:tc>
          <w:tcPr>
            <w:tcW w:w="2340"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755" w:type="dxa"/>
            <w:tcBorders>
              <w:top w:val="nil"/>
              <w:left w:val="nil"/>
              <w:bottom w:val="nil"/>
              <w:right w:val="nil"/>
              <w:tl2br w:val="nil"/>
              <w:tr2bl w:val="nil"/>
            </w:tcBorders>
            <w:noWrap/>
            <w:vAlign w:val="center"/>
          </w:tcPr>
          <w:p>
            <w:pPr>
              <w:rPr>
                <w:rFonts w:ascii="SimSun" w:eastAsia="SimSun"/>
                <w:color w:val="000000"/>
                <w:sz w:val="18"/>
              </w:rPr>
            </w:pPr>
          </w:p>
        </w:tc>
        <w:tc>
          <w:tcPr>
            <w:tcW w:w="600" w:type="dxa"/>
            <w:tcBorders>
              <w:top w:val="nil"/>
              <w:left w:val="nil"/>
              <w:bottom w:val="nil"/>
              <w:right w:val="nil"/>
              <w:tl2br w:val="nil"/>
              <w:tr2bl w:val="nil"/>
            </w:tcBorders>
            <w:noWrap/>
            <w:vAlign w:val="center"/>
          </w:tcPr>
          <w:p>
            <w:pPr>
              <w:rPr>
                <w:rFonts w:ascii="SimSun" w:eastAsia="SimSun"/>
                <w:color w:val="000000"/>
                <w:sz w:val="18"/>
              </w:rPr>
            </w:pPr>
          </w:p>
        </w:tc>
        <w:tc>
          <w:tcPr>
            <w:tcW w:w="1170" w:type="dxa"/>
            <w:tcBorders>
              <w:top w:val="nil"/>
              <w:left w:val="nil"/>
              <w:bottom w:val="nil"/>
              <w:right w:val="nil"/>
              <w:tl2br w:val="nil"/>
              <w:tr2bl w:val="nil"/>
            </w:tcBorders>
            <w:noWrap/>
            <w:vAlign w:val="center"/>
          </w:tcPr>
          <w:p>
            <w:pPr>
              <w:rPr>
                <w:rFonts w:ascii="SimSun" w:eastAsia="SimSun"/>
                <w:color w:val="000000"/>
                <w:sz w:val="18"/>
              </w:rPr>
            </w:pPr>
          </w:p>
        </w:tc>
        <w:tc>
          <w:tcPr>
            <w:tcW w:w="585" w:type="dxa"/>
            <w:tcBorders>
              <w:top w:val="nil"/>
              <w:left w:val="nil"/>
              <w:bottom w:val="nil"/>
              <w:right w:val="nil"/>
              <w:tl2br w:val="nil"/>
              <w:tr2bl w:val="nil"/>
            </w:tcBorders>
            <w:noWrap/>
            <w:vAlign w:val="center"/>
          </w:tcPr>
          <w:p>
            <w:pPr>
              <w:rPr>
                <w:rFonts w:ascii="SimSun" w:eastAsia="SimSun"/>
                <w:color w:val="000000"/>
                <w:sz w:val="18"/>
              </w:rPr>
            </w:pPr>
          </w:p>
        </w:tc>
        <w:tc>
          <w:tcPr>
            <w:tcW w:w="525" w:type="dxa"/>
            <w:tcBorders>
              <w:top w:val="nil"/>
              <w:left w:val="nil"/>
              <w:bottom w:val="nil"/>
              <w:right w:val="nil"/>
              <w:tl2br w:val="nil"/>
              <w:tr2bl w:val="nil"/>
            </w:tcBorders>
            <w:noWrap/>
            <w:vAlign w:val="center"/>
          </w:tcPr>
          <w:p>
            <w:pPr>
              <w:rPr>
                <w:rFonts w:ascii="SimSun" w:eastAsia="SimSun"/>
                <w:color w:val="000000"/>
                <w:sz w:val="18"/>
              </w:rPr>
            </w:pPr>
          </w:p>
        </w:tc>
        <w:tc>
          <w:tcPr>
            <w:tcW w:w="2625" w:type="dxa"/>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51320026T000014451136-学生取暖费（财政代管户）</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州教体局部门</w:t>
            </w:r>
          </w:p>
        </w:tc>
        <w:tc>
          <w:tcPr>
            <w:tcW w:w="1170"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州民中</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2"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集中供暖费用，今年暂未收取集中供暖费用</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集中供暖费用，今年暂未收取集中供暖费用</w:t>
            </w:r>
          </w:p>
        </w:tc>
      </w:tr>
      <w:tr>
        <w:trPr>
          <w:trHeight w:val="6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集中供暖费用，今年暂未收取集中供暖费用</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30.21</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30.21</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6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76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集中供暖费用，今年暂未收取集中供暖费用</w:t>
            </w: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w:t>
            </w:r>
          </w:p>
        </w:tc>
      </w:tr>
    </w:tbl>
    <w:p>
      <w:pPr>
        <w:pStyle w:val="17"/>
        <w:ind w:leftChars="0" w:left="0" w:firstLineChars="0" w:firstLine="0"/>
        <w:rPr>
          <w:rFonts w:ascii="Times New Roman" w:hAnsi="Times New Roman" w:hint="eastAsia"/>
          <w:lang w:eastAsia="zh-CN"/>
        </w:rPr>
      </w:pPr>
    </w:p>
    <w:sectPr>
      <w:footerReference w:type="default" r:id="rId2"/>
      <w:footerReference w:type="first" r:id="rId3"/>
      <w:pgSz w:w="16838" w:h="11906" w:orient="landscape"/>
      <w:pgMar w:top="1800" w:right="1440" w:bottom="1800" w:left="1440" w:header="851" w:footer="992" w:gutter="0"/>
      <w:pgNumType w:fmt="numberInDash"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EFF" w:usb1="C000785B" w:usb2="00000009" w:usb3="00000000" w:csb0="400001FF" w:csb1="FFFF0000"/>
  </w:font>
  <w:font w:name="方正小标宋简体">
    <w:altName w:val="微软雅黑"/>
    <w:panose1 w:val="03000509000000000000"/>
    <w:charset w:val="86"/>
    <w:family w:val="script"/>
    <w:pitch w:val="variable"/>
    <w:sig w:usb0="00000001" w:usb1="080E0000" w:usb2="00000000" w:usb3="00000000" w:csb0="00040000" w:csb1="00000000"/>
  </w:font>
  <w:font w:name="仿宋_GB2312">
    <w:altName w:val="仿宋"/>
    <w:panose1 w:val="02010609030101010101"/>
    <w:charset w:val="86"/>
    <w:family w:val="modern"/>
    <w:pitch w:val="variable"/>
    <w:sig w:usb0="00000001" w:usb1="080E0000" w:usb2="00000000" w:usb3="00000000" w:csb0="00040000" w:csb1="00000000"/>
  </w:font>
  <w:font w:name="黑体">
    <w:panose1 w:val="02010600030101010101"/>
    <w:charset w:val="86"/>
    <w:family w:val="auto"/>
    <w:pitch w:val="variable"/>
    <w:sig w:usb0="800002BF" w:usb1="38CF7CFA" w:usb2="00000016" w:usb3="00000000" w:csb0="00040001" w:csb1="00000000"/>
  </w:font>
  <w:font w:name="Arial">
    <w:panose1 w:val="020B0604020202020204"/>
    <w:charset w:val="01"/>
    <w:family w:val="swiss"/>
    <w:pitch w:val="variable"/>
    <w:sig w:usb0="E0002EFF" w:usb1="C000785B" w:usb2="00000009" w:usb3="00000000" w:csb0="400001FF" w:csb1="FFFF0000"/>
  </w:font>
  <w:font w:name="楷体_GB2312">
    <w:altName w:val="楷体"/>
    <w:panose1 w:val="02010609030101010101"/>
    <w:charset w:val="86"/>
    <w:family w:val="auto"/>
    <w:pitch w:val="variable"/>
    <w:sig w:usb0="00000001" w:usb1="080E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宋体">
    <w:panose1 w:val="02010600030101010101"/>
    <w:charset w:val="86"/>
    <w:family w:val="auto"/>
    <w:pitch w:val="variable"/>
    <w:sig w:usb0="00000003" w:usb1="288F0000" w:usb2="00000006" w:usb3="00000000" w:csb0="00040001" w:csb1="00000000"/>
  </w:font>
  <w:font w:name="SimSun">
    <w:panose1 w:val="00000000000000000000"/>
    <w:charset w:val="00"/>
    <w:family w:val="auto"/>
    <w:pitch w:val="variable"/>
    <w:sig w:usb0="00000000" w:usb1="00000000" w:usb2="00000000" w:usb3="00000000" w:csb0="00000000" w:csb1="00000000"/>
  </w:font>
  <w:font w:name="simhei">
    <w:panose1 w:val="00000000000000000000"/>
    <w:charset w:val="00"/>
    <w:family w:val="auto"/>
    <w:pitch w:val="variable"/>
    <w:sig w:usb0="00000000" w:usb1="00000000" w:usb2="00000000" w:usb3="00000000" w:csb0="00000000" w:csb1="00000000"/>
  </w:font>
  <w:font w:name="微软雅黑">
    <w:panose1 w:val="020B0503020204020204"/>
    <w:charset w:val="86"/>
    <w:family w:val="auto"/>
    <w:pitch w:val="variable"/>
    <w:sig w:usb0="80000287" w:usb1="280F3C52" w:usb2="00000016" w:usb3="00000000" w:csb0="0004001F" w:csb1="00000000"/>
  </w:font>
  <w:font w:name="Cambria">
    <w:panose1 w:val="02040503050406030204"/>
    <w:charset w:val="00"/>
    <w:family w:val="roman"/>
    <w:pitch w:val="variable"/>
    <w:sig w:usb0="E00006FF" w:usb1="420024FF" w:usb2="02000000" w:usb3="00000000" w:csb0="2000019F" w:csb1="00000000"/>
  </w:font>
  <w:font w:name="Calibri">
    <w:panose1 w:val="020F0502020204030204"/>
    <w:charset w:val="00"/>
    <w:family w:val="swiss"/>
    <w:pitch w:val="variable"/>
    <w:sig w:usb0="E4002EFF" w:usb1="C000247B" w:usb2="00000009" w:usb3="00000000" w:csb0="200001FF" w:csb1="00000000"/>
  </w:font>
  <w:font w:name="??">
    <w:altName w:val="Segoe Print"/>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center"/>
    </w:pPr>
  </w:p>
  <w:p>
    <w:pPr>
      <w:pStyle w:val="2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D467A7FB"/>
    <w:multiLevelType w:val="multilevel"/>
    <w:tmpl w:val="D467A7FB"/>
    <w:lvl w:ilvl="0">
      <w:start w:val="1"/>
      <w:numFmt w:val="decimal"/>
      <w:lvlRestart w:val="0"/>
      <w:lvlText w:val="%1."/>
      <w:lvlJc w:val="left"/>
      <w:pPr>
        <w:ind w:left="1000" w:hanging="360"/>
      </w:pPr>
      <w:rPr>
        <w:rFonts w:ascii="仿宋" w:hAnsi="仿宋" w:eastAsia="仿宋" w:cs="仿宋"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77A51B5A"/>
    <w:multiLevelType w:val="multilevel"/>
    <w:tmpl w:val="77A51B5A"/>
    <w:lvl w:ilvl="0">
      <w:start w:val="1"/>
      <w:numFmt w:val="decimal"/>
      <w:lvlRestart w:val="0"/>
      <w:lvlText w:val="%1、"/>
      <w:lvlJc w:val="left"/>
      <w:pPr>
        <w:ind w:left="1130" w:hanging="490"/>
      </w:p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
    <w:nsid w:val="D204E0E0"/>
    <w:multiLevelType w:val="hybridMultilevel"/>
    <w:tmpl w:val="00000000"/>
    <w:lvl w:ilvl="0">
      <w:start w:val="1"/>
      <w:numFmt w:val="decimal"/>
      <w:lvlRestart w:val="0"/>
      <w:lvlText w:val="%1."/>
      <w:lvlJc w:val="left"/>
      <w:pPr>
        <w:ind w:left="360" w:hanging="360"/>
      </w:pPr>
      <w:rPr>
        <w:rFonts w:cs="Times New Roman" w:hint="default"/>
        <w:color w:val="000000"/>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CA2F2704"/>
    <w:multiLevelType w:val="hybridMultilevel"/>
    <w:tmpl w:val="00000000"/>
    <w:lvl w:ilvl="0">
      <w:start w:val="3"/>
      <w:numFmt w:val="decimal"/>
      <w:lvlRestart w:val="0"/>
      <w:lvlText w:val="%1."/>
      <w:lvlJc w:val="left"/>
      <w:pPr>
        <w:ind w:left="420" w:hanging="420"/>
      </w:pPr>
      <w:rPr>
        <w:color w:val="000000"/>
        <w:sz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9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next w:val="17"/>
    <w:pPr>
      <w:snapToGrid w:val="0"/>
      <w:jc w:val="left"/>
    </w:pPr>
    <w:rPr>
      <w:sz w:val="18"/>
      <w:szCs w:val="18"/>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pPr>
      <w:ind w:firstLineChars="200" w:firstLine="200"/>
    </w:pPr>
  </w:style>
  <w:style w:type="paragraph" w:styleId="18">
    <w:name w:val="Body Text"/>
    <w:basedOn w:val="0"/>
    <w:pPr>
      <w:spacing w:beforeLines="30" w:before="30"/>
    </w:pPr>
    <w:rPr>
      <w:rFonts w:ascii="仿宋_GB2312" w:eastAsia="仿宋_GB2312"/>
      <w:kern w:val="0"/>
      <w:sz w:val="30"/>
    </w:rPr>
  </w:style>
  <w:style w:type="paragraph" w:styleId="19">
    <w:name w:val="toc 3"/>
    <w:basedOn w:val="0"/>
    <w:next w:val="0"/>
    <w:pPr>
      <w:tabs>
        <w:tab w:val="right" w:leader="dot" w:pos="8296"/>
      </w:tabs>
      <w:ind w:leftChars="400" w:left="400"/>
    </w:pPr>
  </w:style>
  <w:style w:type="paragraph" w:styleId="20">
    <w:name w:val="Balloon Text"/>
    <w:basedOn w:val="0"/>
    <w:rPr>
      <w:sz w:val="18"/>
      <w:szCs w:val="18"/>
    </w:rPr>
  </w:style>
  <w:style w:type="paragraph" w:styleId="21">
    <w:name w:val="footer"/>
    <w:basedOn w:val="0"/>
    <w:pPr>
      <w:tabs>
        <w:tab w:val="center" w:pos="4153"/>
        <w:tab w:val="right" w:pos="8306"/>
      </w:tabs>
      <w:snapToGrid w:val="0"/>
      <w:jc w:val="left"/>
    </w:pPr>
    <w:rPr>
      <w:rFonts w:ascii="Calibri" w:hAnsi="Calibri"/>
      <w:kern w:val="0"/>
      <w:sz w:val="18"/>
      <w:szCs w:val="18"/>
    </w:rPr>
  </w:style>
  <w:style w:type="paragraph" w:styleId="22">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3">
    <w:name w:val="toc 1"/>
    <w:basedOn w:val="0"/>
    <w:next w:val="0"/>
    <w:pPr>
      <w:tabs>
        <w:tab w:val="right" w:leader="dot" w:pos="8296"/>
      </w:tabs>
      <w:spacing w:before="93"/>
      <w:jc w:val="center"/>
    </w:pPr>
    <w:rPr>
      <w:rFonts w:ascii="仿宋" w:eastAsia="仿宋"/>
      <w:sz w:val="28"/>
      <w:szCs w:val="28"/>
    </w:rPr>
  </w:style>
  <w:style w:type="paragraph" w:styleId="24">
    <w:name w:val="toc 2"/>
    <w:basedOn w:val="0"/>
    <w:next w:val="0"/>
    <w:pPr>
      <w:tabs>
        <w:tab w:val="right" w:leader="dot" w:pos="8296"/>
      </w:tabs>
      <w:ind w:leftChars="200" w:left="200"/>
    </w:pPr>
  </w:style>
  <w:style w:type="character" w:styleId="25">
    <w:name w:val="Strong"/>
    <w:basedOn w:val="10"/>
    <w:rPr>
      <w:b/>
    </w:rPr>
  </w:style>
  <w:style w:type="character" w:styleId="26">
    <w:name w:val="Hyperlink"/>
    <w:basedOn w:val="10"/>
    <w:rPr>
      <w:color w:val="0000FF"/>
      <w:u w:val="single"/>
    </w:rPr>
  </w:style>
  <w:style w:type="paragraph" w:customStyle="1" w:styleId="27">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4">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5">
    <w:name w:val="四号正文"/>
    <w:basedOn w:val="0"/>
    <w:pPr>
      <w:spacing w:line="360" w:lineRule="auto"/>
    </w:pPr>
    <w:rPr>
      <w:rFonts w:ascii="??" w:eastAsia="宋体" w:hAnsi="??"/>
      <w:color w:val="000000"/>
      <w:kern w:val="0"/>
      <w:sz w:val="28"/>
      <w:szCs w:val="21"/>
      <w:lang w:val="zh-CN" w:eastAsia="zh-CN"/>
    </w:rPr>
  </w:style>
  <w:style w:type="paragraph" w:styleId="36">
    <w:name w:val="Normal (Web)"/>
    <w:basedOn w:val="0"/>
    <w:next w:val="22"/>
    <w:pPr>
      <w:widowControl w:val="0"/>
      <w:spacing w:beforeAutospacing="1" w:afterAutospacing="1"/>
      <w:jc w:val="left"/>
    </w:pPr>
    <w:rPr>
      <w:rFonts w:ascii="Times New Roman" w:eastAsia="仿宋_GB2312" w:cs="Times New Roman" w:hAnsi="Times New Roman"/>
      <w:kern w:val="0"/>
      <w:sz w:val="24"/>
      <w:szCs w:val="24"/>
      <w:lang w:val="en-US" w:eastAsia="zh-CN" w:bidi="ar-SA"/>
    </w:rPr>
  </w:style>
  <w:style w:type="paragraph" w:styleId="37">
    <w:name w:val="Title"/>
    <w:basedOn w:val="0"/>
    <w:next w:val="0"/>
    <w:pPr>
      <w:widowControl w:val="0"/>
      <w:spacing w:before="240" w:after="60"/>
      <w:jc w:val="center"/>
      <w:outlineLvl w:val="0"/>
    </w:pPr>
    <w:rPr>
      <w:rFonts w:ascii="Arial" w:eastAsia="仿宋_GB2312" w:cs="Arial" w:hAnsi="Arial"/>
      <w:b/>
      <w:bCs/>
      <w:kern w:val="2"/>
      <w:sz w:val="32"/>
      <w:szCs w:val="32"/>
      <w:lang w:val="en-US" w:eastAsia="zh-CN" w:bidi="ar-SA"/>
    </w:rPr>
  </w:style>
  <w:style w:type="character" w:customStyle="1" w:styleId="38">
    <w:name w:val="默认段落字体2"/>
    <w:rPr>
      <w:sz w:val="22"/>
    </w:rPr>
  </w:style>
  <w:style w:type="character" w:customStyle="1" w:styleId="39">
    <w:name w:val="默认段落字体1"/>
    <w:rPr>
      <w:sz w:val="22"/>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image" Target="media/2.bmp"/><Relationship Id="rId5" Type="http://schemas.openxmlformats.org/officeDocument/2006/relationships/image" Target="media/5.bmp"/><Relationship Id="rId6" Type="http://schemas.openxmlformats.org/officeDocument/2006/relationships/image" Target="media/8.bmp"/><Relationship Id="rId7" Type="http://schemas.openxmlformats.org/officeDocument/2006/relationships/image" Target="media/11.bmp"/><Relationship Id="rId8" Type="http://schemas.openxmlformats.org/officeDocument/2006/relationships/image" Target="media/14.bmp"/><Relationship Id="rId9" Type="http://schemas.openxmlformats.org/officeDocument/2006/relationships/image" Target="media/17.bmp"/><Relationship Id="rId10" Type="http://schemas.openxmlformats.org/officeDocument/2006/relationships/image" Target="media/20.bmp"/><Relationship Id="rId11" Type="http://schemas.openxmlformats.org/officeDocument/2006/relationships/styles" Target="styles.xml"/><Relationship Id="rId12" Type="http://schemas.openxmlformats.org/officeDocument/2006/relationships/numbering" Target="numbering.xml"/><Relationship Id="rId13" Type="http://schemas.openxmlformats.org/officeDocument/2006/relationships/fontTable" Target="fontTable.xml"/></Relationships>
</file>

<file path=docProps/app.xml><?xml version="1.0" encoding="utf-8"?>
<Properties xmlns="http://schemas.openxmlformats.org/officeDocument/2006/extended-properties">
  <Template>Normal.eit</Template>
  <TotalTime>1531</TotalTime>
  <Application>Yozo_Office27021597764231179</Application>
  <Pages>103</Pages>
  <Words>33355</Words>
  <Characters>40001</Characters>
  <Lines>7503</Lines>
  <Paragraphs>5214</Paragraphs>
  <CharactersWithSpaces>40109</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Administrator</cp:lastModifiedBy>
  <cp:revision>32</cp:revision>
  <cp:lastPrinted>2025-08-06T17:34:00Z</cp:lastPrinted>
  <dcterms:created xsi:type="dcterms:W3CDTF">2020-08-09T09:49:00Z</dcterms:created>
  <dcterms:modified xsi:type="dcterms:W3CDTF">2026-09-15T01:16:13Z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2052-11.8.2.11718</vt:lpwstr>
  </property>
  <property fmtid="{D5CDD505-2E9C-101B-9397-08002B2CF9AE}" pid="3" name="ICV">
    <vt:lpwstr>04787F2533EB45DC91BCDE4AB213247F</vt:lpwstr>
  </property>
</Properties>
</file>