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41AFE6">
      <w:pPr>
        <w:rPr>
          <w:rFonts w:ascii="Times New Roman" w:hAnsi="Times New Roman"/>
        </w:rPr>
      </w:pPr>
      <w:bookmarkStart w:id="0" w:name="_Toc15378441"/>
      <w:bookmarkStart w:id="1" w:name="_Toc15377193"/>
      <w:bookmarkStart w:id="2" w:name="_Toc15396597"/>
      <w:bookmarkStart w:id="3" w:name="_Toc15377425"/>
      <w:bookmarkStart w:id="4" w:name="_Toc15396475"/>
      <w:bookmarkStart w:id="5" w:name="_Toc15306267"/>
    </w:p>
    <w:p w14:paraId="52D88BE9">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5FEF5AC2">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2C4FEFBB">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2A668EBB">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3DE47BF7">
      <w:pPr>
        <w:pStyle w:val="5"/>
        <w:jc w:val="center"/>
        <w:rPr>
          <w:rFonts w:hint="eastAsia" w:ascii="Times New Roman" w:eastAsia="方正小标宋简体" w:cs="Times New Roman"/>
          <w:color w:val="auto"/>
          <w:kern w:val="2"/>
          <w:sz w:val="44"/>
          <w:szCs w:val="44"/>
          <w:highlight w:val="none"/>
          <w:lang w:val="en-US" w:eastAsia="zh-CN" w:bidi="ar-SA"/>
        </w:rPr>
      </w:pPr>
      <w:bookmarkStart w:id="6" w:name="_Toc15396476"/>
      <w:bookmarkStart w:id="7" w:name="_Toc15396598"/>
      <w:bookmarkStart w:id="8" w:name="_Toc15377194"/>
      <w:bookmarkStart w:id="9" w:name="_Toc15378442"/>
      <w:bookmarkStart w:id="10" w:name="_Toc15377426"/>
      <w:r>
        <w:rPr>
          <w:rFonts w:hint="eastAsia" w:ascii="Times New Roman" w:eastAsia="方正小标宋简体" w:cs="Times New Roman"/>
          <w:color w:val="auto"/>
          <w:kern w:val="2"/>
          <w:sz w:val="44"/>
          <w:szCs w:val="44"/>
          <w:highlight w:val="none"/>
          <w:lang w:val="en-US" w:eastAsia="zh-CN" w:bidi="ar-SA"/>
        </w:rPr>
        <w:t>2025年度</w:t>
      </w:r>
    </w:p>
    <w:p w14:paraId="4FDDF55C">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阿坝州艺体中学校</w:t>
      </w:r>
    </w:p>
    <w:p w14:paraId="3988488C">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（四川省威州民族师范学校）</w:t>
      </w:r>
      <w:bookmarkEnd w:id="5"/>
      <w:bookmarkStart w:id="11" w:name="_Toc15306268"/>
    </w:p>
    <w:p w14:paraId="55402312">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6624E9CA">
      <w:pPr>
        <w:widowControl/>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71E8B452">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C4C5393">
      <w:pPr>
        <w:widowControl/>
        <w:jc w:val="center"/>
        <w:rPr>
          <w:rFonts w:ascii="Times New Roman" w:hAnsi="Times New Roman" w:eastAsia="黑体" w:cstheme="minorBidi"/>
          <w:color w:val="auto"/>
          <w:sz w:val="28"/>
          <w:szCs w:val="28"/>
          <w:highlight w:val="none"/>
        </w:rPr>
      </w:pPr>
    </w:p>
    <w:p w14:paraId="5E40A385">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公开时间：2026年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18</w:t>
      </w:r>
      <w:r>
        <w:rPr>
          <w:rFonts w:hint="eastAsia" w:ascii="Times New Roman" w:hAnsi="Times New Roman" w:eastAsia="仿宋_GB2312" w:cs="仿宋_GB2312"/>
          <w:color w:val="auto"/>
          <w:sz w:val="32"/>
          <w:szCs w:val="32"/>
          <w:highlight w:val="none"/>
        </w:rPr>
        <w:t>日</w:t>
      </w:r>
    </w:p>
    <w:p w14:paraId="5404F7A0">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63287"/>
        <w15:color w:val="DBDBDB"/>
        <w:docPartObj>
          <w:docPartGallery w:val="Table of Contents"/>
          <w:docPartUnique/>
        </w:docPartObj>
      </w:sdtPr>
      <w:sdtContent>
        <w:p w14:paraId="2E74A394">
          <w:pPr>
            <w:spacing w:before="0" w:beforeLines="0" w:after="0" w:afterLines="0" w:line="240" w:lineRule="auto"/>
            <w:ind w:left="0" w:leftChars="0" w:right="0" w:rightChars="0" w:firstLine="0" w:firstLineChars="0"/>
            <w:jc w:val="center"/>
          </w:pPr>
        </w:p>
        <w:p w14:paraId="422EF1FD">
          <w:pPr>
            <w:pStyle w:val="12"/>
            <w:tabs>
              <w:tab w:val="right" w:leader="dot" w:pos="8306"/>
              <w:tab w:val="clear" w:pos="8296"/>
            </w:tabs>
            <w:rPr>
              <w:rFonts w:hint="default" w:ascii="Times New Roman" w:hAnsi="Times New Roman" w:eastAsia="黑体" w:cs="Times New Roman"/>
              <w:color w:val="auto"/>
              <w:sz w:val="32"/>
              <w:szCs w:val="32"/>
              <w:highlight w:val="none"/>
              <w:lang w:val="en-US" w:eastAsia="zh-CN"/>
            </w:rPr>
          </w:pPr>
          <w:r>
            <w:fldChar w:fldCharType="begin"/>
          </w:r>
          <w:r>
            <w:instrText xml:space="preserve">TOC \o "1-2" \h \u </w:instrText>
          </w:r>
          <w:r>
            <w:fldChar w:fldCharType="separate"/>
          </w: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HYPERLINK \l _Toc29541 </w:instrText>
          </w:r>
          <w:r>
            <w:rPr>
              <w:rFonts w:hint="default" w:ascii="Times New Roman" w:hAnsi="Times New Roman" w:eastAsia="黑体" w:cs="Times New Roman"/>
              <w:color w:val="auto"/>
              <w:sz w:val="32"/>
              <w:szCs w:val="32"/>
              <w:highlight w:val="none"/>
              <w:lang w:val="en-US" w:eastAsia="zh-CN"/>
            </w:rPr>
            <w:fldChar w:fldCharType="separate"/>
          </w:r>
          <w:r>
            <w:rPr>
              <w:rFonts w:hint="eastAsia" w:ascii="Times New Roman" w:hAnsi="Times New Roman" w:eastAsia="黑体" w:cs="Times New Roman"/>
              <w:color w:val="auto"/>
              <w:sz w:val="32"/>
              <w:szCs w:val="32"/>
              <w:highlight w:val="none"/>
              <w:lang w:val="en-US" w:eastAsia="zh-CN"/>
            </w:rPr>
            <w:t>第一部分  部门概况</w:t>
          </w:r>
          <w:r>
            <w:rPr>
              <w:rFonts w:hint="default" w:ascii="Times New Roman" w:hAnsi="Times New Roman" w:eastAsia="黑体" w:cs="Times New Roman"/>
              <w:color w:val="auto"/>
              <w:sz w:val="32"/>
              <w:szCs w:val="32"/>
              <w:highlight w:val="none"/>
              <w:lang w:val="en-US" w:eastAsia="zh-CN"/>
            </w:rPr>
            <w:tab/>
          </w: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PAGEREF _Toc29541 \h </w:instrText>
          </w:r>
          <w:r>
            <w:rPr>
              <w:rFonts w:hint="default" w:ascii="Times New Roman" w:hAnsi="Times New Roman" w:eastAsia="黑体" w:cs="Times New Roman"/>
              <w:color w:val="auto"/>
              <w:sz w:val="32"/>
              <w:szCs w:val="32"/>
              <w:highlight w:val="none"/>
              <w:lang w:val="en-US" w:eastAsia="zh-CN"/>
            </w:rPr>
            <w:fldChar w:fldCharType="separate"/>
          </w:r>
          <w:r>
            <w:rPr>
              <w:rFonts w:hint="default" w:ascii="Times New Roman" w:hAnsi="Times New Roman" w:eastAsia="黑体" w:cs="Times New Roman"/>
              <w:color w:val="auto"/>
              <w:sz w:val="32"/>
              <w:szCs w:val="32"/>
              <w:highlight w:val="none"/>
              <w:lang w:val="en-US" w:eastAsia="zh-CN"/>
            </w:rPr>
            <w:t>1</w:t>
          </w:r>
          <w:r>
            <w:rPr>
              <w:rFonts w:hint="default" w:ascii="Times New Roman" w:hAnsi="Times New Roman" w:eastAsia="黑体" w:cs="Times New Roman"/>
              <w:color w:val="auto"/>
              <w:sz w:val="32"/>
              <w:szCs w:val="32"/>
              <w:highlight w:val="none"/>
              <w:lang w:val="en-US" w:eastAsia="zh-CN"/>
            </w:rPr>
            <w:fldChar w:fldCharType="end"/>
          </w:r>
          <w:r>
            <w:rPr>
              <w:rFonts w:hint="default" w:ascii="Times New Roman" w:hAnsi="Times New Roman" w:eastAsia="黑体" w:cs="Times New Roman"/>
              <w:color w:val="auto"/>
              <w:sz w:val="32"/>
              <w:szCs w:val="32"/>
              <w:highlight w:val="none"/>
              <w:lang w:val="en-US" w:eastAsia="zh-CN"/>
            </w:rPr>
            <w:fldChar w:fldCharType="end"/>
          </w:r>
        </w:p>
        <w:p w14:paraId="510CEFF2">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_Toc25940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一、部门职责</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_Toc25940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7C0E3AF0">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_Toc28448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二、机构设置</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_Toc28448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4F9B63B4">
          <w:pPr>
            <w:pStyle w:val="12"/>
            <w:tabs>
              <w:tab w:val="right" w:leader="dot" w:pos="8306"/>
              <w:tab w:val="clear" w:pos="8296"/>
            </w:tabs>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HYPERLINK \l _Toc8868 </w:instrText>
          </w:r>
          <w:r>
            <w:rPr>
              <w:rFonts w:hint="default" w:ascii="Times New Roman" w:hAnsi="Times New Roman" w:eastAsia="黑体" w:cs="Times New Roman"/>
              <w:color w:val="auto"/>
              <w:sz w:val="32"/>
              <w:szCs w:val="32"/>
              <w:highlight w:val="none"/>
              <w:lang w:val="en-US" w:eastAsia="zh-CN"/>
            </w:rPr>
            <w:fldChar w:fldCharType="separate"/>
          </w:r>
          <w:r>
            <w:rPr>
              <w:rFonts w:hint="eastAsia" w:ascii="Times New Roman" w:hAnsi="Times New Roman" w:eastAsia="黑体" w:cs="Times New Roman"/>
              <w:color w:val="auto"/>
              <w:sz w:val="32"/>
              <w:szCs w:val="32"/>
              <w:highlight w:val="none"/>
              <w:lang w:val="en-US" w:eastAsia="zh-CN"/>
            </w:rPr>
            <w:t>第二部分  2025年度部门决算情况说明</w:t>
          </w:r>
          <w:r>
            <w:rPr>
              <w:rFonts w:hint="default" w:ascii="Times New Roman" w:hAnsi="Times New Roman" w:eastAsia="黑体" w:cs="Times New Roman"/>
              <w:color w:val="auto"/>
              <w:sz w:val="32"/>
              <w:szCs w:val="32"/>
              <w:highlight w:val="none"/>
              <w:lang w:val="en-US" w:eastAsia="zh-CN"/>
            </w:rPr>
            <w:tab/>
          </w: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PAGEREF _Toc8868 \h </w:instrText>
          </w:r>
          <w:r>
            <w:rPr>
              <w:rFonts w:hint="default" w:ascii="Times New Roman" w:hAnsi="Times New Roman" w:eastAsia="黑体" w:cs="Times New Roman"/>
              <w:color w:val="auto"/>
              <w:sz w:val="32"/>
              <w:szCs w:val="32"/>
              <w:highlight w:val="none"/>
              <w:lang w:val="en-US" w:eastAsia="zh-CN"/>
            </w:rPr>
            <w:fldChar w:fldCharType="separate"/>
          </w:r>
          <w:r>
            <w:rPr>
              <w:rFonts w:hint="default" w:ascii="Times New Roman" w:hAnsi="Times New Roman" w:eastAsia="黑体" w:cs="Times New Roman"/>
              <w:color w:val="auto"/>
              <w:sz w:val="32"/>
              <w:szCs w:val="32"/>
              <w:highlight w:val="none"/>
              <w:lang w:val="en-US" w:eastAsia="zh-CN"/>
            </w:rPr>
            <w:t>2</w:t>
          </w:r>
          <w:r>
            <w:rPr>
              <w:rFonts w:hint="default" w:ascii="Times New Roman" w:hAnsi="Times New Roman" w:eastAsia="黑体" w:cs="Times New Roman"/>
              <w:color w:val="auto"/>
              <w:sz w:val="32"/>
              <w:szCs w:val="32"/>
              <w:highlight w:val="none"/>
              <w:lang w:val="en-US" w:eastAsia="zh-CN"/>
            </w:rPr>
            <w:fldChar w:fldCharType="end"/>
          </w:r>
          <w:r>
            <w:rPr>
              <w:rFonts w:hint="default" w:ascii="Times New Roman" w:hAnsi="Times New Roman" w:eastAsia="黑体" w:cs="Times New Roman"/>
              <w:color w:val="auto"/>
              <w:sz w:val="32"/>
              <w:szCs w:val="32"/>
              <w:highlight w:val="none"/>
              <w:lang w:val="en-US" w:eastAsia="zh-CN"/>
            </w:rPr>
            <w:fldChar w:fldCharType="end"/>
          </w:r>
        </w:p>
        <w:p w14:paraId="3C0D933D">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_Toc1617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一、收入支出决算总体情况说明</w:t>
          </w:r>
          <w:r>
            <w:rPr>
              <w:rFonts w:hint="default" w:ascii="Times New Roman" w:hAnsi="Times New Roman" w:eastAsia="仿宋_GB2312" w:cs="Times New Roman"/>
              <w:color w:val="auto"/>
              <w:kern w:val="2"/>
              <w:sz w:val="32"/>
              <w:szCs w:val="32"/>
              <w:highlight w:val="none"/>
              <w:lang w:val="en-US" w:eastAsia="zh-CN" w:bidi="ar-SA"/>
            </w:rPr>
            <w:tab/>
          </w:r>
          <w:bookmarkStart w:id="42" w:name="_GoBack"/>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_Toc1617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fldChar w:fldCharType="end"/>
          </w:r>
          <w:bookmarkEnd w:id="42"/>
          <w:r>
            <w:rPr>
              <w:rFonts w:hint="default" w:ascii="Times New Roman" w:hAnsi="Times New Roman" w:eastAsia="仿宋_GB2312" w:cs="Times New Roman"/>
              <w:color w:val="auto"/>
              <w:kern w:val="2"/>
              <w:sz w:val="32"/>
              <w:szCs w:val="32"/>
              <w:highlight w:val="none"/>
              <w:lang w:val="en-US" w:eastAsia="zh-CN" w:bidi="ar-SA"/>
            </w:rPr>
            <w:fldChar w:fldCharType="end"/>
          </w:r>
        </w:p>
        <w:p w14:paraId="3A0376E9">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_Toc19918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二、收入决算情况说明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_Toc19918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556D5491">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_Toc6204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三、支出决算情况说明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_Toc6204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061BA263">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_Toc11504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四、财政拨款收入支出决算总体情况说明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_Toc11504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11369076">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_Toc20169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五、一般公共预算财政拨款支出决算情况说明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_Toc20169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0C87AB00">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_Toc21902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六、一般公共预算财政拨款基本支出决算情况说明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_Toc21902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8</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21F2B780">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_Toc6080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七、财政拨款“三公”经费支出决算情况说明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_Toc6080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8</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7C80DC68">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_Toc15194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八、政府性基金预算支出决算情况说明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_Toc15194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10</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266CC5EB">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_Toc2282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九、国有资本经营预算支出决算情况说明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_Toc2282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11</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29A490CF">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_Toc21073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十、其他重要事项的情况说明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_Toc21073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11</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55E45653">
          <w:pPr>
            <w:pStyle w:val="12"/>
            <w:tabs>
              <w:tab w:val="right" w:leader="dot" w:pos="8306"/>
              <w:tab w:val="clear" w:pos="8296"/>
            </w:tabs>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HYPERLINK \l _Toc3650 </w:instrText>
          </w:r>
          <w:r>
            <w:rPr>
              <w:rFonts w:hint="default" w:ascii="Times New Roman" w:hAnsi="Times New Roman" w:eastAsia="黑体" w:cs="Times New Roman"/>
              <w:color w:val="auto"/>
              <w:sz w:val="32"/>
              <w:szCs w:val="32"/>
              <w:highlight w:val="none"/>
              <w:lang w:val="en-US" w:eastAsia="zh-CN"/>
            </w:rPr>
            <w:fldChar w:fldCharType="separate"/>
          </w:r>
          <w:r>
            <w:rPr>
              <w:rFonts w:hint="eastAsia" w:ascii="Times New Roman" w:hAnsi="Times New Roman" w:eastAsia="黑体" w:cs="Times New Roman"/>
              <w:color w:val="auto"/>
              <w:sz w:val="32"/>
              <w:szCs w:val="32"/>
              <w:highlight w:val="none"/>
              <w:lang w:val="en-US" w:eastAsia="zh-CN"/>
            </w:rPr>
            <w:t>第三部分  名词解释</w:t>
          </w:r>
          <w:r>
            <w:rPr>
              <w:rFonts w:hint="default" w:ascii="Times New Roman" w:hAnsi="Times New Roman" w:eastAsia="黑体" w:cs="Times New Roman"/>
              <w:color w:val="auto"/>
              <w:sz w:val="32"/>
              <w:szCs w:val="32"/>
              <w:highlight w:val="none"/>
              <w:lang w:val="en-US" w:eastAsia="zh-CN"/>
            </w:rPr>
            <w:tab/>
          </w: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PAGEREF _Toc3650 \h </w:instrText>
          </w:r>
          <w:r>
            <w:rPr>
              <w:rFonts w:hint="default" w:ascii="Times New Roman" w:hAnsi="Times New Roman" w:eastAsia="黑体" w:cs="Times New Roman"/>
              <w:color w:val="auto"/>
              <w:sz w:val="32"/>
              <w:szCs w:val="32"/>
              <w:highlight w:val="none"/>
              <w:lang w:val="en-US" w:eastAsia="zh-CN"/>
            </w:rPr>
            <w:fldChar w:fldCharType="separate"/>
          </w:r>
          <w:r>
            <w:rPr>
              <w:rFonts w:hint="default" w:ascii="Times New Roman" w:hAnsi="Times New Roman" w:eastAsia="黑体" w:cs="Times New Roman"/>
              <w:color w:val="auto"/>
              <w:sz w:val="32"/>
              <w:szCs w:val="32"/>
              <w:highlight w:val="none"/>
              <w:lang w:val="en-US" w:eastAsia="zh-CN"/>
            </w:rPr>
            <w:t>14</w:t>
          </w:r>
          <w:r>
            <w:rPr>
              <w:rFonts w:hint="default" w:ascii="Times New Roman" w:hAnsi="Times New Roman" w:eastAsia="黑体" w:cs="Times New Roman"/>
              <w:color w:val="auto"/>
              <w:sz w:val="32"/>
              <w:szCs w:val="32"/>
              <w:highlight w:val="none"/>
              <w:lang w:val="en-US" w:eastAsia="zh-CN"/>
            </w:rPr>
            <w:fldChar w:fldCharType="end"/>
          </w:r>
          <w:r>
            <w:rPr>
              <w:rFonts w:hint="default" w:ascii="Times New Roman" w:hAnsi="Times New Roman" w:eastAsia="黑体" w:cs="Times New Roman"/>
              <w:color w:val="auto"/>
              <w:sz w:val="32"/>
              <w:szCs w:val="32"/>
              <w:highlight w:val="none"/>
              <w:lang w:val="en-US" w:eastAsia="zh-CN"/>
            </w:rPr>
            <w:fldChar w:fldCharType="end"/>
          </w:r>
        </w:p>
        <w:p w14:paraId="09669F75">
          <w:pPr>
            <w:pStyle w:val="12"/>
            <w:tabs>
              <w:tab w:val="right" w:leader="dot" w:pos="8306"/>
              <w:tab w:val="clear" w:pos="8296"/>
            </w:tabs>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HYPERLINK \l _Toc18097 </w:instrText>
          </w:r>
          <w:r>
            <w:rPr>
              <w:rFonts w:hint="default" w:ascii="Times New Roman" w:hAnsi="Times New Roman" w:eastAsia="黑体" w:cs="Times New Roman"/>
              <w:color w:val="auto"/>
              <w:sz w:val="32"/>
              <w:szCs w:val="32"/>
              <w:highlight w:val="none"/>
              <w:lang w:val="en-US" w:eastAsia="zh-CN"/>
            </w:rPr>
            <w:fldChar w:fldCharType="separate"/>
          </w:r>
          <w:r>
            <w:rPr>
              <w:rFonts w:hint="eastAsia" w:ascii="Times New Roman" w:hAnsi="Times New Roman" w:eastAsia="黑体" w:cs="Times New Roman"/>
              <w:color w:val="auto"/>
              <w:sz w:val="32"/>
              <w:szCs w:val="32"/>
              <w:highlight w:val="none"/>
              <w:lang w:val="en-US" w:eastAsia="zh-CN"/>
            </w:rPr>
            <w:t>第四部分  附件</w:t>
          </w:r>
          <w:r>
            <w:rPr>
              <w:rFonts w:hint="default" w:ascii="Times New Roman" w:hAnsi="Times New Roman" w:eastAsia="黑体" w:cs="Times New Roman"/>
              <w:color w:val="auto"/>
              <w:sz w:val="32"/>
              <w:szCs w:val="32"/>
              <w:highlight w:val="none"/>
              <w:lang w:val="en-US" w:eastAsia="zh-CN"/>
            </w:rPr>
            <w:tab/>
          </w: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PAGEREF _Toc18097 \h </w:instrText>
          </w:r>
          <w:r>
            <w:rPr>
              <w:rFonts w:hint="default" w:ascii="Times New Roman" w:hAnsi="Times New Roman" w:eastAsia="黑体" w:cs="Times New Roman"/>
              <w:color w:val="auto"/>
              <w:sz w:val="32"/>
              <w:szCs w:val="32"/>
              <w:highlight w:val="none"/>
              <w:lang w:val="en-US" w:eastAsia="zh-CN"/>
            </w:rPr>
            <w:fldChar w:fldCharType="separate"/>
          </w:r>
          <w:r>
            <w:rPr>
              <w:rFonts w:hint="default" w:ascii="Times New Roman" w:hAnsi="Times New Roman" w:eastAsia="黑体" w:cs="Times New Roman"/>
              <w:color w:val="auto"/>
              <w:sz w:val="32"/>
              <w:szCs w:val="32"/>
              <w:highlight w:val="none"/>
              <w:lang w:val="en-US" w:eastAsia="zh-CN"/>
            </w:rPr>
            <w:t>17</w:t>
          </w:r>
          <w:r>
            <w:rPr>
              <w:rFonts w:hint="default" w:ascii="Times New Roman" w:hAnsi="Times New Roman" w:eastAsia="黑体" w:cs="Times New Roman"/>
              <w:color w:val="auto"/>
              <w:sz w:val="32"/>
              <w:szCs w:val="32"/>
              <w:highlight w:val="none"/>
              <w:lang w:val="en-US" w:eastAsia="zh-CN"/>
            </w:rPr>
            <w:fldChar w:fldCharType="end"/>
          </w:r>
          <w:r>
            <w:rPr>
              <w:rFonts w:hint="default" w:ascii="Times New Roman" w:hAnsi="Times New Roman" w:eastAsia="黑体" w:cs="Times New Roman"/>
              <w:color w:val="auto"/>
              <w:sz w:val="32"/>
              <w:szCs w:val="32"/>
              <w:highlight w:val="none"/>
              <w:lang w:val="en-US" w:eastAsia="zh-CN"/>
            </w:rPr>
            <w:fldChar w:fldCharType="end"/>
          </w:r>
        </w:p>
        <w:p w14:paraId="44E02C66">
          <w:pPr>
            <w:pStyle w:val="12"/>
            <w:tabs>
              <w:tab w:val="right" w:leader="dot" w:pos="8306"/>
              <w:tab w:val="clear" w:pos="8296"/>
            </w:tabs>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HYPERLINK \l _Toc31380 </w:instrText>
          </w:r>
          <w:r>
            <w:rPr>
              <w:rFonts w:hint="default" w:ascii="Times New Roman" w:hAnsi="Times New Roman" w:eastAsia="黑体" w:cs="Times New Roman"/>
              <w:color w:val="auto"/>
              <w:sz w:val="32"/>
              <w:szCs w:val="32"/>
              <w:highlight w:val="none"/>
              <w:lang w:val="en-US" w:eastAsia="zh-CN"/>
            </w:rPr>
            <w:fldChar w:fldCharType="separate"/>
          </w:r>
          <w:r>
            <w:rPr>
              <w:rFonts w:hint="eastAsia" w:ascii="Times New Roman" w:hAnsi="Times New Roman" w:eastAsia="黑体" w:cs="Times New Roman"/>
              <w:color w:val="auto"/>
              <w:sz w:val="32"/>
              <w:szCs w:val="32"/>
              <w:highlight w:val="none"/>
              <w:lang w:val="en-US" w:eastAsia="zh-CN"/>
            </w:rPr>
            <w:t>第五部分 附表</w:t>
          </w:r>
          <w:r>
            <w:rPr>
              <w:rFonts w:hint="default" w:ascii="Times New Roman" w:hAnsi="Times New Roman" w:eastAsia="黑体" w:cs="Times New Roman"/>
              <w:color w:val="auto"/>
              <w:sz w:val="32"/>
              <w:szCs w:val="32"/>
              <w:highlight w:val="none"/>
              <w:lang w:val="en-US" w:eastAsia="zh-CN"/>
            </w:rPr>
            <w:tab/>
          </w: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PAGEREF _Toc31380 \h </w:instrText>
          </w:r>
          <w:r>
            <w:rPr>
              <w:rFonts w:hint="default" w:ascii="Times New Roman" w:hAnsi="Times New Roman" w:eastAsia="黑体" w:cs="Times New Roman"/>
              <w:color w:val="auto"/>
              <w:sz w:val="32"/>
              <w:szCs w:val="32"/>
              <w:highlight w:val="none"/>
              <w:lang w:val="en-US" w:eastAsia="zh-CN"/>
            </w:rPr>
            <w:fldChar w:fldCharType="separate"/>
          </w:r>
          <w:r>
            <w:rPr>
              <w:rFonts w:hint="default" w:ascii="Times New Roman" w:hAnsi="Times New Roman" w:eastAsia="黑体" w:cs="Times New Roman"/>
              <w:color w:val="auto"/>
              <w:sz w:val="32"/>
              <w:szCs w:val="32"/>
              <w:highlight w:val="none"/>
              <w:lang w:val="en-US" w:eastAsia="zh-CN"/>
            </w:rPr>
            <w:t>33</w:t>
          </w:r>
          <w:r>
            <w:rPr>
              <w:rFonts w:hint="default" w:ascii="Times New Roman" w:hAnsi="Times New Roman" w:eastAsia="黑体" w:cs="Times New Roman"/>
              <w:color w:val="auto"/>
              <w:sz w:val="32"/>
              <w:szCs w:val="32"/>
              <w:highlight w:val="none"/>
              <w:lang w:val="en-US" w:eastAsia="zh-CN"/>
            </w:rPr>
            <w:fldChar w:fldCharType="end"/>
          </w:r>
          <w:r>
            <w:rPr>
              <w:rFonts w:hint="default" w:ascii="Times New Roman" w:hAnsi="Times New Roman" w:eastAsia="黑体" w:cs="Times New Roman"/>
              <w:color w:val="auto"/>
              <w:sz w:val="32"/>
              <w:szCs w:val="32"/>
              <w:highlight w:val="none"/>
              <w:lang w:val="en-US" w:eastAsia="zh-CN"/>
            </w:rPr>
            <w:fldChar w:fldCharType="end"/>
          </w:r>
        </w:p>
        <w:p w14:paraId="27D7F641">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_Toc8583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一、收入支出决算总表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_Toc8583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33</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2704356A">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_Toc5701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二、收入决算表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_Toc5701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34</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712EE06C">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_Toc9975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三、支出决算表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_Toc9975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35</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381F9A27">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_Toc25873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四、财政拨款收入支出决算总表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_Toc25873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36</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0504BF1C">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_Toc25443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五、财政拨款支出决算明细表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_Toc25443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37</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47A1CE1E">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_Toc25346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六、一般公共预算财政拨款支出决算表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_Toc25346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39</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55F8EB37">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_Toc18197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七、一般公共预算财政拨款支出决算明细表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_Toc18197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40</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43486A05">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_Toc14839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八、一般公共预算财政拨款基本支出决算明细表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_Toc14839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49</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4F545A91">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_Toc27694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九、一般公共预算财政拨款项目支出决算表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_Toc27694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50</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54493E44">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_Toc15464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十、政府性基金预算财政拨款收入支出决算表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_Toc15464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51</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03D65966">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_Toc16590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十一、国有资本经营预算财政拨款收入支出决算表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_Toc16590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52</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5919C63E">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_Toc5967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十二、国有资本经营预算财政拨款支出决算表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_Toc5967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53</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2AC9E3F1">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_Toc24544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十三、财政拨款“三公”经费支出决算表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_Toc24544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54</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036CCFD1">
          <w:r>
            <w:fldChar w:fldCharType="end"/>
          </w:r>
        </w:p>
      </w:sdtContent>
    </w:sdt>
    <w:p w14:paraId="6D9E3292"/>
    <w:p w14:paraId="1B4460E1">
      <w:pPr>
        <w:pStyle w:val="2"/>
        <w:spacing w:before="340" w:after="330" w:line="578" w:lineRule="auto"/>
        <w:ind w:leftChars="0" w:firstLineChars="0"/>
        <w:jc w:val="center"/>
        <w:rPr>
          <w:rFonts w:hint="eastAsia" w:ascii="方正小标宋简体" w:hAnsi="方正小标宋简体" w:eastAsia="方正小标宋简体" w:cs="方正小标宋简体"/>
          <w:b/>
          <w:color w:val="auto"/>
          <w:sz w:val="44"/>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p>
    <w:p w14:paraId="12A137DD">
      <w:pPr>
        <w:pStyle w:val="2"/>
        <w:spacing w:before="340" w:after="330" w:line="578" w:lineRule="auto"/>
        <w:ind w:leftChars="0" w:firstLineChars="0"/>
        <w:jc w:val="center"/>
        <w:rPr>
          <w:rStyle w:val="28"/>
          <w:rFonts w:hint="eastAsia" w:ascii="Times New Roman" w:hAnsi="Times New Roman" w:eastAsia="方正小标宋简体" w:cs="方正小标宋简体"/>
          <w:b/>
          <w:bCs w:val="0"/>
          <w:color w:val="auto"/>
          <w:highlight w:val="none"/>
        </w:rPr>
      </w:pPr>
      <w:bookmarkStart w:id="12" w:name="_Toc29541"/>
      <w:r>
        <w:rPr>
          <w:rFonts w:hint="eastAsia" w:ascii="方正小标宋简体" w:hAnsi="方正小标宋简体" w:eastAsia="方正小标宋简体" w:cs="方正小标宋简体"/>
          <w:b/>
          <w:color w:val="auto"/>
          <w:sz w:val="44"/>
          <w:highlight w:val="none"/>
        </w:rPr>
        <w:t>第一部分  部门概况</w:t>
      </w:r>
      <w:bookmarkEnd w:id="12"/>
    </w:p>
    <w:p w14:paraId="73F0DBD4">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3" w:name="_Toc25940"/>
      <w:r>
        <w:rPr>
          <w:rFonts w:hint="eastAsia" w:ascii="黑体" w:hAnsi="黑体" w:eastAsia="黑体"/>
          <w:b/>
          <w:color w:val="auto"/>
          <w:sz w:val="32"/>
          <w:highlight w:val="none"/>
        </w:rPr>
        <w:t>一、部门职责</w:t>
      </w:r>
      <w:bookmarkEnd w:id="13"/>
    </w:p>
    <w:p w14:paraId="114F292D">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本单位的</w:t>
      </w:r>
      <w:r>
        <w:rPr>
          <w:rFonts w:hint="eastAsia" w:ascii="仿宋_GB2312" w:hAnsi="仿宋_GB2312" w:eastAsia="仿宋_GB2312" w:cs="仿宋_GB2312"/>
          <w:b w:val="0"/>
          <w:color w:val="auto"/>
          <w:sz w:val="32"/>
          <w:szCs w:val="32"/>
          <w:highlight w:val="none"/>
          <w:lang w:eastAsia="zh-CN"/>
        </w:rPr>
        <w:t>职能</w:t>
      </w:r>
      <w:r>
        <w:rPr>
          <w:rFonts w:hint="eastAsia" w:ascii="仿宋_GB2312" w:hAnsi="仿宋_GB2312" w:eastAsia="仿宋_GB2312" w:cs="仿宋_GB2312"/>
          <w:b w:val="0"/>
          <w:color w:val="auto"/>
          <w:sz w:val="32"/>
          <w:szCs w:val="32"/>
          <w:highlight w:val="none"/>
        </w:rPr>
        <w:t>是培养政治立场坚定、对党忠诚、拥护党的路线方针政策、爱岗敬业、勇于创新、专特兼备、知识够用、技能过硬、德智体美劳全面发展、善于在农牧区教书育人、具有专科（中专）学历的小学及幼儿园教师，促进民族教育事业健康发展；组织全校教师积极从事教育学、政治学、数学等学科中专学历教育</w:t>
      </w:r>
      <w:r>
        <w:rPr>
          <w:rFonts w:hint="eastAsia" w:ascii="仿宋_GB2312" w:hAnsi="仿宋_GB2312" w:eastAsia="仿宋_GB2312" w:cs="仿宋_GB2312"/>
          <w:b w:val="0"/>
          <w:color w:val="auto"/>
          <w:sz w:val="32"/>
          <w:szCs w:val="32"/>
          <w:highlight w:val="none"/>
          <w:lang w:eastAsia="zh-CN"/>
        </w:rPr>
        <w:t>，开展</w:t>
      </w:r>
      <w:r>
        <w:rPr>
          <w:rFonts w:hint="eastAsia" w:ascii="仿宋_GB2312" w:hAnsi="仿宋_GB2312" w:eastAsia="仿宋_GB2312" w:cs="仿宋_GB2312"/>
          <w:b w:val="0"/>
          <w:color w:val="auto"/>
          <w:sz w:val="32"/>
          <w:szCs w:val="32"/>
          <w:highlight w:val="none"/>
        </w:rPr>
        <w:t>小学教学研究、幼儿教学研究；积极开展在职小学教师和在职幼儿教师学历补偿教育、继续教育等。</w:t>
      </w:r>
    </w:p>
    <w:p w14:paraId="5702AA0F">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4" w:name="_Toc28448"/>
      <w:r>
        <w:rPr>
          <w:rFonts w:hint="eastAsia" w:ascii="黑体" w:hAnsi="黑体" w:eastAsia="黑体"/>
          <w:b/>
          <w:color w:val="auto"/>
          <w:sz w:val="32"/>
          <w:highlight w:val="none"/>
        </w:rPr>
        <w:t>二、机构设置</w:t>
      </w:r>
      <w:bookmarkEnd w:id="14"/>
    </w:p>
    <w:p w14:paraId="7E18F522">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本单位本年度纳入决算</w:t>
      </w:r>
      <w:r>
        <w:rPr>
          <w:rFonts w:hint="eastAsia" w:ascii="仿宋_GB2312" w:hAnsi="仿宋_GB2312" w:eastAsia="仿宋_GB2312" w:cs="仿宋_GB2312"/>
          <w:b w:val="0"/>
          <w:color w:val="auto"/>
          <w:sz w:val="32"/>
          <w:szCs w:val="32"/>
          <w:highlight w:val="none"/>
          <w:lang w:val="en-US" w:eastAsia="zh-CN"/>
        </w:rPr>
        <w:t>公开</w:t>
      </w:r>
      <w:r>
        <w:rPr>
          <w:rFonts w:hint="eastAsia" w:ascii="仿宋_GB2312" w:hAnsi="仿宋_GB2312" w:eastAsia="仿宋_GB2312" w:cs="仿宋_GB2312"/>
          <w:b w:val="0"/>
          <w:color w:val="auto"/>
          <w:sz w:val="32"/>
          <w:szCs w:val="32"/>
          <w:highlight w:val="none"/>
        </w:rPr>
        <w:t>编制范围的独立编制机构数共1个，比上年增加0个；独立核算机构数共1个，比上年增加0个。</w:t>
      </w:r>
    </w:p>
    <w:p w14:paraId="51B10290">
      <w:pPr>
        <w:pStyle w:val="2"/>
        <w:spacing w:before="340" w:after="330" w:line="578" w:lineRule="auto"/>
        <w:ind w:leftChars="0" w:firstLineChars="0"/>
        <w:jc w:val="center"/>
        <w:rPr>
          <w:rFonts w:hint="eastAsia" w:ascii="方正小标宋简体" w:hAnsi="方正小标宋简体" w:eastAsia="方正小标宋简体" w:cs="方正小标宋简体"/>
          <w:b/>
          <w:color w:val="auto"/>
          <w:sz w:val="44"/>
          <w:highlight w:val="none"/>
        </w:rPr>
        <w:sectPr>
          <w:footerReference r:id="rId7" w:type="default"/>
          <w:pgSz w:w="11906" w:h="16838"/>
          <w:pgMar w:top="1440" w:right="1800" w:bottom="1440" w:left="1800" w:header="851" w:footer="992" w:gutter="0"/>
          <w:pgNumType w:fmt="decimal" w:start="1"/>
          <w:cols w:space="425" w:num="1"/>
          <w:docGrid w:type="lines" w:linePitch="312" w:charSpace="0"/>
        </w:sectPr>
      </w:pPr>
    </w:p>
    <w:p w14:paraId="7D306BFA">
      <w:pPr>
        <w:pStyle w:val="2"/>
        <w:spacing w:before="340" w:after="330" w:line="578" w:lineRule="auto"/>
        <w:ind w:leftChars="0" w:firstLineChars="0"/>
        <w:jc w:val="center"/>
        <w:rPr>
          <w:rStyle w:val="28"/>
          <w:rFonts w:hint="eastAsia" w:ascii="Times New Roman" w:hAnsi="Times New Roman" w:eastAsia="方正小标宋简体" w:cs="方正小标宋简体"/>
          <w:b/>
          <w:bCs w:val="0"/>
          <w:color w:val="auto"/>
          <w:highlight w:val="none"/>
        </w:rPr>
      </w:pPr>
      <w:bookmarkStart w:id="15" w:name="_Toc8868"/>
      <w:r>
        <w:rPr>
          <w:rFonts w:hint="eastAsia" w:ascii="方正小标宋简体" w:hAnsi="方正小标宋简体" w:eastAsia="方正小标宋简体" w:cs="方正小标宋简体"/>
          <w:b/>
          <w:color w:val="auto"/>
          <w:sz w:val="44"/>
          <w:highlight w:val="none"/>
        </w:rPr>
        <w:t>第二部分  2025年度部门决算情况说明</w:t>
      </w:r>
      <w:bookmarkEnd w:id="15"/>
    </w:p>
    <w:p w14:paraId="7DC47C29">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6" w:name="_Toc1617"/>
      <w:r>
        <w:rPr>
          <w:rFonts w:hint="eastAsia" w:ascii="黑体" w:hAnsi="黑体" w:eastAsia="黑体"/>
          <w:b/>
          <w:color w:val="auto"/>
          <w:sz w:val="32"/>
          <w:highlight w:val="none"/>
        </w:rPr>
        <w:t>一、收入支出决算总体情况说明</w:t>
      </w:r>
      <w:bookmarkEnd w:id="16"/>
    </w:p>
    <w:p w14:paraId="1891A98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2025年度收入、支出总计均为3905.57万元。与上年度相比，收入、支出总计各减少80.79万元，下降2%。</w:t>
      </w:r>
      <w:r>
        <w:rPr>
          <w:rFonts w:hint="eastAsia" w:ascii="仿宋" w:hAnsi="仿宋" w:eastAsia="仿宋" w:cs="仿宋"/>
          <w:kern w:val="0"/>
          <w:sz w:val="32"/>
          <w:szCs w:val="32"/>
          <w:highlight w:val="yellow"/>
        </w:rPr>
        <w:t>主要原因</w:t>
      </w:r>
      <w:r>
        <w:rPr>
          <w:rFonts w:hint="eastAsia" w:ascii="仿宋" w:hAnsi="仿宋" w:eastAsia="仿宋" w:cs="仿宋"/>
          <w:kern w:val="0"/>
          <w:sz w:val="32"/>
          <w:szCs w:val="32"/>
          <w:highlight w:val="yellow"/>
          <w:lang w:eastAsia="zh-CN"/>
        </w:rPr>
        <w:t>是</w:t>
      </w:r>
      <w:r>
        <w:rPr>
          <w:rFonts w:hint="eastAsia" w:ascii="仿宋" w:hAnsi="仿宋" w:eastAsia="仿宋" w:cs="仿宋"/>
          <w:kern w:val="0"/>
          <w:sz w:val="32"/>
          <w:szCs w:val="32"/>
          <w:highlight w:val="yellow"/>
        </w:rPr>
        <w:t>“三名工程”建设已完成验收，2025年度招生人数减少、公用经费减少，</w:t>
      </w:r>
      <w:r>
        <w:rPr>
          <w:rFonts w:hint="eastAsia" w:ascii="仿宋" w:hAnsi="仿宋" w:eastAsia="仿宋" w:cs="仿宋"/>
          <w:kern w:val="0"/>
          <w:sz w:val="32"/>
          <w:szCs w:val="32"/>
          <w:highlight w:val="yellow"/>
          <w:lang w:eastAsia="zh-CN"/>
        </w:rPr>
        <w:t>导致</w:t>
      </w:r>
      <w:r>
        <w:rPr>
          <w:rFonts w:hint="eastAsia" w:ascii="仿宋" w:hAnsi="仿宋" w:eastAsia="仿宋" w:cs="仿宋"/>
          <w:kern w:val="0"/>
          <w:sz w:val="32"/>
          <w:szCs w:val="32"/>
          <w:highlight w:val="yellow"/>
        </w:rPr>
        <w:t>教育支出等</w:t>
      </w:r>
      <w:r>
        <w:rPr>
          <w:rFonts w:hint="eastAsia" w:ascii="仿宋" w:hAnsi="仿宋" w:eastAsia="仿宋" w:cs="仿宋"/>
          <w:kern w:val="0"/>
          <w:sz w:val="32"/>
          <w:szCs w:val="32"/>
          <w:highlight w:val="yellow"/>
          <w:lang w:eastAsia="zh-CN"/>
        </w:rPr>
        <w:t>发生变化。</w:t>
      </w:r>
    </w:p>
    <w:p w14:paraId="79D33512">
      <w:pPr>
        <w:jc w:val="center"/>
      </w:pPr>
      <w:r>
        <w:drawing>
          <wp:inline distT="0" distB="0" distL="114300" distR="114300">
            <wp:extent cx="5303520" cy="3176270"/>
            <wp:effectExtent l="0" t="0" r="508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a:stretch>
                      <a:fillRect/>
                    </a:stretch>
                  </pic:blipFill>
                  <pic:spPr>
                    <a:xfrm>
                      <a:off x="0" y="0"/>
                      <a:ext cx="5303520" cy="3176500"/>
                    </a:xfrm>
                    <a:prstGeom prst="rect">
                      <a:avLst/>
                    </a:prstGeom>
                  </pic:spPr>
                </pic:pic>
              </a:graphicData>
            </a:graphic>
          </wp:inline>
        </w:drawing>
      </w:r>
    </w:p>
    <w:p w14:paraId="70504394">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24"/>
          <w:szCs w:val="32"/>
          <w:highlight w:val="none"/>
        </w:rPr>
        <w:t>（图1：收入、支出决算总计变动情况图）</w:t>
      </w:r>
    </w:p>
    <w:p w14:paraId="3A620103">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7" w:name="_Toc19918"/>
      <w:r>
        <w:rPr>
          <w:rFonts w:hint="eastAsia" w:ascii="黑体" w:hAnsi="黑体" w:eastAsia="黑体"/>
          <w:b/>
          <w:color w:val="auto"/>
          <w:sz w:val="32"/>
          <w:highlight w:val="none"/>
        </w:rPr>
        <w:t>二、收入决算情况说明</w:t>
      </w:r>
      <w:bookmarkEnd w:id="17"/>
    </w:p>
    <w:p w14:paraId="07882EE1">
      <w:pPr>
        <w:keepNext w:val="0"/>
        <w:keepLines w:val="0"/>
        <w:pageBreakBefore w:val="0"/>
        <w:widowControl w:val="0"/>
        <w:kinsoku/>
        <w:wordWrap/>
        <w:overflowPunct/>
        <w:topLinePunct w:val="0"/>
        <w:autoSpaceDE/>
        <w:autoSpaceDN/>
        <w:bidi w:val="0"/>
        <w:adjustRightInd/>
        <w:snapToGrid/>
        <w:spacing w:before="93" w:after="0" w:line="600" w:lineRule="exact"/>
        <w:ind w:leftChars="0" w:firstLineChars="200"/>
        <w:jc w:val="left"/>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2025年度本年收入合计3905.57万元，其中：一般公共预算财政拨款收入3883.58万元，占99.4%；事业收入21.99万元，占0.6%。</w:t>
      </w:r>
    </w:p>
    <w:p w14:paraId="1A478636">
      <w:pPr>
        <w:jc w:val="center"/>
      </w:pPr>
      <w:r>
        <w:drawing>
          <wp:inline distT="0" distB="0" distL="114300" distR="114300">
            <wp:extent cx="5303520" cy="4111625"/>
            <wp:effectExtent l="0" t="0" r="508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a:stretch>
                      <a:fillRect/>
                    </a:stretch>
                  </pic:blipFill>
                  <pic:spPr>
                    <a:xfrm>
                      <a:off x="0" y="0"/>
                      <a:ext cx="5303520" cy="4111838"/>
                    </a:xfrm>
                    <a:prstGeom prst="rect">
                      <a:avLst/>
                    </a:prstGeom>
                  </pic:spPr>
                </pic:pic>
              </a:graphicData>
            </a:graphic>
          </wp:inline>
        </w:drawing>
      </w:r>
    </w:p>
    <w:p w14:paraId="6531A1EF">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24"/>
          <w:szCs w:val="32"/>
          <w:highlight w:val="none"/>
        </w:rPr>
        <w:t>（图2：收入决算结构图）</w:t>
      </w:r>
    </w:p>
    <w:p w14:paraId="614D54DF">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8" w:name="_Toc6204"/>
      <w:r>
        <w:rPr>
          <w:rFonts w:hint="eastAsia" w:ascii="黑体" w:hAnsi="黑体" w:eastAsia="黑体"/>
          <w:b/>
          <w:color w:val="auto"/>
          <w:sz w:val="32"/>
          <w:highlight w:val="none"/>
        </w:rPr>
        <w:t>三、支出决算情况说明</w:t>
      </w:r>
      <w:bookmarkEnd w:id="18"/>
    </w:p>
    <w:p w14:paraId="6DD2143C">
      <w:pPr>
        <w:keepNext w:val="0"/>
        <w:keepLines w:val="0"/>
        <w:pageBreakBefore w:val="0"/>
        <w:widowControl w:val="0"/>
        <w:kinsoku/>
        <w:wordWrap/>
        <w:overflowPunct/>
        <w:topLinePunct w:val="0"/>
        <w:autoSpaceDE/>
        <w:autoSpaceDN/>
        <w:bidi w:val="0"/>
        <w:adjustRightInd/>
        <w:snapToGrid/>
        <w:spacing w:before="93" w:after="0" w:line="600" w:lineRule="exact"/>
        <w:ind w:leftChars="0" w:firstLineChars="200"/>
        <w:jc w:val="left"/>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2025年度本年支出合计3905.57万元，其中：基本支出3039.74万元，占77.8%；项目支出865.83万元，占22.2%。</w:t>
      </w:r>
    </w:p>
    <w:p w14:paraId="4EA8C9ED">
      <w:pPr>
        <w:jc w:val="center"/>
      </w:pPr>
      <w:r>
        <w:drawing>
          <wp:inline distT="0" distB="0" distL="114300" distR="114300">
            <wp:extent cx="5303520" cy="4111625"/>
            <wp:effectExtent l="0" t="0" r="508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2"/>
                    <a:stretch>
                      <a:fillRect/>
                    </a:stretch>
                  </pic:blipFill>
                  <pic:spPr>
                    <a:xfrm>
                      <a:off x="0" y="0"/>
                      <a:ext cx="5303520" cy="4111838"/>
                    </a:xfrm>
                    <a:prstGeom prst="rect">
                      <a:avLst/>
                    </a:prstGeom>
                  </pic:spPr>
                </pic:pic>
              </a:graphicData>
            </a:graphic>
          </wp:inline>
        </w:drawing>
      </w:r>
    </w:p>
    <w:p w14:paraId="3DEF0799">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24"/>
          <w:szCs w:val="32"/>
          <w:highlight w:val="none"/>
        </w:rPr>
        <w:t>（图3：支出决算结构图）</w:t>
      </w:r>
    </w:p>
    <w:p w14:paraId="3956532B">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9" w:name="_Toc11504"/>
      <w:r>
        <w:rPr>
          <w:rFonts w:hint="eastAsia" w:ascii="黑体" w:hAnsi="黑体" w:eastAsia="黑体"/>
          <w:b/>
          <w:color w:val="auto"/>
          <w:sz w:val="32"/>
          <w:highlight w:val="none"/>
        </w:rPr>
        <w:t>四、财政拨款收入支出决算总体情况说明</w:t>
      </w:r>
      <w:bookmarkEnd w:id="19"/>
    </w:p>
    <w:p w14:paraId="254852A3">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2025年度财政拨款收入、支出总计均为3883.58万元。与上年度相比，财政拨款收入、支出总计各减少76.27万元，下降1.9%。</w:t>
      </w:r>
      <w:r>
        <w:rPr>
          <w:rFonts w:hint="eastAsia" w:ascii="仿宋" w:hAnsi="仿宋" w:eastAsia="仿宋" w:cs="仿宋"/>
          <w:kern w:val="0"/>
          <w:sz w:val="32"/>
          <w:szCs w:val="32"/>
          <w:highlight w:val="yellow"/>
        </w:rPr>
        <w:t>主要原因</w:t>
      </w:r>
      <w:r>
        <w:rPr>
          <w:rFonts w:hint="eastAsia" w:ascii="仿宋" w:hAnsi="仿宋" w:eastAsia="仿宋" w:cs="仿宋"/>
          <w:kern w:val="0"/>
          <w:sz w:val="32"/>
          <w:szCs w:val="32"/>
          <w:highlight w:val="yellow"/>
          <w:lang w:eastAsia="zh-CN"/>
        </w:rPr>
        <w:t>是</w:t>
      </w:r>
      <w:r>
        <w:rPr>
          <w:rFonts w:hint="eastAsia" w:ascii="仿宋" w:hAnsi="仿宋" w:eastAsia="仿宋" w:cs="仿宋"/>
          <w:kern w:val="0"/>
          <w:sz w:val="32"/>
          <w:szCs w:val="32"/>
          <w:highlight w:val="yellow"/>
        </w:rPr>
        <w:t>“三名工程”建设已完成验收，2025年度招生人数减少、公用经费减少，</w:t>
      </w:r>
      <w:r>
        <w:rPr>
          <w:rFonts w:hint="eastAsia" w:ascii="仿宋" w:hAnsi="仿宋" w:eastAsia="仿宋" w:cs="仿宋"/>
          <w:kern w:val="0"/>
          <w:sz w:val="32"/>
          <w:szCs w:val="32"/>
          <w:highlight w:val="yellow"/>
          <w:lang w:eastAsia="zh-CN"/>
        </w:rPr>
        <w:t>导致</w:t>
      </w:r>
      <w:r>
        <w:rPr>
          <w:rFonts w:hint="eastAsia" w:ascii="仿宋" w:hAnsi="仿宋" w:eastAsia="仿宋" w:cs="仿宋"/>
          <w:kern w:val="0"/>
          <w:sz w:val="32"/>
          <w:szCs w:val="32"/>
          <w:highlight w:val="yellow"/>
        </w:rPr>
        <w:t>教育支出等</w:t>
      </w:r>
      <w:r>
        <w:rPr>
          <w:rFonts w:hint="eastAsia" w:ascii="仿宋" w:hAnsi="仿宋" w:eastAsia="仿宋" w:cs="仿宋"/>
          <w:kern w:val="0"/>
          <w:sz w:val="32"/>
          <w:szCs w:val="32"/>
          <w:highlight w:val="yellow"/>
          <w:lang w:eastAsia="zh-CN"/>
        </w:rPr>
        <w:t>发生变化。</w:t>
      </w:r>
    </w:p>
    <w:p w14:paraId="5532F1B5">
      <w:pPr>
        <w:jc w:val="center"/>
      </w:pPr>
      <w:r>
        <w:drawing>
          <wp:inline distT="0" distB="0" distL="114300" distR="114300">
            <wp:extent cx="5303520" cy="3176270"/>
            <wp:effectExtent l="0" t="0" r="5080"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3"/>
                    <a:stretch>
                      <a:fillRect/>
                    </a:stretch>
                  </pic:blipFill>
                  <pic:spPr>
                    <a:xfrm>
                      <a:off x="0" y="0"/>
                      <a:ext cx="5303520" cy="3176500"/>
                    </a:xfrm>
                    <a:prstGeom prst="rect">
                      <a:avLst/>
                    </a:prstGeom>
                  </pic:spPr>
                </pic:pic>
              </a:graphicData>
            </a:graphic>
          </wp:inline>
        </w:drawing>
      </w:r>
    </w:p>
    <w:p w14:paraId="51597071">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24"/>
          <w:szCs w:val="32"/>
          <w:highlight w:val="none"/>
        </w:rPr>
        <w:t>（图4：财政拨款收、支决算总计变动情况）</w:t>
      </w:r>
    </w:p>
    <w:p w14:paraId="2235D3D7">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0" w:name="_Toc20169"/>
      <w:r>
        <w:rPr>
          <w:rFonts w:hint="eastAsia" w:ascii="黑体" w:hAnsi="黑体" w:eastAsia="黑体"/>
          <w:b/>
          <w:color w:val="auto"/>
          <w:sz w:val="32"/>
          <w:highlight w:val="none"/>
        </w:rPr>
        <w:t>五、一般公共预算财政拨款支出决算情况说明</w:t>
      </w:r>
      <w:bookmarkEnd w:id="20"/>
    </w:p>
    <w:p w14:paraId="3A164ECE">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（一）一般公共预算财政拨款支出决算总体情况</w:t>
      </w:r>
    </w:p>
    <w:p w14:paraId="4194B598">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2025年度一般公共预算财政拨款支出3883.58万元，占本年支出合计的99.4%。与上年度相比，一般公共预算财政拨款支出减少76.27万元，下降1.9%。</w:t>
      </w:r>
      <w:r>
        <w:rPr>
          <w:rFonts w:hint="eastAsia" w:ascii="仿宋" w:hAnsi="仿宋" w:eastAsia="仿宋" w:cs="仿宋"/>
          <w:kern w:val="0"/>
          <w:sz w:val="32"/>
          <w:szCs w:val="32"/>
          <w:highlight w:val="yellow"/>
        </w:rPr>
        <w:t>主要原因</w:t>
      </w:r>
      <w:r>
        <w:rPr>
          <w:rFonts w:hint="eastAsia" w:ascii="仿宋" w:hAnsi="仿宋" w:eastAsia="仿宋" w:cs="仿宋"/>
          <w:kern w:val="0"/>
          <w:sz w:val="32"/>
          <w:szCs w:val="32"/>
          <w:highlight w:val="yellow"/>
          <w:lang w:eastAsia="zh-CN"/>
        </w:rPr>
        <w:t>是</w:t>
      </w:r>
      <w:r>
        <w:rPr>
          <w:rFonts w:hint="eastAsia" w:ascii="仿宋" w:hAnsi="仿宋" w:eastAsia="仿宋" w:cs="仿宋"/>
          <w:kern w:val="0"/>
          <w:sz w:val="32"/>
          <w:szCs w:val="32"/>
          <w:highlight w:val="yellow"/>
        </w:rPr>
        <w:t>“三名工程”建设已完成验收，2025年度招生人数减少、公用经费减少，</w:t>
      </w:r>
      <w:r>
        <w:rPr>
          <w:rFonts w:hint="eastAsia" w:ascii="仿宋" w:hAnsi="仿宋" w:eastAsia="仿宋" w:cs="仿宋"/>
          <w:kern w:val="0"/>
          <w:sz w:val="32"/>
          <w:szCs w:val="32"/>
          <w:highlight w:val="yellow"/>
          <w:lang w:eastAsia="zh-CN"/>
        </w:rPr>
        <w:t>导致</w:t>
      </w:r>
      <w:r>
        <w:rPr>
          <w:rFonts w:hint="eastAsia" w:ascii="仿宋" w:hAnsi="仿宋" w:eastAsia="仿宋" w:cs="仿宋"/>
          <w:kern w:val="0"/>
          <w:sz w:val="32"/>
          <w:szCs w:val="32"/>
          <w:highlight w:val="yellow"/>
        </w:rPr>
        <w:t>教育支出等</w:t>
      </w:r>
      <w:r>
        <w:rPr>
          <w:rFonts w:hint="eastAsia" w:ascii="仿宋" w:hAnsi="仿宋" w:eastAsia="仿宋" w:cs="仿宋"/>
          <w:kern w:val="0"/>
          <w:sz w:val="32"/>
          <w:szCs w:val="32"/>
          <w:highlight w:val="yellow"/>
          <w:lang w:eastAsia="zh-CN"/>
        </w:rPr>
        <w:t>发生变化。</w:t>
      </w:r>
    </w:p>
    <w:p w14:paraId="777A9B22">
      <w:pPr>
        <w:jc w:val="center"/>
      </w:pPr>
      <w:r>
        <w:drawing>
          <wp:inline distT="0" distB="0" distL="114300" distR="114300">
            <wp:extent cx="5303520" cy="3181985"/>
            <wp:effectExtent l="0" t="0" r="508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4"/>
                    <a:stretch>
                      <a:fillRect/>
                    </a:stretch>
                  </pic:blipFill>
                  <pic:spPr>
                    <a:xfrm>
                      <a:off x="0" y="0"/>
                      <a:ext cx="5303520" cy="3182112"/>
                    </a:xfrm>
                    <a:prstGeom prst="rect">
                      <a:avLst/>
                    </a:prstGeom>
                  </pic:spPr>
                </pic:pic>
              </a:graphicData>
            </a:graphic>
          </wp:inline>
        </w:drawing>
      </w:r>
    </w:p>
    <w:p w14:paraId="2E27C96E">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24"/>
          <w:szCs w:val="32"/>
          <w:highlight w:val="none"/>
        </w:rPr>
        <w:t>（图5：一般公共预算财政拨款支出决算变动情况）</w:t>
      </w:r>
    </w:p>
    <w:p w14:paraId="448FCD86">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（二）一般公共预算财政拨款支出决算结构情况</w:t>
      </w:r>
    </w:p>
    <w:p w14:paraId="68EFA8D7">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2025年度一般公共预算财政拨款支出3883.58万元，主要用于以下方面：教育支出3207.84万元，占82.6%；社会保障和就业支出343.47万元，占8.8%；卫生健康支出153.47万元，占4%；住房保障支出178.8万元，占4.6%。</w:t>
      </w:r>
    </w:p>
    <w:p w14:paraId="322B4D9E">
      <w:pPr>
        <w:jc w:val="center"/>
      </w:pPr>
      <w:r>
        <w:drawing>
          <wp:inline distT="0" distB="0" distL="114300" distR="114300">
            <wp:extent cx="5303520" cy="4111625"/>
            <wp:effectExtent l="0" t="0" r="508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5"/>
                    <a:stretch>
                      <a:fillRect/>
                    </a:stretch>
                  </pic:blipFill>
                  <pic:spPr>
                    <a:xfrm>
                      <a:off x="0" y="0"/>
                      <a:ext cx="5303520" cy="4111838"/>
                    </a:xfrm>
                    <a:prstGeom prst="rect">
                      <a:avLst/>
                    </a:prstGeom>
                  </pic:spPr>
                </pic:pic>
              </a:graphicData>
            </a:graphic>
          </wp:inline>
        </w:drawing>
      </w:r>
    </w:p>
    <w:p w14:paraId="0B87D9FC">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24"/>
          <w:szCs w:val="32"/>
          <w:highlight w:val="none"/>
        </w:rPr>
        <w:t>（图6：一般公共预算财政拨款支出决算结构）</w:t>
      </w:r>
    </w:p>
    <w:p w14:paraId="53A5992D">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（三）一般公共预算财政拨款支出决算具体情况</w:t>
      </w:r>
    </w:p>
    <w:p w14:paraId="228E3908">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2025年度一般公共预算支出决算数为3883.58万元，完成预算100%。其中：</w:t>
      </w:r>
    </w:p>
    <w:p w14:paraId="2F4CC541">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1.教育支出（类）职业教育（款）中等职业教育（项）：支出决算为3179.75万元</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lang w:val="en-US" w:eastAsia="zh-CN"/>
        </w:rPr>
        <w:t>完成预算100%。</w:t>
      </w:r>
    </w:p>
    <w:p w14:paraId="25615CEF">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2.教育支出（类）其他教育支出（款）其他教育支出（项）：支出决算为28.09万元</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lang w:val="en-US" w:eastAsia="zh-CN"/>
        </w:rPr>
        <w:t>完成预算100%。</w:t>
      </w:r>
    </w:p>
    <w:p w14:paraId="041F50E7">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3.社会保障和就业支出（类）行政事业单位养老支出（款）机关事业单位基本养老保险缴费支出（项）：支出决算为229.63万元</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lang w:val="en-US" w:eastAsia="zh-CN"/>
        </w:rPr>
        <w:t>完成预算100%。</w:t>
      </w:r>
    </w:p>
    <w:p w14:paraId="6164822A">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4.社会保障和就业支出（类）行政事业单位养老支出（款）机关事业单位职业年金缴费支出（项）：支出决算为113.84万元</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lang w:val="en-US" w:eastAsia="zh-CN"/>
        </w:rPr>
        <w:t>完成预算100%。</w:t>
      </w:r>
    </w:p>
    <w:p w14:paraId="0B0B3F6C">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5.卫生健康支出（类）行政事业单位医疗（款）事业单位医疗（项）：支出决算为153.47万元</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lang w:val="en-US" w:eastAsia="zh-CN"/>
        </w:rPr>
        <w:t>完成预算100%。</w:t>
      </w:r>
    </w:p>
    <w:p w14:paraId="407DA0E4">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6.住房保障支出（类）住房改革支出（款）住房公积金（项）：支出决算为176.1万元</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lang w:val="en-US" w:eastAsia="zh-CN"/>
        </w:rPr>
        <w:t>完成预算100%。</w:t>
      </w:r>
    </w:p>
    <w:p w14:paraId="700F64D9">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7.住房保障支出（类）住房改革支出（款）购房补贴（项）：支出决算为2.7万元</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lang w:val="en-US" w:eastAsia="zh-CN"/>
        </w:rPr>
        <w:t>完成预算100%。</w:t>
      </w:r>
    </w:p>
    <w:p w14:paraId="3E66BF39">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1" w:name="_Toc21902"/>
      <w:r>
        <w:rPr>
          <w:rFonts w:hint="eastAsia" w:ascii="黑体" w:hAnsi="黑体" w:eastAsia="黑体"/>
          <w:b/>
          <w:color w:val="auto"/>
          <w:sz w:val="32"/>
          <w:highlight w:val="none"/>
        </w:rPr>
        <w:t>六、一般公共预算财政拨款基本支出决算情况说明</w:t>
      </w:r>
      <w:bookmarkEnd w:id="21"/>
    </w:p>
    <w:p w14:paraId="118B0FCA">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2025年度一般公共预算财政拨款基本支出3039.74万元，其中：</w:t>
      </w:r>
    </w:p>
    <w:p w14:paraId="11445B2F">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人员经费2726.67万元，主要包括：基本工资、津贴补贴、伙食补助费、绩效工资、机关事业单位基本养老保险缴费、职业年金缴费、其他社会保障缴费、住房公积金、其他工资福利支出、生活补助、奖励金等。</w:t>
      </w:r>
    </w:p>
    <w:p w14:paraId="625E1A15">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公用经费313.06万元，主要包括：办公费、水费、电费、邮电费、物业管理费、差旅费、维修（护）费、培训费、委托业务费、福利费、公务用车运行维护费、其他交通费用等。</w:t>
      </w:r>
    </w:p>
    <w:p w14:paraId="2756D0E1">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2" w:name="_Toc6080"/>
      <w:r>
        <w:rPr>
          <w:rFonts w:hint="eastAsia" w:ascii="黑体" w:hAnsi="黑体" w:eastAsia="黑体"/>
          <w:b/>
          <w:color w:val="auto"/>
          <w:sz w:val="32"/>
          <w:highlight w:val="none"/>
        </w:rPr>
        <w:t>七、财政拨款“三公”经费支出决算情况说明</w:t>
      </w:r>
      <w:bookmarkEnd w:id="22"/>
    </w:p>
    <w:p w14:paraId="2927CB3C">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（一）财政拨款“三公”经费支出决算总体情况说明</w:t>
      </w:r>
    </w:p>
    <w:p w14:paraId="13DAA205">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2025年度财政拨款“三公”经费支出决算为67.71万元，完成预算100%，较上年度增加67.71万元，增长100%。决算数与预算数持平。</w:t>
      </w:r>
    </w:p>
    <w:p w14:paraId="3491019B">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（二）财政拨款“三公”经费支出决算具体情况说明</w:t>
      </w:r>
    </w:p>
    <w:p w14:paraId="28E16E25">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2025年度财政拨款“三公”经费支出决算中，因公出国（境）费支出决算0万元，占0%；公务用车购置及运行维护费支出决算67.71万元，占100%；公务接待费支出决算0万元，占0%。具体情况如下：</w:t>
      </w:r>
    </w:p>
    <w:p w14:paraId="48BC4F19">
      <w:pPr>
        <w:jc w:val="center"/>
      </w:pPr>
      <w:r>
        <w:drawing>
          <wp:inline distT="0" distB="0" distL="114300" distR="114300">
            <wp:extent cx="5303520" cy="4111625"/>
            <wp:effectExtent l="0" t="0" r="508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6"/>
                    <a:stretch>
                      <a:fillRect/>
                    </a:stretch>
                  </pic:blipFill>
                  <pic:spPr>
                    <a:xfrm>
                      <a:off x="0" y="0"/>
                      <a:ext cx="5303520" cy="4111838"/>
                    </a:xfrm>
                    <a:prstGeom prst="rect">
                      <a:avLst/>
                    </a:prstGeom>
                  </pic:spPr>
                </pic:pic>
              </a:graphicData>
            </a:graphic>
          </wp:inline>
        </w:drawing>
      </w:r>
    </w:p>
    <w:p w14:paraId="05B1E623">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24"/>
          <w:szCs w:val="32"/>
          <w:highlight w:val="none"/>
        </w:rPr>
        <w:t>（图7：财政拨款“三公”经费支出结构）</w:t>
      </w:r>
    </w:p>
    <w:p w14:paraId="15A1B81B">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1.因公出国（境）经费支出0万元，完成预算0%。全年安排因公出国（境）团组0次，出国（境）0人。因公出国（境）支出决算与上年度持平。</w:t>
      </w:r>
    </w:p>
    <w:p w14:paraId="549A4648">
      <w:pPr>
        <w:spacing w:before="93" w:after="0" w:line="600" w:lineRule="exact"/>
        <w:ind w:leftChars="0" w:firstLineChars="200"/>
        <w:jc w:val="left"/>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2.公务用车购置及运行维护费支出67.71万元，完成预算100%。公务用车购置及运行维护费支出决算比上年度增加58.29万元，增长</w:t>
      </w:r>
      <w:r>
        <w:rPr>
          <w:rFonts w:hint="eastAsia" w:ascii="仿宋_GB2312" w:hAnsi="仿宋_GB2312" w:eastAsia="仿宋_GB2312" w:cs="仿宋_GB2312"/>
          <w:b w:val="0"/>
          <w:color w:val="auto"/>
          <w:sz w:val="32"/>
          <w:szCs w:val="32"/>
          <w:highlight w:val="none"/>
          <w:lang w:val="en-US" w:eastAsia="zh-CN"/>
        </w:rPr>
        <w:t>618.59</w:t>
      </w:r>
      <w:r>
        <w:rPr>
          <w:rFonts w:hint="eastAsia" w:ascii="仿宋_GB2312" w:hAnsi="仿宋_GB2312" w:eastAsia="仿宋_GB2312" w:cs="仿宋_GB2312"/>
          <w:b w:val="0"/>
          <w:color w:val="auto"/>
          <w:sz w:val="32"/>
          <w:szCs w:val="32"/>
          <w:highlight w:val="none"/>
        </w:rPr>
        <w:t>%。主要原因是</w:t>
      </w:r>
      <w:r>
        <w:rPr>
          <w:rFonts w:hint="eastAsia" w:ascii="仿宋_GB2312" w:hAnsi="仿宋_GB2312" w:eastAsia="仿宋_GB2312" w:cs="仿宋_GB2312"/>
          <w:b w:val="0"/>
          <w:color w:val="auto"/>
          <w:sz w:val="32"/>
          <w:szCs w:val="32"/>
          <w:highlight w:val="none"/>
          <w:lang w:val="en-US" w:eastAsia="zh-CN"/>
        </w:rPr>
        <w:t>新购置公务用车一辆</w:t>
      </w:r>
      <w:r>
        <w:rPr>
          <w:rFonts w:hint="eastAsia" w:ascii="仿宋_GB2312" w:hAnsi="仿宋_GB2312" w:eastAsia="仿宋_GB2312" w:cs="仿宋_GB2312"/>
          <w:b w:val="0"/>
          <w:color w:val="auto"/>
          <w:sz w:val="32"/>
          <w:szCs w:val="32"/>
          <w:highlight w:val="none"/>
        </w:rPr>
        <w:t>。</w:t>
      </w:r>
    </w:p>
    <w:p w14:paraId="3EA0597A">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其中：公务用车购置支出57.67万元。全年按规定更新购置公务用车1辆，其中：</w:t>
      </w:r>
      <w:r>
        <w:rPr>
          <w:rFonts w:hint="eastAsia" w:ascii="仿宋_GB2312" w:hAnsi="仿宋_GB2312" w:eastAsia="仿宋_GB2312" w:cs="仿宋_GB2312"/>
          <w:b w:val="0"/>
          <w:color w:val="auto"/>
          <w:sz w:val="32"/>
          <w:szCs w:val="32"/>
          <w:highlight w:val="yellow"/>
        </w:rPr>
        <w:t>轿车【请填写】辆、金额【请填写】万元，越野车【请填写】辆、金额【请填写】万元，载客汽车【请填写】辆、金额【请填写】万元，</w:t>
      </w:r>
      <w:r>
        <w:rPr>
          <w:rFonts w:hint="eastAsia" w:eastAsia="仿宋_GB2312" w:cs="仿宋_GB2312"/>
          <w:sz w:val="32"/>
          <w:szCs w:val="32"/>
        </w:rPr>
        <w:t>主要用于日常公务运行</w:t>
      </w:r>
      <w:r>
        <w:rPr>
          <w:rFonts w:hint="eastAsia" w:eastAsia="仿宋_GB2312" w:cs="仿宋_GB2312"/>
          <w:sz w:val="32"/>
          <w:szCs w:val="32"/>
          <w:highlight w:val="none"/>
          <w:lang w:val="en-US" w:eastAsia="zh-CN"/>
        </w:rPr>
        <w:t>等</w:t>
      </w:r>
      <w:r>
        <w:rPr>
          <w:rFonts w:hint="eastAsia" w:ascii="仿宋_GB2312" w:hAnsi="仿宋_GB2312" w:eastAsia="仿宋_GB2312" w:cs="仿宋_GB2312"/>
          <w:b w:val="0"/>
          <w:color w:val="auto"/>
          <w:sz w:val="32"/>
          <w:szCs w:val="32"/>
          <w:highlight w:val="none"/>
        </w:rPr>
        <w:t>。截至2025年12月31日，单位共有公务用车2辆，其中：</w:t>
      </w:r>
      <w:r>
        <w:rPr>
          <w:rFonts w:hint="eastAsia" w:ascii="仿宋_GB2312" w:hAnsi="仿宋_GB2312" w:eastAsia="仿宋_GB2312" w:cs="仿宋_GB2312"/>
          <w:b w:val="0"/>
          <w:color w:val="auto"/>
          <w:sz w:val="32"/>
          <w:szCs w:val="32"/>
          <w:highlight w:val="yellow"/>
        </w:rPr>
        <w:t>轿车【请填写】辆、越野车</w:t>
      </w:r>
      <w:r>
        <w:rPr>
          <w:rFonts w:hint="eastAsia" w:ascii="仿宋_GB2312" w:hAnsi="仿宋_GB2312" w:eastAsia="仿宋_GB2312" w:cs="仿宋_GB2312"/>
          <w:b w:val="0"/>
          <w:color w:val="auto"/>
          <w:sz w:val="32"/>
          <w:szCs w:val="32"/>
          <w:highlight w:val="yellow"/>
          <w:lang w:val="en-US" w:eastAsia="zh-CN"/>
        </w:rPr>
        <w:t>1</w:t>
      </w:r>
      <w:r>
        <w:rPr>
          <w:rFonts w:hint="eastAsia" w:ascii="仿宋_GB2312" w:hAnsi="仿宋_GB2312" w:eastAsia="仿宋_GB2312" w:cs="仿宋_GB2312"/>
          <w:b w:val="0"/>
          <w:color w:val="auto"/>
          <w:sz w:val="32"/>
          <w:szCs w:val="32"/>
          <w:highlight w:val="yellow"/>
        </w:rPr>
        <w:t>辆、载客汽车【请填写】辆。</w:t>
      </w:r>
    </w:p>
    <w:p w14:paraId="2BCD4362">
      <w:pPr>
        <w:spacing w:line="600" w:lineRule="exact"/>
        <w:ind w:firstLine="64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公务用车运行维护费支出10.04万元。</w:t>
      </w:r>
      <w:r>
        <w:rPr>
          <w:rFonts w:hint="eastAsia" w:ascii="仿宋_GB2312" w:hAnsi="仿宋_GB2312" w:eastAsia="仿宋_GB2312" w:cs="仿宋_GB2312"/>
          <w:b w:val="0"/>
          <w:color w:val="auto"/>
          <w:sz w:val="32"/>
          <w:szCs w:val="32"/>
          <w:highlight w:val="none"/>
          <w:lang w:eastAsia="zh-CN"/>
        </w:rPr>
        <w:t>主要用于</w:t>
      </w:r>
      <w:r>
        <w:rPr>
          <w:rFonts w:hint="eastAsia" w:eastAsia="仿宋_GB2312" w:cs="仿宋_GB2312"/>
          <w:sz w:val="32"/>
          <w:szCs w:val="32"/>
        </w:rPr>
        <w:t>日常公务运行</w:t>
      </w:r>
      <w:r>
        <w:rPr>
          <w:rFonts w:hint="eastAsia" w:eastAsia="仿宋_GB2312" w:cs="仿宋_GB2312"/>
          <w:sz w:val="32"/>
          <w:szCs w:val="32"/>
          <w:lang w:val="en-US" w:eastAsia="zh-CN"/>
        </w:rPr>
        <w:t>等</w:t>
      </w:r>
      <w:r>
        <w:rPr>
          <w:rFonts w:hint="eastAsia" w:eastAsia="仿宋_GB2312" w:cs="仿宋_GB2312"/>
          <w:sz w:val="32"/>
          <w:szCs w:val="32"/>
        </w:rPr>
        <w:t>所需的公务用车燃料费、维修费、过路过桥费、保险费等支出。</w:t>
      </w:r>
    </w:p>
    <w:p w14:paraId="3326D012">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3.公务接待费支出0万元，完成预算0%。公务接待费支出决算与上年度持平。其中：</w:t>
      </w:r>
    </w:p>
    <w:p w14:paraId="2FDDF830">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国内公务接待支出0万元。国内公务接待0批次，0人次（不包括陪同人员），共计支出0万元</w:t>
      </w:r>
      <w:r>
        <w:rPr>
          <w:rFonts w:hint="eastAsia" w:ascii="仿宋_GB2312" w:hAnsi="仿宋_GB2312" w:eastAsia="仿宋_GB2312" w:cs="仿宋_GB2312"/>
          <w:b w:val="0"/>
          <w:color w:val="auto"/>
          <w:sz w:val="32"/>
          <w:szCs w:val="32"/>
          <w:highlight w:val="none"/>
          <w:lang w:eastAsia="zh-CN"/>
        </w:rPr>
        <w:t>。</w:t>
      </w:r>
    </w:p>
    <w:p w14:paraId="6991D150">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外事接待支出0万元。外事接待0批次，0人次（不包括陪同人员），共计支出0万元。</w:t>
      </w:r>
    </w:p>
    <w:p w14:paraId="5A87D1A7">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3" w:name="_Toc15194"/>
      <w:r>
        <w:rPr>
          <w:rFonts w:hint="eastAsia" w:ascii="黑体" w:hAnsi="黑体" w:eastAsia="黑体"/>
          <w:b/>
          <w:color w:val="auto"/>
          <w:sz w:val="32"/>
          <w:highlight w:val="none"/>
        </w:rPr>
        <w:t>八、政府性基金预算支出决算情况说明</w:t>
      </w:r>
      <w:bookmarkEnd w:id="23"/>
    </w:p>
    <w:p w14:paraId="6A9C4B38">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2025年度政府性基金预算财政拨款支出0万元，占本年支出合计的0%。与上年度相比，政府性基金预算财政拨款支出持平。</w:t>
      </w:r>
    </w:p>
    <w:p w14:paraId="4114FE78">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4" w:name="_Toc2282"/>
      <w:r>
        <w:rPr>
          <w:rFonts w:hint="eastAsia" w:ascii="黑体" w:hAnsi="黑体" w:eastAsia="黑体"/>
          <w:b/>
          <w:color w:val="auto"/>
          <w:sz w:val="32"/>
          <w:highlight w:val="none"/>
        </w:rPr>
        <w:t>九、国有资本经营预算支出决算情况说明</w:t>
      </w:r>
      <w:bookmarkEnd w:id="24"/>
    </w:p>
    <w:p w14:paraId="34EC0C43">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2025年度国有资本经营预算财政拨款支出0万元，占本年支出合计的0%。与上年度相比，国有资本经营预算财政拨款支出持平。</w:t>
      </w:r>
    </w:p>
    <w:p w14:paraId="7D9F03CB">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5" w:name="_Toc21073"/>
      <w:r>
        <w:rPr>
          <w:rFonts w:hint="eastAsia" w:ascii="黑体" w:hAnsi="黑体" w:eastAsia="黑体"/>
          <w:b/>
          <w:color w:val="auto"/>
          <w:sz w:val="32"/>
          <w:highlight w:val="none"/>
        </w:rPr>
        <w:t>十、其他重要事项的情况说明</w:t>
      </w:r>
      <w:bookmarkEnd w:id="25"/>
    </w:p>
    <w:p w14:paraId="779BBE15">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（一）机关运行经费支出情况</w:t>
      </w:r>
    </w:p>
    <w:p w14:paraId="7EF831CE">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2025年度，阿坝州艺体中学校（四川省威州民族师范学校）机关运行经费支出0万元，与上年度持平。</w:t>
      </w:r>
    </w:p>
    <w:p w14:paraId="57814C32">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（二）政府采购支出情况</w:t>
      </w:r>
    </w:p>
    <w:p w14:paraId="07728850">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2025年度，阿坝州艺体中学校（四川省威州民族师范学校）政府采购支出总额196.86万元，其中：政府采购货物支出135.75万元、政府采购工程支出0万元、政府采购服务支出61.11万元。</w:t>
      </w:r>
      <w:r>
        <w:rPr>
          <w:rFonts w:hint="eastAsia" w:ascii="仿宋_GB2312" w:hAnsi="仿宋_GB2312" w:eastAsia="仿宋_GB2312" w:cs="仿宋_GB2312"/>
          <w:sz w:val="32"/>
          <w:szCs w:val="32"/>
          <w:highlight w:val="yellow"/>
        </w:rPr>
        <w:t>主要用于“三名工程”建设2024年师资培训项目</w:t>
      </w:r>
      <w:r>
        <w:rPr>
          <w:rFonts w:hint="eastAsia" w:ascii="仿宋_GB2312" w:hAnsi="仿宋_GB2312" w:eastAsia="仿宋_GB2312" w:cs="仿宋_GB2312"/>
          <w:sz w:val="32"/>
          <w:szCs w:val="32"/>
          <w:highlight w:val="yellow"/>
          <w:lang w:eastAsia="zh-CN"/>
        </w:rPr>
        <w:t>、录播教室建设项目、</w:t>
      </w:r>
      <w:r>
        <w:rPr>
          <w:rFonts w:hint="eastAsia" w:ascii="仿宋_GB2312" w:hAnsi="仿宋_GB2312" w:eastAsia="仿宋_GB2312" w:cs="仿宋_GB2312"/>
          <w:sz w:val="32"/>
          <w:szCs w:val="32"/>
          <w:highlight w:val="yellow"/>
          <w:lang w:val="en-US" w:eastAsia="zh-CN"/>
        </w:rPr>
        <w:t>幼</w:t>
      </w:r>
      <w:r>
        <w:rPr>
          <w:rFonts w:hint="eastAsia" w:ascii="仿宋_GB2312" w:hAnsi="仿宋_GB2312" w:eastAsia="仿宋_GB2312" w:cs="仿宋_GB2312"/>
          <w:sz w:val="32"/>
          <w:szCs w:val="32"/>
          <w:highlight w:val="yellow"/>
          <w:lang w:eastAsia="zh-CN"/>
        </w:rPr>
        <w:t>儿保育专业实训</w:t>
      </w:r>
      <w:r>
        <w:rPr>
          <w:rFonts w:hint="eastAsia" w:ascii="仿宋_GB2312" w:hAnsi="仿宋_GB2312" w:eastAsia="仿宋_GB2312" w:cs="仿宋_GB2312"/>
          <w:sz w:val="32"/>
          <w:szCs w:val="32"/>
          <w:highlight w:val="yellow"/>
          <w:lang w:val="en-US" w:eastAsia="zh-CN"/>
        </w:rPr>
        <w:t>等</w:t>
      </w:r>
      <w:r>
        <w:rPr>
          <w:rFonts w:hint="eastAsia" w:ascii="仿宋_GB2312" w:hAnsi="仿宋_GB2312" w:eastAsia="仿宋_GB2312" w:cs="仿宋_GB2312"/>
          <w:b w:val="0"/>
          <w:color w:val="auto"/>
          <w:sz w:val="32"/>
          <w:szCs w:val="32"/>
          <w:highlight w:val="yellow"/>
        </w:rPr>
        <w:t>。</w:t>
      </w:r>
      <w:r>
        <w:rPr>
          <w:rFonts w:hint="eastAsia" w:ascii="仿宋_GB2312" w:hAnsi="仿宋_GB2312" w:eastAsia="仿宋_GB2312" w:cs="仿宋_GB2312"/>
          <w:b w:val="0"/>
          <w:color w:val="auto"/>
          <w:sz w:val="32"/>
          <w:szCs w:val="32"/>
          <w:highlight w:val="none"/>
        </w:rPr>
        <w:t>授予中小企业合同金额196.86万元，占政府采购支出总额的100%，其中：授予小微企业合同金额196.86万元，占政府采购支出总额的100%。</w:t>
      </w:r>
    </w:p>
    <w:p w14:paraId="39F14457">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（三）国有资产占有使用情况</w:t>
      </w:r>
    </w:p>
    <w:p w14:paraId="0B6FE153">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截至2025年12月31日，阿坝州艺体中学校（四川省威州民族师范学校）共有车辆2辆，其中：副部（省）级及以上领导用车0辆、主要负责人用车0辆、机要通信用车0辆、应急保障用车2辆、执法执勤用车0辆、特种专业技术用车0辆、离退休干部服务用车0辆、其他用车0辆。单价100万元（含）以上设备（不含车辆）0台（套）。</w:t>
      </w:r>
    </w:p>
    <w:p w14:paraId="745E7EF8">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（四）预算绩效管理情况</w:t>
      </w:r>
    </w:p>
    <w:p w14:paraId="03E187A7">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根据预算绩效管理要求，阿坝州艺体中学校（四川省威州民族师范学校）在2025年度，组织对</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rPr>
        <w:t>教育运转经费</w:t>
      </w:r>
      <w:r>
        <w:rPr>
          <w:rFonts w:hint="eastAsia" w:ascii="仿宋_GB2312" w:hAnsi="仿宋_GB2312" w:eastAsia="仿宋_GB2312" w:cs="仿宋_GB2312"/>
          <w:b w:val="0"/>
          <w:color w:val="auto"/>
          <w:sz w:val="32"/>
          <w:szCs w:val="32"/>
          <w:highlight w:val="none"/>
          <w:lang w:eastAsia="zh-CN"/>
        </w:rPr>
        <w:t>”“学生助学金”“学生代管费”</w:t>
      </w:r>
      <w:r>
        <w:rPr>
          <w:rFonts w:hint="eastAsia" w:ascii="仿宋_GB2312" w:hAnsi="仿宋_GB2312" w:eastAsia="仿宋_GB2312" w:cs="仿宋_GB2312"/>
          <w:b w:val="0"/>
          <w:color w:val="auto"/>
          <w:sz w:val="32"/>
          <w:szCs w:val="32"/>
          <w:highlight w:val="none"/>
        </w:rPr>
        <w:t>等</w:t>
      </w:r>
      <w:r>
        <w:rPr>
          <w:rFonts w:hint="eastAsia" w:ascii="仿宋_GB2312" w:hAnsi="仿宋_GB2312" w:eastAsia="仿宋_GB2312" w:cs="仿宋_GB2312"/>
          <w:b w:val="0"/>
          <w:color w:val="auto"/>
          <w:sz w:val="32"/>
          <w:szCs w:val="32"/>
          <w:highlight w:val="none"/>
          <w:lang w:val="en-US" w:eastAsia="zh-CN"/>
        </w:rPr>
        <w:t>16</w:t>
      </w:r>
      <w:r>
        <w:rPr>
          <w:rFonts w:hint="eastAsia" w:ascii="仿宋_GB2312" w:hAnsi="仿宋_GB2312" w:eastAsia="仿宋_GB2312" w:cs="仿宋_GB2312"/>
          <w:b w:val="0"/>
          <w:color w:val="auto"/>
          <w:sz w:val="32"/>
          <w:szCs w:val="32"/>
          <w:highlight w:val="none"/>
        </w:rPr>
        <w:t>个项目涉及金额865.83万元开展了事前绩效评估，对</w:t>
      </w:r>
      <w:r>
        <w:rPr>
          <w:rFonts w:hint="eastAsia" w:ascii="仿宋_GB2312" w:hAnsi="仿宋_GB2312" w:eastAsia="仿宋_GB2312" w:cs="仿宋_GB2312"/>
          <w:b w:val="0"/>
          <w:color w:val="auto"/>
          <w:sz w:val="32"/>
          <w:szCs w:val="32"/>
          <w:highlight w:val="none"/>
          <w:lang w:val="en-US" w:eastAsia="zh-CN"/>
        </w:rPr>
        <w:t>16</w:t>
      </w:r>
      <w:r>
        <w:rPr>
          <w:rFonts w:hint="eastAsia" w:ascii="仿宋_GB2312" w:hAnsi="仿宋_GB2312" w:eastAsia="仿宋_GB2312" w:cs="仿宋_GB2312"/>
          <w:b w:val="0"/>
          <w:color w:val="auto"/>
          <w:sz w:val="32"/>
          <w:szCs w:val="32"/>
          <w:highlight w:val="none"/>
        </w:rPr>
        <w:t>个项目编制了绩效目标</w:t>
      </w:r>
      <w:r>
        <w:rPr>
          <w:rFonts w:hint="eastAsia" w:ascii="仿宋_GB2312" w:hAnsi="仿宋_GB2312" w:eastAsia="仿宋_GB2312" w:cs="仿宋_GB2312"/>
          <w:b w:val="0"/>
          <w:color w:val="auto"/>
          <w:sz w:val="32"/>
          <w:szCs w:val="32"/>
          <w:highlight w:val="none"/>
          <w:lang w:eastAsia="zh-CN"/>
        </w:rPr>
        <w:t>，在</w:t>
      </w:r>
      <w:r>
        <w:rPr>
          <w:rFonts w:hint="eastAsia" w:ascii="仿宋_GB2312" w:hAnsi="仿宋_GB2312" w:eastAsia="仿宋_GB2312" w:cs="仿宋_GB2312"/>
          <w:b w:val="0"/>
          <w:color w:val="auto"/>
          <w:sz w:val="32"/>
          <w:szCs w:val="32"/>
          <w:highlight w:val="none"/>
        </w:rPr>
        <w:t>预算执行过程中，选取</w:t>
      </w:r>
      <w:r>
        <w:rPr>
          <w:rFonts w:hint="eastAsia" w:ascii="仿宋_GB2312" w:hAnsi="仿宋_GB2312" w:eastAsia="仿宋_GB2312" w:cs="仿宋_GB2312"/>
          <w:b w:val="0"/>
          <w:color w:val="auto"/>
          <w:sz w:val="32"/>
          <w:szCs w:val="32"/>
          <w:highlight w:val="none"/>
          <w:lang w:val="en-US" w:eastAsia="zh-CN"/>
        </w:rPr>
        <w:t>16</w:t>
      </w:r>
      <w:r>
        <w:rPr>
          <w:rFonts w:hint="eastAsia" w:ascii="仿宋_GB2312" w:hAnsi="仿宋_GB2312" w:eastAsia="仿宋_GB2312" w:cs="仿宋_GB2312"/>
          <w:b w:val="0"/>
          <w:color w:val="auto"/>
          <w:sz w:val="32"/>
          <w:szCs w:val="32"/>
          <w:highlight w:val="none"/>
        </w:rPr>
        <w:t>个项目开展绩效监控。</w:t>
      </w:r>
    </w:p>
    <w:p w14:paraId="7EE02816">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组织对2025年度一般公共预算、政府性基金预算、国有资本经营预算、社会保险基金预算以及资本资产、债券资金等全面开展绩效自评，形成阿坝州艺体中学校（四川省威州民族师范学校）绩效自评</w:t>
      </w:r>
      <w:r>
        <w:rPr>
          <w:rFonts w:hint="eastAsia" w:ascii="仿宋_GB2312" w:hAnsi="仿宋_GB2312" w:eastAsia="仿宋_GB2312" w:cs="仿宋_GB2312"/>
          <w:b w:val="0"/>
          <w:color w:val="auto"/>
          <w:sz w:val="32"/>
          <w:szCs w:val="32"/>
          <w:highlight w:val="none"/>
          <w:lang w:val="en-US" w:eastAsia="zh-CN"/>
        </w:rPr>
        <w:t>表</w:t>
      </w:r>
      <w:r>
        <w:rPr>
          <w:rFonts w:hint="eastAsia" w:ascii="仿宋_GB2312" w:hAnsi="仿宋_GB2312" w:eastAsia="仿宋_GB2312" w:cs="仿宋_GB2312"/>
          <w:b w:val="0"/>
          <w:color w:val="auto"/>
          <w:sz w:val="32"/>
          <w:szCs w:val="32"/>
          <w:highlight w:val="none"/>
        </w:rPr>
        <w:t>、</w:t>
      </w:r>
      <w:r>
        <w:rPr>
          <w:rFonts w:hint="eastAsia" w:ascii="仿宋_GB2312" w:hAnsi="仿宋_GB2312" w:eastAsia="仿宋_GB2312" w:cs="仿宋_GB2312"/>
          <w:b w:val="0"/>
          <w:color w:val="auto"/>
          <w:sz w:val="32"/>
          <w:szCs w:val="32"/>
          <w:highlight w:val="none"/>
          <w:lang w:eastAsia="zh-CN"/>
        </w:rPr>
        <w:t>“中职学生奖助学金”“中职学生免学费”“159—职业教育改革发展补助资金”</w:t>
      </w:r>
      <w:r>
        <w:rPr>
          <w:rFonts w:hint="eastAsia" w:ascii="仿宋_GB2312" w:hAnsi="仿宋_GB2312" w:eastAsia="仿宋_GB2312" w:cs="仿宋_GB2312"/>
          <w:b w:val="0"/>
          <w:color w:val="auto"/>
          <w:sz w:val="32"/>
          <w:szCs w:val="32"/>
          <w:highlight w:val="none"/>
        </w:rPr>
        <w:t>等专项预算项目绩效自评报告</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rPr>
        <w:t>其中，</w:t>
      </w:r>
      <w:r>
        <w:rPr>
          <w:rFonts w:hint="eastAsia" w:ascii="仿宋_GB2312" w:hAnsi="仿宋_GB2312" w:eastAsia="仿宋_GB2312" w:cs="仿宋_GB2312"/>
          <w:b w:val="0"/>
          <w:color w:val="auto"/>
          <w:sz w:val="32"/>
          <w:szCs w:val="32"/>
          <w:highlight w:val="none"/>
          <w:lang w:val="en-US" w:eastAsia="zh-CN"/>
        </w:rPr>
        <w:t>“9+3”免费教育计划补助资金</w:t>
      </w:r>
      <w:r>
        <w:rPr>
          <w:rFonts w:hint="eastAsia" w:ascii="仿宋_GB2312" w:hAnsi="仿宋_GB2312" w:eastAsia="仿宋_GB2312" w:cs="仿宋_GB2312"/>
          <w:b w:val="0"/>
          <w:color w:val="auto"/>
          <w:sz w:val="32"/>
          <w:szCs w:val="32"/>
          <w:highlight w:val="none"/>
        </w:rPr>
        <w:t>绩效自评得分为</w:t>
      </w:r>
      <w:r>
        <w:rPr>
          <w:rFonts w:hint="eastAsia" w:ascii="仿宋_GB2312" w:hAnsi="仿宋_GB2312" w:eastAsia="仿宋_GB2312" w:cs="仿宋_GB2312"/>
          <w:b w:val="0"/>
          <w:color w:val="auto"/>
          <w:sz w:val="32"/>
          <w:szCs w:val="32"/>
          <w:highlight w:val="none"/>
          <w:lang w:val="en-US" w:eastAsia="zh-CN"/>
        </w:rPr>
        <w:t>100</w:t>
      </w:r>
      <w:r>
        <w:rPr>
          <w:rFonts w:hint="eastAsia" w:ascii="仿宋_GB2312" w:hAnsi="仿宋_GB2312" w:eastAsia="仿宋_GB2312" w:cs="仿宋_GB2312"/>
          <w:b w:val="0"/>
          <w:color w:val="auto"/>
          <w:sz w:val="32"/>
          <w:szCs w:val="32"/>
          <w:highlight w:val="none"/>
        </w:rPr>
        <w:t>分，绩效自评综述</w:t>
      </w:r>
      <w:r>
        <w:rPr>
          <w:rFonts w:hint="eastAsia" w:ascii="仿宋_GB2312" w:hAnsi="仿宋_GB2312" w:eastAsia="仿宋_GB2312" w:cs="仿宋_GB2312"/>
          <w:b w:val="0"/>
          <w:color w:val="auto"/>
          <w:sz w:val="32"/>
          <w:szCs w:val="32"/>
          <w:highlight w:val="none"/>
          <w:lang w:eastAsia="zh-CN"/>
        </w:rPr>
        <w:t>：</w:t>
      </w:r>
      <w:r>
        <w:rPr>
          <w:rFonts w:hint="eastAsia" w:ascii="Times New Roman" w:hAnsi="Times New Roman" w:eastAsia="仿宋_GB2312" w:cstheme="minorBidi"/>
          <w:b w:val="0"/>
          <w:spacing w:val="6"/>
          <w:kern w:val="2"/>
          <w:position w:val="0"/>
          <w:sz w:val="32"/>
          <w:szCs w:val="24"/>
          <w:highlight w:val="none"/>
          <w:lang w:val="en-US" w:eastAsia="zh-CN" w:bidi="ar-SA"/>
        </w:rPr>
        <w:t>项目全面完成预期各项绩效目标，资金充分发挥了保障学校正常运转的核心作用，教学耗材、办公物资供应及时，校园设施维护到位，行政办公、教学教研、后勤保障等各项工作有序开展，师生对学校运转保障工作的满意度极高，项目实施成效优异，资金使用效益得到充分发挥。中职学生奖助学金</w:t>
      </w:r>
      <w:r>
        <w:rPr>
          <w:rFonts w:hint="eastAsia" w:ascii="仿宋_GB2312" w:hAnsi="仿宋_GB2312" w:eastAsia="仿宋_GB2312" w:cs="仿宋_GB2312"/>
          <w:b w:val="0"/>
          <w:color w:val="auto"/>
          <w:sz w:val="32"/>
          <w:szCs w:val="32"/>
          <w:highlight w:val="none"/>
        </w:rPr>
        <w:t>专项预算项目绩效自评得分为</w:t>
      </w:r>
      <w:r>
        <w:rPr>
          <w:rFonts w:hint="eastAsia" w:ascii="仿宋_GB2312" w:hAnsi="仿宋_GB2312" w:eastAsia="仿宋_GB2312" w:cs="仿宋_GB2312"/>
          <w:b w:val="0"/>
          <w:color w:val="auto"/>
          <w:sz w:val="32"/>
          <w:szCs w:val="32"/>
          <w:highlight w:val="none"/>
          <w:lang w:val="en-US" w:eastAsia="zh-CN"/>
        </w:rPr>
        <w:t>100</w:t>
      </w:r>
      <w:r>
        <w:rPr>
          <w:rFonts w:hint="eastAsia" w:ascii="仿宋_GB2312" w:hAnsi="仿宋_GB2312" w:eastAsia="仿宋_GB2312" w:cs="仿宋_GB2312"/>
          <w:b w:val="0"/>
          <w:color w:val="auto"/>
          <w:sz w:val="32"/>
          <w:szCs w:val="32"/>
          <w:highlight w:val="none"/>
        </w:rPr>
        <w:t>分，绩效自评综述</w:t>
      </w:r>
      <w:r>
        <w:rPr>
          <w:rFonts w:hint="eastAsia" w:ascii="仿宋_GB2312" w:hAnsi="仿宋_GB2312" w:eastAsia="仿宋_GB2312" w:cs="仿宋_GB2312"/>
          <w:b w:val="0"/>
          <w:color w:val="auto"/>
          <w:sz w:val="32"/>
          <w:szCs w:val="32"/>
          <w:highlight w:val="none"/>
          <w:lang w:eastAsia="zh-CN"/>
        </w:rPr>
        <w:t>：项目实施全过程严格遵循国家、四川省及阿坝州相关政策规定，项目决策科学、管理规范、实施高效、结果良好。预算资金70.68万元全部足额执行，资金使用合规、精准、高效，无任何违规情况。各项绩效目标全面达成，实现了符合条件学生奖助学金全覆盖，有效激励了品学兼优学生的学习积极性，切实缓解了家庭经济困难学生的就学压力，充分体现了教育公平和民族地区教育扶持政策的民生效益。项目实施对提升学校中职教育教学质量、推动阿坝州艺体类中职教育发展、培养民族地区专业人才发挥了重要作用，整体实施效果显著。</w:t>
      </w:r>
      <w:r>
        <w:rPr>
          <w:rFonts w:hint="eastAsia" w:ascii="Times New Roman" w:hAnsi="Times New Roman" w:eastAsia="仿宋_GB2312" w:cstheme="minorBidi"/>
          <w:b w:val="0"/>
          <w:spacing w:val="6"/>
          <w:kern w:val="2"/>
          <w:position w:val="0"/>
          <w:sz w:val="32"/>
          <w:szCs w:val="24"/>
          <w:highlight w:val="none"/>
          <w:lang w:val="en-US" w:eastAsia="zh-CN" w:bidi="ar-SA"/>
        </w:rPr>
        <w:t>中职学生免学费</w:t>
      </w:r>
      <w:r>
        <w:rPr>
          <w:rFonts w:hint="eastAsia" w:ascii="仿宋_GB2312" w:hAnsi="仿宋_GB2312" w:eastAsia="仿宋_GB2312" w:cs="仿宋_GB2312"/>
          <w:b w:val="0"/>
          <w:color w:val="auto"/>
          <w:sz w:val="32"/>
          <w:szCs w:val="32"/>
          <w:highlight w:val="none"/>
        </w:rPr>
        <w:t>专项预算项目绩效自评得分为</w:t>
      </w:r>
      <w:r>
        <w:rPr>
          <w:rFonts w:hint="eastAsia" w:ascii="仿宋_GB2312" w:hAnsi="仿宋_GB2312" w:eastAsia="仿宋_GB2312" w:cs="仿宋_GB2312"/>
          <w:b w:val="0"/>
          <w:color w:val="auto"/>
          <w:sz w:val="32"/>
          <w:szCs w:val="32"/>
          <w:highlight w:val="none"/>
          <w:lang w:val="en-US" w:eastAsia="zh-CN"/>
        </w:rPr>
        <w:t>98</w:t>
      </w:r>
      <w:r>
        <w:rPr>
          <w:rFonts w:hint="eastAsia" w:ascii="仿宋_GB2312" w:hAnsi="仿宋_GB2312" w:eastAsia="仿宋_GB2312" w:cs="仿宋_GB2312"/>
          <w:b w:val="0"/>
          <w:color w:val="auto"/>
          <w:sz w:val="32"/>
          <w:szCs w:val="32"/>
          <w:highlight w:val="none"/>
        </w:rPr>
        <w:t>分，绩效自评综述</w:t>
      </w:r>
      <w:r>
        <w:rPr>
          <w:rFonts w:hint="eastAsia" w:ascii="仿宋_GB2312" w:hAnsi="仿宋_GB2312" w:eastAsia="仿宋_GB2312" w:cs="仿宋_GB2312"/>
          <w:b w:val="0"/>
          <w:color w:val="auto"/>
          <w:sz w:val="32"/>
          <w:szCs w:val="32"/>
          <w:highlight w:val="none"/>
          <w:lang w:eastAsia="zh-CN"/>
        </w:rPr>
        <w:t>：</w:t>
      </w:r>
      <w:r>
        <w:rPr>
          <w:rFonts w:hint="eastAsia" w:ascii="Times New Roman" w:hAnsi="Times New Roman" w:eastAsia="仿宋_GB2312" w:cs="Times New Roman"/>
          <w:b w:val="0"/>
          <w:bCs w:val="0"/>
          <w:color w:val="auto"/>
          <w:kern w:val="0"/>
          <w:position w:val="0"/>
          <w:sz w:val="32"/>
          <w:szCs w:val="32"/>
          <w:highlight w:val="none"/>
          <w:lang w:val="en-US" w:eastAsia="zh-CN" w:bidi="ar-SA"/>
        </w:rPr>
        <w:t>该项目通过免除学费和提供助学金，帮助家庭经济困难学生顺利完成学业，促进职业教育发展，推动社会公平和经济可持续发展。</w:t>
      </w:r>
      <w:r>
        <w:rPr>
          <w:rFonts w:hint="eastAsia" w:ascii="Times New Roman" w:hAnsi="Times New Roman" w:eastAsia="仿宋_GB2312" w:cstheme="minorBidi"/>
          <w:b w:val="0"/>
          <w:spacing w:val="6"/>
          <w:kern w:val="2"/>
          <w:position w:val="0"/>
          <w:sz w:val="32"/>
          <w:szCs w:val="24"/>
          <w:highlight w:val="none"/>
          <w:lang w:val="en-US" w:eastAsia="zh-CN" w:bidi="ar-SA"/>
        </w:rPr>
        <w:t>159—职业教育改革发展补助资金</w:t>
      </w:r>
      <w:r>
        <w:rPr>
          <w:rFonts w:hint="eastAsia" w:ascii="仿宋_GB2312" w:hAnsi="仿宋_GB2312" w:eastAsia="仿宋_GB2312" w:cs="仿宋_GB2312"/>
          <w:b w:val="0"/>
          <w:color w:val="auto"/>
          <w:sz w:val="32"/>
          <w:szCs w:val="32"/>
          <w:highlight w:val="none"/>
        </w:rPr>
        <w:t>专项预算项目绩效自评得分为</w:t>
      </w:r>
      <w:r>
        <w:rPr>
          <w:rFonts w:hint="eastAsia" w:ascii="仿宋_GB2312" w:hAnsi="仿宋_GB2312" w:eastAsia="仿宋_GB2312" w:cs="仿宋_GB2312"/>
          <w:b w:val="0"/>
          <w:color w:val="auto"/>
          <w:sz w:val="32"/>
          <w:szCs w:val="32"/>
          <w:highlight w:val="none"/>
          <w:lang w:val="en-US" w:eastAsia="zh-CN"/>
        </w:rPr>
        <w:t>100</w:t>
      </w:r>
      <w:r>
        <w:rPr>
          <w:rFonts w:hint="eastAsia" w:ascii="仿宋_GB2312" w:hAnsi="仿宋_GB2312" w:eastAsia="仿宋_GB2312" w:cs="仿宋_GB2312"/>
          <w:b w:val="0"/>
          <w:color w:val="auto"/>
          <w:sz w:val="32"/>
          <w:szCs w:val="32"/>
          <w:highlight w:val="none"/>
        </w:rPr>
        <w:t>分，绩效自评综述</w:t>
      </w:r>
      <w:r>
        <w:rPr>
          <w:rFonts w:hint="eastAsia" w:ascii="仿宋_GB2312" w:hAnsi="仿宋_GB2312" w:eastAsia="仿宋_GB2312" w:cs="仿宋_GB2312"/>
          <w:b w:val="0"/>
          <w:color w:val="auto"/>
          <w:sz w:val="32"/>
          <w:szCs w:val="32"/>
          <w:highlight w:val="none"/>
          <w:lang w:eastAsia="zh-CN"/>
        </w:rPr>
        <w:t>：</w:t>
      </w:r>
      <w:r>
        <w:rPr>
          <w:rFonts w:hint="eastAsia" w:ascii="Times New Roman" w:hAnsi="Times New Roman" w:eastAsia="仿宋_GB2312" w:cs="Times New Roman"/>
          <w:b w:val="0"/>
          <w:bCs w:val="0"/>
          <w:color w:val="auto"/>
          <w:kern w:val="2"/>
          <w:position w:val="0"/>
          <w:sz w:val="32"/>
          <w:szCs w:val="32"/>
          <w:highlight w:val="none"/>
          <w:u w:val="none"/>
          <w:lang w:val="en-US" w:eastAsia="zh-CN" w:bidi="ar-SA"/>
        </w:rPr>
        <w:t>资金使用合规、精准、高效，无任何违规情况。各项绩效目标基本达成，专业建设、实训基地升级、师资队伍培养、教学改革推进、校企合作深化等核心任务均高质量完成，学校艺体类中职教育办学能力、人才培养质量、服务地方发展能力均实现显著提升，有效推动了阿坝州职业教育改革发展，充分发挥了财政补助资金的政策效用和资金效益</w:t>
      </w:r>
      <w:r>
        <w:rPr>
          <w:rFonts w:hint="eastAsia" w:ascii="仿宋_GB2312" w:hAnsi="仿宋_GB2312" w:eastAsia="仿宋_GB2312" w:cs="仿宋_GB2312"/>
          <w:b w:val="0"/>
          <w:color w:val="auto"/>
          <w:sz w:val="32"/>
          <w:szCs w:val="32"/>
          <w:highlight w:val="none"/>
        </w:rPr>
        <w:t>。绩效自评</w:t>
      </w:r>
      <w:r>
        <w:rPr>
          <w:rFonts w:hint="eastAsia" w:ascii="仿宋_GB2312" w:hAnsi="仿宋_GB2312" w:eastAsia="仿宋_GB2312" w:cs="仿宋_GB2312"/>
          <w:b w:val="0"/>
          <w:color w:val="auto"/>
          <w:sz w:val="32"/>
          <w:szCs w:val="32"/>
          <w:highlight w:val="none"/>
          <w:lang w:val="en-US" w:eastAsia="zh-CN"/>
        </w:rPr>
        <w:t>表</w:t>
      </w:r>
      <w:r>
        <w:rPr>
          <w:rFonts w:hint="eastAsia" w:ascii="仿宋_GB2312" w:hAnsi="仿宋_GB2312" w:eastAsia="仿宋_GB2312" w:cs="仿宋_GB2312"/>
          <w:b w:val="0"/>
          <w:color w:val="auto"/>
          <w:sz w:val="32"/>
          <w:szCs w:val="32"/>
          <w:highlight w:val="none"/>
        </w:rPr>
        <w:t>详见</w:t>
      </w:r>
      <w:r>
        <w:rPr>
          <w:rFonts w:hint="eastAsia" w:ascii="仿宋_GB2312" w:hAnsi="仿宋_GB2312" w:eastAsia="仿宋_GB2312" w:cs="仿宋_GB2312"/>
          <w:b w:val="0"/>
          <w:color w:val="auto"/>
          <w:sz w:val="32"/>
          <w:szCs w:val="32"/>
          <w:highlight w:val="none"/>
          <w:lang w:val="en-US" w:eastAsia="zh-CN"/>
        </w:rPr>
        <w:t>第四部分</w:t>
      </w:r>
      <w:r>
        <w:rPr>
          <w:rFonts w:hint="eastAsia" w:ascii="仿宋_GB2312" w:hAnsi="仿宋_GB2312" w:eastAsia="仿宋_GB2312" w:cs="仿宋_GB2312"/>
          <w:b w:val="0"/>
          <w:color w:val="auto"/>
          <w:sz w:val="32"/>
          <w:szCs w:val="32"/>
          <w:highlight w:val="none"/>
        </w:rPr>
        <w:t>附件。</w:t>
      </w:r>
    </w:p>
    <w:p w14:paraId="067F719A">
      <w:r>
        <w:br w:type="page"/>
      </w:r>
    </w:p>
    <w:p w14:paraId="3DF5E9EF">
      <w:pPr>
        <w:pStyle w:val="2"/>
        <w:spacing w:before="340" w:after="330" w:line="578" w:lineRule="auto"/>
        <w:ind w:leftChars="0" w:firstLineChars="0"/>
        <w:jc w:val="center"/>
        <w:rPr>
          <w:rStyle w:val="28"/>
          <w:rFonts w:hint="eastAsia" w:ascii="Times New Roman" w:hAnsi="Times New Roman" w:eastAsia="方正小标宋简体" w:cs="方正小标宋简体"/>
          <w:b/>
          <w:bCs w:val="0"/>
          <w:color w:val="auto"/>
          <w:highlight w:val="none"/>
        </w:rPr>
      </w:pPr>
      <w:bookmarkStart w:id="26" w:name="_Toc3650"/>
      <w:r>
        <w:rPr>
          <w:rFonts w:hint="eastAsia" w:ascii="方正小标宋简体" w:hAnsi="方正小标宋简体" w:eastAsia="方正小标宋简体" w:cs="方正小标宋简体"/>
          <w:b/>
          <w:color w:val="auto"/>
          <w:sz w:val="44"/>
          <w:highlight w:val="none"/>
        </w:rPr>
        <w:t>第三部分  名词解释</w:t>
      </w:r>
      <w:bookmarkEnd w:id="26"/>
    </w:p>
    <w:p w14:paraId="4116307B">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1.财政拨款收入：指单位从同级财政部门取得的财政预算资金。</w:t>
      </w:r>
    </w:p>
    <w:p w14:paraId="3AE188F2">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2.事业收入：指事业单位开展专业业务活动及辅助活动取得的收入。</w:t>
      </w:r>
    </w:p>
    <w:p w14:paraId="33D915F3">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3.经营收入：指事业单位在专业业务活动及其辅助活动之外开展非独立核算经营活动取得的收入。</w:t>
      </w:r>
    </w:p>
    <w:p w14:paraId="6874F7FC">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4.其他收入：指单位取得的除上述收入以外的各项收入。</w:t>
      </w:r>
    </w:p>
    <w:p w14:paraId="465D2564">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5.使用非财政拨款结余（含专用结余）：指事业单位使用以前年度积累的非财政拨款结余弥补当年收支差额的金额。</w:t>
      </w:r>
    </w:p>
    <w:p w14:paraId="142A395A">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6.年初结转和结余：指以前年度尚未完成、结转到本年按有关规定继续使用的资金。</w:t>
      </w:r>
    </w:p>
    <w:p w14:paraId="34A27AAE">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7.结余分配：指事业单位按照会计制度规定缴纳的所得税、提取的专用结余以及转入非财政拨款结余的金额等。</w:t>
      </w:r>
    </w:p>
    <w:p w14:paraId="3DF4BFD5">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8.年末结转和结余：指单位按有关规定结转到下年或以后年度继续使用的资金。</w:t>
      </w:r>
    </w:p>
    <w:p w14:paraId="59C0703B">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9.基本支出：指为保障机构正常运转、完成日常工作任务而发生的人员支出和公用支出。</w:t>
      </w:r>
    </w:p>
    <w:p w14:paraId="621B207F">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10.项目支出：指在基本支出之外为完成特定行政任务和事业发展目标所发生的支出。</w:t>
      </w:r>
    </w:p>
    <w:p w14:paraId="04D7DFED">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11.经营支出：指事业单位在专业业务活动及其辅助活动之外开展非独立核算经营活动发生的支出。</w:t>
      </w:r>
    </w:p>
    <w:p w14:paraId="1C8276F5">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CE06A2F">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219842C">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14.教育支出（类）职业教育（款）中等职业教育（项）：反映各部门（不含人力资源社会保障部门）举办的中等职业教育支出。政府各部门对社会组织等举办的中等职业学校的资助，如捐赠、补贴等，也在本科目中反映。</w:t>
      </w:r>
    </w:p>
    <w:p w14:paraId="6D0A22E9">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15.教育支出（类）其他教育支出（款）其他教育支出（项）：反映除上述项目以外其他用于教育方面的支出。</w:t>
      </w:r>
    </w:p>
    <w:p w14:paraId="5A86AA4D">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16.社会保障和就业支出（类）行政事业单位养老支出（款）机关事业单位基本养老保险缴费支出（项）：反映机关事业单位实施养老保险制度由单位缴纳的基本养老保险缴费支出。</w:t>
      </w:r>
    </w:p>
    <w:p w14:paraId="3F782153">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17.社会保障和就业支出（类）行政事业单位养老支出（款）机关事业单位职业年金缴费支出（项）：反映机关事业单位实施养老保险制度由单位实际缴纳的职业年金支出（含职业年金补记支出）。</w:t>
      </w:r>
    </w:p>
    <w:p w14:paraId="6B7559E3">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18.卫生健康支出（类）行政事业单位医疗（款）事业单位医疗（项）：反映财政部门安排的事业单位基本医疗保险缴费经费，未参加医疗保险的事业单位的公费医疗经费，按国家规定享受离休人员待遇的医疗经费。</w:t>
      </w:r>
    </w:p>
    <w:p w14:paraId="2464EDF2">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19.住房保障支出（类）住房改革支出（款）住房公积金（项）：反映行政事业单位按人力资源和社会保障部、财政部规定的基本工资和津贴补贴以及规定比例为职工缴纳的住房公积金。</w:t>
      </w:r>
    </w:p>
    <w:p w14:paraId="555B20FE">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20.住房保障支出（类）住房改革支出（款）购房补贴（项）：反映按房改政策规定，行政事业单位向符合条件职工（含离退休人员）、军队（含武警）向转役复员离退休人员发放的用于购买住房的补贴。</w:t>
      </w:r>
    </w:p>
    <w:p w14:paraId="28F96CCE">
      <w:r>
        <w:br w:type="page"/>
      </w:r>
    </w:p>
    <w:p w14:paraId="6E405178">
      <w:pPr>
        <w:pStyle w:val="2"/>
        <w:keepNext/>
        <w:spacing w:before="0" w:after="330" w:line="240" w:lineRule="auto"/>
        <w:ind w:leftChars="0" w:firstLineChars="0"/>
        <w:jc w:val="center"/>
        <w:rPr>
          <w:rStyle w:val="28"/>
          <w:rFonts w:hint="eastAsia" w:ascii="Times New Roman" w:hAnsi="Times New Roman" w:eastAsia="方正小标宋简体" w:cs="方正小标宋简体"/>
          <w:b/>
          <w:bCs w:val="0"/>
          <w:color w:val="auto"/>
          <w:highlight w:val="none"/>
        </w:rPr>
      </w:pPr>
      <w:bookmarkStart w:id="27" w:name="_Toc18097"/>
      <w:r>
        <w:rPr>
          <w:rFonts w:hint="eastAsia" w:ascii="方正小标宋简体" w:hAnsi="方正小标宋简体" w:eastAsia="方正小标宋简体" w:cs="方正小标宋简体"/>
          <w:b/>
          <w:color w:val="auto"/>
          <w:sz w:val="44"/>
          <w:highlight w:val="none"/>
        </w:rPr>
        <w:t>第四部分  附件</w:t>
      </w:r>
      <w:bookmarkEnd w:id="27"/>
    </w:p>
    <w:p w14:paraId="734AF828">
      <w:r>
        <w:drawing>
          <wp:inline distT="0" distB="0" distL="114300" distR="114300">
            <wp:extent cx="5274310" cy="5380355"/>
            <wp:effectExtent l="0" t="0" r="8890" b="4445"/>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17"/>
                    <a:stretch>
                      <a:fillRect/>
                    </a:stretch>
                  </pic:blipFill>
                  <pic:spPr>
                    <a:xfrm>
                      <a:off x="0" y="0"/>
                      <a:ext cx="5274310" cy="5380355"/>
                    </a:xfrm>
                    <a:prstGeom prst="rect">
                      <a:avLst/>
                    </a:prstGeom>
                    <a:noFill/>
                    <a:ln>
                      <a:noFill/>
                    </a:ln>
                  </pic:spPr>
                </pic:pic>
              </a:graphicData>
            </a:graphic>
          </wp:inline>
        </w:drawing>
      </w:r>
      <w:r>
        <w:br w:type="page"/>
      </w:r>
    </w:p>
    <w:p w14:paraId="162A1D62">
      <w:r>
        <w:drawing>
          <wp:inline distT="0" distB="0" distL="114300" distR="114300">
            <wp:extent cx="5274310" cy="5545455"/>
            <wp:effectExtent l="0" t="0" r="8890" b="4445"/>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18"/>
                    <a:stretch>
                      <a:fillRect/>
                    </a:stretch>
                  </pic:blipFill>
                  <pic:spPr>
                    <a:xfrm>
                      <a:off x="0" y="0"/>
                      <a:ext cx="5274310" cy="5545455"/>
                    </a:xfrm>
                    <a:prstGeom prst="rect">
                      <a:avLst/>
                    </a:prstGeom>
                    <a:noFill/>
                    <a:ln>
                      <a:noFill/>
                    </a:ln>
                  </pic:spPr>
                </pic:pic>
              </a:graphicData>
            </a:graphic>
          </wp:inline>
        </w:drawing>
      </w:r>
      <w:r>
        <w:br w:type="page"/>
      </w:r>
    </w:p>
    <w:p w14:paraId="55EE07B1">
      <w:r>
        <w:drawing>
          <wp:inline distT="0" distB="0" distL="114300" distR="114300">
            <wp:extent cx="5268595" cy="5490210"/>
            <wp:effectExtent l="0" t="0" r="1905" b="8890"/>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pic:cNvPicPr>
                  </pic:nvPicPr>
                  <pic:blipFill>
                    <a:blip r:embed="rId19"/>
                    <a:stretch>
                      <a:fillRect/>
                    </a:stretch>
                  </pic:blipFill>
                  <pic:spPr>
                    <a:xfrm>
                      <a:off x="0" y="0"/>
                      <a:ext cx="5268595" cy="5490210"/>
                    </a:xfrm>
                    <a:prstGeom prst="rect">
                      <a:avLst/>
                    </a:prstGeom>
                    <a:noFill/>
                    <a:ln>
                      <a:noFill/>
                    </a:ln>
                  </pic:spPr>
                </pic:pic>
              </a:graphicData>
            </a:graphic>
          </wp:inline>
        </w:drawing>
      </w:r>
      <w:r>
        <w:br w:type="page"/>
      </w:r>
    </w:p>
    <w:p w14:paraId="01E5E56E">
      <w:r>
        <w:drawing>
          <wp:inline distT="0" distB="0" distL="114300" distR="114300">
            <wp:extent cx="5274310" cy="6164580"/>
            <wp:effectExtent l="0" t="0" r="8890" b="7620"/>
            <wp:docPr id="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pic:cNvPicPr>
                      <a:picLocks noChangeAspect="1"/>
                    </pic:cNvPicPr>
                  </pic:nvPicPr>
                  <pic:blipFill>
                    <a:blip r:embed="rId20"/>
                    <a:stretch>
                      <a:fillRect/>
                    </a:stretch>
                  </pic:blipFill>
                  <pic:spPr>
                    <a:xfrm>
                      <a:off x="0" y="0"/>
                      <a:ext cx="5274310" cy="6164580"/>
                    </a:xfrm>
                    <a:prstGeom prst="rect">
                      <a:avLst/>
                    </a:prstGeom>
                    <a:noFill/>
                    <a:ln>
                      <a:noFill/>
                    </a:ln>
                  </pic:spPr>
                </pic:pic>
              </a:graphicData>
            </a:graphic>
          </wp:inline>
        </w:drawing>
      </w:r>
      <w:r>
        <w:br w:type="page"/>
      </w:r>
    </w:p>
    <w:p w14:paraId="4B2C17AB">
      <w:r>
        <w:drawing>
          <wp:inline distT="0" distB="0" distL="114300" distR="114300">
            <wp:extent cx="5271770" cy="5789930"/>
            <wp:effectExtent l="0" t="0" r="11430" b="1270"/>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pic:cNvPicPr>
                      <a:picLocks noChangeAspect="1"/>
                    </pic:cNvPicPr>
                  </pic:nvPicPr>
                  <pic:blipFill>
                    <a:blip r:embed="rId21"/>
                    <a:stretch>
                      <a:fillRect/>
                    </a:stretch>
                  </pic:blipFill>
                  <pic:spPr>
                    <a:xfrm>
                      <a:off x="0" y="0"/>
                      <a:ext cx="5271770" cy="5789930"/>
                    </a:xfrm>
                    <a:prstGeom prst="rect">
                      <a:avLst/>
                    </a:prstGeom>
                    <a:noFill/>
                    <a:ln>
                      <a:noFill/>
                    </a:ln>
                  </pic:spPr>
                </pic:pic>
              </a:graphicData>
            </a:graphic>
          </wp:inline>
        </w:drawing>
      </w:r>
      <w:r>
        <w:br w:type="page"/>
      </w:r>
    </w:p>
    <w:p w14:paraId="74BF862C">
      <w:r>
        <w:drawing>
          <wp:inline distT="0" distB="0" distL="114300" distR="114300">
            <wp:extent cx="5274310" cy="5671185"/>
            <wp:effectExtent l="0" t="0" r="8890" b="5715"/>
            <wp:docPr id="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pic:cNvPicPr>
                      <a:picLocks noChangeAspect="1"/>
                    </pic:cNvPicPr>
                  </pic:nvPicPr>
                  <pic:blipFill>
                    <a:blip r:embed="rId22"/>
                    <a:stretch>
                      <a:fillRect/>
                    </a:stretch>
                  </pic:blipFill>
                  <pic:spPr>
                    <a:xfrm>
                      <a:off x="0" y="0"/>
                      <a:ext cx="5274310" cy="5671185"/>
                    </a:xfrm>
                    <a:prstGeom prst="rect">
                      <a:avLst/>
                    </a:prstGeom>
                    <a:noFill/>
                    <a:ln>
                      <a:noFill/>
                    </a:ln>
                  </pic:spPr>
                </pic:pic>
              </a:graphicData>
            </a:graphic>
          </wp:inline>
        </w:drawing>
      </w:r>
      <w:r>
        <w:br w:type="page"/>
      </w:r>
    </w:p>
    <w:p w14:paraId="5C37A026">
      <w:r>
        <w:drawing>
          <wp:inline distT="0" distB="0" distL="114300" distR="114300">
            <wp:extent cx="5274310" cy="5961380"/>
            <wp:effectExtent l="0" t="0" r="8890" b="7620"/>
            <wp:docPr id="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8"/>
                    <pic:cNvPicPr>
                      <a:picLocks noChangeAspect="1"/>
                    </pic:cNvPicPr>
                  </pic:nvPicPr>
                  <pic:blipFill>
                    <a:blip r:embed="rId23"/>
                    <a:stretch>
                      <a:fillRect/>
                    </a:stretch>
                  </pic:blipFill>
                  <pic:spPr>
                    <a:xfrm>
                      <a:off x="0" y="0"/>
                      <a:ext cx="5274310" cy="5961380"/>
                    </a:xfrm>
                    <a:prstGeom prst="rect">
                      <a:avLst/>
                    </a:prstGeom>
                    <a:noFill/>
                    <a:ln>
                      <a:noFill/>
                    </a:ln>
                  </pic:spPr>
                </pic:pic>
              </a:graphicData>
            </a:graphic>
          </wp:inline>
        </w:drawing>
      </w:r>
      <w:r>
        <w:br w:type="page"/>
      </w:r>
    </w:p>
    <w:p w14:paraId="5B8EF968">
      <w:r>
        <w:drawing>
          <wp:inline distT="0" distB="0" distL="114300" distR="114300">
            <wp:extent cx="5274310" cy="5429250"/>
            <wp:effectExtent l="0" t="0" r="8890" b="6350"/>
            <wp:docPr id="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24"/>
                    <a:stretch>
                      <a:fillRect/>
                    </a:stretch>
                  </pic:blipFill>
                  <pic:spPr>
                    <a:xfrm>
                      <a:off x="0" y="0"/>
                      <a:ext cx="5274310" cy="5429250"/>
                    </a:xfrm>
                    <a:prstGeom prst="rect">
                      <a:avLst/>
                    </a:prstGeom>
                    <a:noFill/>
                    <a:ln>
                      <a:noFill/>
                    </a:ln>
                  </pic:spPr>
                </pic:pic>
              </a:graphicData>
            </a:graphic>
          </wp:inline>
        </w:drawing>
      </w:r>
      <w:r>
        <w:br w:type="page"/>
      </w:r>
    </w:p>
    <w:p w14:paraId="4AB88A3C">
      <w:r>
        <w:drawing>
          <wp:inline distT="0" distB="0" distL="114300" distR="114300">
            <wp:extent cx="5274310" cy="5622290"/>
            <wp:effectExtent l="0" t="0" r="8890" b="3810"/>
            <wp:docPr id="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1"/>
                    <pic:cNvPicPr>
                      <a:picLocks noChangeAspect="1"/>
                    </pic:cNvPicPr>
                  </pic:nvPicPr>
                  <pic:blipFill>
                    <a:blip r:embed="rId25"/>
                    <a:stretch>
                      <a:fillRect/>
                    </a:stretch>
                  </pic:blipFill>
                  <pic:spPr>
                    <a:xfrm>
                      <a:off x="0" y="0"/>
                      <a:ext cx="5274310" cy="5622290"/>
                    </a:xfrm>
                    <a:prstGeom prst="rect">
                      <a:avLst/>
                    </a:prstGeom>
                    <a:noFill/>
                    <a:ln>
                      <a:noFill/>
                    </a:ln>
                  </pic:spPr>
                </pic:pic>
              </a:graphicData>
            </a:graphic>
          </wp:inline>
        </w:drawing>
      </w:r>
      <w:r>
        <w:br w:type="page"/>
      </w:r>
    </w:p>
    <w:p w14:paraId="21047C12">
      <w:r>
        <w:drawing>
          <wp:inline distT="0" distB="0" distL="114300" distR="114300">
            <wp:extent cx="5274310" cy="5632450"/>
            <wp:effectExtent l="0" t="0" r="8890" b="635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pic:cNvPicPr>
                  </pic:nvPicPr>
                  <pic:blipFill>
                    <a:blip r:embed="rId26"/>
                    <a:stretch>
                      <a:fillRect/>
                    </a:stretch>
                  </pic:blipFill>
                  <pic:spPr>
                    <a:xfrm>
                      <a:off x="0" y="0"/>
                      <a:ext cx="5274310" cy="5632450"/>
                    </a:xfrm>
                    <a:prstGeom prst="rect">
                      <a:avLst/>
                    </a:prstGeom>
                    <a:noFill/>
                    <a:ln>
                      <a:noFill/>
                    </a:ln>
                  </pic:spPr>
                </pic:pic>
              </a:graphicData>
            </a:graphic>
          </wp:inline>
        </w:drawing>
      </w:r>
      <w:r>
        <w:br w:type="page"/>
      </w:r>
    </w:p>
    <w:p w14:paraId="550AD6C7">
      <w:r>
        <w:drawing>
          <wp:inline distT="0" distB="0" distL="114300" distR="114300">
            <wp:extent cx="5270500" cy="5179060"/>
            <wp:effectExtent l="0" t="0" r="0" b="2540"/>
            <wp:docPr id="4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3"/>
                    <pic:cNvPicPr>
                      <a:picLocks noChangeAspect="1"/>
                    </pic:cNvPicPr>
                  </pic:nvPicPr>
                  <pic:blipFill>
                    <a:blip r:embed="rId27"/>
                    <a:stretch>
                      <a:fillRect/>
                    </a:stretch>
                  </pic:blipFill>
                  <pic:spPr>
                    <a:xfrm>
                      <a:off x="0" y="0"/>
                      <a:ext cx="5270500" cy="5179060"/>
                    </a:xfrm>
                    <a:prstGeom prst="rect">
                      <a:avLst/>
                    </a:prstGeom>
                    <a:noFill/>
                    <a:ln>
                      <a:noFill/>
                    </a:ln>
                  </pic:spPr>
                </pic:pic>
              </a:graphicData>
            </a:graphic>
          </wp:inline>
        </w:drawing>
      </w:r>
      <w:r>
        <w:br w:type="page"/>
      </w:r>
    </w:p>
    <w:p w14:paraId="22654754">
      <w:r>
        <w:drawing>
          <wp:inline distT="0" distB="0" distL="114300" distR="114300">
            <wp:extent cx="5274310" cy="5612765"/>
            <wp:effectExtent l="0" t="0" r="8890" b="635"/>
            <wp:docPr id="4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4"/>
                    <pic:cNvPicPr>
                      <a:picLocks noChangeAspect="1"/>
                    </pic:cNvPicPr>
                  </pic:nvPicPr>
                  <pic:blipFill>
                    <a:blip r:embed="rId28"/>
                    <a:stretch>
                      <a:fillRect/>
                    </a:stretch>
                  </pic:blipFill>
                  <pic:spPr>
                    <a:xfrm>
                      <a:off x="0" y="0"/>
                      <a:ext cx="5274310" cy="5612765"/>
                    </a:xfrm>
                    <a:prstGeom prst="rect">
                      <a:avLst/>
                    </a:prstGeom>
                    <a:noFill/>
                    <a:ln>
                      <a:noFill/>
                    </a:ln>
                  </pic:spPr>
                </pic:pic>
              </a:graphicData>
            </a:graphic>
          </wp:inline>
        </w:drawing>
      </w:r>
      <w:r>
        <w:br w:type="page"/>
      </w:r>
    </w:p>
    <w:p w14:paraId="47AFC1B3">
      <w:r>
        <w:drawing>
          <wp:inline distT="0" distB="0" distL="114300" distR="114300">
            <wp:extent cx="5274310" cy="5680710"/>
            <wp:effectExtent l="0" t="0" r="8890" b="8890"/>
            <wp:docPr id="4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5"/>
                    <pic:cNvPicPr>
                      <a:picLocks noChangeAspect="1"/>
                    </pic:cNvPicPr>
                  </pic:nvPicPr>
                  <pic:blipFill>
                    <a:blip r:embed="rId29"/>
                    <a:stretch>
                      <a:fillRect/>
                    </a:stretch>
                  </pic:blipFill>
                  <pic:spPr>
                    <a:xfrm>
                      <a:off x="0" y="0"/>
                      <a:ext cx="5274310" cy="5680710"/>
                    </a:xfrm>
                    <a:prstGeom prst="rect">
                      <a:avLst/>
                    </a:prstGeom>
                    <a:noFill/>
                    <a:ln>
                      <a:noFill/>
                    </a:ln>
                  </pic:spPr>
                </pic:pic>
              </a:graphicData>
            </a:graphic>
          </wp:inline>
        </w:drawing>
      </w:r>
      <w:r>
        <w:br w:type="page"/>
      </w:r>
    </w:p>
    <w:p w14:paraId="23C10846">
      <w:r>
        <w:drawing>
          <wp:inline distT="0" distB="0" distL="114300" distR="114300">
            <wp:extent cx="5274310" cy="5264785"/>
            <wp:effectExtent l="0" t="0" r="8890" b="5715"/>
            <wp:docPr id="4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6"/>
                    <pic:cNvPicPr>
                      <a:picLocks noChangeAspect="1"/>
                    </pic:cNvPicPr>
                  </pic:nvPicPr>
                  <pic:blipFill>
                    <a:blip r:embed="rId30"/>
                    <a:stretch>
                      <a:fillRect/>
                    </a:stretch>
                  </pic:blipFill>
                  <pic:spPr>
                    <a:xfrm>
                      <a:off x="0" y="0"/>
                      <a:ext cx="5274310" cy="5264785"/>
                    </a:xfrm>
                    <a:prstGeom prst="rect">
                      <a:avLst/>
                    </a:prstGeom>
                    <a:noFill/>
                    <a:ln>
                      <a:noFill/>
                    </a:ln>
                  </pic:spPr>
                </pic:pic>
              </a:graphicData>
            </a:graphic>
          </wp:inline>
        </w:drawing>
      </w:r>
      <w:r>
        <w:br w:type="page"/>
      </w:r>
    </w:p>
    <w:p w14:paraId="5D865E25">
      <w:r>
        <w:drawing>
          <wp:inline distT="0" distB="0" distL="114300" distR="114300">
            <wp:extent cx="5274310" cy="5283835"/>
            <wp:effectExtent l="0" t="0" r="8890" b="12065"/>
            <wp:docPr id="4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7"/>
                    <pic:cNvPicPr>
                      <a:picLocks noChangeAspect="1"/>
                    </pic:cNvPicPr>
                  </pic:nvPicPr>
                  <pic:blipFill>
                    <a:blip r:embed="rId31"/>
                    <a:stretch>
                      <a:fillRect/>
                    </a:stretch>
                  </pic:blipFill>
                  <pic:spPr>
                    <a:xfrm>
                      <a:off x="0" y="0"/>
                      <a:ext cx="5274310" cy="5283835"/>
                    </a:xfrm>
                    <a:prstGeom prst="rect">
                      <a:avLst/>
                    </a:prstGeom>
                    <a:noFill/>
                    <a:ln>
                      <a:noFill/>
                    </a:ln>
                  </pic:spPr>
                </pic:pic>
              </a:graphicData>
            </a:graphic>
          </wp:inline>
        </w:drawing>
      </w:r>
      <w:r>
        <w:br w:type="page"/>
      </w:r>
    </w:p>
    <w:p w14:paraId="4645BB8E"/>
    <w:p w14:paraId="51F26AD0">
      <w:pPr>
        <w:sectPr>
          <w:footerReference r:id="rId8" w:type="default"/>
          <w:pgSz w:w="11906" w:h="16838"/>
          <w:pgMar w:top="1440" w:right="1800" w:bottom="1440" w:left="1800" w:header="851" w:footer="992" w:gutter="0"/>
          <w:pgNumType w:fmt="decimal"/>
          <w:cols w:space="425" w:num="1"/>
          <w:docGrid w:type="lines" w:linePitch="312" w:charSpace="0"/>
        </w:sectPr>
      </w:pPr>
      <w:r>
        <w:drawing>
          <wp:inline distT="0" distB="0" distL="114300" distR="114300">
            <wp:extent cx="5267325" cy="4733290"/>
            <wp:effectExtent l="0" t="0" r="3175" b="3810"/>
            <wp:docPr id="4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8"/>
                    <pic:cNvPicPr>
                      <a:picLocks noChangeAspect="1"/>
                    </pic:cNvPicPr>
                  </pic:nvPicPr>
                  <pic:blipFill>
                    <a:blip r:embed="rId32"/>
                    <a:stretch>
                      <a:fillRect/>
                    </a:stretch>
                  </pic:blipFill>
                  <pic:spPr>
                    <a:xfrm>
                      <a:off x="0" y="0"/>
                      <a:ext cx="5267325" cy="4733290"/>
                    </a:xfrm>
                    <a:prstGeom prst="rect">
                      <a:avLst/>
                    </a:prstGeom>
                    <a:noFill/>
                    <a:ln>
                      <a:noFill/>
                    </a:ln>
                  </pic:spPr>
                </pic:pic>
              </a:graphicData>
            </a:graphic>
          </wp:inline>
        </w:drawing>
      </w:r>
    </w:p>
    <w:p w14:paraId="4A5EA2B0">
      <w:pPr>
        <w:pStyle w:val="2"/>
        <w:keepNext/>
        <w:spacing w:before="0" w:after="330" w:line="240" w:lineRule="auto"/>
        <w:ind w:leftChars="0" w:firstLineChars="0"/>
        <w:jc w:val="center"/>
        <w:rPr>
          <w:rStyle w:val="28"/>
          <w:rFonts w:hint="eastAsia" w:ascii="Times New Roman" w:hAnsi="Times New Roman" w:eastAsia="方正小标宋简体" w:cs="方正小标宋简体"/>
          <w:b/>
          <w:bCs w:val="0"/>
          <w:color w:val="auto"/>
          <w:highlight w:val="none"/>
        </w:rPr>
      </w:pPr>
      <w:bookmarkStart w:id="28" w:name="_Toc31380"/>
      <w:r>
        <w:rPr>
          <w:rFonts w:hint="eastAsia" w:ascii="方正小标宋简体" w:hAnsi="方正小标宋简体" w:eastAsia="方正小标宋简体" w:cs="方正小标宋简体"/>
          <w:b/>
          <w:color w:val="auto"/>
          <w:sz w:val="44"/>
          <w:highlight w:val="none"/>
        </w:rPr>
        <w:t>第五部分 附表</w:t>
      </w:r>
      <w:bookmarkEnd w:id="28"/>
    </w:p>
    <w:p w14:paraId="7D231728">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29" w:name="_Toc8583"/>
      <w:r>
        <w:rPr>
          <w:rFonts w:hint="eastAsia" w:ascii="黑体" w:hAnsi="黑体" w:eastAsia="黑体"/>
          <w:b/>
          <w:color w:val="auto"/>
          <w:sz w:val="32"/>
          <w:highlight w:val="none"/>
        </w:rPr>
        <w:t>一、收入支出决算总表</w:t>
      </w:r>
      <w:bookmarkEnd w:id="29"/>
    </w:p>
    <w:p w14:paraId="35FA8C30">
      <w:pPr>
        <w:keepLines/>
        <w:spacing w:before="0" w:after="0" w:line="240" w:lineRule="auto"/>
        <w:jc w:val="center"/>
      </w:pPr>
      <w:r>
        <w:rPr>
          <w:sz w:val="2"/>
        </w:rPr>
        <w:drawing>
          <wp:inline distT="0" distB="0" distL="114300" distR="114300">
            <wp:extent cx="7438390" cy="4578350"/>
            <wp:effectExtent l="0" t="0" r="3810" b="635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33"/>
                    <a:stretch>
                      <a:fillRect/>
                    </a:stretch>
                  </pic:blipFill>
                  <pic:spPr>
                    <a:xfrm>
                      <a:off x="0" y="0"/>
                      <a:ext cx="7438390" cy="4578350"/>
                    </a:xfrm>
                    <a:prstGeom prst="rect">
                      <a:avLst/>
                    </a:prstGeom>
                  </pic:spPr>
                </pic:pic>
              </a:graphicData>
            </a:graphic>
          </wp:inline>
        </w:drawing>
      </w:r>
    </w:p>
    <w:p w14:paraId="707E9746">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0" w:name="_Toc5701"/>
      <w:r>
        <w:rPr>
          <w:rFonts w:hint="eastAsia" w:ascii="黑体" w:hAnsi="黑体" w:eastAsia="黑体"/>
          <w:b/>
          <w:color w:val="auto"/>
          <w:sz w:val="32"/>
          <w:highlight w:val="none"/>
        </w:rPr>
        <w:t>二、收入决算表</w:t>
      </w:r>
      <w:bookmarkEnd w:id="30"/>
    </w:p>
    <w:p w14:paraId="46AF9F31">
      <w:pPr>
        <w:keepLines/>
        <w:spacing w:before="0" w:after="0" w:line="240" w:lineRule="auto"/>
        <w:jc w:val="center"/>
      </w:pPr>
      <w:r>
        <w:rPr>
          <w:sz w:val="2"/>
        </w:rPr>
        <w:drawing>
          <wp:inline distT="0" distB="0" distL="114300" distR="114300">
            <wp:extent cx="9971405" cy="3725545"/>
            <wp:effectExtent l="0" t="0" r="10795" b="8255"/>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34"/>
                    <a:stretch>
                      <a:fillRect/>
                    </a:stretch>
                  </pic:blipFill>
                  <pic:spPr>
                    <a:xfrm>
                      <a:off x="0" y="0"/>
                      <a:ext cx="9972000" cy="3725875"/>
                    </a:xfrm>
                    <a:prstGeom prst="rect">
                      <a:avLst/>
                    </a:prstGeom>
                  </pic:spPr>
                </pic:pic>
              </a:graphicData>
            </a:graphic>
          </wp:inline>
        </w:drawing>
      </w:r>
    </w:p>
    <w:p w14:paraId="77249517">
      <w:pPr>
        <w:spacing w:before="0" w:after="0" w:line="240" w:lineRule="auto"/>
      </w:pPr>
      <w:r>
        <w:rPr>
          <w:sz w:val="2"/>
        </w:rPr>
        <w:br w:type="page"/>
      </w:r>
    </w:p>
    <w:p w14:paraId="5FF342C7">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1" w:name="_Toc9975"/>
      <w:r>
        <w:rPr>
          <w:rFonts w:hint="eastAsia" w:ascii="黑体" w:hAnsi="黑体" w:eastAsia="黑体"/>
          <w:b/>
          <w:color w:val="auto"/>
          <w:sz w:val="32"/>
          <w:highlight w:val="none"/>
        </w:rPr>
        <w:t>三、支出决算表</w:t>
      </w:r>
      <w:bookmarkEnd w:id="31"/>
    </w:p>
    <w:p w14:paraId="39EC1BC6">
      <w:pPr>
        <w:keepLines/>
        <w:spacing w:before="0" w:after="0" w:line="240" w:lineRule="auto"/>
        <w:jc w:val="center"/>
      </w:pPr>
      <w:r>
        <w:rPr>
          <w:sz w:val="2"/>
        </w:rPr>
        <w:drawing>
          <wp:inline distT="0" distB="0" distL="114300" distR="114300">
            <wp:extent cx="9971405" cy="4093210"/>
            <wp:effectExtent l="0" t="0" r="10795" b="889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35"/>
                    <a:stretch>
                      <a:fillRect/>
                    </a:stretch>
                  </pic:blipFill>
                  <pic:spPr>
                    <a:xfrm>
                      <a:off x="0" y="0"/>
                      <a:ext cx="9972000" cy="4093320"/>
                    </a:xfrm>
                    <a:prstGeom prst="rect">
                      <a:avLst/>
                    </a:prstGeom>
                  </pic:spPr>
                </pic:pic>
              </a:graphicData>
            </a:graphic>
          </wp:inline>
        </w:drawing>
      </w:r>
    </w:p>
    <w:p w14:paraId="66B2C3B4">
      <w:pPr>
        <w:spacing w:before="0" w:after="0" w:line="240" w:lineRule="auto"/>
      </w:pPr>
      <w:r>
        <w:rPr>
          <w:sz w:val="2"/>
        </w:rPr>
        <w:br w:type="page"/>
      </w:r>
    </w:p>
    <w:p w14:paraId="608E014C">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2" w:name="_Toc25873"/>
      <w:r>
        <w:rPr>
          <w:rFonts w:hint="eastAsia" w:ascii="黑体" w:hAnsi="黑体" w:eastAsia="黑体"/>
          <w:b/>
          <w:color w:val="auto"/>
          <w:sz w:val="32"/>
          <w:highlight w:val="none"/>
        </w:rPr>
        <w:t>四、财政拨款收入支出决算总表</w:t>
      </w:r>
      <w:bookmarkEnd w:id="32"/>
    </w:p>
    <w:p w14:paraId="461B70B2">
      <w:pPr>
        <w:keepLines/>
        <w:spacing w:before="0" w:after="0" w:line="240" w:lineRule="auto"/>
        <w:jc w:val="center"/>
      </w:pPr>
      <w:r>
        <w:rPr>
          <w:sz w:val="2"/>
        </w:rPr>
        <w:drawing>
          <wp:inline distT="0" distB="0" distL="114300" distR="114300">
            <wp:extent cx="8738870" cy="5242560"/>
            <wp:effectExtent l="0" t="0" r="11430" b="254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36"/>
                    <a:stretch>
                      <a:fillRect/>
                    </a:stretch>
                  </pic:blipFill>
                  <pic:spPr>
                    <a:xfrm>
                      <a:off x="0" y="0"/>
                      <a:ext cx="8738870" cy="5242560"/>
                    </a:xfrm>
                    <a:prstGeom prst="rect">
                      <a:avLst/>
                    </a:prstGeom>
                  </pic:spPr>
                </pic:pic>
              </a:graphicData>
            </a:graphic>
          </wp:inline>
        </w:drawing>
      </w:r>
    </w:p>
    <w:p w14:paraId="7024DED6">
      <w:pPr>
        <w:spacing w:before="0" w:after="0" w:line="240" w:lineRule="auto"/>
      </w:pPr>
      <w:r>
        <w:rPr>
          <w:sz w:val="2"/>
        </w:rPr>
        <w:br w:type="page"/>
      </w:r>
    </w:p>
    <w:p w14:paraId="2F3DF2FF">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3" w:name="_Toc25443"/>
      <w:r>
        <w:rPr>
          <w:rFonts w:hint="eastAsia" w:ascii="黑体" w:hAnsi="黑体" w:eastAsia="黑体"/>
          <w:b/>
          <w:color w:val="auto"/>
          <w:sz w:val="32"/>
          <w:highlight w:val="none"/>
        </w:rPr>
        <w:t>五、财政拨款支出决算明细表</w:t>
      </w:r>
      <w:bookmarkEnd w:id="33"/>
    </w:p>
    <w:p w14:paraId="50320F17">
      <w:pPr>
        <w:keepLines/>
        <w:spacing w:before="0" w:after="0" w:line="240" w:lineRule="auto"/>
        <w:jc w:val="center"/>
      </w:pPr>
      <w:r>
        <w:rPr>
          <w:sz w:val="2"/>
        </w:rPr>
        <w:drawing>
          <wp:inline distT="0" distB="0" distL="114300" distR="114300">
            <wp:extent cx="7645400" cy="5415280"/>
            <wp:effectExtent l="0" t="0" r="0" b="762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37"/>
                    <a:stretch>
                      <a:fillRect/>
                    </a:stretch>
                  </pic:blipFill>
                  <pic:spPr>
                    <a:xfrm>
                      <a:off x="0" y="0"/>
                      <a:ext cx="7645400" cy="5415280"/>
                    </a:xfrm>
                    <a:prstGeom prst="rect">
                      <a:avLst/>
                    </a:prstGeom>
                  </pic:spPr>
                </pic:pic>
              </a:graphicData>
            </a:graphic>
          </wp:inline>
        </w:drawing>
      </w:r>
    </w:p>
    <w:p w14:paraId="6ECF4C66">
      <w:pPr>
        <w:keepLines/>
        <w:spacing w:before="0" w:after="0" w:line="240" w:lineRule="auto"/>
        <w:jc w:val="center"/>
      </w:pPr>
      <w:r>
        <w:rPr>
          <w:sz w:val="2"/>
        </w:rPr>
        <w:drawing>
          <wp:inline distT="0" distB="0" distL="114300" distR="114300">
            <wp:extent cx="9123045" cy="6155690"/>
            <wp:effectExtent l="0" t="0" r="8255" b="381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38"/>
                    <a:stretch>
                      <a:fillRect/>
                    </a:stretch>
                  </pic:blipFill>
                  <pic:spPr>
                    <a:xfrm>
                      <a:off x="0" y="0"/>
                      <a:ext cx="9123253" cy="6156000"/>
                    </a:xfrm>
                    <a:prstGeom prst="rect">
                      <a:avLst/>
                    </a:prstGeom>
                  </pic:spPr>
                </pic:pic>
              </a:graphicData>
            </a:graphic>
          </wp:inline>
        </w:drawing>
      </w:r>
      <w:r>
        <w:rPr>
          <w:sz w:val="2"/>
        </w:rPr>
        <w:br w:type="page"/>
      </w:r>
    </w:p>
    <w:p w14:paraId="0858A381">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4" w:name="_Toc25346"/>
      <w:r>
        <w:rPr>
          <w:rFonts w:hint="eastAsia" w:ascii="黑体" w:hAnsi="黑体" w:eastAsia="黑体"/>
          <w:b/>
          <w:color w:val="auto"/>
          <w:sz w:val="32"/>
          <w:highlight w:val="none"/>
        </w:rPr>
        <w:t>六、一般公共预算财政拨款支出决算表</w:t>
      </w:r>
      <w:bookmarkEnd w:id="34"/>
    </w:p>
    <w:p w14:paraId="4CEAFCFF">
      <w:pPr>
        <w:keepLines/>
        <w:spacing w:before="0" w:after="0" w:line="240" w:lineRule="auto"/>
        <w:jc w:val="center"/>
      </w:pPr>
      <w:r>
        <w:rPr>
          <w:sz w:val="2"/>
        </w:rPr>
        <w:drawing>
          <wp:inline distT="0" distB="0" distL="114300" distR="114300">
            <wp:extent cx="9065260" cy="5400040"/>
            <wp:effectExtent l="0" t="0" r="2540" b="1016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39"/>
                    <a:stretch>
                      <a:fillRect/>
                    </a:stretch>
                  </pic:blipFill>
                  <pic:spPr>
                    <a:xfrm>
                      <a:off x="0" y="0"/>
                      <a:ext cx="9065260" cy="5400040"/>
                    </a:xfrm>
                    <a:prstGeom prst="rect">
                      <a:avLst/>
                    </a:prstGeom>
                  </pic:spPr>
                </pic:pic>
              </a:graphicData>
            </a:graphic>
          </wp:inline>
        </w:drawing>
      </w:r>
    </w:p>
    <w:p w14:paraId="172249D4">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5" w:name="_Toc18197"/>
      <w:r>
        <w:rPr>
          <w:rFonts w:hint="eastAsia" w:ascii="黑体" w:hAnsi="黑体" w:eastAsia="黑体"/>
          <w:b/>
          <w:color w:val="auto"/>
          <w:sz w:val="32"/>
          <w:highlight w:val="none"/>
        </w:rPr>
        <w:t>七、一般公共预算财政拨款支出决算明细表</w:t>
      </w:r>
      <w:bookmarkEnd w:id="35"/>
    </w:p>
    <w:p w14:paraId="7D0E3C7B">
      <w:pPr>
        <w:keepLines/>
        <w:spacing w:before="0" w:after="0" w:line="240" w:lineRule="auto"/>
        <w:jc w:val="center"/>
      </w:pPr>
      <w:r>
        <w:rPr>
          <w:sz w:val="2"/>
        </w:rPr>
        <w:drawing>
          <wp:inline distT="0" distB="0" distL="114300" distR="114300">
            <wp:extent cx="9971405" cy="4515485"/>
            <wp:effectExtent l="0" t="0" r="10795" b="5715"/>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40"/>
                    <a:stretch>
                      <a:fillRect/>
                    </a:stretch>
                  </pic:blipFill>
                  <pic:spPr>
                    <a:xfrm>
                      <a:off x="0" y="0"/>
                      <a:ext cx="9972000" cy="4516083"/>
                    </a:xfrm>
                    <a:prstGeom prst="rect">
                      <a:avLst/>
                    </a:prstGeom>
                  </pic:spPr>
                </pic:pic>
              </a:graphicData>
            </a:graphic>
          </wp:inline>
        </w:drawing>
      </w:r>
    </w:p>
    <w:p w14:paraId="4A66F836">
      <w:pPr>
        <w:spacing w:before="0" w:after="0" w:line="240" w:lineRule="auto"/>
      </w:pPr>
      <w:r>
        <w:rPr>
          <w:sz w:val="2"/>
        </w:rPr>
        <w:br w:type="page"/>
      </w:r>
    </w:p>
    <w:p w14:paraId="4EA97242">
      <w:pPr>
        <w:keepLines/>
        <w:spacing w:before="0" w:after="0" w:line="240" w:lineRule="auto"/>
        <w:jc w:val="center"/>
      </w:pPr>
      <w:r>
        <w:rPr>
          <w:sz w:val="2"/>
        </w:rPr>
        <w:drawing>
          <wp:inline distT="0" distB="0" distL="114300" distR="114300">
            <wp:extent cx="9971405" cy="4740910"/>
            <wp:effectExtent l="0" t="0" r="10795" b="8890"/>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41"/>
                    <a:stretch>
                      <a:fillRect/>
                    </a:stretch>
                  </pic:blipFill>
                  <pic:spPr>
                    <a:xfrm>
                      <a:off x="0" y="0"/>
                      <a:ext cx="9972000" cy="4741052"/>
                    </a:xfrm>
                    <a:prstGeom prst="rect">
                      <a:avLst/>
                    </a:prstGeom>
                  </pic:spPr>
                </pic:pic>
              </a:graphicData>
            </a:graphic>
          </wp:inline>
        </w:drawing>
      </w:r>
    </w:p>
    <w:p w14:paraId="78974FB3">
      <w:pPr>
        <w:spacing w:before="0" w:after="0" w:line="240" w:lineRule="auto"/>
      </w:pPr>
      <w:r>
        <w:rPr>
          <w:sz w:val="2"/>
        </w:rPr>
        <w:br w:type="page"/>
      </w:r>
    </w:p>
    <w:p w14:paraId="26C5BDC7">
      <w:pPr>
        <w:keepLines/>
        <w:spacing w:before="0" w:after="0" w:line="240" w:lineRule="auto"/>
        <w:jc w:val="center"/>
      </w:pPr>
      <w:r>
        <w:rPr>
          <w:sz w:val="2"/>
        </w:rPr>
        <w:drawing>
          <wp:inline distT="0" distB="0" distL="114300" distR="114300">
            <wp:extent cx="9971405" cy="4996180"/>
            <wp:effectExtent l="0" t="0" r="10795" b="762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42"/>
                    <a:stretch>
                      <a:fillRect/>
                    </a:stretch>
                  </pic:blipFill>
                  <pic:spPr>
                    <a:xfrm>
                      <a:off x="0" y="0"/>
                      <a:ext cx="9972000" cy="4996357"/>
                    </a:xfrm>
                    <a:prstGeom prst="rect">
                      <a:avLst/>
                    </a:prstGeom>
                  </pic:spPr>
                </pic:pic>
              </a:graphicData>
            </a:graphic>
          </wp:inline>
        </w:drawing>
      </w:r>
    </w:p>
    <w:p w14:paraId="2266CF5D">
      <w:pPr>
        <w:spacing w:before="0" w:after="0" w:line="240" w:lineRule="auto"/>
      </w:pPr>
      <w:r>
        <w:rPr>
          <w:sz w:val="2"/>
        </w:rPr>
        <w:br w:type="page"/>
      </w:r>
    </w:p>
    <w:p w14:paraId="54105A34">
      <w:pPr>
        <w:keepLines/>
        <w:spacing w:before="0" w:after="0" w:line="240" w:lineRule="auto"/>
        <w:jc w:val="center"/>
      </w:pPr>
      <w:r>
        <w:rPr>
          <w:sz w:val="2"/>
        </w:rPr>
        <w:drawing>
          <wp:inline distT="0" distB="0" distL="114300" distR="114300">
            <wp:extent cx="9971405" cy="4996180"/>
            <wp:effectExtent l="0" t="0" r="10795" b="7620"/>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a:blip r:embed="rId43"/>
                    <a:stretch>
                      <a:fillRect/>
                    </a:stretch>
                  </pic:blipFill>
                  <pic:spPr>
                    <a:xfrm>
                      <a:off x="0" y="0"/>
                      <a:ext cx="9972000" cy="4996357"/>
                    </a:xfrm>
                    <a:prstGeom prst="rect">
                      <a:avLst/>
                    </a:prstGeom>
                  </pic:spPr>
                </pic:pic>
              </a:graphicData>
            </a:graphic>
          </wp:inline>
        </w:drawing>
      </w:r>
    </w:p>
    <w:p w14:paraId="763E7B6D">
      <w:pPr>
        <w:spacing w:before="0" w:after="0" w:line="240" w:lineRule="auto"/>
      </w:pPr>
      <w:r>
        <w:rPr>
          <w:sz w:val="2"/>
        </w:rPr>
        <w:br w:type="page"/>
      </w:r>
    </w:p>
    <w:p w14:paraId="2A037359">
      <w:pPr>
        <w:keepLines/>
        <w:spacing w:before="0" w:after="0" w:line="240" w:lineRule="auto"/>
        <w:jc w:val="center"/>
      </w:pPr>
      <w:r>
        <w:rPr>
          <w:sz w:val="2"/>
        </w:rPr>
        <w:drawing>
          <wp:inline distT="0" distB="0" distL="114300" distR="114300">
            <wp:extent cx="9971405" cy="4996180"/>
            <wp:effectExtent l="0" t="0" r="10795" b="7620"/>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pic:cNvPicPr>
                      <a:picLocks noChangeAspect="1"/>
                    </pic:cNvPicPr>
                  </pic:nvPicPr>
                  <pic:blipFill>
                    <a:blip r:embed="rId44"/>
                    <a:stretch>
                      <a:fillRect/>
                    </a:stretch>
                  </pic:blipFill>
                  <pic:spPr>
                    <a:xfrm>
                      <a:off x="0" y="0"/>
                      <a:ext cx="9972000" cy="4996357"/>
                    </a:xfrm>
                    <a:prstGeom prst="rect">
                      <a:avLst/>
                    </a:prstGeom>
                  </pic:spPr>
                </pic:pic>
              </a:graphicData>
            </a:graphic>
          </wp:inline>
        </w:drawing>
      </w:r>
    </w:p>
    <w:p w14:paraId="3616111A">
      <w:pPr>
        <w:spacing w:before="0" w:after="0" w:line="240" w:lineRule="auto"/>
      </w:pPr>
      <w:r>
        <w:rPr>
          <w:sz w:val="2"/>
        </w:rPr>
        <w:br w:type="page"/>
      </w:r>
    </w:p>
    <w:p w14:paraId="5565DA8C">
      <w:pPr>
        <w:keepLines/>
        <w:spacing w:before="0" w:after="0" w:line="240" w:lineRule="auto"/>
        <w:jc w:val="center"/>
      </w:pPr>
      <w:r>
        <w:rPr>
          <w:sz w:val="2"/>
        </w:rPr>
        <w:drawing>
          <wp:inline distT="0" distB="0" distL="114300" distR="114300">
            <wp:extent cx="9971405" cy="4996180"/>
            <wp:effectExtent l="0" t="0" r="10795" b="7620"/>
            <wp:docPr id="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pic:cNvPicPr>
                      <a:picLocks noChangeAspect="1"/>
                    </pic:cNvPicPr>
                  </pic:nvPicPr>
                  <pic:blipFill>
                    <a:blip r:embed="rId45"/>
                    <a:stretch>
                      <a:fillRect/>
                    </a:stretch>
                  </pic:blipFill>
                  <pic:spPr>
                    <a:xfrm>
                      <a:off x="0" y="0"/>
                      <a:ext cx="9972000" cy="4996357"/>
                    </a:xfrm>
                    <a:prstGeom prst="rect">
                      <a:avLst/>
                    </a:prstGeom>
                  </pic:spPr>
                </pic:pic>
              </a:graphicData>
            </a:graphic>
          </wp:inline>
        </w:drawing>
      </w:r>
    </w:p>
    <w:p w14:paraId="43723DAD">
      <w:pPr>
        <w:spacing w:before="0" w:after="0" w:line="240" w:lineRule="auto"/>
      </w:pPr>
      <w:r>
        <w:rPr>
          <w:sz w:val="2"/>
        </w:rPr>
        <w:br w:type="page"/>
      </w:r>
    </w:p>
    <w:p w14:paraId="7862A038">
      <w:pPr>
        <w:keepLines/>
        <w:spacing w:before="0" w:after="0" w:line="240" w:lineRule="auto"/>
        <w:jc w:val="center"/>
      </w:pPr>
      <w:r>
        <w:rPr>
          <w:sz w:val="2"/>
        </w:rPr>
        <w:drawing>
          <wp:inline distT="0" distB="0" distL="114300" distR="114300">
            <wp:extent cx="9971405" cy="4996180"/>
            <wp:effectExtent l="0" t="0" r="10795" b="7620"/>
            <wp:docPr id="2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pic:cNvPicPr>
                      <a:picLocks noChangeAspect="1"/>
                    </pic:cNvPicPr>
                  </pic:nvPicPr>
                  <pic:blipFill>
                    <a:blip r:embed="rId46"/>
                    <a:stretch>
                      <a:fillRect/>
                    </a:stretch>
                  </pic:blipFill>
                  <pic:spPr>
                    <a:xfrm>
                      <a:off x="0" y="0"/>
                      <a:ext cx="9972000" cy="4996357"/>
                    </a:xfrm>
                    <a:prstGeom prst="rect">
                      <a:avLst/>
                    </a:prstGeom>
                  </pic:spPr>
                </pic:pic>
              </a:graphicData>
            </a:graphic>
          </wp:inline>
        </w:drawing>
      </w:r>
    </w:p>
    <w:p w14:paraId="45EC2324">
      <w:pPr>
        <w:spacing w:before="0" w:after="0" w:line="240" w:lineRule="auto"/>
      </w:pPr>
      <w:r>
        <w:rPr>
          <w:sz w:val="2"/>
        </w:rPr>
        <w:br w:type="page"/>
      </w:r>
    </w:p>
    <w:p w14:paraId="5EFA30B2">
      <w:pPr>
        <w:keepLines/>
        <w:spacing w:before="0" w:after="0" w:line="240" w:lineRule="auto"/>
        <w:jc w:val="center"/>
      </w:pPr>
      <w:r>
        <w:rPr>
          <w:sz w:val="2"/>
        </w:rPr>
        <w:drawing>
          <wp:inline distT="0" distB="0" distL="114300" distR="114300">
            <wp:extent cx="9971405" cy="4996180"/>
            <wp:effectExtent l="0" t="0" r="10795" b="7620"/>
            <wp:docPr id="2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pic:cNvPicPr>
                      <a:picLocks noChangeAspect="1"/>
                    </pic:cNvPicPr>
                  </pic:nvPicPr>
                  <pic:blipFill>
                    <a:blip r:embed="rId47"/>
                    <a:stretch>
                      <a:fillRect/>
                    </a:stretch>
                  </pic:blipFill>
                  <pic:spPr>
                    <a:xfrm>
                      <a:off x="0" y="0"/>
                      <a:ext cx="9972000" cy="4996357"/>
                    </a:xfrm>
                    <a:prstGeom prst="rect">
                      <a:avLst/>
                    </a:prstGeom>
                  </pic:spPr>
                </pic:pic>
              </a:graphicData>
            </a:graphic>
          </wp:inline>
        </w:drawing>
      </w:r>
    </w:p>
    <w:p w14:paraId="3BEA5A37">
      <w:pPr>
        <w:spacing w:before="0" w:after="0" w:line="240" w:lineRule="auto"/>
      </w:pPr>
      <w:r>
        <w:rPr>
          <w:sz w:val="2"/>
        </w:rPr>
        <w:br w:type="page"/>
      </w:r>
    </w:p>
    <w:p w14:paraId="65E4646D">
      <w:pPr>
        <w:keepLines/>
        <w:spacing w:before="0" w:after="0" w:line="240" w:lineRule="auto"/>
        <w:jc w:val="center"/>
      </w:pPr>
      <w:r>
        <w:rPr>
          <w:sz w:val="2"/>
        </w:rPr>
        <w:drawing>
          <wp:inline distT="0" distB="0" distL="114300" distR="114300">
            <wp:extent cx="9971405" cy="4448810"/>
            <wp:effectExtent l="0" t="0" r="10795" b="8890"/>
            <wp:docPr id="2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pic:cNvPicPr>
                      <a:picLocks noChangeAspect="1"/>
                    </pic:cNvPicPr>
                  </pic:nvPicPr>
                  <pic:blipFill>
                    <a:blip r:embed="rId48"/>
                    <a:stretch>
                      <a:fillRect/>
                    </a:stretch>
                  </pic:blipFill>
                  <pic:spPr>
                    <a:xfrm>
                      <a:off x="0" y="0"/>
                      <a:ext cx="9972000" cy="4449108"/>
                    </a:xfrm>
                    <a:prstGeom prst="rect">
                      <a:avLst/>
                    </a:prstGeom>
                  </pic:spPr>
                </pic:pic>
              </a:graphicData>
            </a:graphic>
          </wp:inline>
        </w:drawing>
      </w:r>
    </w:p>
    <w:p w14:paraId="549CC51F">
      <w:pPr>
        <w:spacing w:before="0" w:after="0" w:line="240" w:lineRule="auto"/>
      </w:pPr>
      <w:r>
        <w:rPr>
          <w:sz w:val="2"/>
        </w:rPr>
        <w:br w:type="page"/>
      </w:r>
    </w:p>
    <w:p w14:paraId="2F2BE303">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6" w:name="_Toc14839"/>
      <w:r>
        <w:rPr>
          <w:rFonts w:hint="eastAsia" w:ascii="黑体" w:hAnsi="黑体" w:eastAsia="黑体"/>
          <w:b/>
          <w:color w:val="auto"/>
          <w:sz w:val="32"/>
          <w:highlight w:val="none"/>
        </w:rPr>
        <w:t>八、一般公共预算财政拨款基本支出决算明细表</w:t>
      </w:r>
      <w:bookmarkEnd w:id="36"/>
    </w:p>
    <w:p w14:paraId="400A6F0C">
      <w:pPr>
        <w:keepLines/>
        <w:spacing w:before="0" w:after="0" w:line="240" w:lineRule="auto"/>
        <w:jc w:val="center"/>
      </w:pPr>
      <w:r>
        <w:rPr>
          <w:sz w:val="2"/>
        </w:rPr>
        <w:drawing>
          <wp:inline distT="0" distB="0" distL="114300" distR="114300">
            <wp:extent cx="8689340" cy="5400040"/>
            <wp:effectExtent l="0" t="0" r="10160" b="10160"/>
            <wp:docPr id="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pic:cNvPicPr>
                      <a:picLocks noChangeAspect="1"/>
                    </pic:cNvPicPr>
                  </pic:nvPicPr>
                  <pic:blipFill>
                    <a:blip r:embed="rId49"/>
                    <a:stretch>
                      <a:fillRect/>
                    </a:stretch>
                  </pic:blipFill>
                  <pic:spPr>
                    <a:xfrm>
                      <a:off x="0" y="0"/>
                      <a:ext cx="8689340" cy="5400040"/>
                    </a:xfrm>
                    <a:prstGeom prst="rect">
                      <a:avLst/>
                    </a:prstGeom>
                  </pic:spPr>
                </pic:pic>
              </a:graphicData>
            </a:graphic>
          </wp:inline>
        </w:drawing>
      </w:r>
    </w:p>
    <w:p w14:paraId="19A400E8">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7" w:name="_Toc27694"/>
      <w:r>
        <w:rPr>
          <w:rFonts w:hint="eastAsia" w:ascii="黑体" w:hAnsi="黑体" w:eastAsia="黑体"/>
          <w:b/>
          <w:color w:val="auto"/>
          <w:sz w:val="32"/>
          <w:highlight w:val="none"/>
        </w:rPr>
        <w:t>九、一般公共预算财政拨款项目支出决算表</w:t>
      </w:r>
      <w:bookmarkEnd w:id="37"/>
    </w:p>
    <w:p w14:paraId="4C45BF83">
      <w:pPr>
        <w:keepLines/>
        <w:spacing w:before="0" w:after="0" w:line="240" w:lineRule="auto"/>
        <w:jc w:val="center"/>
      </w:pPr>
      <w:r>
        <w:rPr>
          <w:sz w:val="2"/>
        </w:rPr>
        <w:drawing>
          <wp:inline distT="0" distB="0" distL="114300" distR="114300">
            <wp:extent cx="9971405" cy="3574415"/>
            <wp:effectExtent l="0" t="0" r="10795" b="6985"/>
            <wp:docPr id="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pic:cNvPicPr>
                      <a:picLocks noChangeAspect="1"/>
                    </pic:cNvPicPr>
                  </pic:nvPicPr>
                  <pic:blipFill>
                    <a:blip r:embed="rId50"/>
                    <a:stretch>
                      <a:fillRect/>
                    </a:stretch>
                  </pic:blipFill>
                  <pic:spPr>
                    <a:xfrm>
                      <a:off x="0" y="0"/>
                      <a:ext cx="9972000" cy="3574867"/>
                    </a:xfrm>
                    <a:prstGeom prst="rect">
                      <a:avLst/>
                    </a:prstGeom>
                  </pic:spPr>
                </pic:pic>
              </a:graphicData>
            </a:graphic>
          </wp:inline>
        </w:drawing>
      </w:r>
    </w:p>
    <w:p w14:paraId="124C25E4">
      <w:pPr>
        <w:spacing w:before="0" w:after="0" w:line="240" w:lineRule="auto"/>
      </w:pPr>
      <w:r>
        <w:rPr>
          <w:sz w:val="2"/>
        </w:rPr>
        <w:br w:type="page"/>
      </w:r>
    </w:p>
    <w:p w14:paraId="3666D9FC">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8" w:name="_Toc15464"/>
      <w:r>
        <w:rPr>
          <w:rFonts w:hint="eastAsia" w:ascii="黑体" w:hAnsi="黑体" w:eastAsia="黑体"/>
          <w:b/>
          <w:color w:val="auto"/>
          <w:sz w:val="32"/>
          <w:highlight w:val="none"/>
        </w:rPr>
        <w:t>十、政府性基金预算财政拨款收入支出决算表</w:t>
      </w:r>
      <w:bookmarkEnd w:id="38"/>
    </w:p>
    <w:p w14:paraId="32A7B7CA">
      <w:pPr>
        <w:keepLines/>
        <w:spacing w:before="0" w:after="0" w:line="240" w:lineRule="auto"/>
        <w:jc w:val="center"/>
      </w:pPr>
      <w:r>
        <w:rPr>
          <w:sz w:val="2"/>
        </w:rPr>
        <mc:AlternateContent>
          <mc:Choice Requires="wps">
            <w:drawing>
              <wp:anchor distT="0" distB="0" distL="114300" distR="114300" simplePos="0" relativeHeight="251659264" behindDoc="0" locked="0" layoutInCell="1" allowOverlap="1">
                <wp:simplePos x="0" y="0"/>
                <wp:positionH relativeFrom="column">
                  <wp:posOffset>-20320</wp:posOffset>
                </wp:positionH>
                <wp:positionV relativeFrom="paragraph">
                  <wp:posOffset>1477010</wp:posOffset>
                </wp:positionV>
                <wp:extent cx="1205865" cy="316865"/>
                <wp:effectExtent l="0" t="0" r="635" b="635"/>
                <wp:wrapNone/>
                <wp:docPr id="49" name="文本框 49"/>
                <wp:cNvGraphicFramePr/>
                <a:graphic xmlns:a="http://schemas.openxmlformats.org/drawingml/2006/main">
                  <a:graphicData uri="http://schemas.microsoft.com/office/word/2010/wordprocessingShape">
                    <wps:wsp>
                      <wps:cNvSpPr txBox="1"/>
                      <wps:spPr>
                        <a:xfrm>
                          <a:off x="612775" y="2623185"/>
                          <a:ext cx="1205865" cy="3168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F0A153C">
                            <w:pPr>
                              <w:rPr>
                                <w:rFonts w:hint="default" w:eastAsia="宋体"/>
                                <w:lang w:val="en-US" w:eastAsia="zh-CN"/>
                              </w:rPr>
                            </w:pPr>
                            <w:r>
                              <w:rPr>
                                <w:rFonts w:hint="eastAsia"/>
                                <w:lang w:val="en-US" w:eastAsia="zh-CN"/>
                              </w:rPr>
                              <w:t>注：本表无数据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pt;margin-top:116.3pt;height:24.95pt;width:94.95pt;z-index:251659264;mso-width-relative:page;mso-height-relative:page;" fillcolor="#FFFFFF [3201]" filled="t" stroked="f" coordsize="21600,21600" o:gfxdata="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puZG6&#10;1gAAAAoBAAAPAAAAAAAAAAEAIAAAACIAAABkcnMvZG93bnJldi54bWxQSwECFAAUAAAACACHTuJA&#10;yDVus1wCAACcBAAADgAAAAAAAAABACAAAAAlAQAAZHJzL2Uyb0RvYy54bWxQSwUGAAAAAAYABgBZ&#10;AQAA8wUAAAAA&#10;">
                <v:fill on="t" focussize="0,0"/>
                <v:stroke on="f" weight="0.5pt"/>
                <v:imagedata o:title=""/>
                <o:lock v:ext="edit" aspectratio="f"/>
                <v:textbox>
                  <w:txbxContent>
                    <w:p w14:paraId="0F0A153C">
                      <w:pPr>
                        <w:rPr>
                          <w:rFonts w:hint="default" w:eastAsia="宋体"/>
                          <w:lang w:val="en-US" w:eastAsia="zh-CN"/>
                        </w:rPr>
                      </w:pPr>
                      <w:r>
                        <w:rPr>
                          <w:rFonts w:hint="eastAsia"/>
                          <w:lang w:val="en-US" w:eastAsia="zh-CN"/>
                        </w:rPr>
                        <w:t>注：本表无数据</w:t>
                      </w:r>
                    </w:p>
                  </w:txbxContent>
                </v:textbox>
              </v:shape>
            </w:pict>
          </mc:Fallback>
        </mc:AlternateContent>
      </w:r>
      <w:r>
        <w:rPr>
          <w:sz w:val="2"/>
        </w:rPr>
        <w:drawing>
          <wp:inline distT="0" distB="0" distL="114300" distR="114300">
            <wp:extent cx="9971405" cy="1922145"/>
            <wp:effectExtent l="0" t="0" r="0" b="8255"/>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a:blip r:embed="rId51"/>
                    <a:stretch>
                      <a:fillRect/>
                    </a:stretch>
                  </pic:blipFill>
                  <pic:spPr>
                    <a:xfrm>
                      <a:off x="0" y="0"/>
                      <a:ext cx="9971405" cy="1922705"/>
                    </a:xfrm>
                    <a:prstGeom prst="rect">
                      <a:avLst/>
                    </a:prstGeom>
                  </pic:spPr>
                </pic:pic>
              </a:graphicData>
            </a:graphic>
          </wp:inline>
        </w:drawing>
      </w:r>
    </w:p>
    <w:p w14:paraId="32FD9791">
      <w:pPr>
        <w:spacing w:before="0" w:after="0" w:line="240" w:lineRule="auto"/>
      </w:pPr>
      <w:r>
        <w:rPr>
          <w:sz w:val="2"/>
        </w:rPr>
        <w:br w:type="page"/>
      </w:r>
    </w:p>
    <w:p w14:paraId="5CA07403">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9" w:name="_Toc16590"/>
      <w:r>
        <w:rPr>
          <w:rFonts w:hint="eastAsia" w:ascii="黑体" w:hAnsi="黑体" w:eastAsia="黑体"/>
          <w:b/>
          <w:color w:val="auto"/>
          <w:sz w:val="32"/>
          <w:highlight w:val="none"/>
        </w:rPr>
        <w:t>十一、国有资本经营预算财政拨款收入支出决算表</w:t>
      </w:r>
      <w:bookmarkEnd w:id="39"/>
    </w:p>
    <w:p w14:paraId="78C2EE37">
      <w:pPr>
        <w:keepLines/>
        <w:spacing w:before="0" w:after="0" w:line="240" w:lineRule="auto"/>
        <w:jc w:val="center"/>
      </w:pPr>
      <w:r>
        <w:rPr>
          <w:sz w:val="2"/>
        </w:rPr>
        <w:drawing>
          <wp:inline distT="0" distB="0" distL="114300" distR="114300">
            <wp:extent cx="9971405" cy="2740025"/>
            <wp:effectExtent l="0" t="0" r="10795" b="3175"/>
            <wp:docPr id="2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pic:cNvPicPr>
                      <a:picLocks noChangeAspect="1"/>
                    </pic:cNvPicPr>
                  </pic:nvPicPr>
                  <pic:blipFill>
                    <a:blip r:embed="rId52"/>
                    <a:stretch>
                      <a:fillRect/>
                    </a:stretch>
                  </pic:blipFill>
                  <pic:spPr>
                    <a:xfrm>
                      <a:off x="0" y="0"/>
                      <a:ext cx="9971405" cy="2740434"/>
                    </a:xfrm>
                    <a:prstGeom prst="rect">
                      <a:avLst/>
                    </a:prstGeom>
                  </pic:spPr>
                </pic:pic>
              </a:graphicData>
            </a:graphic>
          </wp:inline>
        </w:drawing>
      </w:r>
    </w:p>
    <w:p w14:paraId="53BC52E7">
      <w:pPr>
        <w:spacing w:before="0" w:after="0" w:line="240" w:lineRule="auto"/>
      </w:pPr>
      <w:r>
        <w:rPr>
          <w:sz w:val="2"/>
        </w:rPr>
        <w:br w:type="page"/>
      </w:r>
    </w:p>
    <w:p w14:paraId="7EC71B3B">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40" w:name="_Toc5967"/>
      <w:r>
        <w:rPr>
          <w:rFonts w:hint="eastAsia" w:ascii="黑体" w:hAnsi="黑体" w:eastAsia="黑体"/>
          <w:b/>
          <w:color w:val="auto"/>
          <w:sz w:val="32"/>
          <w:highlight w:val="none"/>
        </w:rPr>
        <w:t>十二、国有资本经营预算财政拨款支出决算表</w:t>
      </w:r>
      <w:bookmarkEnd w:id="40"/>
    </w:p>
    <w:p w14:paraId="0B554690">
      <w:pPr>
        <w:keepLines/>
        <w:spacing w:before="0" w:after="0" w:line="240" w:lineRule="auto"/>
        <w:jc w:val="center"/>
      </w:pPr>
      <w:r>
        <w:rPr>
          <w:sz w:val="2"/>
        </w:rPr>
        <w:drawing>
          <wp:inline distT="0" distB="0" distL="114300" distR="114300">
            <wp:extent cx="9971405" cy="2734945"/>
            <wp:effectExtent l="0" t="0" r="10795" b="8255"/>
            <wp:docPr id="2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pic:cNvPicPr>
                      <a:picLocks noChangeAspect="1"/>
                    </pic:cNvPicPr>
                  </pic:nvPicPr>
                  <pic:blipFill>
                    <a:blip r:embed="rId53"/>
                    <a:stretch>
                      <a:fillRect/>
                    </a:stretch>
                  </pic:blipFill>
                  <pic:spPr>
                    <a:xfrm>
                      <a:off x="0" y="0"/>
                      <a:ext cx="9971405" cy="2735548"/>
                    </a:xfrm>
                    <a:prstGeom prst="rect">
                      <a:avLst/>
                    </a:prstGeom>
                  </pic:spPr>
                </pic:pic>
              </a:graphicData>
            </a:graphic>
          </wp:inline>
        </w:drawing>
      </w:r>
    </w:p>
    <w:p w14:paraId="1C9B1A52">
      <w:pPr>
        <w:spacing w:before="0" w:after="0" w:line="240" w:lineRule="auto"/>
      </w:pPr>
      <w:r>
        <w:rPr>
          <w:sz w:val="2"/>
        </w:rPr>
        <w:br w:type="page"/>
      </w:r>
    </w:p>
    <w:p w14:paraId="5E226C19">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41" w:name="_Toc24544"/>
      <w:r>
        <w:rPr>
          <w:rFonts w:hint="eastAsia" w:ascii="黑体" w:hAnsi="黑体" w:eastAsia="黑体"/>
          <w:b/>
          <w:color w:val="auto"/>
          <w:sz w:val="32"/>
          <w:highlight w:val="none"/>
        </w:rPr>
        <w:t>十三、财政拨款“三公”经费支出决算表</w:t>
      </w:r>
      <w:bookmarkEnd w:id="41"/>
    </w:p>
    <w:p w14:paraId="0DC23AA8">
      <w:pPr>
        <w:keepLines/>
        <w:spacing w:before="0" w:after="0" w:line="240" w:lineRule="auto"/>
        <w:jc w:val="center"/>
      </w:pPr>
      <w:r>
        <w:rPr>
          <w:sz w:val="2"/>
        </w:rPr>
        <w:drawing>
          <wp:inline distT="0" distB="0" distL="114300" distR="114300">
            <wp:extent cx="9971405" cy="735965"/>
            <wp:effectExtent l="0" t="0" r="10795" b="635"/>
            <wp:docPr id="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pic:cNvPicPr>
                      <a:picLocks noChangeAspect="1"/>
                    </pic:cNvPicPr>
                  </pic:nvPicPr>
                  <pic:blipFill>
                    <a:blip r:embed="rId54"/>
                    <a:stretch>
                      <a:fillRect/>
                    </a:stretch>
                  </pic:blipFill>
                  <pic:spPr>
                    <a:xfrm>
                      <a:off x="0" y="0"/>
                      <a:ext cx="9972000" cy="736381"/>
                    </a:xfrm>
                    <a:prstGeom prst="rect">
                      <a:avLst/>
                    </a:prstGeom>
                  </pic:spPr>
                </pic:pic>
              </a:graphicData>
            </a:graphic>
          </wp:inline>
        </w:drawing>
      </w:r>
    </w:p>
    <w:sectPr>
      <w:pgSz w:w="16838" w:h="11906" w:orient="landscape"/>
      <w:pgMar w:top="567" w:right="567" w:bottom="567" w:left="56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decorative"/>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CA30F7B-95FD-4D03-A7DE-D23F7CC28F6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2" w:fontKey="{0BC5CD3C-C0EC-4423-90A6-F557FCA96D58}"/>
  </w:font>
  <w:font w:name="仿宋">
    <w:panose1 w:val="02010609060101010101"/>
    <w:charset w:val="86"/>
    <w:family w:val="modern"/>
    <w:pitch w:val="default"/>
    <w:sig w:usb0="800002BF" w:usb1="38CF7CFA" w:usb2="00000016" w:usb3="00000000" w:csb0="00040001" w:csb1="00000000"/>
    <w:embedRegular r:id="rId3" w:fontKey="{1B32104B-2E56-496A-A7AF-A1EAC2E47B78}"/>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00000001" w:usb1="08000000" w:usb2="00000000" w:usb3="00000000" w:csb0="00040000" w:csb1="00000000"/>
    <w:embedRegular r:id="rId4" w:fontKey="{1880AC5F-5FD9-48E8-8F6E-7FA6A68D5035}"/>
  </w:font>
  <w:font w:name="楷体_GB2312">
    <w:altName w:val="楷体"/>
    <w:panose1 w:val="02010609030101010101"/>
    <w:charset w:val="86"/>
    <w:family w:val="auto"/>
    <w:pitch w:val="default"/>
    <w:sig w:usb0="00000000" w:usb1="00000000" w:usb2="00000000" w:usb3="00000000" w:csb0="00040000" w:csb1="00000000"/>
    <w:embedRegular r:id="rId5" w:fontKey="{C3F06820-FFB8-441F-89C7-A2A6789E74CD}"/>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2FAF6">
    <w:pPr>
      <w:pStyle w:val="10"/>
      <w:jc w:val="center"/>
    </w:pPr>
  </w:p>
  <w:p w14:paraId="6077C34A">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80421">
    <w:pPr>
      <w:pStyle w:val="10"/>
      <w:jc w:val="center"/>
    </w:pPr>
  </w:p>
  <w:p w14:paraId="053F95A7">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8D84F">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8E1E9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D8E1E9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8F992">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A4EAB44">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fpnLCt0CAAAmBgAADgAAAAAAAAABACAAAAAfAQAAZHJzL2Uyb0RvYy54bWxQSwUG&#10;AAAAAAYABgBZAQAAbgYAAAAA&#10;">
              <v:fill on="f" focussize="0,0"/>
              <v:stroke on="f" weight="0.5pt"/>
              <v:imagedata o:title=""/>
              <o:lock v:ext="edit" aspectratio="f"/>
              <v:textbox inset="0mm,0mm,0mm,0mm" style="mso-fit-shape-to-text:t;">
                <w:txbxContent>
                  <w:p w14:paraId="1A4EAB44">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p w14:paraId="492D3117">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E2815">
    <w:pPr>
      <w:pStyle w:val="1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C7DC20E">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Xe+C/eAgAAJgYAAA4AAABkcnMvZTJvRG9jLnhtbK1US27bMBDdF+gd&#10;CO4VSY7s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MXe+C/eAgAAJgYAAA4AAAAAAAAAAQAgAAAAHwEAAGRycy9lMm9Eb2MueG1sUEsF&#10;BgAAAAAGAAYAWQEAAG8GAAAAAA==&#10;">
              <v:fill on="f" focussize="0,0"/>
              <v:stroke on="f" weight="0.5pt"/>
              <v:imagedata o:title=""/>
              <o:lock v:ext="edit" aspectratio="f"/>
              <v:textbox inset="0mm,0mm,0mm,0mm" style="mso-fit-shape-to-text:t;">
                <w:txbxContent>
                  <w:p w14:paraId="0C7DC20E">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p w14:paraId="7F3D5F35">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AED5B">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5F6750"/>
    <w:rsid w:val="08DB07E4"/>
    <w:rsid w:val="09867E8F"/>
    <w:rsid w:val="09A10B64"/>
    <w:rsid w:val="0A2032A3"/>
    <w:rsid w:val="0BCA41D1"/>
    <w:rsid w:val="0C6C4794"/>
    <w:rsid w:val="0CA8290A"/>
    <w:rsid w:val="0D35B1ED"/>
    <w:rsid w:val="0D7511DD"/>
    <w:rsid w:val="0DE07E2B"/>
    <w:rsid w:val="0F98263C"/>
    <w:rsid w:val="101860EC"/>
    <w:rsid w:val="10C055FF"/>
    <w:rsid w:val="11772AA4"/>
    <w:rsid w:val="118107EC"/>
    <w:rsid w:val="11BF6ECB"/>
    <w:rsid w:val="13D50BC4"/>
    <w:rsid w:val="14022904"/>
    <w:rsid w:val="152F2A07"/>
    <w:rsid w:val="15391A96"/>
    <w:rsid w:val="165E0673"/>
    <w:rsid w:val="16BB723D"/>
    <w:rsid w:val="175C6F6A"/>
    <w:rsid w:val="17685577"/>
    <w:rsid w:val="186504BB"/>
    <w:rsid w:val="1938089F"/>
    <w:rsid w:val="19A445FC"/>
    <w:rsid w:val="1B79633D"/>
    <w:rsid w:val="1B7D550C"/>
    <w:rsid w:val="1BE8440E"/>
    <w:rsid w:val="1D155CEE"/>
    <w:rsid w:val="1DF223D6"/>
    <w:rsid w:val="1E740ACF"/>
    <w:rsid w:val="1FF35744"/>
    <w:rsid w:val="1FF6BC77"/>
    <w:rsid w:val="21962A9E"/>
    <w:rsid w:val="21AE7C77"/>
    <w:rsid w:val="22BC3C41"/>
    <w:rsid w:val="23860B96"/>
    <w:rsid w:val="240371BF"/>
    <w:rsid w:val="260F557C"/>
    <w:rsid w:val="26F64CE5"/>
    <w:rsid w:val="281408E2"/>
    <w:rsid w:val="286F080A"/>
    <w:rsid w:val="29B1467A"/>
    <w:rsid w:val="29FD04D3"/>
    <w:rsid w:val="2BFF7BC6"/>
    <w:rsid w:val="2C8A61B5"/>
    <w:rsid w:val="2D2E01CF"/>
    <w:rsid w:val="2DF04E50"/>
    <w:rsid w:val="2E9545B0"/>
    <w:rsid w:val="2F040D46"/>
    <w:rsid w:val="2FAE5751"/>
    <w:rsid w:val="2FB1A395"/>
    <w:rsid w:val="2FD9A7D8"/>
    <w:rsid w:val="30BB2AFC"/>
    <w:rsid w:val="30DD2A72"/>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6C4FEA"/>
    <w:rsid w:val="3AB79AF3"/>
    <w:rsid w:val="3B7EF35A"/>
    <w:rsid w:val="3B9FDB6C"/>
    <w:rsid w:val="3BF5BC2F"/>
    <w:rsid w:val="3CEBA265"/>
    <w:rsid w:val="3D98207C"/>
    <w:rsid w:val="3D9B0D99"/>
    <w:rsid w:val="3DEE7CF3"/>
    <w:rsid w:val="3DF02244"/>
    <w:rsid w:val="3E295549"/>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785BA5"/>
    <w:rsid w:val="4DBF1CEB"/>
    <w:rsid w:val="4EAB630A"/>
    <w:rsid w:val="4ECE2238"/>
    <w:rsid w:val="4ED137BE"/>
    <w:rsid w:val="4F833267"/>
    <w:rsid w:val="4FE9BD67"/>
    <w:rsid w:val="4FFB052F"/>
    <w:rsid w:val="523F4EE3"/>
    <w:rsid w:val="53083A92"/>
    <w:rsid w:val="537E6D0A"/>
    <w:rsid w:val="53AF27A2"/>
    <w:rsid w:val="53F74C96"/>
    <w:rsid w:val="56701B0F"/>
    <w:rsid w:val="56E47B74"/>
    <w:rsid w:val="57BD3DD4"/>
    <w:rsid w:val="5AF92295"/>
    <w:rsid w:val="5BDD79E6"/>
    <w:rsid w:val="5BF561CA"/>
    <w:rsid w:val="5BFF5DFC"/>
    <w:rsid w:val="5C1E3DBB"/>
    <w:rsid w:val="5CD71FC4"/>
    <w:rsid w:val="5D1F11B5"/>
    <w:rsid w:val="5DAE1B18"/>
    <w:rsid w:val="5DE7D9E5"/>
    <w:rsid w:val="5EC40C4A"/>
    <w:rsid w:val="5ECEC941"/>
    <w:rsid w:val="5F493CB7"/>
    <w:rsid w:val="5FBF9FF3"/>
    <w:rsid w:val="5FCD4E2C"/>
    <w:rsid w:val="5FD15F49"/>
    <w:rsid w:val="5FEF394A"/>
    <w:rsid w:val="5FF67715"/>
    <w:rsid w:val="62BF3928"/>
    <w:rsid w:val="63F66787"/>
    <w:rsid w:val="647F5392"/>
    <w:rsid w:val="664B1D71"/>
    <w:rsid w:val="67AA3209"/>
    <w:rsid w:val="681C4F0D"/>
    <w:rsid w:val="69046D0F"/>
    <w:rsid w:val="698D0931"/>
    <w:rsid w:val="6A993CED"/>
    <w:rsid w:val="6B053271"/>
    <w:rsid w:val="6BCE6674"/>
    <w:rsid w:val="6C4A05C8"/>
    <w:rsid w:val="6C8742B8"/>
    <w:rsid w:val="6C8A170F"/>
    <w:rsid w:val="6CB54609"/>
    <w:rsid w:val="6D041134"/>
    <w:rsid w:val="6D372470"/>
    <w:rsid w:val="6DBF5E93"/>
    <w:rsid w:val="6DFF077E"/>
    <w:rsid w:val="6E1F3F56"/>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E63B57"/>
    <w:rsid w:val="72233669"/>
    <w:rsid w:val="72734D90"/>
    <w:rsid w:val="7332FE48"/>
    <w:rsid w:val="73AB61DA"/>
    <w:rsid w:val="73AD73D5"/>
    <w:rsid w:val="73B6EB34"/>
    <w:rsid w:val="73FA497D"/>
    <w:rsid w:val="744731E5"/>
    <w:rsid w:val="74527205"/>
    <w:rsid w:val="74BBD01D"/>
    <w:rsid w:val="74ED5379"/>
    <w:rsid w:val="74FC2395"/>
    <w:rsid w:val="75295853"/>
    <w:rsid w:val="753C5586"/>
    <w:rsid w:val="75DEEEC2"/>
    <w:rsid w:val="76E3355F"/>
    <w:rsid w:val="76FF5125"/>
    <w:rsid w:val="7711659E"/>
    <w:rsid w:val="776F6FFA"/>
    <w:rsid w:val="778769C8"/>
    <w:rsid w:val="77DC22F5"/>
    <w:rsid w:val="79086DAD"/>
    <w:rsid w:val="79974F09"/>
    <w:rsid w:val="799D236B"/>
    <w:rsid w:val="79D7FD79"/>
    <w:rsid w:val="79EE5BA4"/>
    <w:rsid w:val="7A894339"/>
    <w:rsid w:val="7A996FD7"/>
    <w:rsid w:val="7AFF7572"/>
    <w:rsid w:val="7B0326A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7" Type="http://schemas.openxmlformats.org/officeDocument/2006/relationships/fontTable" Target="fontTable.xml"/><Relationship Id="rId56" Type="http://schemas.openxmlformats.org/officeDocument/2006/relationships/customXml" Target="../customXml/item2.xml"/><Relationship Id="rId55" Type="http://schemas.openxmlformats.org/officeDocument/2006/relationships/customXml" Target="../customXml/item1.xml"/><Relationship Id="rId54" Type="http://schemas.openxmlformats.org/officeDocument/2006/relationships/image" Target="media/image45.jpeg"/><Relationship Id="rId53" Type="http://schemas.openxmlformats.org/officeDocument/2006/relationships/image" Target="media/image44.jpeg"/><Relationship Id="rId52" Type="http://schemas.openxmlformats.org/officeDocument/2006/relationships/image" Target="media/image43.jpeg"/><Relationship Id="rId51" Type="http://schemas.openxmlformats.org/officeDocument/2006/relationships/image" Target="media/image42.png"/><Relationship Id="rId50" Type="http://schemas.openxmlformats.org/officeDocument/2006/relationships/image" Target="media/image41.jpeg"/><Relationship Id="rId5" Type="http://schemas.openxmlformats.org/officeDocument/2006/relationships/footer" Target="footer2.xml"/><Relationship Id="rId49" Type="http://schemas.openxmlformats.org/officeDocument/2006/relationships/image" Target="media/image40.jpeg"/><Relationship Id="rId48" Type="http://schemas.openxmlformats.org/officeDocument/2006/relationships/image" Target="media/image39.jpeg"/><Relationship Id="rId47" Type="http://schemas.openxmlformats.org/officeDocument/2006/relationships/image" Target="media/image38.jpeg"/><Relationship Id="rId46" Type="http://schemas.openxmlformats.org/officeDocument/2006/relationships/image" Target="media/image37.jpeg"/><Relationship Id="rId45" Type="http://schemas.openxmlformats.org/officeDocument/2006/relationships/image" Target="media/image36.jpeg"/><Relationship Id="rId44" Type="http://schemas.openxmlformats.org/officeDocument/2006/relationships/image" Target="media/image35.jpeg"/><Relationship Id="rId43" Type="http://schemas.openxmlformats.org/officeDocument/2006/relationships/image" Target="media/image34.jpeg"/><Relationship Id="rId42" Type="http://schemas.openxmlformats.org/officeDocument/2006/relationships/image" Target="media/image33.jpeg"/><Relationship Id="rId41" Type="http://schemas.openxmlformats.org/officeDocument/2006/relationships/image" Target="media/image32.jpeg"/><Relationship Id="rId40" Type="http://schemas.openxmlformats.org/officeDocument/2006/relationships/image" Target="media/image31.jpeg"/><Relationship Id="rId4" Type="http://schemas.openxmlformats.org/officeDocument/2006/relationships/footer" Target="footer1.xml"/><Relationship Id="rId39" Type="http://schemas.openxmlformats.org/officeDocument/2006/relationships/image" Target="media/image30.jpeg"/><Relationship Id="rId38" Type="http://schemas.openxmlformats.org/officeDocument/2006/relationships/image" Target="media/image29.jpeg"/><Relationship Id="rId37" Type="http://schemas.openxmlformats.org/officeDocument/2006/relationships/image" Target="media/image28.jpeg"/><Relationship Id="rId36" Type="http://schemas.openxmlformats.org/officeDocument/2006/relationships/image" Target="media/image27.jpeg"/><Relationship Id="rId35" Type="http://schemas.openxmlformats.org/officeDocument/2006/relationships/image" Target="media/image26.jpeg"/><Relationship Id="rId34" Type="http://schemas.openxmlformats.org/officeDocument/2006/relationships/image" Target="media/image25.jpeg"/><Relationship Id="rId33" Type="http://schemas.openxmlformats.org/officeDocument/2006/relationships/image" Target="media/image24.jpe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711b091c-26ce-4783-8669-5f9ce4afab75</errorID>
      <errorWord>176.1万元</errorWord>
      <group>L1_Other</group>
      <groupName>其他问题</groupName>
      <ability>L2_Consistency</ability>
      <abilityName>一致性检查</abilityName>
      <candidateList>
        <item>178.8万元</item>
      </candidateList>
      <explain>数字一致性错误，原文中一般公共预算财政拨款支出里住房保障支出总计为178.8万元，住房公积金2.7万元加购房补贴176.1万元合计178.8万元，住房保障支出分项金额总计与总额不一致，此处分项住房公积金金额错误，应为176.1+2.7=178.8万元</explain>
      <paraID>407DA0E4</paraID>
      <start>34</start>
      <end>41</end>
      <status>ignored</status>
      <modifiedWord/>
      <trackRevisions>false</trackRevisions>
    </reviewItem>
    <reviewItem>
      <errorID>e834e6d1-c8f7-4556-9e95-13f57b97f3ce</errorID>
      <errorWord>转役</errorWord>
      <group>L1_Word</group>
      <groupName>字词问题</groupName>
      <ability>L2_Typo</ability>
      <abilityName>字词错误</abilityName>
      <candidateList>
        <item>转业</item>
      </candidateList>
      <explain/>
      <paraID>555B20FE</paraID>
      <start>69</start>
      <end>71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8302b3-c291-4d7d-a346-cb63ad9788f8}">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57</Pages>
  <Words>5431</Words>
  <Characters>5899</Characters>
  <Lines>61</Lines>
  <Paragraphs>17</Paragraphs>
  <TotalTime>1</TotalTime>
  <ScaleCrop>false</ScaleCrop>
  <LinksUpToDate>false</LinksUpToDate>
  <CharactersWithSpaces>5917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sunshine</cp:lastModifiedBy>
  <cp:lastPrinted>2026-08-03T09:27:00Z</cp:lastPrinted>
  <dcterms:modified xsi:type="dcterms:W3CDTF">2026-09-08T13:00:35Z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81249F71A8684DE4933FB5CB0BC6B440_13</vt:lpwstr>
  </property>
  <property fmtid="{D5CDD505-2E9C-101B-9397-08002B2CF9AE}" pid="4" name="KSOTemplateDocerSaveRecord">
    <vt:lpwstr>eyJoZGlkIjoiMjgxZWQ0MTZmNDY0NzE0NThjMzI1YjE3NjYxYmY4ZmIiLCJ1c2VySWQiOiIyNDg0ODg3NDMifQ==</vt:lpwstr>
  </property>
</Properties>
</file>