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30E69">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7425"/>
      <w:bookmarkStart w:id="2" w:name="_Toc15377193"/>
      <w:bookmarkStart w:id="3" w:name="_Toc15378441"/>
      <w:bookmarkStart w:id="4" w:name="_Toc15396475"/>
      <w:bookmarkStart w:id="5" w:name="_Toc15306267"/>
    </w:p>
    <w:p w14:paraId="3063D5F1">
      <w:pPr>
        <w:pStyle w:val="2"/>
        <w:ind w:firstLine="3000" w:firstLineChars="500"/>
        <w:rPr>
          <w:rFonts w:hint="eastAsia" w:ascii="Times New Roman" w:eastAsia="方正小标宋简体" w:cs="Times New Roman"/>
          <w:color w:val="auto"/>
          <w:kern w:val="2"/>
          <w:sz w:val="60"/>
          <w:szCs w:val="60"/>
          <w:highlight w:val="none"/>
          <w:lang w:val="en-US" w:eastAsia="zh-CN" w:bidi="ar-SA"/>
        </w:rPr>
      </w:pPr>
      <w:r>
        <w:rPr>
          <w:rFonts w:hint="eastAsia" w:ascii="Times New Roman" w:eastAsia="方正小标宋简体" w:cs="Times New Roman"/>
          <w:color w:val="auto"/>
          <w:kern w:val="2"/>
          <w:sz w:val="60"/>
          <w:szCs w:val="60"/>
          <w:highlight w:val="none"/>
          <w:lang w:val="en-US" w:eastAsia="zh-CN" w:bidi="ar-SA"/>
        </w:rPr>
        <w:t>2025年度</w:t>
      </w:r>
    </w:p>
    <w:p w14:paraId="445F6232">
      <w:pPr>
        <w:pStyle w:val="2"/>
        <w:ind w:firstLine="3000" w:firstLineChars="500"/>
        <w:rPr>
          <w:rFonts w:hint="default" w:ascii="Times New Roman" w:eastAsia="方正小标宋简体" w:cs="Times New Roman"/>
          <w:color w:val="auto"/>
          <w:kern w:val="2"/>
          <w:sz w:val="60"/>
          <w:szCs w:val="60"/>
          <w:highlight w:val="none"/>
          <w:lang w:val="en-US" w:eastAsia="zh-CN" w:bidi="ar-SA"/>
        </w:rPr>
      </w:pPr>
    </w:p>
    <w:p w14:paraId="5300D580">
      <w:pPr>
        <w:pStyle w:val="2"/>
        <w:jc w:val="center"/>
        <w:rPr>
          <w:rFonts w:hint="default" w:ascii="Times New Roman" w:hAnsi="Times New Roman" w:eastAsia="方正小标宋简体" w:cs="Times New Roman"/>
          <w:color w:val="auto"/>
          <w:kern w:val="2"/>
          <w:sz w:val="40"/>
          <w:szCs w:val="40"/>
          <w:highlight w:val="none"/>
          <w:lang w:val="en-US" w:eastAsia="zh-CN" w:bidi="ar-SA"/>
        </w:rPr>
      </w:pPr>
      <w:bookmarkStart w:id="6" w:name="_Toc7783"/>
      <w:bookmarkStart w:id="7" w:name="_Toc2797"/>
      <w:bookmarkStart w:id="8" w:name="_Toc3857"/>
      <w:bookmarkStart w:id="9" w:name="_Toc18277"/>
      <w:r>
        <w:rPr>
          <w:rFonts w:hint="eastAsia" w:ascii="方正小标宋简体" w:eastAsia="方正小标宋简体" w:cs="方正小标宋简体"/>
          <w:sz w:val="56"/>
          <w:szCs w:val="56"/>
        </w:rPr>
        <w:t>四川省阿坝州青少年校外教育活动中心决算</w:t>
      </w:r>
      <w:bookmarkEnd w:id="6"/>
      <w:bookmarkEnd w:id="7"/>
      <w:bookmarkEnd w:id="8"/>
      <w:bookmarkEnd w:id="9"/>
      <w:r>
        <w:rPr>
          <w:rFonts w:hint="eastAsia" w:ascii="方正小标宋简体" w:eastAsia="方正小标宋简体" w:cs="方正小标宋简体"/>
          <w:sz w:val="56"/>
          <w:szCs w:val="56"/>
          <w:lang w:val="en-US" w:eastAsia="zh-CN"/>
        </w:rPr>
        <w:t>公开说明</w:t>
      </w:r>
    </w:p>
    <w:p w14:paraId="5C1D136C">
      <w:pPr>
        <w:adjustRightInd w:val="0"/>
        <w:snapToGrid w:val="0"/>
        <w:spacing w:line="360" w:lineRule="auto"/>
        <w:jc w:val="center"/>
        <w:outlineLvl w:val="0"/>
        <w:rPr>
          <w:rFonts w:ascii="方正小标宋简体" w:eastAsia="方正小标宋简体" w:cs="方正小标宋简体"/>
          <w:sz w:val="72"/>
          <w:szCs w:val="72"/>
        </w:rPr>
      </w:pPr>
    </w:p>
    <w:p w14:paraId="6DED3534">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14:paraId="357CC782">
      <w:pPr>
        <w:spacing w:line="600" w:lineRule="exact"/>
        <w:jc w:val="center"/>
        <w:outlineLvl w:val="0"/>
        <w:rPr>
          <w:rFonts w:ascii="Times New Roman" w:hAnsi="Times New Roman" w:eastAsia="方正小标宋简体"/>
          <w:color w:val="auto"/>
          <w:sz w:val="72"/>
          <w:szCs w:val="72"/>
          <w:highlight w:val="none"/>
        </w:rPr>
      </w:pPr>
    </w:p>
    <w:p w14:paraId="578B065C">
      <w:pPr>
        <w:spacing w:line="600" w:lineRule="exact"/>
        <w:jc w:val="center"/>
        <w:outlineLvl w:val="0"/>
        <w:rPr>
          <w:rFonts w:ascii="Times New Roman" w:hAnsi="Times New Roman" w:eastAsia="方正小标宋简体"/>
          <w:color w:val="auto"/>
          <w:sz w:val="72"/>
          <w:szCs w:val="72"/>
          <w:highlight w:val="none"/>
        </w:rPr>
      </w:pPr>
    </w:p>
    <w:p w14:paraId="7F1D5F58">
      <w:pPr>
        <w:spacing w:line="600" w:lineRule="exact"/>
        <w:jc w:val="center"/>
        <w:outlineLvl w:val="0"/>
        <w:rPr>
          <w:rFonts w:ascii="Times New Roman" w:hAnsi="Times New Roman" w:eastAsia="方正小标宋简体"/>
          <w:color w:val="auto"/>
          <w:sz w:val="72"/>
          <w:szCs w:val="72"/>
          <w:highlight w:val="none"/>
        </w:rPr>
      </w:pPr>
    </w:p>
    <w:p w14:paraId="3ABAB600">
      <w:pPr>
        <w:pStyle w:val="13"/>
        <w:rPr>
          <w:rFonts w:hint="eastAsia" w:ascii="Times New Roman" w:hAnsi="Times New Roman" w:eastAsia="仿宋_GB2312" w:cs="仿宋_GB2312"/>
          <w:color w:val="auto"/>
          <w:sz w:val="32"/>
          <w:szCs w:val="32"/>
          <w:highlight w:val="none"/>
        </w:rPr>
      </w:pPr>
    </w:p>
    <w:p w14:paraId="2FF74691">
      <w:pPr>
        <w:pStyle w:val="14"/>
        <w:rPr>
          <w:rFonts w:hint="eastAsia" w:ascii="Times New Roman" w:hAnsi="Times New Roman" w:eastAsia="仿宋_GB2312" w:cs="仿宋_GB2312"/>
          <w:color w:val="auto"/>
          <w:sz w:val="32"/>
          <w:szCs w:val="32"/>
          <w:highlight w:val="none"/>
        </w:rPr>
      </w:pPr>
    </w:p>
    <w:p w14:paraId="5FC5C945">
      <w:pPr>
        <w:autoSpaceDE w:val="0"/>
        <w:autoSpaceDN w:val="0"/>
        <w:adjustRightInd w:val="0"/>
        <w:ind w:left="420" w:leftChars="200"/>
        <w:jc w:val="left"/>
        <w:rPr>
          <w:rFonts w:ascii="宋体"/>
          <w:sz w:val="32"/>
          <w:szCs w:val="32"/>
        </w:rPr>
      </w:pPr>
      <w:r>
        <w:rPr>
          <w:rFonts w:hint="eastAsia" w:ascii="宋体" w:cs="仿宋_GB2312"/>
          <w:sz w:val="32"/>
          <w:szCs w:val="32"/>
        </w:rPr>
        <w:t>保密审查情况：已审查，内容审定</w:t>
      </w:r>
    </w:p>
    <w:p w14:paraId="2CA9ADAF">
      <w:pPr>
        <w:autoSpaceDE w:val="0"/>
        <w:autoSpaceDN w:val="0"/>
        <w:adjustRightInd w:val="0"/>
        <w:ind w:left="420" w:leftChars="200"/>
        <w:jc w:val="left"/>
        <w:rPr>
          <w:rFonts w:ascii="宋体"/>
          <w:sz w:val="32"/>
          <w:szCs w:val="32"/>
        </w:rPr>
      </w:pPr>
      <w:r>
        <w:rPr>
          <w:rFonts w:hint="eastAsia" w:ascii="宋体" w:cs="仿宋_GB2312"/>
          <w:sz w:val="32"/>
          <w:szCs w:val="32"/>
        </w:rPr>
        <w:t>部门主要负责人审签情况：已审签，同意对外公开</w:t>
      </w:r>
    </w:p>
    <w:p w14:paraId="71D72BC7">
      <w:pPr>
        <w:widowControl/>
        <w:jc w:val="center"/>
        <w:rPr>
          <w:rFonts w:ascii="黑体" w:eastAsia="黑体"/>
          <w:sz w:val="48"/>
          <w:szCs w:val="48"/>
        </w:rPr>
      </w:pPr>
    </w:p>
    <w:p w14:paraId="421419A7">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p w14:paraId="5D8496CB">
      <w:pPr>
        <w:rPr>
          <w:rFonts w:hint="eastAsia" w:ascii="Times New Roman" w:hAnsi="Times New Roman" w:eastAsia="仿宋_GB2312" w:cs="仿宋_GB2312"/>
          <w:color w:val="auto"/>
          <w:sz w:val="32"/>
          <w:szCs w:val="32"/>
          <w:highlight w:val="none"/>
        </w:rPr>
      </w:pPr>
    </w:p>
    <w:p w14:paraId="05CB1572">
      <w:pPr>
        <w:rPr>
          <w:rFonts w:ascii="Times New Roman" w:hAnsi="Times New Roman"/>
        </w:rPr>
      </w:pPr>
    </w:p>
    <w:p w14:paraId="6CBF11EE">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sdt>
      <w:sdtPr>
        <w:rPr>
          <w:rFonts w:ascii="宋体" w:hAnsi="宋体" w:eastAsia="宋体" w:cs="Times New Roman"/>
          <w:kern w:val="2"/>
          <w:sz w:val="21"/>
          <w:szCs w:val="24"/>
          <w:lang w:val="en-US" w:eastAsia="zh-CN" w:bidi="ar-SA"/>
        </w:rPr>
        <w:id w:val="147452346"/>
        <w15:color w:val="DBDBDB"/>
        <w:docPartObj>
          <w:docPartGallery w:val="Table of Contents"/>
          <w:docPartUnique/>
        </w:docPartObj>
      </w:sdtPr>
      <w:sdtEndPr>
        <w:rPr>
          <w:rFonts w:ascii="仿宋_GB2312" w:hAnsi="Times New Roman" w:eastAsia="仿宋_GB2312" w:cs="Times New Roman"/>
          <w:kern w:val="0"/>
          <w:sz w:val="30"/>
          <w:szCs w:val="24"/>
          <w:lang w:val="en-US" w:eastAsia="zh-CN" w:bidi="ar-SA"/>
        </w:rPr>
      </w:sdtEndPr>
      <w:sdtContent>
        <w:p w14:paraId="4BE73FD8">
          <w:pPr>
            <w:spacing w:before="0" w:beforeLines="0" w:after="0" w:afterLines="0" w:line="240" w:lineRule="auto"/>
            <w:ind w:left="0" w:leftChars="0" w:right="0" w:rightChars="0" w:firstLine="0" w:firstLineChars="0"/>
            <w:jc w:val="center"/>
          </w:pPr>
          <w:r>
            <w:rPr>
              <w:rFonts w:ascii="宋体" w:hAnsi="宋体" w:eastAsia="宋体"/>
              <w:sz w:val="21"/>
            </w:rPr>
            <w:t>目录</w:t>
          </w:r>
        </w:p>
        <w:p w14:paraId="6B854870">
          <w:pPr>
            <w:pStyle w:val="12"/>
            <w:tabs>
              <w:tab w:val="right" w:leader="dot" w:pos="8306"/>
              <w:tab w:val="clear" w:pos="8296"/>
            </w:tabs>
          </w:pPr>
          <w:r>
            <w:fldChar w:fldCharType="begin"/>
          </w:r>
          <w:r>
            <w:instrText xml:space="preserve">TOC \o "1-3" \h \u </w:instrText>
          </w:r>
          <w:r>
            <w:fldChar w:fldCharType="separate"/>
          </w:r>
          <w:r>
            <w:fldChar w:fldCharType="begin"/>
          </w:r>
          <w:r>
            <w:instrText xml:space="preserve"> HYPERLINK \l _Toc15270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_Toc15270 \h </w:instrText>
          </w:r>
          <w:r>
            <w:fldChar w:fldCharType="separate"/>
          </w:r>
          <w:r>
            <w:t>3</w:t>
          </w:r>
          <w:r>
            <w:fldChar w:fldCharType="end"/>
          </w:r>
          <w:r>
            <w:fldChar w:fldCharType="end"/>
          </w:r>
        </w:p>
        <w:p w14:paraId="4DDB61BF">
          <w:pPr>
            <w:pStyle w:val="15"/>
            <w:tabs>
              <w:tab w:val="right" w:leader="dot" w:pos="8306"/>
              <w:tab w:val="clear" w:pos="8296"/>
            </w:tabs>
          </w:pPr>
          <w:r>
            <w:fldChar w:fldCharType="begin"/>
          </w:r>
          <w:r>
            <w:instrText xml:space="preserve"> HYPERLINK \l _Toc23266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_Toc23266 \h </w:instrText>
          </w:r>
          <w:r>
            <w:fldChar w:fldCharType="separate"/>
          </w:r>
          <w:r>
            <w:t>3</w:t>
          </w:r>
          <w:r>
            <w:fldChar w:fldCharType="end"/>
          </w:r>
          <w:r>
            <w:fldChar w:fldCharType="end"/>
          </w:r>
        </w:p>
        <w:p w14:paraId="0E26BA7F">
          <w:pPr>
            <w:pStyle w:val="15"/>
            <w:tabs>
              <w:tab w:val="right" w:leader="dot" w:pos="8306"/>
              <w:tab w:val="clear" w:pos="8296"/>
            </w:tabs>
          </w:pPr>
          <w:r>
            <w:fldChar w:fldCharType="begin"/>
          </w:r>
          <w:r>
            <w:instrText xml:space="preserve"> HYPERLINK \l _Toc14131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_Toc14131 \h </w:instrText>
          </w:r>
          <w:r>
            <w:fldChar w:fldCharType="separate"/>
          </w:r>
          <w:r>
            <w:t>3</w:t>
          </w:r>
          <w:r>
            <w:fldChar w:fldCharType="end"/>
          </w:r>
          <w:r>
            <w:fldChar w:fldCharType="end"/>
          </w:r>
        </w:p>
        <w:p w14:paraId="6248FE4F">
          <w:pPr>
            <w:pStyle w:val="12"/>
            <w:tabs>
              <w:tab w:val="right" w:leader="dot" w:pos="8306"/>
              <w:tab w:val="clear" w:pos="8296"/>
            </w:tabs>
          </w:pPr>
          <w:r>
            <w:fldChar w:fldCharType="begin"/>
          </w:r>
          <w:r>
            <w:instrText xml:space="preserve"> HYPERLINK \l _Toc21796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_Toc21796 \h </w:instrText>
          </w:r>
          <w:r>
            <w:fldChar w:fldCharType="separate"/>
          </w:r>
          <w:r>
            <w:t>3</w:t>
          </w:r>
          <w:r>
            <w:fldChar w:fldCharType="end"/>
          </w:r>
          <w:r>
            <w:fldChar w:fldCharType="end"/>
          </w:r>
        </w:p>
        <w:p w14:paraId="1A362BF9">
          <w:pPr>
            <w:pStyle w:val="15"/>
            <w:tabs>
              <w:tab w:val="right" w:leader="dot" w:pos="8306"/>
              <w:tab w:val="clear" w:pos="8296"/>
            </w:tabs>
          </w:pPr>
          <w:r>
            <w:fldChar w:fldCharType="begin"/>
          </w:r>
          <w:r>
            <w:instrText xml:space="preserve"> HYPERLINK \l _Toc32721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_Toc32721 \h </w:instrText>
          </w:r>
          <w:r>
            <w:fldChar w:fldCharType="separate"/>
          </w:r>
          <w:r>
            <w:t>3</w:t>
          </w:r>
          <w:r>
            <w:fldChar w:fldCharType="end"/>
          </w:r>
          <w:r>
            <w:fldChar w:fldCharType="end"/>
          </w:r>
        </w:p>
        <w:p w14:paraId="6E1E3BB5">
          <w:pPr>
            <w:pStyle w:val="15"/>
            <w:tabs>
              <w:tab w:val="right" w:leader="dot" w:pos="8306"/>
              <w:tab w:val="clear" w:pos="8296"/>
            </w:tabs>
          </w:pPr>
          <w:r>
            <w:fldChar w:fldCharType="begin"/>
          </w:r>
          <w:r>
            <w:instrText xml:space="preserve"> HYPERLINK \l _Toc16337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_Toc16337 \h </w:instrText>
          </w:r>
          <w:r>
            <w:fldChar w:fldCharType="separate"/>
          </w:r>
          <w:r>
            <w:t>4</w:t>
          </w:r>
          <w:r>
            <w:fldChar w:fldCharType="end"/>
          </w:r>
          <w:r>
            <w:fldChar w:fldCharType="end"/>
          </w:r>
        </w:p>
        <w:p w14:paraId="10D06329">
          <w:pPr>
            <w:pStyle w:val="15"/>
            <w:tabs>
              <w:tab w:val="right" w:leader="dot" w:pos="8306"/>
              <w:tab w:val="clear" w:pos="8296"/>
            </w:tabs>
          </w:pPr>
          <w:r>
            <w:fldChar w:fldCharType="begin"/>
          </w:r>
          <w:r>
            <w:instrText xml:space="preserve"> HYPERLINK \l _Toc23287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_Toc23287 \h </w:instrText>
          </w:r>
          <w:r>
            <w:fldChar w:fldCharType="separate"/>
          </w:r>
          <w:r>
            <w:t>5</w:t>
          </w:r>
          <w:r>
            <w:fldChar w:fldCharType="end"/>
          </w:r>
          <w:r>
            <w:fldChar w:fldCharType="end"/>
          </w:r>
        </w:p>
        <w:p w14:paraId="17B317EB">
          <w:pPr>
            <w:pStyle w:val="15"/>
            <w:tabs>
              <w:tab w:val="right" w:leader="dot" w:pos="8306"/>
              <w:tab w:val="clear" w:pos="8296"/>
            </w:tabs>
          </w:pPr>
          <w:r>
            <w:fldChar w:fldCharType="begin"/>
          </w:r>
          <w:r>
            <w:instrText xml:space="preserve"> HYPERLINK \l _Toc26257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_Toc26257 \h </w:instrText>
          </w:r>
          <w:r>
            <w:fldChar w:fldCharType="separate"/>
          </w:r>
          <w:r>
            <w:t>6</w:t>
          </w:r>
          <w:r>
            <w:fldChar w:fldCharType="end"/>
          </w:r>
          <w:r>
            <w:fldChar w:fldCharType="end"/>
          </w:r>
        </w:p>
        <w:p w14:paraId="4365346B">
          <w:pPr>
            <w:pStyle w:val="15"/>
            <w:tabs>
              <w:tab w:val="right" w:leader="dot" w:pos="8306"/>
              <w:tab w:val="clear" w:pos="8296"/>
            </w:tabs>
          </w:pPr>
          <w:r>
            <w:fldChar w:fldCharType="begin"/>
          </w:r>
          <w:r>
            <w:instrText xml:space="preserve"> HYPERLINK \l _Toc14352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_Toc14352 \h </w:instrText>
          </w:r>
          <w:r>
            <w:fldChar w:fldCharType="separate"/>
          </w:r>
          <w:r>
            <w:t>6</w:t>
          </w:r>
          <w:r>
            <w:fldChar w:fldCharType="end"/>
          </w:r>
          <w:r>
            <w:fldChar w:fldCharType="end"/>
          </w:r>
        </w:p>
        <w:p w14:paraId="0D0E5AC4">
          <w:pPr>
            <w:pStyle w:val="8"/>
            <w:tabs>
              <w:tab w:val="right" w:leader="dot" w:pos="8306"/>
              <w:tab w:val="clear" w:pos="8296"/>
            </w:tabs>
          </w:pPr>
          <w:r>
            <w:fldChar w:fldCharType="begin"/>
          </w:r>
          <w:r>
            <w:instrText xml:space="preserve"> HYPERLINK \l _Toc1119 </w:instrText>
          </w:r>
          <w: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_Toc1119 \h </w:instrText>
          </w:r>
          <w:r>
            <w:fldChar w:fldCharType="separate"/>
          </w:r>
          <w:r>
            <w:t>6</w:t>
          </w:r>
          <w:r>
            <w:fldChar w:fldCharType="end"/>
          </w:r>
          <w:r>
            <w:fldChar w:fldCharType="end"/>
          </w:r>
        </w:p>
        <w:p w14:paraId="56DE6A71">
          <w:pPr>
            <w:pStyle w:val="8"/>
            <w:tabs>
              <w:tab w:val="right" w:leader="dot" w:pos="8306"/>
              <w:tab w:val="clear" w:pos="8296"/>
            </w:tabs>
          </w:pPr>
          <w:r>
            <w:fldChar w:fldCharType="begin"/>
          </w:r>
          <w:r>
            <w:instrText xml:space="preserve"> HYPERLINK \l _Toc17404 </w:instrText>
          </w:r>
          <w: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_Toc17404 \h </w:instrText>
          </w:r>
          <w:r>
            <w:fldChar w:fldCharType="separate"/>
          </w:r>
          <w:r>
            <w:t>7</w:t>
          </w:r>
          <w:r>
            <w:fldChar w:fldCharType="end"/>
          </w:r>
          <w:r>
            <w:fldChar w:fldCharType="end"/>
          </w:r>
        </w:p>
        <w:p w14:paraId="2A3A2F7B">
          <w:pPr>
            <w:pStyle w:val="8"/>
            <w:tabs>
              <w:tab w:val="right" w:leader="dot" w:pos="8306"/>
              <w:tab w:val="clear" w:pos="8296"/>
            </w:tabs>
          </w:pPr>
          <w:r>
            <w:fldChar w:fldCharType="begin"/>
          </w:r>
          <w:r>
            <w:instrText xml:space="preserve"> HYPERLINK \l _Toc8889 </w:instrText>
          </w:r>
          <w: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_Toc8889 \h </w:instrText>
          </w:r>
          <w:r>
            <w:fldChar w:fldCharType="separate"/>
          </w:r>
          <w:r>
            <w:t>8</w:t>
          </w:r>
          <w:r>
            <w:fldChar w:fldCharType="end"/>
          </w:r>
          <w:r>
            <w:fldChar w:fldCharType="end"/>
          </w:r>
        </w:p>
        <w:p w14:paraId="16B77D0F">
          <w:pPr>
            <w:pStyle w:val="15"/>
            <w:tabs>
              <w:tab w:val="right" w:leader="dot" w:pos="8306"/>
              <w:tab w:val="clear" w:pos="8296"/>
            </w:tabs>
          </w:pPr>
          <w:r>
            <w:fldChar w:fldCharType="begin"/>
          </w:r>
          <w:r>
            <w:instrText xml:space="preserve"> HYPERLINK \l _Toc19507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_Toc19507 \h </w:instrText>
          </w:r>
          <w:r>
            <w:fldChar w:fldCharType="separate"/>
          </w:r>
          <w:r>
            <w:t>9</w:t>
          </w:r>
          <w:r>
            <w:fldChar w:fldCharType="end"/>
          </w:r>
          <w:r>
            <w:fldChar w:fldCharType="end"/>
          </w:r>
        </w:p>
        <w:p w14:paraId="4225DF2E">
          <w:pPr>
            <w:pStyle w:val="15"/>
            <w:tabs>
              <w:tab w:val="right" w:leader="dot" w:pos="8306"/>
              <w:tab w:val="clear" w:pos="8296"/>
            </w:tabs>
          </w:pPr>
          <w:r>
            <w:fldChar w:fldCharType="begin"/>
          </w:r>
          <w:r>
            <w:instrText xml:space="preserve"> HYPERLINK \l _Toc25440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_Toc25440 \h </w:instrText>
          </w:r>
          <w:r>
            <w:fldChar w:fldCharType="separate"/>
          </w:r>
          <w:r>
            <w:t>9</w:t>
          </w:r>
          <w:r>
            <w:fldChar w:fldCharType="end"/>
          </w:r>
          <w:r>
            <w:fldChar w:fldCharType="end"/>
          </w:r>
        </w:p>
        <w:p w14:paraId="0C301281">
          <w:pPr>
            <w:pStyle w:val="8"/>
            <w:tabs>
              <w:tab w:val="right" w:leader="dot" w:pos="8306"/>
              <w:tab w:val="clear" w:pos="8296"/>
            </w:tabs>
          </w:pPr>
          <w:r>
            <w:fldChar w:fldCharType="begin"/>
          </w:r>
          <w:r>
            <w:instrText xml:space="preserve"> HYPERLINK \l _Toc29943 </w:instrText>
          </w:r>
          <w:r>
            <w:fldChar w:fldCharType="separate"/>
          </w:r>
          <w:r>
            <w:rPr>
              <w:rFonts w:hint="eastAsia" w:ascii="Times New Roman" w:hAnsi="Times New Roman" w:eastAsia="楷体_GB2312" w:cs="楷体_GB2312"/>
              <w:szCs w:val="32"/>
              <w:highlight w:val="none"/>
            </w:rPr>
            <w:t>（一）财政拨款“三公”经费支出决算总体情况说明</w:t>
          </w:r>
          <w:r>
            <w:tab/>
          </w:r>
          <w:r>
            <w:fldChar w:fldCharType="begin"/>
          </w:r>
          <w:r>
            <w:instrText xml:space="preserve"> PAGEREF _Toc29943 \h </w:instrText>
          </w:r>
          <w:r>
            <w:fldChar w:fldCharType="separate"/>
          </w:r>
          <w:r>
            <w:t>10</w:t>
          </w:r>
          <w:r>
            <w:fldChar w:fldCharType="end"/>
          </w:r>
          <w:r>
            <w:fldChar w:fldCharType="end"/>
          </w:r>
        </w:p>
        <w:p w14:paraId="1F5F7AEF">
          <w:pPr>
            <w:pStyle w:val="8"/>
            <w:tabs>
              <w:tab w:val="right" w:leader="dot" w:pos="8306"/>
              <w:tab w:val="clear" w:pos="8296"/>
            </w:tabs>
          </w:pPr>
          <w:r>
            <w:fldChar w:fldCharType="begin"/>
          </w:r>
          <w:r>
            <w:instrText xml:space="preserve"> HYPERLINK \l _Toc17676 </w:instrText>
          </w:r>
          <w:r>
            <w:fldChar w:fldCharType="separate"/>
          </w:r>
          <w:r>
            <w:rPr>
              <w:rFonts w:hint="eastAsia" w:ascii="Times New Roman" w:hAnsi="Times New Roman" w:eastAsia="楷体_GB2312" w:cs="楷体_GB2312"/>
              <w:szCs w:val="32"/>
              <w:highlight w:val="none"/>
            </w:rPr>
            <w:t>（二）财政拨款“三公”经费支出决算具体情况说明</w:t>
          </w:r>
          <w:r>
            <w:tab/>
          </w:r>
          <w:r>
            <w:fldChar w:fldCharType="begin"/>
          </w:r>
          <w:r>
            <w:instrText xml:space="preserve"> PAGEREF _Toc17676 \h </w:instrText>
          </w:r>
          <w:r>
            <w:fldChar w:fldCharType="separate"/>
          </w:r>
          <w:r>
            <w:t>10</w:t>
          </w:r>
          <w:r>
            <w:fldChar w:fldCharType="end"/>
          </w:r>
          <w:r>
            <w:fldChar w:fldCharType="end"/>
          </w:r>
        </w:p>
        <w:p w14:paraId="33B0B9E3">
          <w:pPr>
            <w:pStyle w:val="15"/>
            <w:tabs>
              <w:tab w:val="right" w:leader="dot" w:pos="8306"/>
              <w:tab w:val="clear" w:pos="8296"/>
            </w:tabs>
          </w:pPr>
          <w:r>
            <w:fldChar w:fldCharType="begin"/>
          </w:r>
          <w:r>
            <w:instrText xml:space="preserve"> HYPERLINK \l _Toc26544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_Toc26544 \h </w:instrText>
          </w:r>
          <w:r>
            <w:fldChar w:fldCharType="separate"/>
          </w:r>
          <w:r>
            <w:t>10</w:t>
          </w:r>
          <w:r>
            <w:fldChar w:fldCharType="end"/>
          </w:r>
          <w:r>
            <w:fldChar w:fldCharType="end"/>
          </w:r>
        </w:p>
        <w:p w14:paraId="6DFB7571">
          <w:pPr>
            <w:pStyle w:val="15"/>
            <w:tabs>
              <w:tab w:val="right" w:leader="dot" w:pos="8306"/>
              <w:tab w:val="clear" w:pos="8296"/>
            </w:tabs>
          </w:pPr>
          <w:r>
            <w:fldChar w:fldCharType="begin"/>
          </w:r>
          <w:r>
            <w:instrText xml:space="preserve"> HYPERLINK \l _Toc8907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_Toc8907 \h </w:instrText>
          </w:r>
          <w:r>
            <w:fldChar w:fldCharType="separate"/>
          </w:r>
          <w:r>
            <w:t>10</w:t>
          </w:r>
          <w:r>
            <w:fldChar w:fldCharType="end"/>
          </w:r>
          <w:r>
            <w:fldChar w:fldCharType="end"/>
          </w:r>
        </w:p>
        <w:p w14:paraId="6D10A9EA">
          <w:pPr>
            <w:pStyle w:val="15"/>
            <w:tabs>
              <w:tab w:val="right" w:leader="dot" w:pos="8306"/>
              <w:tab w:val="clear" w:pos="8296"/>
            </w:tabs>
          </w:pPr>
          <w:r>
            <w:fldChar w:fldCharType="begin"/>
          </w:r>
          <w:r>
            <w:instrText xml:space="preserve"> HYPERLINK \l _Toc13654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_Toc13654 \h </w:instrText>
          </w:r>
          <w:r>
            <w:fldChar w:fldCharType="separate"/>
          </w:r>
          <w:r>
            <w:t>10</w:t>
          </w:r>
          <w:r>
            <w:fldChar w:fldCharType="end"/>
          </w:r>
          <w:r>
            <w:fldChar w:fldCharType="end"/>
          </w:r>
        </w:p>
        <w:p w14:paraId="2D55A714">
          <w:pPr>
            <w:pStyle w:val="8"/>
            <w:tabs>
              <w:tab w:val="right" w:leader="dot" w:pos="8306"/>
              <w:tab w:val="clear" w:pos="8296"/>
            </w:tabs>
          </w:pPr>
          <w:r>
            <w:fldChar w:fldCharType="begin"/>
          </w:r>
          <w:r>
            <w:instrText xml:space="preserve"> HYPERLINK \l _Toc27472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_Toc27472 \h </w:instrText>
          </w:r>
          <w:r>
            <w:fldChar w:fldCharType="separate"/>
          </w:r>
          <w:r>
            <w:t>10</w:t>
          </w:r>
          <w:r>
            <w:fldChar w:fldCharType="end"/>
          </w:r>
          <w:r>
            <w:fldChar w:fldCharType="end"/>
          </w:r>
        </w:p>
        <w:p w14:paraId="6F9BA3D9">
          <w:pPr>
            <w:pStyle w:val="8"/>
            <w:tabs>
              <w:tab w:val="right" w:leader="dot" w:pos="8306"/>
              <w:tab w:val="clear" w:pos="8296"/>
            </w:tabs>
          </w:pPr>
          <w:r>
            <w:fldChar w:fldCharType="begin"/>
          </w:r>
          <w:r>
            <w:instrText xml:space="preserve"> HYPERLINK \l _Toc5377 </w:instrText>
          </w:r>
          <w: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_Toc5377 \h </w:instrText>
          </w:r>
          <w:r>
            <w:fldChar w:fldCharType="separate"/>
          </w:r>
          <w:r>
            <w:t>11</w:t>
          </w:r>
          <w:r>
            <w:fldChar w:fldCharType="end"/>
          </w:r>
          <w:r>
            <w:fldChar w:fldCharType="end"/>
          </w:r>
        </w:p>
        <w:p w14:paraId="5E8B96D4">
          <w:pPr>
            <w:pStyle w:val="8"/>
            <w:tabs>
              <w:tab w:val="right" w:leader="dot" w:pos="8306"/>
              <w:tab w:val="clear" w:pos="8296"/>
            </w:tabs>
          </w:pPr>
          <w:r>
            <w:fldChar w:fldCharType="begin"/>
          </w:r>
          <w:r>
            <w:instrText xml:space="preserve"> HYPERLINK \l _Toc14268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_Toc14268 \h </w:instrText>
          </w:r>
          <w:r>
            <w:fldChar w:fldCharType="separate"/>
          </w:r>
          <w:r>
            <w:t>11</w:t>
          </w:r>
          <w:r>
            <w:fldChar w:fldCharType="end"/>
          </w:r>
          <w:r>
            <w:fldChar w:fldCharType="end"/>
          </w:r>
        </w:p>
        <w:p w14:paraId="2462BEC9">
          <w:pPr>
            <w:pStyle w:val="8"/>
            <w:tabs>
              <w:tab w:val="right" w:leader="dot" w:pos="8306"/>
              <w:tab w:val="clear" w:pos="8296"/>
            </w:tabs>
          </w:pPr>
          <w:r>
            <w:fldChar w:fldCharType="begin"/>
          </w:r>
          <w:r>
            <w:instrText xml:space="preserve"> HYPERLINK \l _Toc10259 </w:instrText>
          </w:r>
          <w:r>
            <w:fldChar w:fldCharType="separate"/>
          </w:r>
          <w:r>
            <w:rPr>
              <w:rFonts w:hint="eastAsia" w:ascii="Times New Roman" w:hAnsi="Times New Roman" w:eastAsia="楷体_GB2312" w:cs="楷体_GB2312"/>
              <w:szCs w:val="32"/>
              <w:highlight w:val="none"/>
            </w:rPr>
            <w:t>（四）预算绩效管理情况</w:t>
          </w:r>
          <w:bookmarkStart w:id="104" w:name="_GoBack"/>
          <w:bookmarkEnd w:id="104"/>
          <w:r>
            <w:tab/>
          </w:r>
          <w:r>
            <w:fldChar w:fldCharType="begin"/>
          </w:r>
          <w:r>
            <w:instrText xml:space="preserve"> PAGEREF _Toc10259 \h </w:instrText>
          </w:r>
          <w:r>
            <w:fldChar w:fldCharType="separate"/>
          </w:r>
          <w:r>
            <w:t>11</w:t>
          </w:r>
          <w:r>
            <w:fldChar w:fldCharType="end"/>
          </w:r>
          <w:r>
            <w:fldChar w:fldCharType="end"/>
          </w:r>
        </w:p>
        <w:p w14:paraId="5BB3C6CB">
          <w:pPr>
            <w:pStyle w:val="12"/>
            <w:tabs>
              <w:tab w:val="right" w:leader="dot" w:pos="8306"/>
              <w:tab w:val="clear" w:pos="8296"/>
            </w:tabs>
          </w:pPr>
          <w:r>
            <w:fldChar w:fldCharType="begin"/>
          </w:r>
          <w:r>
            <w:instrText xml:space="preserve"> HYPERLINK \l _Toc26021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_Toc26021 \h </w:instrText>
          </w:r>
          <w:r>
            <w:fldChar w:fldCharType="separate"/>
          </w:r>
          <w:r>
            <w:t>12</w:t>
          </w:r>
          <w:r>
            <w:fldChar w:fldCharType="end"/>
          </w:r>
          <w:r>
            <w:fldChar w:fldCharType="end"/>
          </w:r>
        </w:p>
        <w:p w14:paraId="38545AB2">
          <w:pPr>
            <w:pStyle w:val="12"/>
            <w:tabs>
              <w:tab w:val="right" w:leader="dot" w:pos="8306"/>
              <w:tab w:val="clear" w:pos="8296"/>
            </w:tabs>
          </w:pPr>
          <w:r>
            <w:fldChar w:fldCharType="begin"/>
          </w:r>
          <w:r>
            <w:instrText xml:space="preserve"> HYPERLINK \l _Toc30875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_Toc30875 \h </w:instrText>
          </w:r>
          <w:r>
            <w:fldChar w:fldCharType="separate"/>
          </w:r>
          <w:r>
            <w:t>15</w:t>
          </w:r>
          <w:r>
            <w:fldChar w:fldCharType="end"/>
          </w:r>
          <w:r>
            <w:fldChar w:fldCharType="end"/>
          </w:r>
        </w:p>
        <w:p w14:paraId="2DF5FD20">
          <w:pPr>
            <w:pStyle w:val="12"/>
            <w:tabs>
              <w:tab w:val="right" w:leader="dot" w:pos="8306"/>
              <w:tab w:val="clear" w:pos="8296"/>
            </w:tabs>
          </w:pPr>
          <w:r>
            <w:fldChar w:fldCharType="begin"/>
          </w:r>
          <w:r>
            <w:instrText xml:space="preserve"> HYPERLINK \l _Toc13930 </w:instrText>
          </w:r>
          <w:r>
            <w:fldChar w:fldCharType="separate"/>
          </w:r>
          <w:r>
            <w:rPr>
              <w:rFonts w:hint="eastAsia" w:ascii="Times New Roman" w:hAnsi="Times New Roman" w:eastAsia="黑体"/>
              <w:szCs w:val="44"/>
              <w:highlight w:val="none"/>
            </w:rPr>
            <w:t>第</w:t>
          </w:r>
          <w:r>
            <w:rPr>
              <w:rFonts w:hint="eastAsia" w:ascii="Times New Roman" w:hAnsi="Times New Roman" w:eastAsia="黑体"/>
              <w:highlight w:val="none"/>
            </w:rPr>
            <w:t>五部分 附表</w:t>
          </w:r>
          <w:r>
            <w:tab/>
          </w:r>
          <w:r>
            <w:fldChar w:fldCharType="begin"/>
          </w:r>
          <w:r>
            <w:instrText xml:space="preserve"> PAGEREF _Toc13930 \h </w:instrText>
          </w:r>
          <w:r>
            <w:fldChar w:fldCharType="separate"/>
          </w:r>
          <w:r>
            <w:t>28</w:t>
          </w:r>
          <w:r>
            <w:fldChar w:fldCharType="end"/>
          </w:r>
          <w:r>
            <w:fldChar w:fldCharType="end"/>
          </w:r>
        </w:p>
        <w:p w14:paraId="325B5030">
          <w:pPr>
            <w:pStyle w:val="2"/>
            <w:rPr>
              <w:rFonts w:ascii="仿宋_GB2312" w:hAnsi="Times New Roman" w:eastAsia="仿宋_GB2312" w:cs="Times New Roman"/>
              <w:kern w:val="0"/>
              <w:sz w:val="30"/>
              <w:szCs w:val="24"/>
              <w:lang w:val="en-US" w:eastAsia="zh-CN" w:bidi="ar-SA"/>
            </w:rPr>
          </w:pPr>
          <w:r>
            <w:fldChar w:fldCharType="end"/>
          </w:r>
        </w:p>
      </w:sdtContent>
    </w:sdt>
    <w:p w14:paraId="7E9A293B">
      <w:pPr>
        <w:pStyle w:val="3"/>
      </w:pPr>
    </w:p>
    <w:p w14:paraId="08F8072B"/>
    <w:p w14:paraId="381F2D9B"/>
    <w:p w14:paraId="4EE53B16"/>
    <w:p w14:paraId="1422E301"/>
    <w:p w14:paraId="5222F992"/>
    <w:p w14:paraId="6B962963"/>
    <w:p w14:paraId="2E58FBBA">
      <w:pPr>
        <w:pStyle w:val="4"/>
        <w:jc w:val="center"/>
        <w:rPr>
          <w:rFonts w:ascii="Times New Roman" w:hAnsi="Times New Roman" w:eastAsia="黑体"/>
          <w:color w:val="auto"/>
          <w:sz w:val="32"/>
          <w:szCs w:val="32"/>
          <w:highlight w:val="none"/>
        </w:rPr>
      </w:pPr>
      <w:bookmarkStart w:id="10" w:name="_Toc15270"/>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0"/>
    </w:p>
    <w:p w14:paraId="1D0A8DC9">
      <w:pPr>
        <w:pStyle w:val="5"/>
        <w:pageBreakBefore w:val="0"/>
        <w:numPr>
          <w:ilvl w:val="0"/>
          <w:numId w:val="1"/>
        </w:numPr>
        <w:kinsoku/>
        <w:wordWrap/>
        <w:overflowPunct/>
        <w:topLinePunct w:val="0"/>
        <w:autoSpaceDE/>
        <w:autoSpaceDN/>
        <w:bidi w:val="0"/>
        <w:adjustRightInd/>
        <w:spacing w:before="0" w:after="0" w:line="560" w:lineRule="exact"/>
        <w:textAlignment w:val="auto"/>
        <w:rPr>
          <w:rFonts w:hint="eastAsia" w:ascii="Times New Roman" w:hAnsi="Times New Roman" w:eastAsia="黑体"/>
          <w:b w:val="0"/>
          <w:color w:val="auto"/>
          <w:highlight w:val="none"/>
          <w:lang w:eastAsia="zh-CN"/>
        </w:rPr>
      </w:pPr>
      <w:bookmarkStart w:id="11" w:name="_Toc23266"/>
      <w:r>
        <w:rPr>
          <w:rFonts w:hint="eastAsia" w:ascii="Times New Roman" w:hAnsi="Times New Roman" w:eastAsia="黑体"/>
          <w:b w:val="0"/>
          <w:color w:val="auto"/>
          <w:highlight w:val="none"/>
          <w:lang w:eastAsia="zh-CN"/>
        </w:rPr>
        <w:t>部门职责</w:t>
      </w:r>
      <w:bookmarkEnd w:id="11"/>
    </w:p>
    <w:p w14:paraId="2FD1E56A">
      <w:pPr>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eastAsia="仿宋_GB2312"/>
          <w:lang w:eastAsia="zh-CN"/>
        </w:rPr>
      </w:pPr>
      <w:r>
        <w:rPr>
          <w:rFonts w:hint="eastAsia" w:ascii="仿宋" w:eastAsia="仿宋" w:cs="仿宋"/>
          <w:kern w:val="0"/>
          <w:sz w:val="32"/>
          <w:szCs w:val="32"/>
          <w:lang w:val="en-US" w:eastAsia="zh-CN"/>
        </w:rPr>
        <w:t>根据阿编发（2003）89号文件规定，</w:t>
      </w:r>
      <w:r>
        <w:rPr>
          <w:rFonts w:ascii="仿宋_GB2312" w:eastAsia="仿宋_GB2312" w:cs="仿宋_GB2312"/>
          <w:sz w:val="32"/>
          <w:szCs w:val="32"/>
        </w:rPr>
        <w:t>主要职责是：对广大</w:t>
      </w:r>
      <w:r>
        <w:rPr>
          <w:rFonts w:hint="eastAsia" w:ascii="仿宋_GB2312" w:eastAsia="仿宋_GB2312" w:cs="仿宋_GB2312"/>
          <w:sz w:val="32"/>
          <w:szCs w:val="32"/>
          <w:lang w:val="en-US" w:eastAsia="zh-CN"/>
        </w:rPr>
        <w:t>青</w:t>
      </w:r>
      <w:r>
        <w:rPr>
          <w:rFonts w:ascii="仿宋_GB2312" w:eastAsia="仿宋_GB2312" w:cs="仿宋_GB2312"/>
          <w:sz w:val="32"/>
          <w:szCs w:val="32"/>
        </w:rPr>
        <w:t>少年儿童进行</w:t>
      </w:r>
      <w:r>
        <w:rPr>
          <w:rFonts w:hint="eastAsia" w:ascii="仿宋_GB2312" w:eastAsia="仿宋_GB2312" w:cs="仿宋_GB2312"/>
          <w:sz w:val="32"/>
          <w:szCs w:val="32"/>
          <w:lang w:val="en-US" w:eastAsia="zh-CN"/>
        </w:rPr>
        <w:t>校外</w:t>
      </w:r>
      <w:r>
        <w:rPr>
          <w:rFonts w:ascii="仿宋_GB2312" w:eastAsia="仿宋_GB2312" w:cs="仿宋_GB2312"/>
          <w:sz w:val="32"/>
          <w:szCs w:val="32"/>
        </w:rPr>
        <w:t>兴趣</w:t>
      </w:r>
      <w:r>
        <w:rPr>
          <w:rFonts w:hint="eastAsia" w:ascii="仿宋_GB2312" w:eastAsia="仿宋_GB2312" w:cs="仿宋_GB2312"/>
          <w:sz w:val="32"/>
          <w:szCs w:val="32"/>
          <w:lang w:val="en-US" w:eastAsia="zh-CN"/>
        </w:rPr>
        <w:t>特长</w:t>
      </w:r>
      <w:r>
        <w:rPr>
          <w:rFonts w:ascii="仿宋_GB2312" w:eastAsia="仿宋_GB2312" w:cs="仿宋_GB2312"/>
          <w:sz w:val="32"/>
          <w:szCs w:val="32"/>
        </w:rPr>
        <w:t>培训</w:t>
      </w:r>
      <w:r>
        <w:rPr>
          <w:rFonts w:hint="eastAsia" w:ascii="仿宋_GB2312" w:eastAsia="仿宋_GB2312" w:cs="仿宋_GB2312"/>
          <w:sz w:val="32"/>
          <w:szCs w:val="32"/>
          <w:lang w:eastAsia="zh-CN"/>
        </w:rPr>
        <w:t>，</w:t>
      </w:r>
      <w:r>
        <w:rPr>
          <w:rFonts w:ascii="仿宋_GB2312" w:eastAsia="仿宋_GB2312" w:cs="仿宋_GB2312"/>
          <w:sz w:val="32"/>
          <w:szCs w:val="32"/>
        </w:rPr>
        <w:t>丰富学生课余生活，使</w:t>
      </w:r>
      <w:r>
        <w:rPr>
          <w:rFonts w:hint="eastAsia" w:ascii="仿宋_GB2312" w:eastAsia="仿宋_GB2312" w:cs="仿宋_GB2312"/>
          <w:sz w:val="32"/>
          <w:szCs w:val="32"/>
          <w:lang w:val="en-US" w:eastAsia="zh-CN"/>
        </w:rPr>
        <w:t>青</w:t>
      </w:r>
      <w:r>
        <w:rPr>
          <w:rFonts w:ascii="仿宋_GB2312" w:eastAsia="仿宋_GB2312" w:cs="仿宋_GB2312"/>
          <w:sz w:val="32"/>
          <w:szCs w:val="32"/>
        </w:rPr>
        <w:t>少年儿童学到课本以外的知识，增长见识，扩大视野</w:t>
      </w:r>
      <w:r>
        <w:rPr>
          <w:rFonts w:hint="eastAsia" w:ascii="仿宋_GB2312" w:eastAsia="仿宋_GB2312" w:cs="仿宋_GB2312"/>
          <w:sz w:val="32"/>
          <w:szCs w:val="32"/>
          <w:lang w:eastAsia="zh-CN"/>
        </w:rPr>
        <w:t>。</w:t>
      </w:r>
    </w:p>
    <w:p w14:paraId="054F6C9B">
      <w:pPr>
        <w:pStyle w:val="5"/>
        <w:pageBreakBefore w:val="0"/>
        <w:kinsoku/>
        <w:wordWrap/>
        <w:overflowPunct/>
        <w:topLinePunct w:val="0"/>
        <w:autoSpaceDE/>
        <w:autoSpaceDN/>
        <w:bidi w:val="0"/>
        <w:adjustRightInd/>
        <w:spacing w:before="0" w:after="0" w:line="560" w:lineRule="exact"/>
        <w:textAlignment w:val="auto"/>
        <w:rPr>
          <w:rStyle w:val="31"/>
          <w:rFonts w:ascii="Times New Roman" w:hAnsi="Times New Roman"/>
          <w:b w:val="0"/>
          <w:bCs w:val="0"/>
          <w:color w:val="auto"/>
          <w:highlight w:val="none"/>
        </w:rPr>
      </w:pPr>
      <w:bookmarkStart w:id="12" w:name="_Toc15377200"/>
      <w:bookmarkStart w:id="13" w:name="_Toc15396601"/>
      <w:bookmarkStart w:id="14" w:name="_Toc1413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2"/>
      <w:bookmarkEnd w:id="13"/>
      <w:bookmarkEnd w:id="14"/>
    </w:p>
    <w:p w14:paraId="04EE9816">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leftChars="200"/>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机构情况</w:t>
      </w:r>
    </w:p>
    <w:p w14:paraId="690D76C4">
      <w:pPr>
        <w:pageBreakBefore w:val="0"/>
        <w:kinsoku/>
        <w:wordWrap/>
        <w:overflowPunct/>
        <w:topLinePunct w:val="0"/>
        <w:autoSpaceDE/>
        <w:autoSpaceDN/>
        <w:bidi w:val="0"/>
        <w:adjustRightInd/>
        <w:spacing w:line="560" w:lineRule="exact"/>
        <w:ind w:firstLine="800" w:firstLineChars="250"/>
        <w:textAlignment w:val="auto"/>
        <w:rPr>
          <w:rFonts w:hint="eastAsia" w:ascii="仿宋_GB2312" w:eastAsia="仿宋_GB2312" w:cs="仿宋_GB2312"/>
          <w:sz w:val="32"/>
          <w:szCs w:val="32"/>
          <w:lang w:eastAsia="zh-CN"/>
        </w:rPr>
      </w:pPr>
      <w:r>
        <w:rPr>
          <w:rFonts w:hint="eastAsia" w:ascii="仿宋_GB2312" w:hAnsi="仿宋_GB2312" w:eastAsia="仿宋_GB2312" w:cs="仿宋_GB2312"/>
          <w:color w:val="auto"/>
          <w:sz w:val="32"/>
          <w:szCs w:val="32"/>
          <w:highlight w:val="none"/>
        </w:rPr>
        <w:t>阿坝州青少年校外教育活动中心</w:t>
      </w:r>
      <w:r>
        <w:rPr>
          <w:rFonts w:hint="eastAsia" w:ascii="仿宋_GB2312" w:eastAsia="仿宋_GB2312" w:cs="仿宋_GB2312"/>
          <w:sz w:val="32"/>
          <w:szCs w:val="32"/>
          <w:lang w:val="en-US" w:eastAsia="zh-CN"/>
        </w:rPr>
        <w:t>为阿坝州教体局</w:t>
      </w:r>
      <w:r>
        <w:rPr>
          <w:rFonts w:ascii="仿宋_GB2312" w:eastAsia="仿宋_GB2312" w:cs="仿宋_GB2312"/>
          <w:sz w:val="32"/>
          <w:szCs w:val="32"/>
        </w:rPr>
        <w:t>下属的公益一类事业单位</w:t>
      </w:r>
      <w:r>
        <w:rPr>
          <w:rFonts w:hint="eastAsia" w:ascii="仿宋_GB2312" w:eastAsia="仿宋_GB2312" w:cs="仿宋_GB2312"/>
          <w:sz w:val="32"/>
          <w:szCs w:val="32"/>
          <w:lang w:eastAsia="zh-CN"/>
        </w:rPr>
        <w:t>。</w:t>
      </w:r>
    </w:p>
    <w:p w14:paraId="06A44F8E">
      <w:pPr>
        <w:pageBreakBefore w:val="0"/>
        <w:kinsoku/>
        <w:wordWrap/>
        <w:overflowPunct/>
        <w:topLinePunct w:val="0"/>
        <w:autoSpaceDE/>
        <w:autoSpaceDN/>
        <w:bidi w:val="0"/>
        <w:adjustRightInd/>
        <w:spacing w:line="560" w:lineRule="exact"/>
        <w:ind w:firstLine="800" w:firstLineChars="250"/>
        <w:textAlignment w:val="auto"/>
        <w:rPr>
          <w:rFonts w:ascii="仿宋_GB2312" w:eastAsia="仿宋_GB2312" w:cs="仿宋_GB2312"/>
          <w:sz w:val="32"/>
          <w:szCs w:val="32"/>
        </w:rPr>
      </w:pPr>
      <w:r>
        <w:rPr>
          <w:rFonts w:ascii="仿宋_GB2312" w:eastAsia="仿宋_GB2312" w:cs="仿宋_GB2312"/>
          <w:sz w:val="32"/>
          <w:szCs w:val="32"/>
        </w:rPr>
        <w:t>本单位本年度纳入本套决算编制范围的独立编制机构数共1个，比上年增加0个；独立核算机构数共1个，比上年增加0个。</w:t>
      </w:r>
    </w:p>
    <w:p w14:paraId="49130CB8">
      <w:pPr>
        <w:keepNext w:val="0"/>
        <w:keepLines w:val="0"/>
        <w:pageBreakBefore w:val="0"/>
        <w:numPr>
          <w:ilvl w:val="0"/>
          <w:numId w:val="0"/>
        </w:numPr>
        <w:kinsoku/>
        <w:wordWrap/>
        <w:overflowPunct/>
        <w:topLinePunct w:val="0"/>
        <w:autoSpaceDE/>
        <w:autoSpaceDN/>
        <w:bidi w:val="0"/>
        <w:adjustRightInd/>
        <w:snapToGrid w:val="0"/>
        <w:spacing w:beforeAutospacing="0" w:afterAutospacing="0" w:line="560" w:lineRule="exact"/>
        <w:ind w:left="0" w:leftChars="0" w:firstLine="640" w:firstLineChars="200"/>
        <w:textAlignment w:val="auto"/>
        <w:rPr>
          <w:rFonts w:hint="eastAsia" w:ascii="仿宋_GB2312" w:hAnsi="仿宋" w:eastAsia="仿宋_GB2312"/>
          <w:sz w:val="32"/>
          <w:szCs w:val="32"/>
        </w:rPr>
      </w:pPr>
      <w:r>
        <w:rPr>
          <w:rFonts w:hint="eastAsia" w:ascii="仿宋_GB2312" w:hAnsi="仿宋" w:eastAsia="仿宋_GB2312" w:cs="Times New Roman"/>
          <w:kern w:val="2"/>
          <w:sz w:val="32"/>
          <w:szCs w:val="32"/>
          <w:lang w:val="en-US" w:eastAsia="zh-CN" w:bidi="ar-SA"/>
        </w:rPr>
        <w:t>2．</w:t>
      </w:r>
      <w:r>
        <w:rPr>
          <w:rFonts w:hint="eastAsia" w:ascii="仿宋_GB2312" w:hAnsi="仿宋" w:eastAsia="仿宋_GB2312"/>
          <w:sz w:val="32"/>
          <w:szCs w:val="32"/>
        </w:rPr>
        <w:t>人员情况</w:t>
      </w:r>
    </w:p>
    <w:p w14:paraId="7D6E937F">
      <w:pPr>
        <w:pStyle w:val="37"/>
        <w:keepNext w:val="0"/>
        <w:keepLines w:val="0"/>
        <w:pageBreakBefore w:val="0"/>
        <w:kinsoku/>
        <w:wordWrap/>
        <w:overflowPunct/>
        <w:topLinePunct w:val="0"/>
        <w:autoSpaceDE/>
        <w:autoSpaceDN/>
        <w:bidi w:val="0"/>
        <w:adjustRightInd/>
        <w:spacing w:before="0" w:beforeAutospacing="0" w:after="0" w:afterAutospacing="0" w:line="560" w:lineRule="exact"/>
        <w:ind w:left="0" w:leftChars="0" w:firstLine="640" w:firstLineChars="200"/>
        <w:textAlignment w:val="auto"/>
        <w:rPr>
          <w:rFonts w:ascii="仿宋_GB2312" w:hAnsi="仿宋" w:eastAsia="仿宋_GB2312"/>
          <w:sz w:val="32"/>
          <w:szCs w:val="32"/>
        </w:rPr>
      </w:pPr>
      <w:r>
        <w:rPr>
          <w:rFonts w:ascii="仿宋_GB2312" w:eastAsia="仿宋_GB2312" w:cs="仿宋_GB2312"/>
          <w:sz w:val="32"/>
          <w:szCs w:val="32"/>
        </w:rPr>
        <w:t>本单位本年度年末实有人数为6人。年末实有离退休人数为1人。无变动</w:t>
      </w:r>
      <w:r>
        <w:rPr>
          <w:rFonts w:hint="default" w:ascii="仿宋_GB2312" w:eastAsia="仿宋_GB2312" w:cs="仿宋_GB2312"/>
          <w:sz w:val="32"/>
          <w:szCs w:val="32"/>
        </w:rPr>
        <w:t>。</w:t>
      </w:r>
    </w:p>
    <w:p w14:paraId="14E8AD86">
      <w:pPr>
        <w:pStyle w:val="13"/>
        <w:pageBreakBefore w:val="0"/>
        <w:kinsoku/>
        <w:wordWrap/>
        <w:overflowPunct/>
        <w:topLinePunct w:val="0"/>
        <w:autoSpaceDE/>
        <w:autoSpaceDN/>
        <w:bidi w:val="0"/>
        <w:adjustRightInd/>
        <w:spacing w:line="560" w:lineRule="exact"/>
        <w:textAlignment w:val="auto"/>
        <w:rPr>
          <w:rFonts w:hint="eastAsia"/>
          <w:lang w:val="en-US" w:eastAsia="zh-CN"/>
        </w:rPr>
      </w:pPr>
    </w:p>
    <w:p w14:paraId="5DD310CB">
      <w:pPr>
        <w:pStyle w:val="4"/>
        <w:pageBreakBefore w:val="0"/>
        <w:kinsoku/>
        <w:wordWrap/>
        <w:overflowPunct/>
        <w:topLinePunct w:val="0"/>
        <w:autoSpaceDE/>
        <w:autoSpaceDN/>
        <w:bidi w:val="0"/>
        <w:adjustRightInd/>
        <w:spacing w:before="0" w:after="0" w:line="560" w:lineRule="exact"/>
        <w:jc w:val="both"/>
        <w:textAlignment w:val="auto"/>
        <w:rPr>
          <w:rFonts w:hint="eastAsia" w:ascii="Times New Roman" w:hAnsi="Times New Roman" w:eastAsia="方正小标宋简体" w:cs="方正小标宋简体"/>
          <w:b w:val="0"/>
          <w:color w:val="auto"/>
          <w:highlight w:val="none"/>
        </w:rPr>
      </w:pPr>
      <w:bookmarkStart w:id="15" w:name="_Toc15396602"/>
      <w:bookmarkStart w:id="16" w:name="_Toc21796"/>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5"/>
      <w:bookmarkEnd w:id="16"/>
      <w:bookmarkEnd w:id="17"/>
    </w:p>
    <w:p w14:paraId="3B86E5EA">
      <w:pPr>
        <w:pageBreakBefore w:val="0"/>
        <w:kinsoku/>
        <w:wordWrap/>
        <w:overflowPunct/>
        <w:topLinePunct w:val="0"/>
        <w:autoSpaceDE/>
        <w:autoSpaceDN/>
        <w:bidi w:val="0"/>
        <w:adjustRightInd/>
        <w:spacing w:line="560" w:lineRule="exact"/>
        <w:textAlignment w:val="auto"/>
        <w:rPr>
          <w:rFonts w:ascii="Times New Roman" w:hAnsi="Times New Roman"/>
          <w:color w:val="auto"/>
          <w:highlight w:val="none"/>
        </w:rPr>
      </w:pPr>
    </w:p>
    <w:p w14:paraId="2483D813">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1"/>
          <w:rFonts w:hint="eastAsia" w:ascii="Times New Roman" w:hAnsi="Times New Roman" w:eastAsia="黑体"/>
          <w:b w:val="0"/>
          <w:color w:val="auto"/>
          <w:highlight w:val="none"/>
        </w:rPr>
      </w:pPr>
      <w:bookmarkStart w:id="18" w:name="_Toc15377205"/>
      <w:bookmarkStart w:id="19" w:name="_Toc15396603"/>
      <w:bookmarkStart w:id="20" w:name="_Toc32721"/>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8"/>
      <w:bookmarkEnd w:id="19"/>
      <w:bookmarkEnd w:id="20"/>
    </w:p>
    <w:p w14:paraId="6DA246D8">
      <w:pPr>
        <w:pStyle w:val="16"/>
        <w:keepNext w:val="0"/>
        <w:keepLines w:val="0"/>
        <w:pageBreakBefore w:val="0"/>
        <w:shd w:val="clear" w:color="auto" w:fill="FFFFFF"/>
        <w:kinsoku/>
        <w:wordWrap/>
        <w:overflowPunct/>
        <w:topLinePunct w:val="0"/>
        <w:autoSpaceDE/>
        <w:autoSpaceDN/>
        <w:bidi w:val="0"/>
        <w:adjustRightInd/>
        <w:spacing w:before="0" w:beforeAutospacing="0" w:after="0" w:afterAutospacing="0" w:line="560" w:lineRule="exact"/>
        <w:ind w:left="319" w:leftChars="152" w:firstLine="640" w:firstLineChars="200"/>
        <w:jc w:val="both"/>
        <w:rPr>
          <w:rFonts w:hint="eastAsia" w:ascii="仿宋_GB2312" w:eastAsia="仿宋_GB2312" w:cs="仿宋_GB2312"/>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val="en-US" w:eastAsia="zh-CN"/>
        </w:rPr>
        <w:t>为</w:t>
      </w:r>
      <w:r>
        <w:rPr>
          <w:rFonts w:hint="eastAsia" w:ascii="仿宋_GB2312" w:hAnsi="仿宋_GB2312" w:eastAsia="仿宋_GB2312" w:cs="仿宋_GB2312"/>
          <w:sz w:val="32"/>
          <w:szCs w:val="32"/>
        </w:rPr>
        <w:t>475.37</w:t>
      </w:r>
      <w:r>
        <w:rPr>
          <w:rFonts w:hint="eastAsia" w:ascii="Times New Roman" w:hAnsi="Times New Roman" w:eastAsia="仿宋_GB2312" w:cs="仿宋_GB2312"/>
          <w:color w:val="auto"/>
          <w:sz w:val="32"/>
          <w:szCs w:val="32"/>
          <w:highlight w:val="none"/>
        </w:rPr>
        <w:t>万元、</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为470.49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总计增加</w:t>
      </w:r>
      <w:r>
        <w:rPr>
          <w:rFonts w:hint="eastAsia" w:eastAsia="仿宋_GB2312" w:cs="仿宋_GB2312"/>
          <w:color w:val="auto"/>
          <w:sz w:val="32"/>
          <w:szCs w:val="32"/>
          <w:highlight w:val="none"/>
          <w:lang w:val="en-US" w:eastAsia="zh-CN"/>
        </w:rPr>
        <w:t>161.69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51.6</w:t>
      </w:r>
      <w:r>
        <w:rPr>
          <w:rFonts w:hint="eastAsia" w:ascii="Times New Roman" w:hAnsi="Times New Roman" w:eastAsia="仿宋_GB2312" w:cs="仿宋_GB2312"/>
          <w:color w:val="auto"/>
          <w:sz w:val="32"/>
          <w:szCs w:val="32"/>
          <w:highlight w:val="none"/>
        </w:rPr>
        <w:t>%。主要变动原因是</w:t>
      </w:r>
      <w:r>
        <w:rPr>
          <w:rFonts w:hint="eastAsia" w:ascii="仿宋_GB2312" w:eastAsia="仿宋_GB2312" w:cs="仿宋_GB2312"/>
          <w:sz w:val="32"/>
          <w:szCs w:val="32"/>
          <w:lang w:val="en-US" w:eastAsia="zh-CN"/>
        </w:rPr>
        <w:t>为本年增加预算安排了“三馆一中心”基建工程缺口资金以及日常公用经费、活动运转经费项目和非财政拨款收入。</w:t>
      </w:r>
      <w:r>
        <w:rPr>
          <w:rFonts w:hint="eastAsia" w:ascii="Times New Roman" w:hAnsi="Times New Roman" w:eastAsia="仿宋_GB2312" w:cs="仿宋_GB2312"/>
          <w:color w:val="auto"/>
          <w:sz w:val="32"/>
          <w:szCs w:val="32"/>
          <w:highlight w:val="none"/>
        </w:rPr>
        <w:t>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总计增加</w:t>
      </w:r>
      <w:r>
        <w:rPr>
          <w:rFonts w:hint="eastAsia" w:eastAsia="仿宋_GB2312" w:cs="仿宋_GB2312"/>
          <w:color w:val="auto"/>
          <w:sz w:val="32"/>
          <w:szCs w:val="32"/>
          <w:highlight w:val="none"/>
          <w:lang w:val="en-US" w:eastAsia="zh-CN"/>
        </w:rPr>
        <w:t>171.65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57.5</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w:t>
      </w:r>
      <w:r>
        <w:rPr>
          <w:rFonts w:hint="eastAsia" w:ascii="仿宋_GB2312" w:eastAsia="仿宋_GB2312" w:cs="仿宋_GB2312"/>
          <w:sz w:val="32"/>
          <w:szCs w:val="32"/>
          <w:lang w:val="en-US" w:eastAsia="zh-CN"/>
        </w:rPr>
        <w:t>增加原因为本年支出三馆一中心基建缺口资金工程尾款以及人员工资社保缴费、日常公用及学生活动运转项目经费支出有所增加。</w:t>
      </w:r>
    </w:p>
    <w:p w14:paraId="328CD76F">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1" locked="0" layoutInCell="1" allowOverlap="1">
            <wp:simplePos x="0" y="0"/>
            <wp:positionH relativeFrom="column">
              <wp:posOffset>135255</wp:posOffset>
            </wp:positionH>
            <wp:positionV relativeFrom="paragraph">
              <wp:posOffset>618490</wp:posOffset>
            </wp:positionV>
            <wp:extent cx="4826000" cy="2743835"/>
            <wp:effectExtent l="4445" t="4445" r="15875" b="10160"/>
            <wp:wrapTight wrapText="bothSides">
              <wp:wrapPolygon>
                <wp:start x="-20" y="-35"/>
                <wp:lineTo x="-20" y="21560"/>
                <wp:lineTo x="21535" y="21560"/>
                <wp:lineTo x="21535" y="-35"/>
                <wp:lineTo x="-20" y="-35"/>
              </wp:wrapPolygon>
            </wp:wrapTight>
            <wp:docPr id="5530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4E327340">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4C4DF195">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1"/>
        <w:rPr>
          <w:rFonts w:hint="eastAsia" w:ascii="Times New Roman" w:hAnsi="Times New Roman" w:eastAsia="仿宋_GB2312" w:cs="仿宋_GB2312"/>
          <w:color w:val="auto"/>
          <w:sz w:val="32"/>
          <w:szCs w:val="32"/>
          <w:highlight w:val="none"/>
        </w:rPr>
      </w:pPr>
    </w:p>
    <w:p w14:paraId="3E02DC28">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7EDD423">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09C62AEF">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仿宋_GB2312"/>
          <w:color w:val="auto"/>
          <w:sz w:val="32"/>
          <w:szCs w:val="32"/>
          <w:highlight w:val="none"/>
        </w:rPr>
      </w:pPr>
    </w:p>
    <w:p w14:paraId="4E99B065">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0AE453D1">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DDA80E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4094E6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1AC7BB1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96604"/>
      <w:bookmarkStart w:id="22" w:name="_Toc15377206"/>
      <w:bookmarkStart w:id="23" w:name="_Toc16337"/>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316721E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461.63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455.82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98.7</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5.81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sz w:val="32"/>
          <w:szCs w:val="32"/>
          <w:highlight w:val="none"/>
          <w:lang w:eastAsia="zh-CN"/>
        </w:rPr>
        <w:t>%。</w:t>
      </w:r>
    </w:p>
    <w:p w14:paraId="2F0A13F2">
      <w:pPr>
        <w:bidi w:val="0"/>
        <w:rPr>
          <w:rFonts w:hint="eastAsia"/>
          <w:lang w:eastAsia="zh-CN"/>
        </w:rPr>
      </w:pPr>
    </w:p>
    <w:p w14:paraId="0750D14A">
      <w:pPr>
        <w:bidi w:val="0"/>
        <w:rPr>
          <w:rFonts w:hint="eastAsia"/>
          <w:lang w:eastAsia="zh-CN"/>
        </w:rPr>
      </w:pPr>
    </w:p>
    <w:p w14:paraId="240A7116">
      <w:pPr>
        <w:bidi w:val="0"/>
        <w:rPr>
          <w:rFonts w:hint="eastAsia"/>
          <w:lang w:eastAsia="zh-CN"/>
        </w:rPr>
      </w:pPr>
    </w:p>
    <w:p w14:paraId="7A9EEE48">
      <w:pPr>
        <w:bidi w:val="0"/>
        <w:rPr>
          <w:rFonts w:hint="eastAsia"/>
          <w:lang w:eastAsia="zh-CN"/>
        </w:rPr>
      </w:pPr>
    </w:p>
    <w:p w14:paraId="61B42429">
      <w:pPr>
        <w:bidi w:val="0"/>
        <w:rPr>
          <w:rFonts w:hint="eastAsia"/>
          <w:lang w:eastAsia="zh-CN"/>
        </w:rPr>
      </w:pPr>
    </w:p>
    <w:p w14:paraId="66CF4912">
      <w:pPr>
        <w:bidi w:val="0"/>
        <w:rPr>
          <w:rFonts w:hint="eastAsia"/>
          <w:lang w:eastAsia="zh-CN"/>
        </w:rPr>
      </w:pPr>
    </w:p>
    <w:p w14:paraId="361D4416">
      <w:pPr>
        <w:pStyle w:val="2"/>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1" locked="0" layoutInCell="1" allowOverlap="1">
            <wp:simplePos x="0" y="0"/>
            <wp:positionH relativeFrom="column">
              <wp:posOffset>92710</wp:posOffset>
            </wp:positionH>
            <wp:positionV relativeFrom="paragraph">
              <wp:posOffset>139065</wp:posOffset>
            </wp:positionV>
            <wp:extent cx="5356225" cy="2794635"/>
            <wp:effectExtent l="4445" t="4445" r="19050" b="5080"/>
            <wp:wrapTight wrapText="bothSides">
              <wp:wrapPolygon>
                <wp:start x="-18" y="-34"/>
                <wp:lineTo x="-18" y="21521"/>
                <wp:lineTo x="21554" y="21521"/>
                <wp:lineTo x="21554" y="-34"/>
                <wp:lineTo x="-18" y="-34"/>
              </wp:wrapPolygon>
            </wp:wrapTight>
            <wp:docPr id="3995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0FBD5A6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0897769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4" w:name="_Toc15377207"/>
      <w:bookmarkStart w:id="25" w:name="_Toc15396605"/>
      <w:bookmarkStart w:id="26" w:name="_Toc2328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4"/>
      <w:bookmarkEnd w:id="25"/>
      <w:bookmarkEnd w:id="26"/>
    </w:p>
    <w:p w14:paraId="0588E76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470.49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206.83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43.9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263.67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56.</w:t>
      </w:r>
      <w:r>
        <w:rPr>
          <w:rFonts w:hint="eastAsia" w:ascii="仿宋_GB2312" w:hAnsi="仿宋_GB2312" w:eastAsia="仿宋_GB2312" w:cs="仿宋_GB2312"/>
          <w:sz w:val="32"/>
          <w:szCs w:val="32"/>
          <w:lang w:val="en-US" w:eastAsia="zh-CN"/>
        </w:rPr>
        <w:t>1</w:t>
      </w:r>
      <w:r>
        <w:rPr>
          <w:rFonts w:hint="eastAsia" w:ascii="Times New Roman" w:hAnsi="Times New Roman" w:eastAsia="仿宋_GB2312" w:cs="仿宋_GB2312"/>
          <w:color w:val="auto"/>
          <w:sz w:val="32"/>
          <w:szCs w:val="32"/>
          <w:highlight w:val="none"/>
          <w:lang w:eastAsia="zh-CN"/>
        </w:rPr>
        <w:t>%；</w:t>
      </w:r>
    </w:p>
    <w:p w14:paraId="1987311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BEBD46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269C57C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725036E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29BC8EE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53FE624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1896E46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1B8AC8D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9"/>
        <w:rPr>
          <w:rFonts w:hint="eastAsia" w:ascii="Times New Roman" w:hAnsi="Times New Roman" w:eastAsia="仿宋_GB2312" w:cs="仿宋_GB2312"/>
          <w:b/>
          <w:bCs/>
          <w:color w:val="auto"/>
          <w:sz w:val="32"/>
          <w:szCs w:val="32"/>
          <w:highlight w:val="none"/>
          <w:lang w:eastAsia="zh-CN"/>
        </w:rPr>
      </w:pPr>
      <w:r>
        <w:drawing>
          <wp:anchor distT="0" distB="0" distL="114300" distR="114300" simplePos="0" relativeHeight="251662336" behindDoc="1" locked="0" layoutInCell="1" allowOverlap="1">
            <wp:simplePos x="0" y="0"/>
            <wp:positionH relativeFrom="column">
              <wp:posOffset>271145</wp:posOffset>
            </wp:positionH>
            <wp:positionV relativeFrom="paragraph">
              <wp:posOffset>-2143760</wp:posOffset>
            </wp:positionV>
            <wp:extent cx="4608830" cy="2433320"/>
            <wp:effectExtent l="4445" t="5080" r="19685" b="15240"/>
            <wp:wrapTight wrapText="bothSides">
              <wp:wrapPolygon>
                <wp:start x="-21" y="-45"/>
                <wp:lineTo x="-21" y="21465"/>
                <wp:lineTo x="21549" y="21465"/>
                <wp:lineTo x="21549" y="-45"/>
                <wp:lineTo x="-21" y="-45"/>
              </wp:wrapPolygon>
            </wp:wrapTight>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53F3F5B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2486FF1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CA22679">
      <w:pPr>
        <w:ind w:firstLine="800" w:firstLineChars="250"/>
        <w:rPr>
          <w:rFonts w:hint="eastAsia" w:ascii="Times New Roman" w:hAnsi="Times New Roman" w:eastAsia="仿宋_GB2312" w:cs="仿宋_GB2312"/>
          <w:color w:val="auto"/>
          <w:sz w:val="32"/>
          <w:szCs w:val="32"/>
          <w:highlight w:val="none"/>
          <w:lang w:eastAsia="zh-CN"/>
        </w:rPr>
      </w:pPr>
    </w:p>
    <w:p w14:paraId="42824F6B">
      <w:pPr>
        <w:spacing w:line="600" w:lineRule="exact"/>
        <w:ind w:firstLine="640" w:firstLineChars="200"/>
        <w:outlineLvl w:val="1"/>
        <w:rPr>
          <w:rStyle w:val="31"/>
          <w:rFonts w:ascii="Times New Roman" w:hAnsi="Times New Roman" w:eastAsia="黑体"/>
          <w:b w:val="0"/>
          <w:color w:val="auto"/>
          <w:highlight w:val="none"/>
        </w:rPr>
      </w:pPr>
      <w:bookmarkStart w:id="27" w:name="_Toc15377208"/>
      <w:bookmarkStart w:id="28" w:name="_Toc15396606"/>
      <w:bookmarkStart w:id="29" w:name="_Toc26257"/>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7"/>
      <w:bookmarkEnd w:id="28"/>
      <w:bookmarkEnd w:id="29"/>
    </w:p>
    <w:p w14:paraId="38A3F64D">
      <w:pPr>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455.82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w:t>
      </w:r>
      <w:r>
        <w:rPr>
          <w:rFonts w:hint="eastAsia" w:eastAsia="仿宋_GB2312" w:cs="仿宋_GB2312"/>
          <w:color w:val="auto"/>
          <w:kern w:val="2"/>
          <w:sz w:val="32"/>
          <w:szCs w:val="32"/>
          <w:highlight w:val="none"/>
          <w:lang w:val="en-US" w:eastAsia="zh-CN" w:bidi="ar-SA"/>
        </w:rPr>
        <w:t>均</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170.54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59.8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eastAsia="仿宋_GB2312" w:cs="仿宋_GB2312"/>
          <w:sz w:val="32"/>
          <w:szCs w:val="32"/>
          <w:lang w:val="en-US" w:eastAsia="zh-CN"/>
        </w:rPr>
        <w:t>本年增加“三馆一中心”基建工程缺口资金付尾款以及人员工资社保缴费、日常公用经费、学生活动运转项目经费。</w:t>
      </w:r>
    </w:p>
    <w:p w14:paraId="31D0D7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1" locked="0" layoutInCell="1" allowOverlap="1">
            <wp:simplePos x="0" y="0"/>
            <wp:positionH relativeFrom="column">
              <wp:posOffset>-72390</wp:posOffset>
            </wp:positionH>
            <wp:positionV relativeFrom="paragraph">
              <wp:posOffset>243205</wp:posOffset>
            </wp:positionV>
            <wp:extent cx="5076190" cy="2727325"/>
            <wp:effectExtent l="4445" t="4445" r="40005" b="41910"/>
            <wp:wrapTight wrapText="bothSides">
              <wp:wrapPolygon>
                <wp:start x="-19" y="-35"/>
                <wp:lineTo x="-19" y="21570"/>
                <wp:lineTo x="21576" y="21570"/>
                <wp:lineTo x="21576" y="-35"/>
                <wp:lineTo x="-19" y="-35"/>
              </wp:wrapPolygon>
            </wp:wrapTight>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B7BEC61">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5883A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D2C977C">
      <w:pPr>
        <w:spacing w:line="600" w:lineRule="exact"/>
        <w:ind w:firstLine="640" w:firstLineChars="200"/>
        <w:outlineLvl w:val="1"/>
        <w:rPr>
          <w:rStyle w:val="31"/>
          <w:rFonts w:ascii="Times New Roman" w:hAnsi="Times New Roman" w:eastAsia="黑体"/>
          <w:b w:val="0"/>
          <w:color w:val="auto"/>
          <w:highlight w:val="none"/>
        </w:rPr>
      </w:pPr>
      <w:bookmarkStart w:id="30" w:name="_Toc15396607"/>
      <w:bookmarkStart w:id="31" w:name="_Toc15377209"/>
      <w:bookmarkStart w:id="32" w:name="_Toc1435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30"/>
      <w:bookmarkEnd w:id="31"/>
      <w:bookmarkEnd w:id="32"/>
    </w:p>
    <w:p w14:paraId="3549C7B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119"/>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bookmarkEnd w:id="34"/>
    </w:p>
    <w:p w14:paraId="4F131A6B">
      <w:pPr>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640" w:firstLineChars="200"/>
        <w:rPr>
          <w:rFonts w:hint="eastAsia" w:ascii="仿宋_GB2312" w:eastAsia="仿宋_GB2312" w:cs="仿宋_GB2312"/>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455.82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96.</w:t>
      </w:r>
      <w:r>
        <w:rPr>
          <w:rFonts w:hint="eastAsia" w:ascii="仿宋_GB2312" w:hAnsi="仿宋_GB2312" w:eastAsia="仿宋_GB2312" w:cs="仿宋_GB2312"/>
          <w:sz w:val="32"/>
          <w:szCs w:val="32"/>
          <w:lang w:val="en-US" w:eastAsia="zh-CN"/>
        </w:rPr>
        <w:t>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170.54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59.8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eastAsia="仿宋_GB2312" w:cs="仿宋_GB2312"/>
          <w:sz w:val="32"/>
          <w:szCs w:val="32"/>
          <w:lang w:val="en-US" w:eastAsia="zh-CN"/>
        </w:rPr>
        <w:t>本年增加“三馆一中心”基建工程缺口资金付尾款以及人员工资社保缴费、日常公用经费、学生活动运转项目经费支出。</w:t>
      </w:r>
    </w:p>
    <w:p w14:paraId="1110D6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1" locked="0" layoutInCell="1" allowOverlap="1">
            <wp:simplePos x="0" y="0"/>
            <wp:positionH relativeFrom="column">
              <wp:posOffset>146685</wp:posOffset>
            </wp:positionH>
            <wp:positionV relativeFrom="paragraph">
              <wp:posOffset>197485</wp:posOffset>
            </wp:positionV>
            <wp:extent cx="4966970" cy="3113405"/>
            <wp:effectExtent l="4445" t="4445" r="12065" b="6350"/>
            <wp:wrapTight wrapText="bothSides">
              <wp:wrapPolygon>
                <wp:start x="-19" y="-31"/>
                <wp:lineTo x="-19" y="21538"/>
                <wp:lineTo x="21586" y="21538"/>
                <wp:lineTo x="21586" y="-31"/>
                <wp:lineTo x="-19" y="-31"/>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6955A2C">
      <w:pPr>
        <w:pStyle w:val="13"/>
        <w:rPr>
          <w:rFonts w:hint="eastAsia" w:ascii="Times New Roman" w:hAnsi="Times New Roman" w:eastAsia="仿宋_GB2312" w:cs="仿宋_GB2312"/>
          <w:color w:val="auto"/>
          <w:kern w:val="2"/>
          <w:sz w:val="32"/>
          <w:szCs w:val="32"/>
          <w:highlight w:val="none"/>
          <w:lang w:val="en-US" w:eastAsia="zh-CN" w:bidi="ar-SA"/>
        </w:rPr>
      </w:pPr>
    </w:p>
    <w:p w14:paraId="679E7414">
      <w:pPr>
        <w:pStyle w:val="14"/>
        <w:rPr>
          <w:rFonts w:hint="eastAsia"/>
          <w:lang w:val="en-US" w:eastAsia="zh-CN"/>
        </w:rPr>
      </w:pPr>
    </w:p>
    <w:p w14:paraId="4EEA69B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1"/>
      <w:bookmarkStart w:id="36" w:name="_Toc17404"/>
      <w:r>
        <w:rPr>
          <w:rFonts w:hint="eastAsia" w:ascii="Times New Roman" w:hAnsi="Times New Roman" w:eastAsia="楷体_GB2312" w:cs="楷体_GB2312"/>
          <w:b/>
          <w:color w:val="auto"/>
          <w:sz w:val="32"/>
          <w:szCs w:val="32"/>
          <w:highlight w:val="none"/>
        </w:rPr>
        <w:t>（二）一般公共预算财政拨款支出决算结构情况</w:t>
      </w:r>
      <w:bookmarkEnd w:id="35"/>
      <w:bookmarkEnd w:id="36"/>
    </w:p>
    <w:p w14:paraId="7158A081">
      <w:pPr>
        <w:spacing w:line="600" w:lineRule="exact"/>
        <w:ind w:firstLine="640"/>
        <w:rPr>
          <w:rFonts w:hint="eastAsia" w:ascii="仿宋" w:eastAsia="仿宋"/>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455.82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仿宋" w:eastAsia="仿宋"/>
          <w:b/>
          <w:sz w:val="32"/>
          <w:szCs w:val="32"/>
        </w:rPr>
        <w:t>教育支出</w:t>
      </w:r>
      <w:r>
        <w:rPr>
          <w:rFonts w:hint="eastAsia" w:ascii="仿宋" w:eastAsia="仿宋"/>
          <w:sz w:val="32"/>
          <w:szCs w:val="32"/>
          <w:lang w:val="en-US" w:eastAsia="zh-CN"/>
        </w:rPr>
        <w:t>412.08</w:t>
      </w:r>
      <w:r>
        <w:rPr>
          <w:rFonts w:hint="eastAsia" w:ascii="仿宋" w:eastAsia="仿宋"/>
          <w:sz w:val="32"/>
          <w:szCs w:val="32"/>
        </w:rPr>
        <w:t>万元，占</w:t>
      </w:r>
      <w:r>
        <w:rPr>
          <w:rFonts w:hint="eastAsia" w:ascii="仿宋" w:eastAsia="仿宋"/>
          <w:sz w:val="32"/>
          <w:szCs w:val="32"/>
          <w:lang w:val="en-US" w:eastAsia="zh-CN"/>
        </w:rPr>
        <w:t>90.4%</w:t>
      </w:r>
      <w:r>
        <w:rPr>
          <w:rFonts w:hint="eastAsia" w:ascii="仿宋" w:eastAsia="仿宋"/>
          <w:sz w:val="32"/>
          <w:szCs w:val="32"/>
        </w:rPr>
        <w:t>；</w:t>
      </w:r>
      <w:r>
        <w:rPr>
          <w:rFonts w:hint="eastAsia" w:ascii="仿宋" w:eastAsia="仿宋"/>
          <w:b/>
          <w:sz w:val="32"/>
          <w:szCs w:val="32"/>
        </w:rPr>
        <w:t>社会保障和就业</w:t>
      </w:r>
      <w:r>
        <w:rPr>
          <w:rFonts w:hint="eastAsia" w:ascii="仿宋" w:eastAsia="仿宋"/>
          <w:b/>
          <w:bCs/>
          <w:sz w:val="32"/>
          <w:szCs w:val="32"/>
        </w:rPr>
        <w:t>支出</w:t>
      </w:r>
      <w:r>
        <w:rPr>
          <w:rFonts w:hint="eastAsia" w:ascii="仿宋" w:eastAsia="仿宋"/>
          <w:sz w:val="32"/>
          <w:szCs w:val="32"/>
          <w:lang w:val="en-US" w:eastAsia="zh-CN"/>
        </w:rPr>
        <w:t>22.8</w:t>
      </w:r>
      <w:r>
        <w:rPr>
          <w:rFonts w:hint="eastAsia" w:ascii="仿宋" w:eastAsia="仿宋"/>
          <w:sz w:val="32"/>
          <w:szCs w:val="32"/>
        </w:rPr>
        <w:t>万元，占</w:t>
      </w:r>
      <w:r>
        <w:rPr>
          <w:rFonts w:hint="eastAsia" w:ascii="仿宋" w:eastAsia="仿宋"/>
          <w:sz w:val="32"/>
          <w:szCs w:val="32"/>
          <w:lang w:val="en-US" w:eastAsia="zh-CN"/>
        </w:rPr>
        <w:t>5</w:t>
      </w:r>
      <w:r>
        <w:rPr>
          <w:rFonts w:ascii="仿宋" w:eastAsia="仿宋"/>
          <w:sz w:val="32"/>
          <w:szCs w:val="32"/>
        </w:rPr>
        <w:t>%</w:t>
      </w:r>
      <w:r>
        <w:rPr>
          <w:rFonts w:hint="eastAsia" w:ascii="仿宋" w:eastAsia="仿宋"/>
          <w:sz w:val="32"/>
          <w:szCs w:val="32"/>
        </w:rPr>
        <w:t>；</w:t>
      </w:r>
      <w:r>
        <w:rPr>
          <w:rFonts w:hint="eastAsia" w:ascii="仿宋" w:eastAsia="仿宋"/>
          <w:b/>
          <w:bCs/>
          <w:sz w:val="32"/>
          <w:szCs w:val="32"/>
        </w:rPr>
        <w:t>卫生健康支出</w:t>
      </w:r>
      <w:r>
        <w:rPr>
          <w:rFonts w:hint="eastAsia" w:ascii="仿宋" w:eastAsia="仿宋"/>
          <w:sz w:val="32"/>
          <w:szCs w:val="32"/>
          <w:lang w:val="en-US" w:eastAsia="zh-CN"/>
        </w:rPr>
        <w:t>8.56</w:t>
      </w:r>
      <w:r>
        <w:rPr>
          <w:rFonts w:hint="eastAsia" w:ascii="仿宋" w:eastAsia="仿宋"/>
          <w:sz w:val="32"/>
          <w:szCs w:val="32"/>
        </w:rPr>
        <w:t>万元，占</w:t>
      </w:r>
      <w:r>
        <w:rPr>
          <w:rFonts w:hint="eastAsia" w:ascii="仿宋" w:eastAsia="仿宋"/>
          <w:sz w:val="32"/>
          <w:szCs w:val="32"/>
          <w:lang w:val="en-US" w:eastAsia="zh-CN"/>
        </w:rPr>
        <w:t>1.9</w:t>
      </w:r>
      <w:r>
        <w:rPr>
          <w:rFonts w:ascii="仿宋" w:eastAsia="仿宋"/>
          <w:sz w:val="32"/>
          <w:szCs w:val="32"/>
        </w:rPr>
        <w:t>%</w:t>
      </w:r>
      <w:r>
        <w:rPr>
          <w:rFonts w:hint="eastAsia" w:ascii="仿宋" w:eastAsia="仿宋"/>
          <w:sz w:val="32"/>
          <w:szCs w:val="32"/>
        </w:rPr>
        <w:t>；</w:t>
      </w:r>
      <w:r>
        <w:rPr>
          <w:rFonts w:hint="eastAsia" w:ascii="仿宋" w:eastAsia="仿宋"/>
          <w:b/>
          <w:bCs/>
          <w:sz w:val="32"/>
          <w:szCs w:val="32"/>
        </w:rPr>
        <w:t>住房保障支出</w:t>
      </w:r>
      <w:r>
        <w:rPr>
          <w:rFonts w:hint="eastAsia" w:ascii="仿宋" w:eastAsia="仿宋"/>
          <w:sz w:val="32"/>
          <w:szCs w:val="32"/>
          <w:lang w:val="en-US" w:eastAsia="zh-CN"/>
        </w:rPr>
        <w:t>12.39</w:t>
      </w:r>
      <w:r>
        <w:rPr>
          <w:rFonts w:hint="eastAsia" w:ascii="仿宋" w:eastAsia="仿宋"/>
          <w:sz w:val="32"/>
          <w:szCs w:val="32"/>
        </w:rPr>
        <w:t>万元，占</w:t>
      </w:r>
      <w:r>
        <w:rPr>
          <w:rFonts w:hint="eastAsia" w:ascii="仿宋" w:eastAsia="仿宋"/>
          <w:sz w:val="32"/>
          <w:szCs w:val="32"/>
          <w:lang w:val="en-US" w:eastAsia="zh-CN"/>
        </w:rPr>
        <w:t>2.7</w:t>
      </w:r>
      <w:r>
        <w:rPr>
          <w:rFonts w:ascii="仿宋" w:eastAsia="仿宋"/>
          <w:sz w:val="32"/>
          <w:szCs w:val="32"/>
        </w:rPr>
        <w:t>%</w:t>
      </w:r>
      <w:r>
        <w:rPr>
          <w:rFonts w:hint="eastAsia" w:ascii="仿宋" w:eastAsia="仿宋"/>
          <w:sz w:val="32"/>
          <w:szCs w:val="32"/>
          <w:lang w:eastAsia="zh-CN"/>
        </w:rPr>
        <w:t>。</w:t>
      </w:r>
    </w:p>
    <w:p w14:paraId="4694E46B">
      <w:pPr>
        <w:pStyle w:val="14"/>
        <w:ind w:left="0" w:leftChars="0" w:firstLine="0" w:firstLineChars="0"/>
        <w:rPr>
          <w:rFonts w:hint="eastAsia" w:ascii="仿宋" w:eastAsia="仿宋"/>
          <w:sz w:val="32"/>
          <w:szCs w:val="32"/>
          <w:lang w:eastAsia="zh-CN"/>
        </w:rPr>
      </w:pPr>
    </w:p>
    <w:p w14:paraId="72889768">
      <w:pPr>
        <w:pStyle w:val="14"/>
        <w:rPr>
          <w:rFonts w:hint="eastAsia" w:ascii="仿宋" w:eastAsia="仿宋"/>
          <w:sz w:val="32"/>
          <w:szCs w:val="32"/>
          <w:lang w:eastAsia="zh-CN"/>
        </w:rPr>
      </w:pPr>
      <w:r>
        <w:drawing>
          <wp:inline distT="0" distB="0" distL="114300" distR="114300">
            <wp:extent cx="5253990" cy="2979420"/>
            <wp:effectExtent l="4445" t="4445" r="14605" b="1841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D50B186">
      <w:pPr>
        <w:pStyle w:val="13"/>
        <w:rPr>
          <w:rFonts w:hint="eastAsia" w:ascii="仿宋" w:eastAsia="仿宋"/>
          <w:sz w:val="32"/>
          <w:szCs w:val="32"/>
          <w:lang w:eastAsia="zh-CN"/>
        </w:rPr>
      </w:pPr>
    </w:p>
    <w:p w14:paraId="07011F52">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ED63D4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8889"/>
      <w:bookmarkStart w:id="3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7"/>
      <w:bookmarkEnd w:id="38"/>
    </w:p>
    <w:p w14:paraId="0F7724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9" w:name="_Toc15377444"/>
      <w:bookmarkStart w:id="40" w:name="_Toc15377213"/>
      <w:bookmarkStart w:id="41"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455.82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9"/>
      <w:bookmarkEnd w:id="40"/>
      <w:bookmarkEnd w:id="41"/>
    </w:p>
    <w:p w14:paraId="48EC21FC">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教育支出（205）普通教育（02） 其他普通教育支出（99）: 2025年度支出决算为412.08万元，完成预算100%，决算数等于预算数</w:t>
      </w:r>
      <w:r>
        <w:rPr>
          <w:rFonts w:hint="eastAsia" w:eastAsia="仿宋_GB2312" w:cs="仿宋_GB2312"/>
          <w:color w:val="auto"/>
          <w:kern w:val="2"/>
          <w:sz w:val="32"/>
          <w:szCs w:val="32"/>
          <w:highlight w:val="none"/>
          <w:lang w:val="en-US" w:eastAsia="zh-CN" w:bidi="ar-SA"/>
        </w:rPr>
        <w:t>。</w:t>
      </w:r>
    </w:p>
    <w:p w14:paraId="4921A281">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0"/>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社会保障和就业支出（208）行政事业单位离退休（05）机关事业单位基本养老保险缴费支出（05）</w: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3FA1DD2B">
      <w:pPr>
        <w:pStyle w:val="13"/>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b/>
          <w:bCs/>
          <w:lang w:val="en-US" w:eastAsia="zh-CN"/>
        </w:rPr>
      </w:pPr>
      <w:r>
        <w:rPr>
          <w:rFonts w:hint="eastAsia" w:ascii="Times New Roman" w:hAnsi="Times New Roman" w:eastAsia="仿宋_GB2312" w:cs="仿宋_GB2312"/>
          <w:color w:val="auto"/>
          <w:kern w:val="2"/>
          <w:sz w:val="32"/>
          <w:szCs w:val="32"/>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社会保障和就业支出（208）行政事业单位离退休（05）机关事业单位职业年金缴费支出（06）支出</w: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420C928">
      <w:pPr>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560" w:lineRule="exact"/>
        <w:ind w:firstLine="320" w:firstLineChars="1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4.卫生健康支出（210） 行政事业单位医疗（11）事业单位医疗（02）: 2025年度支出决算数为7.29万元。完成预算的100%，决算数等于预算数。</w:t>
      </w:r>
    </w:p>
    <w:p w14:paraId="2E4C45E8">
      <w:pPr>
        <w:pStyle w:val="13"/>
        <w:keepNext w:val="0"/>
        <w:keepLines w:val="0"/>
        <w:pageBreakBefore w:val="0"/>
        <w:kinsoku/>
        <w:wordWrap/>
        <w:overflowPunct/>
        <w:topLinePunct w:val="0"/>
        <w:autoSpaceDE/>
        <w:autoSpaceDN/>
        <w:bidi w:val="0"/>
        <w:adjustRightInd/>
        <w:spacing w:beforeAutospacing="0" w:afterAutospacing="0" w:line="560" w:lineRule="exact"/>
        <w:ind w:firstLine="320" w:firstLineChars="1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5.卫生健康支出（210） 行政事业单位医疗（11）事业单位医疗（99）: 2025年度支出决算数为1.26万元。完成预算的100%，决算数等于预算数。</w:t>
      </w:r>
    </w:p>
    <w:p w14:paraId="579B1D0F">
      <w:pPr>
        <w:pStyle w:val="14"/>
        <w:keepNext w:val="0"/>
        <w:keepLines w:val="0"/>
        <w:pageBreakBefore w:val="0"/>
        <w:kinsoku/>
        <w:wordWrap/>
        <w:overflowPunct/>
        <w:topLinePunct w:val="0"/>
        <w:autoSpaceDE/>
        <w:autoSpaceDN/>
        <w:bidi w:val="0"/>
        <w:adjustRightInd/>
        <w:spacing w:beforeAutospacing="0" w:afterAutospacing="0" w:line="560" w:lineRule="exact"/>
        <w:ind w:left="0" w:leftChars="0" w:firstLine="320" w:firstLineChars="1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6.住房保障支出（221）住房改革支出（02）住房公积金（01）: 2025年度支出决算数12.39万元，完成预100%，决算数等于预算数。</w:t>
      </w:r>
    </w:p>
    <w:p w14:paraId="560F266F">
      <w:pPr>
        <w:tabs>
          <w:tab w:val="right" w:pos="8306"/>
        </w:tabs>
        <w:spacing w:line="600" w:lineRule="exact"/>
        <w:ind w:firstLine="640"/>
        <w:outlineLvl w:val="1"/>
        <w:rPr>
          <w:rStyle w:val="31"/>
          <w:rFonts w:ascii="Times New Roman" w:hAnsi="Times New Roman"/>
          <w:color w:val="auto"/>
          <w:highlight w:val="none"/>
        </w:rPr>
      </w:pPr>
      <w:bookmarkStart w:id="42" w:name="_Toc15377214"/>
      <w:bookmarkStart w:id="43" w:name="_Toc19507"/>
      <w:bookmarkStart w:id="44"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42"/>
      <w:bookmarkEnd w:id="43"/>
      <w:bookmarkEnd w:id="44"/>
      <w:r>
        <w:rPr>
          <w:rStyle w:val="31"/>
          <w:rFonts w:ascii="Times New Roman" w:hAnsi="Times New Roman" w:eastAsia="黑体"/>
          <w:b w:val="0"/>
          <w:color w:val="auto"/>
          <w:highlight w:val="none"/>
        </w:rPr>
        <w:tab/>
      </w:r>
    </w:p>
    <w:p w14:paraId="64FA2A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202.87</w:t>
      </w:r>
      <w:r>
        <w:rPr>
          <w:rFonts w:hint="eastAsia" w:ascii="Times New Roman" w:hAnsi="Times New Roman" w:eastAsia="仿宋_GB2312" w:cs="仿宋_GB2312"/>
          <w:color w:val="auto"/>
          <w:kern w:val="2"/>
          <w:sz w:val="32"/>
          <w:szCs w:val="32"/>
          <w:highlight w:val="none"/>
          <w:lang w:val="en-US" w:eastAsia="zh-CN" w:bidi="ar-SA"/>
        </w:rPr>
        <w:t>万元，其中：人员经费</w:t>
      </w:r>
      <w:r>
        <w:rPr>
          <w:rFonts w:hint="eastAsia" w:ascii="仿宋_GB2312" w:hAnsi="仿宋_GB2312" w:eastAsia="仿宋_GB2312" w:cs="仿宋_GB2312"/>
          <w:sz w:val="32"/>
          <w:szCs w:val="32"/>
        </w:rPr>
        <w:t>188.37</w:t>
      </w:r>
      <w:r>
        <w:rPr>
          <w:rFonts w:hint="eastAsia" w:ascii="Times New Roman" w:hAnsi="Times New Roman" w:eastAsia="仿宋_GB2312" w:cs="仿宋_GB2312"/>
          <w:color w:val="auto"/>
          <w:kern w:val="2"/>
          <w:sz w:val="32"/>
          <w:szCs w:val="32"/>
          <w:highlight w:val="none"/>
          <w:lang w:val="en-US" w:eastAsia="zh-CN" w:bidi="ar-SA"/>
        </w:rPr>
        <w:t>万元，主要包括：基本工资38.1</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、津贴补贴12.84</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、奖金34.6</w:t>
      </w:r>
      <w:r>
        <w:rPr>
          <w:rFonts w:hint="eastAsia" w:eastAsia="仿宋_GB2312" w:cs="仿宋_GB2312"/>
          <w:color w:val="auto"/>
          <w:kern w:val="2"/>
          <w:sz w:val="32"/>
          <w:szCs w:val="32"/>
          <w:highlight w:val="none"/>
          <w:lang w:val="en-US" w:eastAsia="zh-CN" w:bidi="ar-SA"/>
        </w:rPr>
        <w:t>8万元</w:t>
      </w:r>
      <w:r>
        <w:rPr>
          <w:rFonts w:hint="eastAsia" w:ascii="Times New Roman" w:hAnsi="Times New Roman" w:eastAsia="仿宋_GB2312" w:cs="仿宋_GB2312"/>
          <w:color w:val="auto"/>
          <w:kern w:val="2"/>
          <w:sz w:val="32"/>
          <w:szCs w:val="32"/>
          <w:highlight w:val="none"/>
          <w:lang w:val="en-US" w:eastAsia="zh-CN" w:bidi="ar-SA"/>
        </w:rPr>
        <w:t>、伙食补助费1.73</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、绩效工资26.72</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、机关事业单位基本养老保险缴费15.2</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、职业年金缴费7.6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、职工基本医疗保险缴费7.29万元、其他社会保障缴费2.25</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、其他工资福利支出26.29</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、生活补助3.26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、奖励金</w:t>
      </w:r>
      <w:r>
        <w:rPr>
          <w:rFonts w:hint="eastAsia" w:eastAsia="仿宋_GB2312" w:cs="仿宋_GB2312"/>
          <w:color w:val="auto"/>
          <w:kern w:val="2"/>
          <w:sz w:val="32"/>
          <w:szCs w:val="32"/>
          <w:highlight w:val="none"/>
          <w:lang w:val="en-US" w:eastAsia="zh-CN" w:bidi="ar-SA"/>
        </w:rPr>
        <w:t>0.01万元</w:t>
      </w:r>
      <w:r>
        <w:rPr>
          <w:rFonts w:hint="eastAsia" w:ascii="Times New Roman" w:hAnsi="Times New Roman" w:eastAsia="仿宋_GB2312" w:cs="仿宋_GB2312"/>
          <w:color w:val="auto"/>
          <w:kern w:val="2"/>
          <w:sz w:val="32"/>
          <w:szCs w:val="32"/>
          <w:highlight w:val="none"/>
          <w:lang w:val="en-US" w:eastAsia="zh-CN" w:bidi="ar-SA"/>
        </w:rPr>
        <w:t>、住房公积金12.39</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14.49</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2.16万元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4.62万元</w:t>
      </w:r>
      <w:r>
        <w:rPr>
          <w:rFonts w:hint="eastAsia" w:ascii="Times New Roman" w:hAnsi="Times New Roman" w:eastAsia="仿宋_GB2312" w:cs="仿宋_GB2312"/>
          <w:color w:val="auto"/>
          <w:kern w:val="2"/>
          <w:sz w:val="32"/>
          <w:szCs w:val="32"/>
          <w:highlight w:val="none"/>
          <w:lang w:val="en-US" w:eastAsia="zh-CN" w:bidi="ar-SA"/>
        </w:rPr>
        <w:t>、维修（护）费</w:t>
      </w:r>
      <w:r>
        <w:rPr>
          <w:rFonts w:hint="eastAsia" w:eastAsia="仿宋_GB2312" w:cs="仿宋_GB2312"/>
          <w:color w:val="auto"/>
          <w:kern w:val="2"/>
          <w:sz w:val="32"/>
          <w:szCs w:val="32"/>
          <w:highlight w:val="none"/>
          <w:lang w:val="en-US" w:eastAsia="zh-CN" w:bidi="ar-SA"/>
        </w:rPr>
        <w:t>1.01万元</w:t>
      </w:r>
      <w:r>
        <w:rPr>
          <w:rFonts w:hint="eastAsia" w:ascii="Times New Roman" w:hAnsi="Times New Roman" w:eastAsia="仿宋_GB2312" w:cs="仿宋_GB2312"/>
          <w:color w:val="auto"/>
          <w:kern w:val="2"/>
          <w:sz w:val="32"/>
          <w:szCs w:val="32"/>
          <w:highlight w:val="none"/>
          <w:lang w:val="en-US" w:eastAsia="zh-CN" w:bidi="ar-SA"/>
        </w:rPr>
        <w:t>、委托业务费</w:t>
      </w:r>
      <w:r>
        <w:rPr>
          <w:rFonts w:hint="eastAsia" w:eastAsia="仿宋_GB2312" w:cs="仿宋_GB2312"/>
          <w:color w:val="auto"/>
          <w:kern w:val="2"/>
          <w:sz w:val="32"/>
          <w:szCs w:val="32"/>
          <w:highlight w:val="none"/>
          <w:lang w:val="en-US" w:eastAsia="zh-CN" w:bidi="ar-SA"/>
        </w:rPr>
        <w:t>3.45万元</w:t>
      </w:r>
      <w:r>
        <w:rPr>
          <w:rFonts w:hint="eastAsia" w:ascii="Times New Roman" w:hAnsi="Times New Roman" w:eastAsia="仿宋_GB2312" w:cs="仿宋_GB2312"/>
          <w:color w:val="auto"/>
          <w:kern w:val="2"/>
          <w:sz w:val="32"/>
          <w:szCs w:val="32"/>
          <w:highlight w:val="none"/>
          <w:lang w:val="en-US" w:eastAsia="zh-CN" w:bidi="ar-SA"/>
        </w:rPr>
        <w:t>、福利费</w:t>
      </w:r>
      <w:r>
        <w:rPr>
          <w:rFonts w:hint="eastAsia" w:eastAsia="仿宋_GB2312" w:cs="仿宋_GB2312"/>
          <w:color w:val="auto"/>
          <w:kern w:val="2"/>
          <w:sz w:val="32"/>
          <w:szCs w:val="32"/>
          <w:highlight w:val="none"/>
          <w:lang w:val="en-US" w:eastAsia="zh-CN" w:bidi="ar-SA"/>
        </w:rPr>
        <w:t>1.08万元</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1.25万元</w:t>
      </w:r>
      <w:r>
        <w:rPr>
          <w:rFonts w:hint="eastAsia" w:ascii="Times New Roman" w:hAnsi="Times New Roman" w:eastAsia="仿宋_GB2312" w:cs="仿宋_GB2312"/>
          <w:color w:val="auto"/>
          <w:kern w:val="2"/>
          <w:sz w:val="32"/>
          <w:szCs w:val="32"/>
          <w:highlight w:val="none"/>
          <w:lang w:val="en-US" w:eastAsia="zh-CN" w:bidi="ar-SA"/>
        </w:rPr>
        <w:t>、办公设备购置</w:t>
      </w:r>
      <w:r>
        <w:rPr>
          <w:rFonts w:hint="eastAsia" w:eastAsia="仿宋_GB2312" w:cs="仿宋_GB2312"/>
          <w:color w:val="auto"/>
          <w:kern w:val="2"/>
          <w:sz w:val="32"/>
          <w:szCs w:val="32"/>
          <w:highlight w:val="none"/>
          <w:lang w:val="en-US" w:eastAsia="zh-CN" w:bidi="ar-SA"/>
        </w:rPr>
        <w:t>0.93万元</w:t>
      </w:r>
      <w:r>
        <w:rPr>
          <w:rFonts w:hint="eastAsia" w:ascii="Times New Roman" w:hAnsi="Times New Roman" w:eastAsia="仿宋_GB2312" w:cs="仿宋_GB2312"/>
          <w:color w:val="auto"/>
          <w:kern w:val="2"/>
          <w:sz w:val="32"/>
          <w:szCs w:val="32"/>
          <w:highlight w:val="none"/>
          <w:lang w:val="en-US" w:eastAsia="zh-CN" w:bidi="ar-SA"/>
        </w:rPr>
        <w:t>。</w:t>
      </w:r>
    </w:p>
    <w:p w14:paraId="28BE98B2">
      <w:pPr>
        <w:spacing w:line="600" w:lineRule="exact"/>
        <w:ind w:firstLine="640"/>
        <w:outlineLvl w:val="1"/>
        <w:rPr>
          <w:rStyle w:val="31"/>
          <w:rFonts w:ascii="Times New Roman" w:hAnsi="Times New Roman" w:eastAsia="黑体"/>
          <w:b w:val="0"/>
          <w:color w:val="auto"/>
          <w:highlight w:val="none"/>
        </w:rPr>
      </w:pPr>
      <w:bookmarkStart w:id="45" w:name="_Toc15396609"/>
      <w:bookmarkStart w:id="46" w:name="_Toc25440"/>
      <w:bookmarkStart w:id="47"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45"/>
      <w:bookmarkEnd w:id="46"/>
      <w:bookmarkEnd w:id="47"/>
    </w:p>
    <w:p w14:paraId="3A417C8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29943"/>
      <w:bookmarkStart w:id="4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8"/>
      <w:bookmarkEnd w:id="49"/>
    </w:p>
    <w:p w14:paraId="0AA716E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预算数为0万元。</w:t>
      </w:r>
    </w:p>
    <w:p w14:paraId="7A09D90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17"/>
      <w:bookmarkStart w:id="51" w:name="_Toc17676"/>
      <w:r>
        <w:rPr>
          <w:rFonts w:hint="eastAsia" w:ascii="Times New Roman" w:hAnsi="Times New Roman" w:eastAsia="楷体_GB2312" w:cs="楷体_GB2312"/>
          <w:b/>
          <w:color w:val="auto"/>
          <w:sz w:val="32"/>
          <w:szCs w:val="32"/>
          <w:highlight w:val="none"/>
        </w:rPr>
        <w:t>（二）财政拨款“三公”经费支出决算具体情况说明</w:t>
      </w:r>
      <w:bookmarkEnd w:id="50"/>
      <w:bookmarkEnd w:id="51"/>
    </w:p>
    <w:p w14:paraId="2F9AE2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万元。具体情况如下：</w:t>
      </w:r>
    </w:p>
    <w:p w14:paraId="468A5E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3633D27F">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预算数为0万元</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1D2AE8E2">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预算数为0万元</w:t>
      </w:r>
      <w:r>
        <w:rPr>
          <w:rFonts w:hint="eastAsia" w:ascii="Times New Roman" w:hAnsi="Times New Roman" w:eastAsia="仿宋_GB2312" w:cs="仿宋_GB2312"/>
          <w:b/>
          <w:bCs/>
          <w:color w:val="auto"/>
          <w:kern w:val="2"/>
          <w:sz w:val="32"/>
          <w:szCs w:val="32"/>
          <w:highlight w:val="none"/>
          <w:lang w:val="en-US" w:eastAsia="zh-CN" w:bidi="ar-SA"/>
        </w:rPr>
        <w:t>。</w:t>
      </w:r>
    </w:p>
    <w:p w14:paraId="7600DF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5E5471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015EA6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7E0EB4F2">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预算数为0万元</w:t>
      </w:r>
      <w:r>
        <w:rPr>
          <w:rFonts w:hint="eastAsia" w:ascii="Times New Roman" w:hAnsi="Times New Roman" w:eastAsia="仿宋_GB2312" w:cs="仿宋_GB2312"/>
          <w:b/>
          <w:bCs/>
          <w:color w:val="auto"/>
          <w:kern w:val="2"/>
          <w:sz w:val="32"/>
          <w:szCs w:val="32"/>
          <w:highlight w:val="none"/>
          <w:lang w:val="en-US" w:eastAsia="zh-CN" w:bidi="ar-SA"/>
        </w:rPr>
        <w:t>。</w:t>
      </w:r>
      <w:bookmarkStart w:id="52" w:name="_Toc15396610"/>
      <w:bookmarkStart w:id="53" w:name="_Toc15377218"/>
    </w:p>
    <w:p w14:paraId="5144D309">
      <w:pPr>
        <w:spacing w:line="600" w:lineRule="exact"/>
        <w:ind w:firstLine="640"/>
        <w:outlineLvl w:val="1"/>
        <w:rPr>
          <w:rStyle w:val="31"/>
          <w:rFonts w:ascii="Times New Roman" w:hAnsi="Times New Roman" w:eastAsia="黑体"/>
          <w:color w:val="auto"/>
          <w:highlight w:val="none"/>
        </w:rPr>
      </w:pPr>
      <w:bookmarkStart w:id="54" w:name="_Toc26544"/>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52"/>
      <w:bookmarkEnd w:id="53"/>
      <w:bookmarkEnd w:id="54"/>
    </w:p>
    <w:p w14:paraId="072075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62451CF9">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55" w:name="_Toc15396611"/>
      <w:bookmarkStart w:id="56" w:name="_Toc8907"/>
      <w:bookmarkStart w:id="57"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5"/>
      <w:bookmarkEnd w:id="56"/>
      <w:bookmarkEnd w:id="57"/>
    </w:p>
    <w:p w14:paraId="2AF0D1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177232E8">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58" w:name="_Toc15377221"/>
      <w:bookmarkStart w:id="59" w:name="_Toc13654"/>
      <w:bookmarkStart w:id="60"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58"/>
      <w:bookmarkEnd w:id="59"/>
      <w:bookmarkEnd w:id="60"/>
    </w:p>
    <w:p w14:paraId="612206C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22"/>
      <w:bookmarkStart w:id="62" w:name="_Toc27472"/>
      <w:r>
        <w:rPr>
          <w:rFonts w:hint="eastAsia" w:ascii="Times New Roman" w:hAnsi="Times New Roman" w:eastAsia="楷体_GB2312" w:cs="楷体_GB2312"/>
          <w:b/>
          <w:color w:val="auto"/>
          <w:sz w:val="32"/>
          <w:szCs w:val="32"/>
          <w:highlight w:val="none"/>
        </w:rPr>
        <w:t>（一）机关运行经费支出情况</w:t>
      </w:r>
      <w:bookmarkEnd w:id="61"/>
      <w:bookmarkEnd w:id="62"/>
    </w:p>
    <w:p w14:paraId="039DAA78">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阿坝州青少年校外教育活动中心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14.49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2.57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21.6</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是2025年度差旅费、固定资产零星维修维护费支出有所增加以及残疾人保证金单位缴费纳入到其他商品服务支出。</w:t>
      </w:r>
    </w:p>
    <w:p w14:paraId="5B00FD7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23"/>
      <w:bookmarkStart w:id="64" w:name="_Toc5377"/>
      <w:r>
        <w:rPr>
          <w:rFonts w:hint="eastAsia" w:ascii="Times New Roman" w:hAnsi="Times New Roman" w:eastAsia="楷体_GB2312" w:cs="楷体_GB2312"/>
          <w:b/>
          <w:color w:val="auto"/>
          <w:sz w:val="32"/>
          <w:szCs w:val="32"/>
          <w:highlight w:val="none"/>
        </w:rPr>
        <w:t>（二）政府采购支出情况</w:t>
      </w:r>
      <w:bookmarkEnd w:id="63"/>
      <w:bookmarkEnd w:id="64"/>
    </w:p>
    <w:p w14:paraId="2D24DA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阿坝州青少年校外教育活动中心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7</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7</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购买“三馆一中心”新场馆活动中心三楼教室办公区LED显示屏</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7</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7</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14:paraId="0667B3C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24"/>
      <w:bookmarkStart w:id="66" w:name="_Toc14268"/>
      <w:r>
        <w:rPr>
          <w:rFonts w:hint="eastAsia" w:ascii="Times New Roman" w:hAnsi="Times New Roman" w:eastAsia="楷体_GB2312" w:cs="楷体_GB2312"/>
          <w:b/>
          <w:color w:val="auto"/>
          <w:sz w:val="32"/>
          <w:szCs w:val="32"/>
          <w:highlight w:val="none"/>
        </w:rPr>
        <w:t>（三）国有资产占有使用情况</w:t>
      </w:r>
      <w:bookmarkEnd w:id="65"/>
      <w:bookmarkEnd w:id="66"/>
    </w:p>
    <w:p w14:paraId="2C5128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阿坝州青少年校外教育活动中心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6D27ED9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7" w:name="_Toc10259"/>
      <w:r>
        <w:rPr>
          <w:rFonts w:hint="eastAsia" w:ascii="Times New Roman" w:hAnsi="Times New Roman" w:eastAsia="楷体_GB2312" w:cs="楷体_GB2312"/>
          <w:b/>
          <w:color w:val="auto"/>
          <w:sz w:val="32"/>
          <w:szCs w:val="32"/>
          <w:highlight w:val="none"/>
        </w:rPr>
        <w:t>（四）预算绩效管理情况</w:t>
      </w:r>
      <w:bookmarkEnd w:id="67"/>
    </w:p>
    <w:p w14:paraId="0E58D1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根据预算绩效管理要求，</w:t>
      </w:r>
      <w:r>
        <w:rPr>
          <w:rFonts w:hint="eastAsia" w:ascii="仿宋_GB2312" w:hAnsi="仿宋_GB2312" w:eastAsia="仿宋_GB2312" w:cs="仿宋_GB2312"/>
          <w:sz w:val="32"/>
          <w:szCs w:val="32"/>
        </w:rPr>
        <w:t>组织对一般公共预算项目开展了预算事前绩效评估，对项目开展了绩效目标完成情况自评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2025年全面高效地实现了项目绩效目标，任务量和效果均超出规划，提高预算编制质量，严格执行预算，保障了中心日常活动正常运转。</w:t>
      </w:r>
      <w:r>
        <w:rPr>
          <w:rFonts w:hint="eastAsia" w:ascii="仿宋_GB2312" w:hAnsi="仿宋_GB2312" w:eastAsia="仿宋_GB2312" w:cs="仿宋_GB2312"/>
          <w:sz w:val="32"/>
          <w:szCs w:val="32"/>
        </w:rPr>
        <w:t>单位自行组织整体支出绩效自评，从评价情况来看单位重视内部管理制度建设及监督，对各项资金的管理、经费收支审批等均作了明确规定，正确组织资金的使用，债权债务及时结算，切实做好厉行节约，全面落实各项管理制度要求，努力降低行政成本。</w:t>
      </w:r>
      <w:r>
        <w:rPr>
          <w:rFonts w:hint="eastAsia" w:ascii="仿宋_GB2312" w:hAnsi="仿宋_GB2312" w:eastAsia="仿宋_GB2312" w:cs="仿宋_GB2312"/>
          <w:sz w:val="32"/>
          <w:szCs w:val="32"/>
          <w:lang w:val="en-US" w:eastAsia="zh-CN"/>
        </w:rPr>
        <w:t>总计自评得分90分。</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411B3452">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8" w:name="_Toc15396613"/>
      <w:bookmarkStart w:id="69" w:name="_Toc15377225"/>
      <w:bookmarkStart w:id="70" w:name="_Toc2602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8"/>
      <w:bookmarkEnd w:id="69"/>
      <w:bookmarkEnd w:id="70"/>
    </w:p>
    <w:p w14:paraId="59B7D24C">
      <w:pPr>
        <w:spacing w:line="600" w:lineRule="exact"/>
        <w:jc w:val="left"/>
        <w:rPr>
          <w:rFonts w:ascii="Times New Roman" w:hAnsi="Times New Roman"/>
          <w:b/>
          <w:color w:val="auto"/>
          <w:sz w:val="44"/>
          <w:szCs w:val="44"/>
          <w:highlight w:val="none"/>
        </w:rPr>
      </w:pPr>
    </w:p>
    <w:p w14:paraId="3BFE14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45A53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D0DC25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30C085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76BA25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5.使用非财政拨款结余（含专用结余）：指事业单位使用以前年度积累的非财政拨款</w:t>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 xml:space="preserve">结余弥补当年收支差额的金额。 </w:t>
      </w:r>
    </w:p>
    <w:p w14:paraId="67F4D1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2C0766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02FBB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B852304">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9.教育支出205（类）02（项）99其他普通教育支出：指用于其他普通教育方面的支出。</w:t>
      </w:r>
    </w:p>
    <w:p w14:paraId="659F7E27">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10.社会保障和就业208（类）05（款）05（项）机关事业单位基本养老保险缴费支出：指反映机关事业单位实施养老保险制度由单位缴纳的基本养老保险费支出。</w:t>
      </w:r>
    </w:p>
    <w:p w14:paraId="4EDDA53A">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11.社会保障和就业208（类）05（款）06（项）机关事业单位职业年金缴费支出：指反映机关事业单位实施养老保险制度由单位缴纳的职业年金支出。</w:t>
      </w:r>
    </w:p>
    <w:p w14:paraId="28878E96">
      <w:pPr>
        <w:pStyle w:val="28"/>
        <w:spacing w:line="560" w:lineRule="exact"/>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12.卫生健康支出210（类）行政事业单位医疗11（款）行政单位医疗02（项）:指财政部门集中安排的事业人员基本医疗保险缴费经费，未参加医疗保险的行政单位的公费医疗经费，按国家规定享受离休人员、红军老战士待遇人员的医疗经费。</w:t>
      </w:r>
    </w:p>
    <w:p w14:paraId="4E655885">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13.卫生健康支出210（类）行政事业单位医疗11（款）其他行政事业单位医疗支出99（项）：其他用于行政事业单位医疗方面的支出。</w:t>
      </w:r>
    </w:p>
    <w:p w14:paraId="401A9242">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14.住房保障（类）221（款）02（项）01：指反映行政事业单位按人力资源和社会保障部、财政部规定的基本工资和津贴补贴以及规定比例为职工缴纳的住房公积金。</w:t>
      </w:r>
    </w:p>
    <w:p w14:paraId="46874C4D">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15.基本支出：指为保障机构正常运转、完成日常工作任务而发生的人员支出和公用支出。</w:t>
      </w:r>
    </w:p>
    <w:p w14:paraId="3D28235F">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 xml:space="preserve">16.项目支出：指在基本支出之外为完成特定行政任务和事业发展目标所发生的支出。 </w:t>
      </w:r>
    </w:p>
    <w:p w14:paraId="56BABF6C">
      <w:pPr>
        <w:keepNext w:val="0"/>
        <w:keepLines w:val="0"/>
        <w:widowControl/>
        <w:suppressLineNumbers w:val="0"/>
        <w:ind w:firstLine="640" w:firstLineChars="200"/>
        <w:rPr>
          <w:rFonts w:hint="eastAsia" w:ascii="仿宋_GB2312"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510087C">
      <w:pPr>
        <w:keepNext w:val="0"/>
        <w:keepLines w:val="0"/>
        <w:widowControl/>
        <w:suppressLineNumbers w:val="0"/>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s="仿宋"/>
          <w:color w:val="auto"/>
          <w:kern w:val="0"/>
          <w:sz w:val="32"/>
          <w:szCs w:val="32"/>
          <w:lang w:val="en-US" w:eastAsia="zh-CN" w:bidi="ar-SA"/>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958A2E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48AA6CBA">
      <w:pPr>
        <w:spacing w:line="600" w:lineRule="exact"/>
        <w:jc w:val="center"/>
        <w:outlineLvl w:val="0"/>
        <w:rPr>
          <w:rStyle w:val="30"/>
          <w:rFonts w:hint="eastAsia" w:ascii="Times New Roman" w:hAnsi="Times New Roman" w:eastAsia="黑体"/>
          <w:b w:val="0"/>
          <w:color w:val="auto"/>
          <w:highlight w:val="none"/>
          <w:lang w:eastAsia="zh-CN"/>
        </w:rPr>
      </w:pPr>
      <w:bookmarkStart w:id="7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2" w:name="_Toc30875"/>
      <w:bookmarkStart w:id="73"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2"/>
      <w:bookmarkEnd w:id="73"/>
    </w:p>
    <w:p w14:paraId="45EBA58E">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ascii="Times New Roman" w:hAnsi="Times New Roman" w:eastAsia="黑体" w:cs="黑体"/>
          <w:color w:val="auto"/>
          <w:sz w:val="32"/>
          <w:szCs w:val="32"/>
          <w:highlight w:val="none"/>
          <w:lang w:val="en-US" w:eastAsia="zh-CN"/>
        </w:rPr>
      </w:pPr>
    </w:p>
    <w:p w14:paraId="78C65917">
      <w:pPr>
        <w:keepNext w:val="0"/>
        <w:keepLines w:val="0"/>
        <w:pageBreakBefore w:val="0"/>
        <w:widowControl/>
        <w:kinsoku/>
        <w:wordWrap/>
        <w:overflowPunct/>
        <w:topLinePunct w:val="0"/>
        <w:autoSpaceDE/>
        <w:autoSpaceDN/>
        <w:bidi w:val="0"/>
        <w:spacing w:line="578" w:lineRule="exact"/>
        <w:ind w:firstLine="1325" w:firstLineChars="300"/>
        <w:contextualSpacing/>
        <w:jc w:val="both"/>
        <w:textAlignment w:val="auto"/>
        <w:outlineLvl w:val="9"/>
        <w:rPr>
          <w:rFonts w:hint="default" w:ascii="Times New Roman" w:hAnsi="Times New Roman" w:eastAsia="宋体" w:cs="Times New Roman"/>
          <w:b/>
          <w:sz w:val="44"/>
          <w:szCs w:val="44"/>
          <w:highlight w:val="none"/>
          <w:shd w:val="clear" w:color="auto" w:fill="FFFFFF"/>
          <w:lang w:val="en-US" w:eastAsia="zh-CN"/>
        </w:rPr>
      </w:pPr>
      <w:r>
        <w:rPr>
          <w:rFonts w:hint="eastAsia" w:eastAsia="宋体" w:cs="Times New Roman"/>
          <w:b/>
          <w:sz w:val="44"/>
          <w:szCs w:val="44"/>
          <w:highlight w:val="none"/>
          <w:shd w:val="clear" w:color="auto" w:fill="FFFFFF"/>
          <w:lang w:val="en-US" w:eastAsia="zh-CN"/>
        </w:rPr>
        <w:t>阿坝州青少年校外教育活动中心</w:t>
      </w:r>
    </w:p>
    <w:p w14:paraId="0E8FC18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cs="Times New Roman"/>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42215696">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40D75E7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 w:val="32"/>
          <w:szCs w:val="32"/>
        </w:rPr>
      </w:pPr>
      <w:r>
        <w:rPr>
          <w:rFonts w:hint="eastAsia"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14045DF5">
      <w:pPr>
        <w:keepNext w:val="0"/>
        <w:keepLines w:val="0"/>
        <w:widowControl/>
        <w:suppressLineNumbers w:val="0"/>
        <w:ind w:firstLine="643"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b/>
          <w:bCs/>
          <w:color w:val="auto"/>
          <w:kern w:val="0"/>
          <w:sz w:val="32"/>
          <w:szCs w:val="32"/>
          <w:lang w:val="zh-CN" w:eastAsia="zh-CN" w:bidi="ar-SA"/>
        </w:rPr>
        <w:t>（一）</w:t>
      </w:r>
      <w:r>
        <w:rPr>
          <w:rFonts w:hint="default" w:ascii="仿宋_GB2312" w:hAnsi="Times New Roman" w:eastAsia="仿宋_GB2312" w:cs="仿宋"/>
          <w:b/>
          <w:bCs/>
          <w:color w:val="auto"/>
          <w:kern w:val="0"/>
          <w:sz w:val="32"/>
          <w:szCs w:val="32"/>
          <w:lang w:val="zh-CN" w:eastAsia="zh-CN" w:bidi="ar-SA"/>
        </w:rPr>
        <w:t>机构组成。</w:t>
      </w:r>
      <w:bookmarkStart w:id="74" w:name="OLE_LINK1"/>
      <w:r>
        <w:rPr>
          <w:rFonts w:hint="eastAsia" w:ascii="仿宋_GB2312" w:hAnsi="Times New Roman" w:eastAsia="仿宋_GB2312" w:cs="仿宋"/>
          <w:color w:val="auto"/>
          <w:kern w:val="0"/>
          <w:sz w:val="32"/>
          <w:szCs w:val="32"/>
          <w:lang w:val="en-US" w:eastAsia="zh-CN" w:bidi="ar-SA"/>
        </w:rPr>
        <w:t>阿坝州青少年校外教育活动中心</w:t>
      </w:r>
      <w:bookmarkEnd w:id="74"/>
      <w:r>
        <w:rPr>
          <w:rFonts w:hint="eastAsia" w:ascii="仿宋_GB2312" w:hAnsi="Times New Roman" w:eastAsia="仿宋_GB2312" w:cs="仿宋"/>
          <w:color w:val="auto"/>
          <w:kern w:val="0"/>
          <w:sz w:val="32"/>
          <w:szCs w:val="32"/>
          <w:lang w:val="en-US" w:eastAsia="zh-CN" w:bidi="ar-SA"/>
        </w:rPr>
        <w:t>属州教育局下设二级预算单位。</w:t>
      </w:r>
    </w:p>
    <w:p w14:paraId="59F3EB25">
      <w:pPr>
        <w:keepNext w:val="0"/>
        <w:keepLines w:val="0"/>
        <w:widowControl/>
        <w:suppressLineNumbers w:val="0"/>
        <w:ind w:firstLine="643" w:firstLineChars="200"/>
        <w:rPr>
          <w:rFonts w:hint="default" w:ascii="仿宋_GB2312" w:hAnsi="Times New Roman" w:eastAsia="仿宋_GB2312" w:cs="仿宋"/>
          <w:color w:val="auto"/>
          <w:kern w:val="0"/>
          <w:sz w:val="32"/>
          <w:szCs w:val="32"/>
          <w:lang w:val="zh-CN" w:eastAsia="zh-CN" w:bidi="ar-SA"/>
        </w:rPr>
      </w:pPr>
      <w:r>
        <w:rPr>
          <w:rFonts w:hint="default" w:ascii="仿宋_GB2312" w:hAnsi="Times New Roman" w:eastAsia="仿宋_GB2312" w:cs="仿宋"/>
          <w:b/>
          <w:bCs/>
          <w:color w:val="auto"/>
          <w:kern w:val="0"/>
          <w:sz w:val="32"/>
          <w:szCs w:val="32"/>
          <w:lang w:val="zh-CN" w:eastAsia="zh-CN" w:bidi="ar-SA"/>
        </w:rPr>
        <w:t>（二）机构职能</w:t>
      </w:r>
      <w:r>
        <w:rPr>
          <w:rFonts w:hint="eastAsia" w:ascii="仿宋_GB2312" w:hAnsi="Times New Roman" w:eastAsia="仿宋_GB2312" w:cs="仿宋"/>
          <w:b/>
          <w:bCs/>
          <w:color w:val="auto"/>
          <w:kern w:val="0"/>
          <w:sz w:val="32"/>
          <w:szCs w:val="32"/>
          <w:lang w:val="zh-CN" w:eastAsia="zh-CN" w:bidi="ar-SA"/>
        </w:rPr>
        <w:t>。</w:t>
      </w:r>
      <w:r>
        <w:rPr>
          <w:rFonts w:hint="eastAsia" w:ascii="仿宋_GB2312" w:hAnsi="Times New Roman" w:eastAsia="仿宋_GB2312" w:cs="仿宋"/>
          <w:color w:val="auto"/>
          <w:kern w:val="0"/>
          <w:sz w:val="32"/>
          <w:szCs w:val="32"/>
          <w:lang w:val="zh-CN" w:eastAsia="zh-CN" w:bidi="ar-SA"/>
        </w:rPr>
        <w:t>根据阿编发（2003）89号文件规定，主要职责是：</w:t>
      </w:r>
      <w:r>
        <w:rPr>
          <w:rFonts w:hint="eastAsia" w:ascii="仿宋_GB2312" w:hAnsi="Times New Roman" w:eastAsia="仿宋_GB2312" w:cs="仿宋"/>
          <w:color w:val="auto"/>
          <w:kern w:val="0"/>
          <w:sz w:val="32"/>
          <w:szCs w:val="32"/>
          <w:lang w:val="en-US" w:eastAsia="zh-CN" w:bidi="ar-SA"/>
        </w:rPr>
        <w:t>对广大少年儿童进行校外兴趣特长培训，丰富学生课余生活，使其学到课本以外的知识，增长见识，扩大视野。</w:t>
      </w:r>
    </w:p>
    <w:p w14:paraId="2CE1CF69">
      <w:pPr>
        <w:keepNext w:val="0"/>
        <w:keepLines w:val="0"/>
        <w:widowControl/>
        <w:suppressLineNumbers w:val="0"/>
        <w:ind w:firstLine="643" w:firstLineChars="200"/>
        <w:rPr>
          <w:rFonts w:hint="default" w:ascii="仿宋_GB2312" w:hAnsi="Times New Roman" w:eastAsia="仿宋_GB2312" w:cs="仿宋"/>
          <w:color w:val="auto"/>
          <w:kern w:val="0"/>
          <w:sz w:val="32"/>
          <w:szCs w:val="32"/>
          <w:lang w:val="en-US" w:eastAsia="zh-CN" w:bidi="ar-SA"/>
        </w:rPr>
      </w:pPr>
      <w:r>
        <w:rPr>
          <w:rFonts w:hint="default" w:ascii="仿宋_GB2312" w:hAnsi="Times New Roman" w:eastAsia="仿宋_GB2312" w:cs="仿宋"/>
          <w:b/>
          <w:bCs/>
          <w:color w:val="auto"/>
          <w:kern w:val="0"/>
          <w:sz w:val="32"/>
          <w:szCs w:val="32"/>
          <w:lang w:val="zh-CN" w:eastAsia="zh-CN" w:bidi="ar-SA"/>
        </w:rPr>
        <w:t>（</w:t>
      </w:r>
      <w:r>
        <w:rPr>
          <w:rFonts w:hint="eastAsia" w:ascii="仿宋_GB2312" w:hAnsi="Times New Roman" w:eastAsia="仿宋_GB2312" w:cs="仿宋"/>
          <w:b/>
          <w:bCs/>
          <w:color w:val="auto"/>
          <w:kern w:val="0"/>
          <w:sz w:val="32"/>
          <w:szCs w:val="32"/>
          <w:lang w:val="zh-CN" w:eastAsia="zh-CN" w:bidi="ar-SA"/>
        </w:rPr>
        <w:t>三</w:t>
      </w:r>
      <w:r>
        <w:rPr>
          <w:rFonts w:hint="default" w:ascii="仿宋_GB2312" w:hAnsi="Times New Roman" w:eastAsia="仿宋_GB2312" w:cs="仿宋"/>
          <w:b/>
          <w:bCs/>
          <w:color w:val="auto"/>
          <w:kern w:val="0"/>
          <w:sz w:val="32"/>
          <w:szCs w:val="32"/>
          <w:lang w:val="zh-CN" w:eastAsia="zh-CN" w:bidi="ar-SA"/>
        </w:rPr>
        <w:t>）人员概况</w:t>
      </w:r>
      <w:r>
        <w:rPr>
          <w:rFonts w:hint="eastAsia" w:ascii="仿宋_GB2312" w:hAnsi="Times New Roman" w:eastAsia="仿宋_GB2312" w:cs="仿宋"/>
          <w:b/>
          <w:bCs/>
          <w:color w:val="auto"/>
          <w:kern w:val="0"/>
          <w:sz w:val="32"/>
          <w:szCs w:val="32"/>
          <w:lang w:val="zh-CN" w:eastAsia="zh-CN" w:bidi="ar-SA"/>
        </w:rPr>
        <w:t>。</w:t>
      </w:r>
      <w:r>
        <w:rPr>
          <w:rFonts w:hint="default" w:ascii="仿宋_GB2312" w:hAnsi="Times New Roman" w:eastAsia="仿宋_GB2312" w:cs="仿宋"/>
          <w:color w:val="auto"/>
          <w:kern w:val="0"/>
          <w:sz w:val="32"/>
          <w:szCs w:val="32"/>
          <w:lang w:val="en-US" w:eastAsia="zh-CN" w:bidi="ar-SA"/>
        </w:rPr>
        <w:t>截至202</w:t>
      </w:r>
      <w:r>
        <w:rPr>
          <w:rFonts w:hint="eastAsia" w:ascii="仿宋_GB2312" w:hAnsi="Times New Roman" w:eastAsia="仿宋_GB2312" w:cs="仿宋"/>
          <w:color w:val="auto"/>
          <w:kern w:val="0"/>
          <w:sz w:val="32"/>
          <w:szCs w:val="32"/>
          <w:lang w:val="en-US" w:eastAsia="zh-CN" w:bidi="ar-SA"/>
        </w:rPr>
        <w:t>5</w:t>
      </w:r>
      <w:r>
        <w:rPr>
          <w:rFonts w:hint="default" w:ascii="仿宋_GB2312" w:hAnsi="Times New Roman" w:eastAsia="仿宋_GB2312" w:cs="仿宋"/>
          <w:color w:val="auto"/>
          <w:kern w:val="0"/>
          <w:sz w:val="32"/>
          <w:szCs w:val="32"/>
          <w:lang w:val="en-US" w:eastAsia="zh-CN" w:bidi="ar-SA"/>
        </w:rPr>
        <w:t>年末，</w:t>
      </w:r>
      <w:r>
        <w:rPr>
          <w:rFonts w:hint="eastAsia" w:ascii="仿宋_GB2312" w:hAnsi="Times New Roman" w:eastAsia="仿宋_GB2312" w:cs="仿宋"/>
          <w:color w:val="auto"/>
          <w:kern w:val="0"/>
          <w:sz w:val="32"/>
          <w:szCs w:val="32"/>
          <w:lang w:val="en-US" w:eastAsia="zh-CN" w:bidi="ar-SA"/>
        </w:rPr>
        <w:t>人员</w:t>
      </w:r>
      <w:r>
        <w:rPr>
          <w:rFonts w:hint="eastAsia" w:ascii="仿宋_GB2312" w:hAnsi="Times New Roman" w:eastAsia="仿宋_GB2312" w:cs="仿宋"/>
          <w:color w:val="auto"/>
          <w:kern w:val="0"/>
          <w:sz w:val="32"/>
          <w:szCs w:val="32"/>
          <w:lang w:val="zh-CN" w:eastAsia="zh-CN" w:bidi="ar-SA"/>
        </w:rPr>
        <w:t>总编制</w:t>
      </w:r>
      <w:r>
        <w:rPr>
          <w:rFonts w:hint="eastAsia" w:ascii="仿宋_GB2312" w:hAnsi="Times New Roman" w:eastAsia="仿宋_GB2312" w:cs="仿宋"/>
          <w:color w:val="auto"/>
          <w:kern w:val="0"/>
          <w:sz w:val="32"/>
          <w:szCs w:val="32"/>
          <w:lang w:val="en-US" w:eastAsia="zh-CN" w:bidi="ar-SA"/>
        </w:rPr>
        <w:t>数</w:t>
      </w:r>
      <w:r>
        <w:rPr>
          <w:rFonts w:hint="eastAsia" w:ascii="仿宋_GB2312" w:hAnsi="Times New Roman" w:eastAsia="仿宋_GB2312" w:cs="仿宋"/>
          <w:color w:val="auto"/>
          <w:kern w:val="0"/>
          <w:sz w:val="32"/>
          <w:szCs w:val="32"/>
          <w:lang w:val="zh-CN" w:eastAsia="zh-CN" w:bidi="ar-SA"/>
        </w:rPr>
        <w:t xml:space="preserve"> 7 名，其中：事业编制 </w:t>
      </w:r>
      <w:r>
        <w:rPr>
          <w:rFonts w:hint="eastAsia" w:ascii="仿宋_GB2312" w:hAnsi="Times New Roman" w:eastAsia="仿宋_GB2312" w:cs="仿宋"/>
          <w:color w:val="auto"/>
          <w:kern w:val="0"/>
          <w:sz w:val="32"/>
          <w:szCs w:val="32"/>
          <w:lang w:val="en-US" w:eastAsia="zh-CN" w:bidi="ar-SA"/>
        </w:rPr>
        <w:t>7</w:t>
      </w:r>
      <w:r>
        <w:rPr>
          <w:rFonts w:hint="eastAsia" w:ascii="仿宋_GB2312" w:hAnsi="Times New Roman" w:eastAsia="仿宋_GB2312" w:cs="仿宋"/>
          <w:color w:val="auto"/>
          <w:kern w:val="0"/>
          <w:sz w:val="32"/>
          <w:szCs w:val="32"/>
          <w:lang w:val="zh-CN" w:eastAsia="zh-CN" w:bidi="ar-SA"/>
        </w:rPr>
        <w:t xml:space="preserve">名，在职人员总数 </w:t>
      </w:r>
      <w:r>
        <w:rPr>
          <w:rFonts w:hint="eastAsia" w:ascii="仿宋_GB2312" w:hAnsi="Times New Roman" w:eastAsia="仿宋_GB2312" w:cs="仿宋"/>
          <w:color w:val="auto"/>
          <w:kern w:val="0"/>
          <w:sz w:val="32"/>
          <w:szCs w:val="32"/>
          <w:lang w:val="en-US" w:eastAsia="zh-CN" w:bidi="ar-SA"/>
        </w:rPr>
        <w:t>6</w:t>
      </w:r>
      <w:r>
        <w:rPr>
          <w:rFonts w:hint="eastAsia" w:ascii="仿宋_GB2312" w:hAnsi="Times New Roman" w:eastAsia="仿宋_GB2312" w:cs="仿宋"/>
          <w:color w:val="auto"/>
          <w:kern w:val="0"/>
          <w:sz w:val="32"/>
          <w:szCs w:val="32"/>
          <w:lang w:val="zh-CN" w:eastAsia="zh-CN" w:bidi="ar-SA"/>
        </w:rPr>
        <w:t xml:space="preserve">名，退休人员 </w:t>
      </w:r>
      <w:r>
        <w:rPr>
          <w:rFonts w:hint="eastAsia" w:ascii="仿宋_GB2312" w:hAnsi="Times New Roman" w:eastAsia="仿宋_GB2312" w:cs="仿宋"/>
          <w:color w:val="auto"/>
          <w:kern w:val="0"/>
          <w:sz w:val="32"/>
          <w:szCs w:val="32"/>
          <w:lang w:val="en-US" w:eastAsia="zh-CN" w:bidi="ar-SA"/>
        </w:rPr>
        <w:t>1</w:t>
      </w:r>
      <w:r>
        <w:rPr>
          <w:rFonts w:hint="eastAsia" w:ascii="仿宋_GB2312" w:hAnsi="Times New Roman" w:eastAsia="仿宋_GB2312" w:cs="仿宋"/>
          <w:color w:val="auto"/>
          <w:kern w:val="0"/>
          <w:sz w:val="32"/>
          <w:szCs w:val="32"/>
          <w:lang w:val="zh-CN" w:eastAsia="zh-CN" w:bidi="ar-SA"/>
        </w:rPr>
        <w:t xml:space="preserve"> 名。</w:t>
      </w:r>
    </w:p>
    <w:p w14:paraId="28E09A6F">
      <w:pPr>
        <w:keepNext w:val="0"/>
        <w:keepLines w:val="0"/>
        <w:widowControl/>
        <w:suppressLineNumbers w:val="0"/>
        <w:ind w:firstLine="640" w:firstLineChars="200"/>
        <w:rPr>
          <w:rFonts w:hint="eastAsia" w:ascii="黑体" w:hAnsi="黑体" w:eastAsia="黑体" w:cs="黑体"/>
          <w:color w:val="auto"/>
          <w:kern w:val="0"/>
          <w:sz w:val="32"/>
          <w:szCs w:val="32"/>
          <w:lang w:val="en-US" w:eastAsia="zh-CN" w:bidi="ar-SA"/>
        </w:rPr>
      </w:pPr>
      <w:r>
        <w:rPr>
          <w:rFonts w:hint="eastAsia" w:ascii="黑体" w:hAnsi="黑体" w:eastAsia="黑体" w:cs="黑体"/>
          <w:color w:val="auto"/>
          <w:kern w:val="0"/>
          <w:sz w:val="32"/>
          <w:szCs w:val="32"/>
          <w:lang w:val="en-US" w:eastAsia="zh-CN" w:bidi="ar-SA"/>
        </w:rPr>
        <w:t>二、部门资金收支情况</w:t>
      </w:r>
    </w:p>
    <w:p w14:paraId="6FACD365">
      <w:pPr>
        <w:keepNext w:val="0"/>
        <w:keepLines w:val="0"/>
        <w:widowControl/>
        <w:suppressLineNumbers w:val="0"/>
        <w:ind w:firstLine="643" w:firstLineChars="200"/>
        <w:rPr>
          <w:rFonts w:hint="default" w:ascii="仿宋_GB2312" w:hAnsi="Times New Roman" w:eastAsia="仿宋_GB2312" w:cs="仿宋"/>
          <w:color w:val="auto"/>
          <w:kern w:val="0"/>
          <w:sz w:val="32"/>
          <w:szCs w:val="32"/>
          <w:lang w:val="en-US" w:eastAsia="zh-Hans" w:bidi="ar-SA"/>
        </w:rPr>
      </w:pPr>
      <w:r>
        <w:rPr>
          <w:rFonts w:hint="default" w:ascii="仿宋_GB2312" w:hAnsi="Times New Roman" w:eastAsia="仿宋_GB2312" w:cs="仿宋"/>
          <w:b/>
          <w:bCs/>
          <w:color w:val="auto"/>
          <w:kern w:val="0"/>
          <w:sz w:val="32"/>
          <w:szCs w:val="32"/>
          <w:lang w:val="zh-CN" w:eastAsia="zh-CN" w:bidi="ar-SA"/>
        </w:rPr>
        <w:t>（一）</w:t>
      </w:r>
      <w:r>
        <w:rPr>
          <w:rFonts w:hint="eastAsia" w:ascii="仿宋_GB2312" w:hAnsi="Times New Roman" w:eastAsia="仿宋_GB2312" w:cs="仿宋"/>
          <w:b/>
          <w:bCs/>
          <w:color w:val="auto"/>
          <w:kern w:val="0"/>
          <w:sz w:val="32"/>
          <w:szCs w:val="32"/>
          <w:lang w:val="zh-CN" w:eastAsia="zh-CN" w:bidi="ar-SA"/>
        </w:rPr>
        <w:t>收入情况</w:t>
      </w:r>
      <w:r>
        <w:rPr>
          <w:rFonts w:hint="default" w:ascii="仿宋_GB2312" w:hAnsi="Times New Roman" w:eastAsia="仿宋_GB2312" w:cs="仿宋"/>
          <w:b/>
          <w:bCs/>
          <w:color w:val="auto"/>
          <w:kern w:val="0"/>
          <w:sz w:val="32"/>
          <w:szCs w:val="32"/>
          <w:lang w:val="zh-CN" w:eastAsia="zh-CN" w:bidi="ar-SA"/>
        </w:rPr>
        <w:t>。</w:t>
      </w:r>
      <w:bookmarkStart w:id="75" w:name="OLE_LINK2"/>
      <w:r>
        <w:rPr>
          <w:rFonts w:hint="eastAsia" w:ascii="仿宋_GB2312" w:hAnsi="Times New Roman" w:eastAsia="仿宋_GB2312" w:cs="仿宋"/>
          <w:color w:val="auto"/>
          <w:kern w:val="0"/>
          <w:sz w:val="32"/>
          <w:szCs w:val="32"/>
          <w:lang w:val="en-US" w:eastAsia="zh-CN" w:bidi="ar-SA"/>
        </w:rPr>
        <w:t>阿坝州青少年校外教育活动中心</w:t>
      </w:r>
      <w:bookmarkEnd w:id="75"/>
      <w:r>
        <w:rPr>
          <w:rFonts w:hint="eastAsia" w:ascii="仿宋_GB2312" w:hAnsi="Times New Roman" w:eastAsia="仿宋_GB2312" w:cs="仿宋"/>
          <w:color w:val="auto"/>
          <w:kern w:val="0"/>
          <w:sz w:val="32"/>
          <w:szCs w:val="32"/>
          <w:lang w:val="en-US" w:eastAsia="zh-CN" w:bidi="ar-SA"/>
        </w:rPr>
        <w:t>2025年年初预算收入数为</w:t>
      </w:r>
      <w:r>
        <w:rPr>
          <w:rFonts w:hint="eastAsia" w:ascii="仿宋_GB2312" w:hAnsi="Times New Roman" w:eastAsia="仿宋_GB2312" w:cs="仿宋"/>
          <w:color w:val="auto"/>
          <w:kern w:val="0"/>
          <w:sz w:val="32"/>
          <w:szCs w:val="32"/>
          <w:lang w:val="en-US" w:eastAsia="zh-Hans" w:bidi="ar-SA"/>
        </w:rPr>
        <w:t>295.80</w:t>
      </w:r>
      <w:r>
        <w:rPr>
          <w:rFonts w:hint="eastAsia" w:ascii="仿宋_GB2312" w:hAnsi="Times New Roman" w:eastAsia="仿宋_GB2312" w:cs="仿宋"/>
          <w:color w:val="auto"/>
          <w:kern w:val="0"/>
          <w:sz w:val="32"/>
          <w:szCs w:val="32"/>
          <w:lang w:val="en-US" w:eastAsia="zh-CN" w:bidi="ar-SA"/>
        </w:rPr>
        <w:t>万元均为</w:t>
      </w:r>
      <w:bookmarkStart w:id="76" w:name="OLE_LINK3"/>
      <w:r>
        <w:rPr>
          <w:rFonts w:hint="eastAsia" w:ascii="仿宋_GB2312" w:hAnsi="Times New Roman" w:eastAsia="仿宋_GB2312" w:cs="仿宋"/>
          <w:color w:val="auto"/>
          <w:kern w:val="0"/>
          <w:sz w:val="32"/>
          <w:szCs w:val="32"/>
          <w:lang w:val="en-US" w:eastAsia="zh-CN" w:bidi="ar-SA"/>
        </w:rPr>
        <w:t>一般公共预算财政拨款</w:t>
      </w:r>
      <w:bookmarkEnd w:id="76"/>
      <w:r>
        <w:rPr>
          <w:rFonts w:hint="eastAsia" w:ascii="仿宋_GB2312" w:hAnsi="Times New Roman" w:eastAsia="仿宋_GB2312" w:cs="仿宋"/>
          <w:color w:val="auto"/>
          <w:kern w:val="0"/>
          <w:sz w:val="32"/>
          <w:szCs w:val="32"/>
          <w:lang w:val="en-US" w:eastAsia="zh-CN" w:bidi="ar-SA"/>
        </w:rPr>
        <w:t>收入。决算报表全年预算收入数为461.63万元，其中一般公共预算财政拨款收入数为455.82万元，其他收入数为5.81万元。年末其他资金结转结余数为13.74万元。</w:t>
      </w:r>
    </w:p>
    <w:p w14:paraId="5CFB9523">
      <w:pPr>
        <w:keepNext w:val="0"/>
        <w:keepLines w:val="0"/>
        <w:pageBreakBefore w:val="0"/>
        <w:numPr>
          <w:ilvl w:val="0"/>
          <w:numId w:val="0"/>
        </w:numPr>
        <w:kinsoku/>
        <w:wordWrap/>
        <w:overflowPunct/>
        <w:autoSpaceDE/>
        <w:autoSpaceDN/>
        <w:bidi w:val="0"/>
        <w:snapToGrid w:val="0"/>
        <w:spacing w:line="560" w:lineRule="exact"/>
        <w:ind w:firstLine="643" w:firstLineChars="200"/>
        <w:textAlignment w:val="auto"/>
        <w:rPr>
          <w:rFonts w:hint="eastAsia" w:ascii="仿宋_GB2312" w:hAnsi="Times New Roman" w:eastAsia="仿宋_GB2312" w:cs="仿宋"/>
          <w:color w:val="auto"/>
          <w:kern w:val="0"/>
          <w:sz w:val="32"/>
          <w:szCs w:val="32"/>
          <w:lang w:val="en-US" w:eastAsia="zh-CN" w:bidi="ar-SA"/>
        </w:rPr>
      </w:pPr>
      <w:r>
        <w:rPr>
          <w:rFonts w:hint="default" w:ascii="Times New Roman" w:hAnsi="Times New Roman" w:eastAsia="楷体_GB2312" w:cs="Times New Roman"/>
          <w:b/>
          <w:bCs/>
          <w:snapToGrid/>
          <w:color w:val="000000"/>
          <w:spacing w:val="0"/>
          <w:w w:val="100"/>
          <w:kern w:val="0"/>
          <w:position w:val="0"/>
          <w:sz w:val="32"/>
          <w:szCs w:val="32"/>
          <w:highlight w:val="none"/>
          <w:u w:val="none"/>
          <w:shd w:val="clear" w:color="auto" w:fill="FFFFFF"/>
          <w:vertAlign w:val="baseline"/>
          <w:lang w:val="zh-CN" w:eastAsia="zh-CN" w:bidi="ar-SA"/>
        </w:rPr>
        <w:t>（</w:t>
      </w:r>
      <w:r>
        <w:rPr>
          <w:rFonts w:hint="eastAsia" w:ascii="Times New Roman" w:hAnsi="Times New Roman" w:eastAsia="楷体_GB2312" w:cs="Times New Roman"/>
          <w:b/>
          <w:bCs/>
          <w:snapToGrid/>
          <w:color w:val="000000"/>
          <w:spacing w:val="0"/>
          <w:w w:val="100"/>
          <w:kern w:val="0"/>
          <w:position w:val="0"/>
          <w:sz w:val="32"/>
          <w:szCs w:val="32"/>
          <w:highlight w:val="none"/>
          <w:u w:val="none"/>
          <w:shd w:val="clear" w:color="auto" w:fill="FFFFFF"/>
          <w:vertAlign w:val="baseline"/>
          <w:lang w:val="zh-CN" w:eastAsia="zh-CN" w:bidi="ar-SA"/>
        </w:rPr>
        <w:t>二</w:t>
      </w:r>
      <w:r>
        <w:rPr>
          <w:rFonts w:hint="default" w:ascii="Times New Roman" w:hAnsi="Times New Roman" w:eastAsia="楷体_GB2312" w:cs="Times New Roman"/>
          <w:b/>
          <w:bCs/>
          <w:snapToGrid/>
          <w:color w:val="000000"/>
          <w:spacing w:val="0"/>
          <w:w w:val="100"/>
          <w:kern w:val="0"/>
          <w:position w:val="0"/>
          <w:sz w:val="32"/>
          <w:szCs w:val="32"/>
          <w:highlight w:val="none"/>
          <w:u w:val="none"/>
          <w:shd w:val="clear" w:color="auto" w:fill="FFFFFF"/>
          <w:vertAlign w:val="baseline"/>
          <w:lang w:val="zh-CN" w:eastAsia="zh-CN" w:bidi="ar-SA"/>
        </w:rPr>
        <w:t>）</w:t>
      </w:r>
      <w:r>
        <w:rPr>
          <w:rFonts w:hint="eastAsia" w:ascii="Times New Roman" w:hAnsi="Times New Roman" w:eastAsia="楷体_GB2312" w:cs="Times New Roman"/>
          <w:b/>
          <w:bCs/>
          <w:snapToGrid/>
          <w:color w:val="000000"/>
          <w:spacing w:val="0"/>
          <w:w w:val="100"/>
          <w:kern w:val="0"/>
          <w:position w:val="0"/>
          <w:sz w:val="32"/>
          <w:szCs w:val="32"/>
          <w:highlight w:val="none"/>
          <w:u w:val="none"/>
          <w:shd w:val="clear" w:color="auto" w:fill="FFFFFF"/>
          <w:vertAlign w:val="baseline"/>
          <w:lang w:val="zh-CN" w:eastAsia="zh-CN" w:bidi="ar-SA"/>
        </w:rPr>
        <w:t>支出情况</w:t>
      </w:r>
      <w:r>
        <w:rPr>
          <w:rFonts w:hint="default" w:ascii="Times New Roman" w:hAnsi="Times New Roman" w:eastAsia="楷体_GB2312" w:cs="Times New Roman"/>
          <w:b/>
          <w:bCs/>
          <w:color w:val="000000"/>
          <w:kern w:val="0"/>
          <w:szCs w:val="32"/>
          <w:highlight w:val="none"/>
          <w:shd w:val="clear" w:color="auto" w:fill="FFFFFF"/>
          <w:lang w:val="zh-CN"/>
        </w:rPr>
        <w:t>。</w:t>
      </w:r>
      <w:bookmarkStart w:id="77" w:name="OLE_LINK7"/>
      <w:r>
        <w:rPr>
          <w:rFonts w:hint="eastAsia" w:ascii="仿宋_GB2312" w:hAnsi="Times New Roman" w:eastAsia="仿宋_GB2312" w:cs="仿宋"/>
          <w:color w:val="auto"/>
          <w:kern w:val="0"/>
          <w:sz w:val="32"/>
          <w:szCs w:val="32"/>
          <w:lang w:val="en-US" w:eastAsia="zh-CN" w:bidi="ar-SA"/>
        </w:rPr>
        <w:t>阿坝州青少年校外教育活动中心</w:t>
      </w:r>
      <w:bookmarkEnd w:id="77"/>
      <w:r>
        <w:rPr>
          <w:rFonts w:hint="eastAsia" w:ascii="仿宋_GB2312" w:hAnsi="Times New Roman" w:eastAsia="仿宋_GB2312" w:cs="仿宋"/>
          <w:color w:val="auto"/>
          <w:kern w:val="0"/>
          <w:sz w:val="32"/>
          <w:szCs w:val="32"/>
          <w:lang w:val="en-US" w:eastAsia="zh-CN" w:bidi="ar-SA"/>
        </w:rPr>
        <w:t>2025年年初预算支出数为</w:t>
      </w:r>
      <w:r>
        <w:rPr>
          <w:rFonts w:hint="eastAsia" w:ascii="仿宋_GB2312" w:hAnsi="Times New Roman" w:eastAsia="仿宋_GB2312" w:cs="仿宋"/>
          <w:color w:val="auto"/>
          <w:kern w:val="0"/>
          <w:sz w:val="32"/>
          <w:szCs w:val="32"/>
          <w:lang w:val="en-US" w:eastAsia="zh-Hans" w:bidi="ar-SA"/>
        </w:rPr>
        <w:t>295.80万元</w:t>
      </w:r>
      <w:r>
        <w:rPr>
          <w:rFonts w:hint="eastAsia" w:ascii="仿宋_GB2312" w:hAnsi="Times New Roman" w:eastAsia="仿宋_GB2312" w:cs="仿宋"/>
          <w:color w:val="auto"/>
          <w:kern w:val="0"/>
          <w:sz w:val="32"/>
          <w:szCs w:val="32"/>
          <w:lang w:val="en-US" w:eastAsia="zh-CN" w:bidi="ar-SA"/>
        </w:rPr>
        <w:t>均为</w:t>
      </w:r>
      <w:bookmarkStart w:id="78" w:name="OLE_LINK17"/>
      <w:r>
        <w:rPr>
          <w:rFonts w:hint="eastAsia" w:ascii="仿宋_GB2312" w:hAnsi="Times New Roman" w:eastAsia="仿宋_GB2312" w:cs="仿宋"/>
          <w:color w:val="auto"/>
          <w:kern w:val="0"/>
          <w:sz w:val="32"/>
          <w:szCs w:val="32"/>
          <w:lang w:val="en-US" w:eastAsia="zh-CN" w:bidi="ar-SA"/>
        </w:rPr>
        <w:t>一般公共预算财政拨款</w:t>
      </w:r>
      <w:bookmarkEnd w:id="78"/>
      <w:r>
        <w:rPr>
          <w:rFonts w:hint="eastAsia" w:ascii="仿宋_GB2312" w:hAnsi="Times New Roman" w:eastAsia="仿宋_GB2312" w:cs="仿宋"/>
          <w:color w:val="auto"/>
          <w:kern w:val="0"/>
          <w:sz w:val="32"/>
          <w:szCs w:val="32"/>
          <w:lang w:val="en-US" w:eastAsia="zh-CN" w:bidi="ar-SA"/>
        </w:rPr>
        <w:t>支出，决算报表全年预算支出数475.37万元。决算报表全年</w:t>
      </w:r>
      <w:r>
        <w:rPr>
          <w:rFonts w:hint="eastAsia" w:ascii="仿宋_GB2312" w:hAnsi="Times New Roman" w:eastAsia="仿宋_GB2312" w:cs="仿宋"/>
          <w:color w:val="auto"/>
          <w:kern w:val="0"/>
          <w:sz w:val="32"/>
          <w:szCs w:val="32"/>
          <w:lang w:val="en-US" w:eastAsia="zh-Hans" w:bidi="ar-SA"/>
        </w:rPr>
        <w:t>支出决算数为</w:t>
      </w:r>
      <w:r>
        <w:rPr>
          <w:rFonts w:hint="eastAsia" w:ascii="仿宋_GB2312" w:hAnsi="Times New Roman" w:eastAsia="仿宋_GB2312" w:cs="仿宋"/>
          <w:color w:val="auto"/>
          <w:kern w:val="0"/>
          <w:sz w:val="32"/>
          <w:szCs w:val="32"/>
          <w:lang w:val="en-US" w:eastAsia="zh-CN" w:bidi="ar-SA"/>
        </w:rPr>
        <w:t>470.49</w:t>
      </w:r>
      <w:r>
        <w:rPr>
          <w:rFonts w:hint="eastAsia" w:ascii="仿宋_GB2312" w:hAnsi="Times New Roman" w:eastAsia="仿宋_GB2312" w:cs="仿宋"/>
          <w:color w:val="auto"/>
          <w:kern w:val="0"/>
          <w:sz w:val="32"/>
          <w:szCs w:val="32"/>
          <w:lang w:val="en-US" w:eastAsia="zh-Hans" w:bidi="ar-SA"/>
        </w:rPr>
        <w:t>万元，预算完成度</w:t>
      </w:r>
      <w:r>
        <w:rPr>
          <w:rFonts w:hint="eastAsia" w:ascii="仿宋_GB2312" w:hAnsi="Times New Roman" w:eastAsia="仿宋_GB2312" w:cs="仿宋"/>
          <w:color w:val="auto"/>
          <w:kern w:val="0"/>
          <w:sz w:val="32"/>
          <w:szCs w:val="32"/>
          <w:lang w:val="en-US" w:eastAsia="zh-CN" w:bidi="ar-SA"/>
        </w:rPr>
        <w:t>98.97</w:t>
      </w:r>
      <w:r>
        <w:rPr>
          <w:rFonts w:hint="eastAsia" w:ascii="仿宋_GB2312" w:hAnsi="Times New Roman" w:eastAsia="仿宋_GB2312" w:cs="仿宋"/>
          <w:color w:val="auto"/>
          <w:kern w:val="0"/>
          <w:sz w:val="32"/>
          <w:szCs w:val="32"/>
          <w:lang w:val="en-US" w:eastAsia="zh-Hans" w:bidi="ar-SA"/>
        </w:rPr>
        <w:t>%</w:t>
      </w:r>
      <w:r>
        <w:rPr>
          <w:rFonts w:hint="eastAsia" w:ascii="仿宋_GB2312" w:hAnsi="Times New Roman" w:eastAsia="仿宋_GB2312" w:cs="仿宋"/>
          <w:color w:val="auto"/>
          <w:kern w:val="0"/>
          <w:sz w:val="32"/>
          <w:szCs w:val="32"/>
          <w:lang w:val="en-US" w:eastAsia="zh-CN" w:bidi="ar-SA"/>
        </w:rPr>
        <w:t>，存在差异的主要原因为本年度非财政拨款结转结余，“暖冬相伴乐学成长”“爱心蜀托”“四川12355.为青春护航”主题活动寒假托管活动支持费4.88万元尚未支付</w:t>
      </w:r>
      <w:bookmarkStart w:id="79" w:name="OLE_LINK6"/>
      <w:bookmarkStart w:id="80" w:name="OLE_LINK5"/>
      <w:r>
        <w:rPr>
          <w:rFonts w:hint="eastAsia" w:ascii="仿宋_GB2312" w:hAnsi="Times New Roman" w:eastAsia="仿宋_GB2312" w:cs="仿宋"/>
          <w:color w:val="auto"/>
          <w:kern w:val="0"/>
          <w:sz w:val="32"/>
          <w:szCs w:val="32"/>
          <w:lang w:val="en-US" w:eastAsia="zh-CN" w:bidi="ar-SA"/>
        </w:rPr>
        <w:t>。</w:t>
      </w:r>
      <w:bookmarkEnd w:id="79"/>
      <w:bookmarkEnd w:id="80"/>
      <w:r>
        <w:rPr>
          <w:rFonts w:hint="eastAsia" w:ascii="仿宋_GB2312" w:hAnsi="Times New Roman" w:eastAsia="仿宋_GB2312" w:cs="仿宋"/>
          <w:color w:val="auto"/>
          <w:kern w:val="0"/>
          <w:sz w:val="32"/>
          <w:szCs w:val="32"/>
          <w:lang w:val="en-US" w:eastAsia="zh-CN" w:bidi="ar-SA"/>
        </w:rPr>
        <w:t>待2025年假寒假托管活动实施结束后支付。</w:t>
      </w:r>
    </w:p>
    <w:p w14:paraId="36C3B788">
      <w:pPr>
        <w:keepNext w:val="0"/>
        <w:keepLines w:val="0"/>
        <w:pageBreakBefore w:val="0"/>
        <w:kinsoku/>
        <w:wordWrap/>
        <w:overflowPunct/>
        <w:topLinePunct w:val="0"/>
        <w:autoSpaceDE/>
        <w:autoSpaceDN/>
        <w:bidi w:val="0"/>
        <w:adjustRightInd/>
        <w:snapToGrid w:val="0"/>
        <w:spacing w:beforeAutospacing="0" w:afterAutospacing="0" w:line="560" w:lineRule="exact"/>
        <w:ind w:left="0" w:leftChars="0" w:firstLine="643" w:firstLineChars="200"/>
        <w:textAlignment w:val="auto"/>
        <w:rPr>
          <w:rFonts w:hint="eastAsia" w:ascii="仿宋_GB2312" w:hAnsi="宋体" w:eastAsia="仿宋_GB2312" w:cs="仿宋_GB2312"/>
          <w:b w:val="0"/>
          <w:bCs w:val="0"/>
          <w:kern w:val="0"/>
          <w:sz w:val="32"/>
          <w:szCs w:val="32"/>
          <w:lang w:eastAsia="zh-CN"/>
        </w:rPr>
      </w:pPr>
      <w:r>
        <w:rPr>
          <w:rFonts w:hint="default" w:ascii="Times New Roman" w:hAnsi="Times New Roman" w:eastAsia="楷体_GB2312" w:cs="Times New Roman"/>
          <w:b/>
          <w:bCs/>
          <w:snapToGrid/>
          <w:color w:val="000000"/>
          <w:spacing w:val="0"/>
          <w:w w:val="100"/>
          <w:kern w:val="0"/>
          <w:position w:val="0"/>
          <w:sz w:val="32"/>
          <w:szCs w:val="32"/>
          <w:highlight w:val="none"/>
          <w:u w:val="none"/>
          <w:shd w:val="clear" w:color="auto" w:fill="FFFFFF"/>
          <w:vertAlign w:val="baseline"/>
          <w:lang w:val="zh-CN" w:eastAsia="zh-CN" w:bidi="ar-SA"/>
        </w:rPr>
        <w:t>（</w:t>
      </w:r>
      <w:r>
        <w:rPr>
          <w:rFonts w:hint="eastAsia" w:ascii="Times New Roman" w:hAnsi="Times New Roman" w:eastAsia="楷体_GB2312" w:cs="Times New Roman"/>
          <w:b/>
          <w:bCs/>
          <w:snapToGrid/>
          <w:color w:val="000000"/>
          <w:spacing w:val="0"/>
          <w:w w:val="100"/>
          <w:kern w:val="0"/>
          <w:position w:val="0"/>
          <w:sz w:val="32"/>
          <w:szCs w:val="32"/>
          <w:highlight w:val="none"/>
          <w:u w:val="none"/>
          <w:shd w:val="clear" w:color="auto" w:fill="FFFFFF"/>
          <w:vertAlign w:val="baseline"/>
          <w:lang w:val="zh-CN" w:eastAsia="zh-CN" w:bidi="ar-SA"/>
        </w:rPr>
        <w:t>三</w:t>
      </w:r>
      <w:r>
        <w:rPr>
          <w:rFonts w:hint="default" w:ascii="Times New Roman" w:hAnsi="Times New Roman" w:eastAsia="楷体_GB2312" w:cs="Times New Roman"/>
          <w:b/>
          <w:bCs/>
          <w:snapToGrid/>
          <w:color w:val="000000"/>
          <w:spacing w:val="0"/>
          <w:w w:val="100"/>
          <w:kern w:val="0"/>
          <w:position w:val="0"/>
          <w:sz w:val="32"/>
          <w:szCs w:val="32"/>
          <w:highlight w:val="none"/>
          <w:u w:val="none"/>
          <w:shd w:val="clear" w:color="auto" w:fill="FFFFFF"/>
          <w:vertAlign w:val="baseline"/>
          <w:lang w:val="zh-CN" w:eastAsia="zh-CN" w:bidi="ar-SA"/>
        </w:rPr>
        <w:t>）结余分配和结转结余情况</w:t>
      </w:r>
      <w:r>
        <w:rPr>
          <w:rFonts w:hint="eastAsia" w:ascii="仿宋_GB2312" w:hAnsi="宋体" w:eastAsia="仿宋_GB2312" w:cs="仿宋_GB2312"/>
          <w:b w:val="0"/>
          <w:bCs w:val="0"/>
          <w:kern w:val="0"/>
          <w:sz w:val="32"/>
          <w:szCs w:val="32"/>
          <w:lang w:eastAsia="zh-CN"/>
        </w:rPr>
        <w:t>。</w:t>
      </w:r>
    </w:p>
    <w:p w14:paraId="13415CFB">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阿坝州青少年校外教育活动中心2025年决算报表结转结余情况：</w:t>
      </w:r>
    </w:p>
    <w:p w14:paraId="7FFC54F5">
      <w:pPr>
        <w:keepNext w:val="0"/>
        <w:keepLines w:val="0"/>
        <w:widowControl/>
        <w:suppressLineNumbers w:val="0"/>
        <w:ind w:firstLine="640" w:firstLineChars="200"/>
        <w:rPr>
          <w:rFonts w:hint="default"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1.财政拨款结转和结余，年末财政拨款结转和结余为0元。</w:t>
      </w:r>
    </w:p>
    <w:p w14:paraId="4989CB42">
      <w:pPr>
        <w:keepNext w:val="0"/>
        <w:keepLines w:val="0"/>
        <w:widowControl/>
        <w:suppressLineNumbers w:val="0"/>
        <w:ind w:firstLine="640" w:firstLineChars="200"/>
        <w:rPr>
          <w:rFonts w:hint="eastAsia" w:ascii="Times New Roman" w:hAnsi="Times New Roman" w:eastAsia="仿宋_GB2312" w:cs="Times New Roman"/>
          <w:b w:val="0"/>
          <w:bCs w:val="0"/>
          <w:color w:val="000000"/>
          <w:kern w:val="0"/>
          <w:szCs w:val="32"/>
          <w:highlight w:val="none"/>
          <w:shd w:val="clear" w:color="auto" w:fill="FFFFFF"/>
          <w:lang w:val="zh-CN" w:eastAsia="zh-CN"/>
        </w:rPr>
      </w:pPr>
      <w:r>
        <w:rPr>
          <w:rFonts w:hint="eastAsia" w:ascii="仿宋_GB2312" w:hAnsi="Times New Roman" w:eastAsia="仿宋_GB2312" w:cs="仿宋"/>
          <w:color w:val="auto"/>
          <w:kern w:val="0"/>
          <w:sz w:val="32"/>
          <w:szCs w:val="32"/>
          <w:lang w:val="en-US" w:eastAsia="zh-CN" w:bidi="ar-SA"/>
        </w:rPr>
        <w:t>2.非财政拨款结转和结余，年末非财政拨款结转和结余4.88万元</w:t>
      </w:r>
      <w:r>
        <w:rPr>
          <w:rFonts w:hint="eastAsia" w:ascii="仿宋_GB2312" w:hAnsi="Times New Roman" w:eastAsia="仿宋_GB2312" w:cs="仿宋"/>
          <w:color w:val="auto"/>
          <w:kern w:val="0"/>
          <w:sz w:val="32"/>
          <w:szCs w:val="32"/>
          <w:lang w:val="en-US" w:eastAsia="zh-Hans" w:bidi="ar-SA"/>
        </w:rPr>
        <w:t>，</w:t>
      </w:r>
      <w:r>
        <w:rPr>
          <w:rFonts w:hint="eastAsia" w:ascii="仿宋_GB2312" w:hAnsi="Times New Roman" w:eastAsia="仿宋_GB2312" w:cs="仿宋"/>
          <w:color w:val="auto"/>
          <w:kern w:val="0"/>
          <w:sz w:val="32"/>
          <w:szCs w:val="32"/>
          <w:lang w:val="en-US" w:eastAsia="zh-CN" w:bidi="ar-SA"/>
        </w:rPr>
        <w:t>主要为团州委转入“暖冬相伴乐学成长”“爱心蜀托”“四川12355.为青春护航”主题寒假托管活动支持费。</w:t>
      </w:r>
    </w:p>
    <w:p w14:paraId="4CFFDC9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14:paraId="3BC9FF2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66705BE3">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2025年全面高效地实现了项目绩效目标，任务量和效果均超出规划预期，较好地完成了资金使用的绩效目标。</w:t>
      </w:r>
    </w:p>
    <w:p w14:paraId="653D95AE">
      <w:pPr>
        <w:keepNext w:val="0"/>
        <w:keepLines w:val="0"/>
        <w:widowControl/>
        <w:suppressLineNumbers w:val="0"/>
        <w:ind w:firstLine="643"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b/>
          <w:bCs/>
          <w:color w:val="auto"/>
          <w:kern w:val="0"/>
          <w:sz w:val="32"/>
          <w:szCs w:val="32"/>
          <w:lang w:val="en-US" w:eastAsia="zh-CN" w:bidi="ar-SA"/>
        </w:rPr>
        <w:t>1.</w:t>
      </w:r>
      <w:r>
        <w:rPr>
          <w:rFonts w:hint="eastAsia" w:ascii="仿宋_GB2312" w:hAnsi="Times New Roman" w:eastAsia="仿宋_GB2312" w:cs="仿宋"/>
          <w:b/>
          <w:bCs/>
          <w:color w:val="auto"/>
          <w:kern w:val="0"/>
          <w:sz w:val="32"/>
          <w:szCs w:val="32"/>
          <w:lang w:val="zh-CN" w:eastAsia="zh-CN" w:bidi="ar-SA"/>
        </w:rPr>
        <w:t>履职效能。</w:t>
      </w:r>
      <w:r>
        <w:rPr>
          <w:rFonts w:hint="eastAsia" w:ascii="仿宋_GB2312" w:hAnsi="Times New Roman" w:eastAsia="仿宋_GB2312" w:cs="仿宋"/>
          <w:color w:val="auto"/>
          <w:kern w:val="0"/>
          <w:sz w:val="32"/>
          <w:szCs w:val="32"/>
          <w:lang w:val="en-US" w:eastAsia="zh-CN" w:bidi="ar-SA"/>
        </w:rPr>
        <w:t>中心在</w:t>
      </w:r>
      <w:r>
        <w:rPr>
          <w:rFonts w:hint="eastAsia" w:ascii="仿宋_GB2312" w:hAnsi="Times New Roman" w:eastAsia="仿宋_GB2312" w:cs="仿宋"/>
          <w:color w:val="auto"/>
          <w:kern w:val="0"/>
          <w:sz w:val="32"/>
          <w:szCs w:val="32"/>
          <w:lang w:val="zh-CN" w:eastAsia="zh-CN" w:bidi="ar-SA"/>
        </w:rPr>
        <w:t>绩效目标中选</w:t>
      </w:r>
      <w:r>
        <w:rPr>
          <w:rFonts w:hint="eastAsia" w:ascii="仿宋_GB2312" w:hAnsi="Times New Roman" w:eastAsia="仿宋_GB2312" w:cs="仿宋"/>
          <w:color w:val="auto"/>
          <w:kern w:val="0"/>
          <w:sz w:val="32"/>
          <w:szCs w:val="32"/>
          <w:lang w:val="en-US" w:eastAsia="zh-CN" w:bidi="ar-SA"/>
        </w:rPr>
        <w:t>了3</w:t>
      </w:r>
      <w:r>
        <w:rPr>
          <w:rFonts w:hint="eastAsia" w:ascii="仿宋_GB2312" w:hAnsi="Times New Roman" w:eastAsia="仿宋_GB2312" w:cs="仿宋"/>
          <w:color w:val="auto"/>
          <w:kern w:val="0"/>
          <w:sz w:val="32"/>
          <w:szCs w:val="32"/>
          <w:lang w:val="zh-CN" w:eastAsia="zh-CN" w:bidi="ar-SA"/>
        </w:rPr>
        <w:t>个核心</w:t>
      </w:r>
      <w:r>
        <w:rPr>
          <w:rFonts w:hint="eastAsia" w:ascii="仿宋_GB2312" w:hAnsi="Times New Roman" w:eastAsia="仿宋_GB2312" w:cs="仿宋"/>
          <w:color w:val="auto"/>
          <w:kern w:val="0"/>
          <w:sz w:val="32"/>
          <w:szCs w:val="32"/>
          <w:lang w:val="en-US" w:eastAsia="zh-CN" w:bidi="ar-SA"/>
        </w:rPr>
        <w:t>职能</w:t>
      </w:r>
      <w:r>
        <w:rPr>
          <w:rFonts w:hint="eastAsia" w:ascii="仿宋_GB2312" w:hAnsi="Times New Roman" w:eastAsia="仿宋_GB2312" w:cs="仿宋"/>
          <w:color w:val="auto"/>
          <w:kern w:val="0"/>
          <w:sz w:val="32"/>
          <w:szCs w:val="32"/>
          <w:lang w:val="zh-CN" w:eastAsia="zh-CN" w:bidi="ar-SA"/>
        </w:rPr>
        <w:t>目标，对职能目标完成效果情况绩效分析</w:t>
      </w:r>
      <w:bookmarkStart w:id="81" w:name="OLE_LINK4"/>
      <w:r>
        <w:rPr>
          <w:rFonts w:hint="eastAsia" w:ascii="仿宋_GB2312" w:hAnsi="Times New Roman" w:eastAsia="仿宋_GB2312" w:cs="仿宋"/>
          <w:color w:val="auto"/>
          <w:kern w:val="0"/>
          <w:sz w:val="32"/>
          <w:szCs w:val="32"/>
          <w:lang w:val="en-US" w:eastAsia="zh-CN" w:bidi="ar-SA"/>
        </w:rPr>
        <w:t>如下：</w:t>
      </w:r>
      <w:bookmarkEnd w:id="81"/>
      <w:bookmarkStart w:id="82" w:name="OLE_LINK8"/>
    </w:p>
    <w:p w14:paraId="342D23B8">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（1）工资性及单位缴费支出</w:t>
      </w:r>
      <w:bookmarkEnd w:id="82"/>
      <w:r>
        <w:rPr>
          <w:rFonts w:hint="eastAsia" w:ascii="仿宋_GB2312" w:hAnsi="Times New Roman" w:eastAsia="仿宋_GB2312" w:cs="仿宋"/>
          <w:color w:val="auto"/>
          <w:kern w:val="0"/>
          <w:sz w:val="32"/>
          <w:szCs w:val="32"/>
          <w:lang w:val="en-US" w:eastAsia="zh-CN" w:bidi="ar-SA"/>
        </w:rPr>
        <w:t>方面</w:t>
      </w:r>
      <w:r>
        <w:rPr>
          <w:rFonts w:hint="eastAsia" w:ascii="仿宋_GB2312" w:hAnsi="Times New Roman" w:eastAsia="仿宋_GB2312" w:cs="仿宋"/>
          <w:color w:val="auto"/>
          <w:kern w:val="0"/>
          <w:sz w:val="32"/>
          <w:szCs w:val="32"/>
          <w:lang w:val="zh-CN" w:eastAsia="zh-CN" w:bidi="ar-SA"/>
        </w:rPr>
        <w:t>严格执行相关政策，保障工资及时、足额发放或社保及时、足额缴纳，预算编制科学合理，减少结余资金。</w:t>
      </w:r>
      <w:bookmarkStart w:id="83" w:name="OLE_LINK11"/>
      <w:r>
        <w:rPr>
          <w:rFonts w:hint="eastAsia" w:ascii="仿宋_GB2312" w:hAnsi="Times New Roman" w:eastAsia="仿宋_GB2312" w:cs="仿宋"/>
          <w:color w:val="auto"/>
          <w:kern w:val="0"/>
          <w:sz w:val="32"/>
          <w:szCs w:val="32"/>
          <w:lang w:val="en-US" w:eastAsia="zh-CN" w:bidi="ar-SA"/>
        </w:rPr>
        <w:t>完成值都达到了指标值，预算执行</w:t>
      </w:r>
      <w:bookmarkStart w:id="84" w:name="OLE_LINK9"/>
      <w:r>
        <w:rPr>
          <w:rFonts w:hint="eastAsia" w:ascii="仿宋_GB2312" w:hAnsi="Times New Roman" w:eastAsia="仿宋_GB2312" w:cs="仿宋"/>
          <w:color w:val="auto"/>
          <w:kern w:val="0"/>
          <w:sz w:val="32"/>
          <w:szCs w:val="32"/>
          <w:lang w:val="en-US" w:eastAsia="zh-CN" w:bidi="ar-SA"/>
        </w:rPr>
        <w:t>得分</w:t>
      </w:r>
      <w:bookmarkEnd w:id="84"/>
      <w:r>
        <w:rPr>
          <w:rFonts w:hint="eastAsia" w:ascii="仿宋_GB2312" w:hAnsi="Times New Roman" w:eastAsia="仿宋_GB2312" w:cs="仿宋"/>
          <w:color w:val="auto"/>
          <w:kern w:val="0"/>
          <w:sz w:val="32"/>
          <w:szCs w:val="32"/>
          <w:lang w:val="en-US" w:eastAsia="zh-CN" w:bidi="ar-SA"/>
        </w:rPr>
        <w:t>10分，绩效指标得分90分，总计得分100分。</w:t>
      </w:r>
    </w:p>
    <w:bookmarkEnd w:id="83"/>
    <w:p w14:paraId="4DF00725">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（2）日常公用经费支出方面</w:t>
      </w:r>
      <w:r>
        <w:rPr>
          <w:rFonts w:hint="eastAsia" w:ascii="仿宋_GB2312" w:hAnsi="Times New Roman" w:eastAsia="仿宋_GB2312" w:cs="仿宋"/>
          <w:color w:val="auto"/>
          <w:kern w:val="0"/>
          <w:sz w:val="32"/>
          <w:szCs w:val="32"/>
          <w:lang w:val="zh-CN" w:eastAsia="zh-CN" w:bidi="ar-SA"/>
        </w:rPr>
        <w:t>提高预算编制质量，严格执行预算，保障</w:t>
      </w:r>
      <w:r>
        <w:rPr>
          <w:rFonts w:hint="eastAsia" w:ascii="仿宋_GB2312" w:hAnsi="Times New Roman" w:eastAsia="仿宋_GB2312" w:cs="仿宋"/>
          <w:color w:val="auto"/>
          <w:kern w:val="0"/>
          <w:sz w:val="32"/>
          <w:szCs w:val="32"/>
          <w:lang w:val="en-US" w:eastAsia="zh-CN" w:bidi="ar-SA"/>
        </w:rPr>
        <w:t>中心</w:t>
      </w:r>
      <w:r>
        <w:rPr>
          <w:rFonts w:hint="eastAsia" w:ascii="仿宋_GB2312" w:hAnsi="Times New Roman" w:eastAsia="仿宋_GB2312" w:cs="仿宋"/>
          <w:color w:val="auto"/>
          <w:kern w:val="0"/>
          <w:sz w:val="32"/>
          <w:szCs w:val="32"/>
          <w:lang w:val="zh-CN" w:eastAsia="zh-CN" w:bidi="ar-SA"/>
        </w:rPr>
        <w:t>日常</w:t>
      </w:r>
      <w:r>
        <w:rPr>
          <w:rFonts w:hint="eastAsia" w:ascii="仿宋_GB2312" w:hAnsi="Times New Roman" w:eastAsia="仿宋_GB2312" w:cs="仿宋"/>
          <w:color w:val="auto"/>
          <w:kern w:val="0"/>
          <w:sz w:val="32"/>
          <w:szCs w:val="32"/>
          <w:lang w:val="en-US" w:eastAsia="zh-CN" w:bidi="ar-SA"/>
        </w:rPr>
        <w:t>工作正常</w:t>
      </w:r>
      <w:r>
        <w:rPr>
          <w:rFonts w:hint="eastAsia" w:ascii="仿宋_GB2312" w:hAnsi="Times New Roman" w:eastAsia="仿宋_GB2312" w:cs="仿宋"/>
          <w:color w:val="auto"/>
          <w:kern w:val="0"/>
          <w:sz w:val="32"/>
          <w:szCs w:val="32"/>
          <w:lang w:val="zh-CN" w:eastAsia="zh-CN" w:bidi="ar-SA"/>
        </w:rPr>
        <w:t>运转，</w:t>
      </w:r>
      <w:bookmarkStart w:id="85" w:name="OLE_LINK13"/>
      <w:bookmarkStart w:id="86" w:name="OLE_LINK10"/>
      <w:r>
        <w:rPr>
          <w:rFonts w:hint="eastAsia" w:ascii="仿宋_GB2312" w:hAnsi="Times New Roman" w:eastAsia="仿宋_GB2312" w:cs="仿宋"/>
          <w:color w:val="auto"/>
          <w:kern w:val="0"/>
          <w:sz w:val="32"/>
          <w:szCs w:val="32"/>
          <w:lang w:val="en-US" w:eastAsia="zh-CN" w:bidi="ar-SA"/>
        </w:rPr>
        <w:t>完成值都达到了指标值，预算执行得分10分，绩效指标得分90分，总计得分100分。</w:t>
      </w:r>
      <w:bookmarkEnd w:id="85"/>
    </w:p>
    <w:bookmarkEnd w:id="86"/>
    <w:p w14:paraId="0EF707A9">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（3）活动运转经费项目支出方面提高预算编制质量，严格执行预算，保障中心学生活动正常运转。预算执行得分10分，绩效指标得分87分，总计得分97分。</w:t>
      </w:r>
    </w:p>
    <w:p w14:paraId="411BE8B7">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2025年较好的完成了活动运转经费绩效目标各项指标。自评得分97分。一是对于一级指标产出指标中的二级指标质量指标的三级指标学生技能和特长合格率达到90%，在评价时持保守态度，因是对学生兴趣特长的培训和教学，不同资质不同天赋的个体差异影响合格率的完全达标。二是在实际支付过程中资金支付序时进度还加强，由于学生活动分春秋两学期进行和完成，部分经费的支付必须等到各项任务完成时才能实现。所以影响了产出指标的二级指标时效指标的三级指标各项任务完成及时未达到≥95%。三是由于中心管理教师人数有限和场馆活动空间环境的局限性，在实际活动开展和教学过程中，一级指标满意度指标二级指标服务对象满意度指标三级指标社会满意度、辖区内学生校外教育活动满意度无法完全达标。</w:t>
      </w:r>
    </w:p>
    <w:p w14:paraId="7C98E54D">
      <w:pPr>
        <w:keepNext w:val="0"/>
        <w:keepLines w:val="0"/>
        <w:widowControl/>
        <w:suppressLineNumbers w:val="0"/>
        <w:ind w:firstLine="643" w:firstLineChars="200"/>
        <w:rPr>
          <w:rFonts w:hint="eastAsia" w:ascii="仿宋_GB2312" w:hAnsi="Times New Roman" w:eastAsia="仿宋_GB2312" w:cs="仿宋"/>
          <w:color w:val="auto"/>
          <w:kern w:val="0"/>
          <w:sz w:val="32"/>
          <w:szCs w:val="32"/>
          <w:lang w:val="zh-CN" w:eastAsia="zh-CN" w:bidi="ar-SA"/>
        </w:rPr>
      </w:pPr>
      <w:r>
        <w:rPr>
          <w:rFonts w:hint="eastAsia" w:ascii="仿宋_GB2312" w:hAnsi="Times New Roman" w:eastAsia="仿宋_GB2312" w:cs="仿宋"/>
          <w:b/>
          <w:bCs/>
          <w:color w:val="auto"/>
          <w:kern w:val="0"/>
          <w:sz w:val="32"/>
          <w:szCs w:val="32"/>
          <w:lang w:val="zh-CN" w:eastAsia="zh-CN" w:bidi="ar-SA"/>
        </w:rPr>
        <w:t>2.</w:t>
      </w:r>
      <w:r>
        <w:rPr>
          <w:rFonts w:hint="default" w:ascii="仿宋_GB2312" w:hAnsi="Times New Roman" w:eastAsia="仿宋_GB2312" w:cs="仿宋"/>
          <w:b/>
          <w:bCs/>
          <w:color w:val="auto"/>
          <w:kern w:val="0"/>
          <w:sz w:val="32"/>
          <w:szCs w:val="32"/>
          <w:lang w:val="zh-CN" w:eastAsia="zh-CN" w:bidi="ar-SA"/>
        </w:rPr>
        <w:t>预算管理</w:t>
      </w:r>
      <w:r>
        <w:rPr>
          <w:rFonts w:hint="eastAsia" w:ascii="仿宋_GB2312" w:hAnsi="Times New Roman" w:eastAsia="仿宋_GB2312" w:cs="仿宋"/>
          <w:b/>
          <w:bCs/>
          <w:color w:val="auto"/>
          <w:kern w:val="0"/>
          <w:sz w:val="32"/>
          <w:szCs w:val="32"/>
          <w:lang w:val="zh-CN" w:eastAsia="zh-CN" w:bidi="ar-SA"/>
        </w:rPr>
        <w:t>。</w:t>
      </w:r>
      <w:r>
        <w:rPr>
          <w:rFonts w:hint="eastAsia" w:ascii="仿宋_GB2312" w:eastAsia="仿宋_GB2312" w:cs="仿宋"/>
          <w:b w:val="0"/>
          <w:bCs w:val="0"/>
          <w:color w:val="auto"/>
          <w:kern w:val="0"/>
          <w:sz w:val="32"/>
          <w:szCs w:val="32"/>
          <w:lang w:val="en-US" w:eastAsia="zh-CN" w:bidi="ar-SA"/>
        </w:rPr>
        <w:t>本单位</w:t>
      </w:r>
      <w:r>
        <w:rPr>
          <w:rFonts w:hint="eastAsia" w:ascii="仿宋_GB2312" w:hAnsi="Times New Roman" w:eastAsia="仿宋_GB2312" w:cs="仿宋"/>
          <w:b w:val="0"/>
          <w:bCs w:val="0"/>
          <w:color w:val="auto"/>
          <w:kern w:val="0"/>
          <w:sz w:val="32"/>
          <w:szCs w:val="32"/>
          <w:lang w:val="en-US" w:eastAsia="zh-CN" w:bidi="ar-SA"/>
        </w:rPr>
        <w:t>的</w:t>
      </w:r>
      <w:r>
        <w:rPr>
          <w:rFonts w:hint="eastAsia" w:ascii="仿宋_GB2312" w:hAnsi="Times New Roman" w:eastAsia="仿宋_GB2312" w:cs="仿宋"/>
          <w:color w:val="auto"/>
          <w:kern w:val="0"/>
          <w:sz w:val="32"/>
          <w:szCs w:val="32"/>
          <w:lang w:val="en-US" w:eastAsia="zh-CN" w:bidi="ar-SA"/>
        </w:rPr>
        <w:t>预算编制工作还是做到了在</w:t>
      </w:r>
      <w:bookmarkStart w:id="87" w:name="OLE_LINK15"/>
      <w:r>
        <w:rPr>
          <w:rFonts w:hint="eastAsia" w:ascii="仿宋_GB2312" w:hAnsi="Times New Roman" w:eastAsia="仿宋_GB2312" w:cs="仿宋"/>
          <w:color w:val="auto"/>
          <w:kern w:val="0"/>
          <w:sz w:val="32"/>
          <w:szCs w:val="32"/>
          <w:lang w:val="zh-CN" w:eastAsia="zh-CN" w:bidi="ar-SA"/>
        </w:rPr>
        <w:fldChar w:fldCharType="begin"/>
      </w:r>
      <w:r>
        <w:rPr>
          <w:rFonts w:hint="eastAsia" w:ascii="仿宋_GB2312" w:hAnsi="Times New Roman" w:eastAsia="仿宋_GB2312" w:cs="仿宋"/>
          <w:color w:val="auto"/>
          <w:kern w:val="0"/>
          <w:sz w:val="32"/>
          <w:szCs w:val="32"/>
          <w:lang w:val="zh-CN" w:eastAsia="zh-CN" w:bidi="ar-SA"/>
        </w:rPr>
        <w:instrText xml:space="preserve">HYPERLINK "https://baike.baidu.com/item/%E9%A2%84%E7%AE%97%E7%BC%96%E5%88%B6/9662830?fromModule=lemma_inlink"</w:instrText>
      </w:r>
      <w:r>
        <w:rPr>
          <w:rFonts w:hint="eastAsia" w:ascii="仿宋_GB2312" w:hAnsi="Times New Roman" w:eastAsia="仿宋_GB2312" w:cs="仿宋"/>
          <w:color w:val="auto"/>
          <w:kern w:val="0"/>
          <w:sz w:val="32"/>
          <w:szCs w:val="32"/>
          <w:lang w:val="zh-CN" w:eastAsia="zh-CN" w:bidi="ar-SA"/>
        </w:rPr>
        <w:fldChar w:fldCharType="separate"/>
      </w:r>
      <w:r>
        <w:rPr>
          <w:rFonts w:hint="eastAsia" w:ascii="仿宋_GB2312" w:hAnsi="Times New Roman" w:eastAsia="仿宋_GB2312" w:cs="仿宋"/>
          <w:color w:val="auto"/>
          <w:kern w:val="0"/>
          <w:sz w:val="32"/>
          <w:szCs w:val="32"/>
          <w:lang w:val="zh-CN" w:eastAsia="zh-CN" w:bidi="ar-SA"/>
        </w:rPr>
        <w:t>预算编制</w:t>
      </w:r>
      <w:r>
        <w:rPr>
          <w:rFonts w:hint="eastAsia" w:ascii="仿宋_GB2312" w:hAnsi="Times New Roman" w:eastAsia="仿宋_GB2312" w:cs="仿宋"/>
          <w:color w:val="auto"/>
          <w:kern w:val="0"/>
          <w:sz w:val="32"/>
          <w:szCs w:val="32"/>
          <w:lang w:val="en-US" w:eastAsia="zh-CN" w:bidi="ar-SA"/>
        </w:rPr>
        <w:fldChar w:fldCharType="end"/>
      </w:r>
      <w:bookmarkEnd w:id="87"/>
      <w:r>
        <w:rPr>
          <w:rFonts w:hint="eastAsia" w:ascii="仿宋_GB2312" w:hAnsi="Times New Roman" w:eastAsia="仿宋_GB2312" w:cs="仿宋"/>
          <w:color w:val="auto"/>
          <w:kern w:val="0"/>
          <w:sz w:val="32"/>
          <w:szCs w:val="32"/>
          <w:lang w:val="en-US" w:eastAsia="zh-CN" w:bidi="ar-SA"/>
        </w:rPr>
        <w:t>过程中单位内部各部门间沟通协调比较充分，预算编制与</w:t>
      </w:r>
      <w:r>
        <w:rPr>
          <w:rFonts w:hint="eastAsia" w:ascii="仿宋_GB2312" w:hAnsi="Times New Roman" w:eastAsia="仿宋_GB2312" w:cs="仿宋"/>
          <w:color w:val="auto"/>
          <w:kern w:val="0"/>
          <w:sz w:val="32"/>
          <w:szCs w:val="32"/>
          <w:lang w:val="zh-CN" w:eastAsia="zh-CN" w:bidi="ar-SA"/>
        </w:rPr>
        <w:fldChar w:fldCharType="begin"/>
      </w:r>
      <w:r>
        <w:rPr>
          <w:rFonts w:hint="eastAsia" w:ascii="仿宋_GB2312" w:hAnsi="Times New Roman" w:eastAsia="仿宋_GB2312" w:cs="仿宋"/>
          <w:color w:val="auto"/>
          <w:kern w:val="0"/>
          <w:sz w:val="32"/>
          <w:szCs w:val="32"/>
          <w:lang w:val="zh-CN" w:eastAsia="zh-CN" w:bidi="ar-SA"/>
        </w:rPr>
        <w:instrText xml:space="preserve">HYPERLINK "https://baike.baidu.com/item/%E8%B5%84%E4%BA%A7%E9%85%8D%E7%BD%AE/5215785?fromModule=lemma_inlink"</w:instrText>
      </w:r>
      <w:r>
        <w:rPr>
          <w:rFonts w:hint="eastAsia" w:ascii="仿宋_GB2312" w:hAnsi="Times New Roman" w:eastAsia="仿宋_GB2312" w:cs="仿宋"/>
          <w:color w:val="auto"/>
          <w:kern w:val="0"/>
          <w:sz w:val="32"/>
          <w:szCs w:val="32"/>
          <w:lang w:val="zh-CN" w:eastAsia="zh-CN" w:bidi="ar-SA"/>
        </w:rPr>
        <w:fldChar w:fldCharType="separate"/>
      </w:r>
      <w:r>
        <w:rPr>
          <w:rFonts w:hint="eastAsia" w:ascii="仿宋_GB2312" w:hAnsi="Times New Roman" w:eastAsia="仿宋_GB2312" w:cs="仿宋"/>
          <w:color w:val="auto"/>
          <w:kern w:val="0"/>
          <w:sz w:val="32"/>
          <w:szCs w:val="32"/>
          <w:lang w:val="zh-CN" w:eastAsia="zh-CN" w:bidi="ar-SA"/>
        </w:rPr>
        <w:t>资产配置</w:t>
      </w:r>
      <w:r>
        <w:rPr>
          <w:rFonts w:hint="eastAsia" w:ascii="仿宋_GB2312" w:hAnsi="Times New Roman" w:eastAsia="仿宋_GB2312" w:cs="仿宋"/>
          <w:color w:val="auto"/>
          <w:kern w:val="0"/>
          <w:sz w:val="32"/>
          <w:szCs w:val="32"/>
          <w:lang w:val="en-US" w:eastAsia="zh-CN" w:bidi="ar-SA"/>
        </w:rPr>
        <w:fldChar w:fldCharType="end"/>
      </w:r>
      <w:r>
        <w:rPr>
          <w:rFonts w:hint="eastAsia" w:ascii="仿宋_GB2312" w:hAnsi="Times New Roman" w:eastAsia="仿宋_GB2312" w:cs="仿宋"/>
          <w:color w:val="auto"/>
          <w:kern w:val="0"/>
          <w:sz w:val="32"/>
          <w:szCs w:val="32"/>
          <w:lang w:val="en-US" w:eastAsia="zh-CN" w:bidi="ar-SA"/>
        </w:rPr>
        <w:t>相结合、与具体工作相对应。</w:t>
      </w:r>
      <w:r>
        <w:rPr>
          <w:rFonts w:hint="eastAsia" w:ascii="仿宋_GB2312" w:hAnsi="Times New Roman" w:eastAsia="仿宋_GB2312" w:cs="仿宋"/>
          <w:color w:val="auto"/>
          <w:kern w:val="0"/>
          <w:sz w:val="32"/>
          <w:szCs w:val="32"/>
          <w:lang w:val="zh-CN" w:eastAsia="zh-CN" w:bidi="ar-SA"/>
        </w:rPr>
        <w:t>在预算编制中始终坚持“量入为出，收支平衡，积极稳妥，统筹兼顾，保证重点，勤俭节约”的原则，严格执行预算编制的有关要求，进一步规范部门预算编报程序，细化项目绩效管理目标，增强了预算编制的真实性和准确性。</w:t>
      </w:r>
    </w:p>
    <w:p w14:paraId="019B413B">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zh-CN" w:eastAsia="zh-CN" w:bidi="ar-SA"/>
        </w:rPr>
      </w:pPr>
      <w:r>
        <w:rPr>
          <w:rFonts w:hint="eastAsia" w:ascii="仿宋_GB2312" w:hAnsi="Times New Roman" w:eastAsia="仿宋_GB2312" w:cs="仿宋"/>
          <w:color w:val="auto"/>
          <w:kern w:val="0"/>
          <w:sz w:val="32"/>
          <w:szCs w:val="32"/>
          <w:lang w:val="zh-CN" w:eastAsia="zh-CN" w:bidi="ar-SA"/>
        </w:rPr>
        <w:t>（2）</w:t>
      </w:r>
      <w:r>
        <w:rPr>
          <w:rFonts w:hint="eastAsia" w:ascii="仿宋_GB2312" w:hAnsi="Times New Roman" w:eastAsia="仿宋_GB2312" w:cs="仿宋"/>
          <w:color w:val="auto"/>
          <w:kern w:val="0"/>
          <w:sz w:val="32"/>
          <w:szCs w:val="32"/>
          <w:lang w:val="en-US" w:eastAsia="zh-CN" w:bidi="ar-SA"/>
        </w:rPr>
        <w:t>支出执行管理方面，中心全年按照批复的预算数和开支范围执行预算，不存在无预算、超预算支出等问题。1-6月总体支出进度为31.72%，1-10月总体支出进度为51.24%。1-12月总体支出进度为98.40%。支出进度较为缓慢集中在年末后两月支付。</w:t>
      </w:r>
    </w:p>
    <w:p w14:paraId="32675E44">
      <w:pPr>
        <w:keepNext w:val="0"/>
        <w:keepLines w:val="0"/>
        <w:widowControl/>
        <w:suppressLineNumbers w:val="0"/>
        <w:ind w:firstLine="640" w:firstLineChars="200"/>
        <w:rPr>
          <w:rFonts w:hint="default"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zh-CN" w:eastAsia="zh-CN" w:bidi="ar-SA"/>
        </w:rPr>
        <w:t>（3）</w:t>
      </w:r>
      <w:r>
        <w:rPr>
          <w:rFonts w:hint="eastAsia" w:ascii="仿宋_GB2312" w:hAnsi="Times New Roman" w:eastAsia="仿宋_GB2312" w:cs="仿宋"/>
          <w:color w:val="auto"/>
          <w:kern w:val="0"/>
          <w:sz w:val="32"/>
          <w:szCs w:val="32"/>
          <w:lang w:val="en-US" w:eastAsia="zh-CN" w:bidi="ar-SA"/>
        </w:rPr>
        <w:t>预算年终结余情况，年末无财政预算资金结余，只有非财政拨款结转余额4.88万元。</w:t>
      </w:r>
    </w:p>
    <w:p w14:paraId="19209E52">
      <w:pPr>
        <w:keepNext w:val="0"/>
        <w:keepLines w:val="0"/>
        <w:widowControl/>
        <w:suppressLineNumbers w:val="0"/>
        <w:ind w:firstLine="643" w:firstLineChars="200"/>
        <w:rPr>
          <w:rFonts w:hint="eastAsia" w:ascii="仿宋_GB2312" w:hAnsi="Times New Roman" w:eastAsia="仿宋_GB2312" w:cs="仿宋"/>
          <w:color w:val="auto"/>
          <w:kern w:val="0"/>
          <w:sz w:val="32"/>
          <w:szCs w:val="32"/>
          <w:lang w:val="zh-CN" w:eastAsia="zh-CN" w:bidi="ar-SA"/>
        </w:rPr>
      </w:pPr>
      <w:r>
        <w:rPr>
          <w:rFonts w:hint="eastAsia" w:ascii="仿宋_GB2312" w:hAnsi="Times New Roman" w:eastAsia="仿宋_GB2312" w:cs="仿宋"/>
          <w:b/>
          <w:bCs/>
          <w:color w:val="auto"/>
          <w:kern w:val="0"/>
          <w:sz w:val="32"/>
          <w:szCs w:val="32"/>
          <w:lang w:val="en-US" w:eastAsia="zh-CN" w:bidi="ar-SA"/>
        </w:rPr>
        <w:t>3</w:t>
      </w:r>
      <w:r>
        <w:rPr>
          <w:rFonts w:hint="default" w:ascii="仿宋_GB2312" w:hAnsi="Times New Roman" w:eastAsia="仿宋_GB2312" w:cs="仿宋"/>
          <w:b/>
          <w:bCs/>
          <w:color w:val="auto"/>
          <w:kern w:val="0"/>
          <w:sz w:val="32"/>
          <w:szCs w:val="32"/>
          <w:lang w:val="zh-CN" w:eastAsia="zh-CN" w:bidi="ar-SA"/>
        </w:rPr>
        <w:t>.财务管理</w:t>
      </w:r>
      <w:r>
        <w:rPr>
          <w:rFonts w:hint="default" w:ascii="仿宋_GB2312" w:hAnsi="Times New Roman" w:eastAsia="仿宋_GB2312" w:cs="仿宋"/>
          <w:color w:val="auto"/>
          <w:kern w:val="0"/>
          <w:sz w:val="32"/>
          <w:szCs w:val="32"/>
          <w:lang w:val="zh-CN" w:eastAsia="zh-CN" w:bidi="ar-SA"/>
        </w:rPr>
        <w:t>。</w:t>
      </w:r>
      <w:r>
        <w:rPr>
          <w:rFonts w:hint="eastAsia" w:ascii="仿宋_GB2312" w:eastAsia="仿宋_GB2312" w:cs="仿宋"/>
          <w:color w:val="auto"/>
          <w:kern w:val="0"/>
          <w:sz w:val="32"/>
          <w:szCs w:val="32"/>
          <w:lang w:val="en-US" w:eastAsia="zh-CN" w:bidi="ar-SA"/>
        </w:rPr>
        <w:t>本单位</w:t>
      </w:r>
      <w:r>
        <w:rPr>
          <w:rFonts w:hint="eastAsia" w:ascii="仿宋_GB2312" w:hAnsi="Times New Roman" w:eastAsia="仿宋_GB2312" w:cs="仿宋"/>
          <w:color w:val="auto"/>
          <w:kern w:val="0"/>
          <w:sz w:val="32"/>
          <w:szCs w:val="32"/>
          <w:lang w:val="zh-CN" w:eastAsia="zh-Hans" w:bidi="ar-SA"/>
        </w:rPr>
        <w:t>严格执行财务管理制度，</w:t>
      </w:r>
      <w:r>
        <w:rPr>
          <w:rFonts w:hint="eastAsia" w:ascii="仿宋_GB2312" w:hAnsi="Times New Roman" w:eastAsia="仿宋_GB2312" w:cs="仿宋"/>
          <w:color w:val="auto"/>
          <w:kern w:val="0"/>
          <w:sz w:val="32"/>
          <w:szCs w:val="32"/>
          <w:lang w:val="en-US" w:eastAsia="zh-CN" w:bidi="ar-SA"/>
        </w:rPr>
        <w:t>财</w:t>
      </w:r>
      <w:r>
        <w:rPr>
          <w:rFonts w:hint="eastAsia" w:ascii="仿宋_GB2312" w:hAnsi="Times New Roman" w:eastAsia="仿宋_GB2312" w:cs="仿宋"/>
          <w:color w:val="auto"/>
          <w:kern w:val="0"/>
          <w:sz w:val="32"/>
          <w:szCs w:val="32"/>
          <w:lang w:val="zh-CN" w:eastAsia="zh-CN" w:bidi="ar-SA"/>
        </w:rPr>
        <w:t>务岗位设置符合相关财务管理制度要求，</w:t>
      </w:r>
      <w:r>
        <w:rPr>
          <w:rFonts w:hint="eastAsia" w:ascii="仿宋_GB2312" w:hAnsi="Times New Roman" w:eastAsia="仿宋_GB2312" w:cs="仿宋"/>
          <w:color w:val="auto"/>
          <w:kern w:val="0"/>
          <w:sz w:val="32"/>
          <w:szCs w:val="32"/>
          <w:lang w:val="zh-CN" w:eastAsia="zh-Hans" w:bidi="ar-SA"/>
        </w:rPr>
        <w:t>将收取的兴趣班培训费及时上缴财政，无坐支现象。根据</w:t>
      </w:r>
      <w:r>
        <w:rPr>
          <w:rFonts w:hint="eastAsia" w:ascii="仿宋_GB2312" w:hAnsi="Times New Roman" w:eastAsia="仿宋_GB2312" w:cs="仿宋"/>
          <w:color w:val="auto"/>
          <w:kern w:val="0"/>
          <w:sz w:val="32"/>
          <w:szCs w:val="32"/>
          <w:lang w:val="en-US" w:eastAsia="zh-CN" w:bidi="ar-SA"/>
        </w:rPr>
        <w:t>合法有效的</w:t>
      </w:r>
      <w:r>
        <w:rPr>
          <w:rFonts w:hint="eastAsia" w:ascii="仿宋_GB2312" w:hAnsi="Times New Roman" w:eastAsia="仿宋_GB2312" w:cs="仿宋"/>
          <w:color w:val="auto"/>
          <w:kern w:val="0"/>
          <w:sz w:val="32"/>
          <w:szCs w:val="32"/>
          <w:lang w:val="zh-CN" w:eastAsia="zh-Hans" w:bidi="ar-SA"/>
        </w:rPr>
        <w:t>依据，及时发放教</w:t>
      </w:r>
      <w:r>
        <w:rPr>
          <w:rFonts w:hint="eastAsia" w:ascii="仿宋_GB2312" w:hAnsi="Times New Roman" w:eastAsia="仿宋_GB2312" w:cs="仿宋"/>
          <w:color w:val="auto"/>
          <w:kern w:val="0"/>
          <w:sz w:val="32"/>
          <w:szCs w:val="32"/>
          <w:lang w:val="zh-CN" w:eastAsia="zh-CN" w:bidi="ar-SA"/>
        </w:rPr>
        <w:t>职</w:t>
      </w:r>
      <w:r>
        <w:rPr>
          <w:rFonts w:hint="eastAsia" w:ascii="仿宋_GB2312" w:hAnsi="Times New Roman" w:eastAsia="仿宋_GB2312" w:cs="仿宋"/>
          <w:color w:val="auto"/>
          <w:kern w:val="0"/>
          <w:sz w:val="32"/>
          <w:szCs w:val="32"/>
          <w:lang w:val="zh-CN" w:eastAsia="zh-Hans" w:bidi="ar-SA"/>
        </w:rPr>
        <w:t>工工资和其它应发放的经费,坚持财务手续，严格审核支付流程</w:t>
      </w:r>
      <w:r>
        <w:rPr>
          <w:rFonts w:hint="eastAsia" w:ascii="仿宋_GB2312" w:hAnsi="Times New Roman" w:eastAsia="仿宋_GB2312" w:cs="仿宋"/>
          <w:color w:val="auto"/>
          <w:kern w:val="0"/>
          <w:sz w:val="32"/>
          <w:szCs w:val="32"/>
          <w:lang w:val="zh-CN" w:eastAsia="zh-CN" w:bidi="ar-SA"/>
        </w:rPr>
        <w:t>。</w:t>
      </w:r>
      <w:r>
        <w:rPr>
          <w:rFonts w:hint="eastAsia" w:ascii="仿宋_GB2312" w:eastAsia="仿宋_GB2312" w:cs="仿宋_GB2312"/>
          <w:kern w:val="0"/>
          <w:sz w:val="32"/>
          <w:szCs w:val="32"/>
          <w:lang w:val="zh-CN" w:eastAsia="zh-CN" w:bidi="ar-SA"/>
        </w:rPr>
        <w:t>按照《行政事业单位内部控制规范（试行）》《财政部关于全面推进行政事业单位内部控制建设的指导意见》建立了单位内部控制体系，</w:t>
      </w:r>
      <w:r>
        <w:rPr>
          <w:rFonts w:hint="eastAsia" w:ascii="仿宋_GB2312" w:hAnsi="Times New Roman" w:eastAsia="仿宋_GB2312" w:cs="仿宋"/>
          <w:color w:val="auto"/>
          <w:kern w:val="0"/>
          <w:sz w:val="32"/>
          <w:szCs w:val="32"/>
          <w:lang w:val="zh-CN" w:eastAsia="zh-CN" w:bidi="ar-SA"/>
        </w:rPr>
        <w:t>建立健全</w:t>
      </w:r>
      <w:r>
        <w:rPr>
          <w:rFonts w:hint="eastAsia" w:ascii="仿宋_GB2312" w:eastAsia="仿宋_GB2312" w:cs="仿宋"/>
          <w:color w:val="auto"/>
          <w:kern w:val="0"/>
          <w:sz w:val="32"/>
          <w:szCs w:val="32"/>
          <w:lang w:val="en-US" w:eastAsia="zh-CN" w:bidi="ar-SA"/>
        </w:rPr>
        <w:t>了单位</w:t>
      </w:r>
      <w:r>
        <w:rPr>
          <w:rFonts w:hint="eastAsia" w:ascii="仿宋_GB2312" w:hAnsi="Times New Roman" w:eastAsia="仿宋_GB2312" w:cs="仿宋"/>
          <w:color w:val="auto"/>
          <w:kern w:val="0"/>
          <w:sz w:val="32"/>
          <w:szCs w:val="32"/>
          <w:lang w:val="zh-CN" w:eastAsia="zh-CN" w:bidi="ar-SA"/>
        </w:rPr>
        <w:t>内部</w:t>
      </w:r>
      <w:r>
        <w:rPr>
          <w:rFonts w:hint="eastAsia" w:ascii="仿宋_GB2312" w:eastAsia="仿宋_GB2312" w:cs="仿宋"/>
          <w:color w:val="auto"/>
          <w:kern w:val="0"/>
          <w:sz w:val="32"/>
          <w:szCs w:val="32"/>
          <w:lang w:val="en-US" w:eastAsia="zh-CN" w:bidi="ar-SA"/>
        </w:rPr>
        <w:t>管理制度</w:t>
      </w:r>
      <w:r>
        <w:rPr>
          <w:rFonts w:hint="eastAsia" w:ascii="仿宋_GB2312" w:hAnsi="Times New Roman" w:eastAsia="仿宋_GB2312" w:cs="仿宋"/>
          <w:color w:val="auto"/>
          <w:kern w:val="0"/>
          <w:sz w:val="32"/>
          <w:szCs w:val="32"/>
          <w:lang w:val="zh-CN" w:eastAsia="zh-CN" w:bidi="ar-SA"/>
        </w:rPr>
        <w:t>，加强财务工作和资金收支监管。根据内部控制的规定，成立了内部控制领导小组，涵盖了各业务部门和各项业务工作，加强对业务工作风险和财务风险的防控。成立了采购领导小组，梳理了采购流程，加强对采购项目的监管。</w:t>
      </w:r>
    </w:p>
    <w:p w14:paraId="213B52CF">
      <w:pPr>
        <w:keepNext w:val="0"/>
        <w:keepLines w:val="0"/>
        <w:widowControl/>
        <w:numPr>
          <w:ilvl w:val="0"/>
          <w:numId w:val="0"/>
        </w:numPr>
        <w:suppressLineNumbers w:val="0"/>
        <w:ind w:left="0" w:leftChars="0" w:firstLine="643" w:firstLineChars="200"/>
        <w:rPr>
          <w:rFonts w:hint="eastAsia" w:ascii="仿宋_GB2312" w:hAnsi="Times New Roman" w:eastAsia="仿宋_GB2312" w:cs="仿宋"/>
          <w:color w:val="auto"/>
          <w:kern w:val="0"/>
          <w:sz w:val="32"/>
          <w:szCs w:val="32"/>
          <w:lang w:val="en-US" w:eastAsia="zh-CN" w:bidi="ar-SA"/>
        </w:rPr>
      </w:pPr>
      <w:r>
        <w:rPr>
          <w:rFonts w:hint="eastAsia" w:ascii="仿宋_GB2312" w:eastAsia="仿宋_GB2312" w:cs="仿宋"/>
          <w:b/>
          <w:bCs/>
          <w:color w:val="auto"/>
          <w:kern w:val="0"/>
          <w:sz w:val="32"/>
          <w:szCs w:val="32"/>
          <w:lang w:val="en-US" w:eastAsia="zh-CN" w:bidi="ar-SA"/>
        </w:rPr>
        <w:t>4.</w:t>
      </w:r>
      <w:r>
        <w:rPr>
          <w:rFonts w:hint="default" w:ascii="仿宋_GB2312" w:hAnsi="Times New Roman" w:eastAsia="仿宋_GB2312" w:cs="仿宋"/>
          <w:b/>
          <w:bCs/>
          <w:color w:val="auto"/>
          <w:kern w:val="0"/>
          <w:sz w:val="32"/>
          <w:szCs w:val="32"/>
          <w:lang w:val="zh-CN" w:eastAsia="zh-CN" w:bidi="ar-SA"/>
        </w:rPr>
        <w:t>资产管理</w:t>
      </w:r>
      <w:r>
        <w:rPr>
          <w:rFonts w:hint="eastAsia" w:ascii="仿宋_GB2312" w:hAnsi="Times New Roman" w:eastAsia="仿宋_GB2312" w:cs="仿宋"/>
          <w:color w:val="auto"/>
          <w:kern w:val="0"/>
          <w:sz w:val="32"/>
          <w:szCs w:val="32"/>
          <w:lang w:val="zh-CN" w:eastAsia="zh-CN" w:bidi="ar-SA"/>
        </w:rPr>
        <w:t>。</w:t>
      </w:r>
      <w:r>
        <w:rPr>
          <w:rFonts w:hint="eastAsia" w:ascii="仿宋_GB2312" w:eastAsia="仿宋_GB2312" w:cs="仿宋"/>
          <w:color w:val="auto"/>
          <w:kern w:val="0"/>
          <w:sz w:val="32"/>
          <w:szCs w:val="32"/>
          <w:lang w:val="en-US" w:eastAsia="zh-CN" w:bidi="ar-SA"/>
        </w:rPr>
        <w:t>本单位</w:t>
      </w:r>
      <w:r>
        <w:rPr>
          <w:rFonts w:hint="eastAsia" w:ascii="仿宋_GB2312" w:hAnsi="Times New Roman" w:eastAsia="仿宋_GB2312" w:cs="仿宋"/>
          <w:color w:val="auto"/>
          <w:kern w:val="0"/>
          <w:sz w:val="32"/>
          <w:szCs w:val="32"/>
          <w:lang w:val="en-US" w:eastAsia="zh-CN" w:bidi="ar-SA"/>
        </w:rPr>
        <w:t>所在地是2023年9月建成投入使用的新场馆“三馆一中心”，作为提供青少年校外教育活动场所和设备设施的主要场所，单位人员编制7名，在职6名。年末资产净值为2059.94万元，计算</w:t>
      </w:r>
      <w:r>
        <w:rPr>
          <w:rFonts w:hint="default" w:ascii="仿宋_GB2312" w:hAnsi="Times New Roman" w:eastAsia="仿宋_GB2312" w:cs="仿宋"/>
          <w:color w:val="auto"/>
          <w:kern w:val="0"/>
          <w:sz w:val="32"/>
          <w:szCs w:val="32"/>
          <w:lang w:val="en-US" w:eastAsia="zh-CN" w:bidi="ar-SA"/>
        </w:rPr>
        <w:t>人均占有资产净值</w:t>
      </w:r>
      <w:r>
        <w:rPr>
          <w:rFonts w:hint="eastAsia" w:ascii="仿宋_GB2312" w:hAnsi="Times New Roman" w:eastAsia="仿宋_GB2312" w:cs="仿宋"/>
          <w:color w:val="auto"/>
          <w:kern w:val="0"/>
          <w:sz w:val="32"/>
          <w:szCs w:val="32"/>
          <w:lang w:val="en-US" w:eastAsia="zh-CN" w:bidi="ar-SA"/>
        </w:rPr>
        <w:t>及</w:t>
      </w:r>
      <w:r>
        <w:rPr>
          <w:rFonts w:hint="default" w:ascii="仿宋_GB2312" w:hAnsi="Times New Roman" w:eastAsia="仿宋_GB2312" w:cs="仿宋"/>
          <w:color w:val="auto"/>
          <w:kern w:val="0"/>
          <w:sz w:val="32"/>
          <w:szCs w:val="32"/>
          <w:lang w:val="en-US" w:eastAsia="zh-CN" w:bidi="ar-SA"/>
        </w:rPr>
        <w:t>人均资产变化率</w:t>
      </w:r>
      <w:r>
        <w:rPr>
          <w:rFonts w:hint="eastAsia" w:ascii="仿宋_GB2312" w:hAnsi="Times New Roman" w:eastAsia="仿宋_GB2312" w:cs="仿宋"/>
          <w:color w:val="auto"/>
          <w:kern w:val="0"/>
          <w:sz w:val="32"/>
          <w:szCs w:val="32"/>
          <w:lang w:val="en-US" w:eastAsia="zh-CN" w:bidi="ar-SA"/>
        </w:rPr>
        <w:t>，客观来讲是不合理的。中心是提供青少年校外教育活动场所和设备设施的主体，承接马尔康辖区内广大青少年的校外教育活动，中心的着力点和目标是充分利用和发挥好现有的场馆空间和设施设备，</w:t>
      </w:r>
      <w:r>
        <w:rPr>
          <w:rFonts w:hint="default" w:ascii="仿宋_GB2312" w:hAnsi="Times New Roman" w:eastAsia="仿宋_GB2312" w:cs="仿宋"/>
          <w:color w:val="auto"/>
          <w:kern w:val="0"/>
          <w:sz w:val="32"/>
          <w:szCs w:val="32"/>
          <w:lang w:val="en-US" w:eastAsia="zh-CN" w:bidi="ar-SA"/>
        </w:rPr>
        <w:t>以“总量控制、结构优化、效益优先、动态管理”为原则，通过量化考核与过程管理，引导各部门树立资产效益意识，优化资产配置，盘活存量资产，降低闲置浪费，全面提升资产管理精细化与科学化水平</w:t>
      </w:r>
      <w:r>
        <w:rPr>
          <w:rFonts w:hint="eastAsia" w:ascii="仿宋_GB2312" w:hAnsi="Times New Roman" w:eastAsia="仿宋_GB2312" w:cs="仿宋"/>
          <w:color w:val="auto"/>
          <w:kern w:val="0"/>
          <w:sz w:val="32"/>
          <w:szCs w:val="32"/>
          <w:lang w:val="en-US" w:eastAsia="zh-CN" w:bidi="ar-SA"/>
        </w:rPr>
        <w:t>。</w:t>
      </w:r>
    </w:p>
    <w:p w14:paraId="5F20A80B">
      <w:pPr>
        <w:keepNext w:val="0"/>
        <w:keepLines w:val="0"/>
        <w:widowControl/>
        <w:suppressLineNumbers w:val="0"/>
        <w:ind w:firstLine="643" w:firstLineChars="200"/>
        <w:rPr>
          <w:rFonts w:hint="default" w:ascii="仿宋_GB2312" w:hAnsi="Times New Roman" w:eastAsia="仿宋_GB2312" w:cs="仿宋"/>
          <w:color w:val="auto"/>
          <w:kern w:val="0"/>
          <w:sz w:val="32"/>
          <w:szCs w:val="32"/>
          <w:lang w:val="zh-CN" w:eastAsia="zh-CN" w:bidi="ar-SA"/>
        </w:rPr>
      </w:pPr>
      <w:r>
        <w:rPr>
          <w:rFonts w:hint="eastAsia" w:ascii="仿宋_GB2312" w:hAnsi="Times New Roman" w:eastAsia="仿宋_GB2312" w:cs="仿宋"/>
          <w:b/>
          <w:bCs/>
          <w:color w:val="auto"/>
          <w:kern w:val="0"/>
          <w:sz w:val="32"/>
          <w:szCs w:val="32"/>
          <w:lang w:val="en-US" w:eastAsia="zh-CN" w:bidi="ar-SA"/>
        </w:rPr>
        <w:t>5.</w:t>
      </w:r>
      <w:r>
        <w:rPr>
          <w:rFonts w:hint="default" w:ascii="仿宋_GB2312" w:hAnsi="Times New Roman" w:eastAsia="仿宋_GB2312" w:cs="仿宋"/>
          <w:b/>
          <w:bCs/>
          <w:color w:val="auto"/>
          <w:kern w:val="0"/>
          <w:sz w:val="32"/>
          <w:szCs w:val="32"/>
          <w:lang w:val="zh-CN" w:eastAsia="zh-CN" w:bidi="ar-SA"/>
        </w:rPr>
        <w:t>采购管理</w:t>
      </w:r>
      <w:r>
        <w:rPr>
          <w:rFonts w:hint="eastAsia" w:ascii="仿宋_GB2312" w:hAnsi="Times New Roman" w:eastAsia="仿宋_GB2312" w:cs="仿宋"/>
          <w:b/>
          <w:bCs/>
          <w:color w:val="auto"/>
          <w:kern w:val="0"/>
          <w:sz w:val="32"/>
          <w:szCs w:val="32"/>
          <w:lang w:val="zh-CN" w:eastAsia="zh-CN" w:bidi="ar-SA"/>
        </w:rPr>
        <w:t>。</w:t>
      </w:r>
      <w:r>
        <w:rPr>
          <w:rFonts w:hint="eastAsia" w:ascii="仿宋_GB2312" w:hAnsi="Times New Roman" w:eastAsia="仿宋_GB2312" w:cs="仿宋"/>
          <w:color w:val="auto"/>
          <w:kern w:val="0"/>
          <w:sz w:val="32"/>
          <w:szCs w:val="32"/>
          <w:lang w:val="en-US" w:eastAsia="zh-CN" w:bidi="ar-SA"/>
        </w:rPr>
        <w:t>本单位本年</w:t>
      </w:r>
      <w:r>
        <w:rPr>
          <w:rFonts w:hint="default" w:ascii="仿宋_GB2312" w:hAnsi="Times New Roman" w:eastAsia="仿宋_GB2312" w:cs="仿宋"/>
          <w:color w:val="auto"/>
          <w:kern w:val="0"/>
          <w:sz w:val="32"/>
          <w:szCs w:val="32"/>
          <w:lang w:val="zh-CN" w:eastAsia="zh-CN" w:bidi="ar-SA"/>
        </w:rPr>
        <w:t>围绕支持中小企业发展</w:t>
      </w:r>
      <w:r>
        <w:rPr>
          <w:rFonts w:hint="eastAsia" w:ascii="仿宋_GB2312" w:hAnsi="Times New Roman" w:eastAsia="仿宋_GB2312" w:cs="仿宋"/>
          <w:color w:val="auto"/>
          <w:kern w:val="0"/>
          <w:sz w:val="32"/>
          <w:szCs w:val="32"/>
          <w:lang w:val="en-US" w:eastAsia="zh-CN" w:bidi="ar-SA"/>
        </w:rPr>
        <w:t>实施的采购项目一项7万元，严格按照采购目录内容实施了框架协议采购，</w:t>
      </w:r>
      <w:r>
        <w:rPr>
          <w:rFonts w:hint="default" w:ascii="仿宋_GB2312" w:hAnsi="Times New Roman" w:eastAsia="仿宋_GB2312" w:cs="仿宋"/>
          <w:color w:val="auto"/>
          <w:kern w:val="0"/>
          <w:sz w:val="32"/>
          <w:szCs w:val="32"/>
          <w:lang w:val="zh-CN" w:eastAsia="zh-CN" w:bidi="ar-SA"/>
        </w:rPr>
        <w:t>采购执行率</w:t>
      </w:r>
      <w:r>
        <w:rPr>
          <w:rFonts w:hint="eastAsia" w:ascii="仿宋_GB2312" w:hAnsi="Times New Roman" w:eastAsia="仿宋_GB2312" w:cs="仿宋"/>
          <w:color w:val="auto"/>
          <w:kern w:val="0"/>
          <w:sz w:val="32"/>
          <w:szCs w:val="32"/>
          <w:lang w:val="en-US" w:eastAsia="zh-CN" w:bidi="ar-SA"/>
        </w:rPr>
        <w:t>达到100%</w:t>
      </w:r>
      <w:r>
        <w:rPr>
          <w:rFonts w:hint="default" w:ascii="仿宋_GB2312" w:hAnsi="Times New Roman" w:eastAsia="仿宋_GB2312" w:cs="仿宋"/>
          <w:color w:val="auto"/>
          <w:kern w:val="0"/>
          <w:sz w:val="32"/>
          <w:szCs w:val="32"/>
          <w:lang w:val="zh-CN" w:eastAsia="zh-CN" w:bidi="ar-SA"/>
        </w:rPr>
        <w:t>。</w:t>
      </w:r>
    </w:p>
    <w:p w14:paraId="4882D3D4">
      <w:pPr>
        <w:keepNext w:val="0"/>
        <w:keepLines w:val="0"/>
        <w:widowControl/>
        <w:suppressLineNumbers w:val="0"/>
        <w:ind w:firstLine="640" w:firstLineChars="200"/>
        <w:rPr>
          <w:rFonts w:hint="default" w:ascii="仿宋_GB2312" w:hAnsi="Times New Roman" w:eastAsia="仿宋_GB2312" w:cs="仿宋"/>
          <w:color w:val="auto"/>
          <w:kern w:val="0"/>
          <w:sz w:val="32"/>
          <w:szCs w:val="32"/>
          <w:lang w:val="en-US" w:eastAsia="zh-CN" w:bidi="ar-SA"/>
        </w:rPr>
      </w:pPr>
      <w:r>
        <w:rPr>
          <w:rFonts w:hint="default" w:ascii="仿宋_GB2312" w:hAnsi="Times New Roman" w:eastAsia="仿宋_GB2312" w:cs="仿宋"/>
          <w:color w:val="auto"/>
          <w:kern w:val="0"/>
          <w:sz w:val="32"/>
          <w:szCs w:val="32"/>
          <w:lang w:val="zh-CN" w:eastAsia="zh-CN" w:bidi="ar-SA"/>
        </w:rPr>
        <w:t>（二）部门预算项目绩效分析。</w:t>
      </w:r>
      <w:r>
        <w:rPr>
          <w:rFonts w:hint="eastAsia" w:ascii="仿宋_GB2312" w:hAnsi="Times New Roman" w:eastAsia="仿宋_GB2312" w:cs="仿宋"/>
          <w:color w:val="auto"/>
          <w:kern w:val="0"/>
          <w:sz w:val="32"/>
          <w:szCs w:val="32"/>
          <w:lang w:val="zh-CN" w:eastAsia="zh-CN" w:bidi="ar-SA"/>
        </w:rPr>
        <w:t>填报以下数据，并</w:t>
      </w:r>
      <w:r>
        <w:rPr>
          <w:rFonts w:hint="default" w:ascii="仿宋_GB2312" w:hAnsi="Times New Roman" w:eastAsia="仿宋_GB2312" w:cs="仿宋"/>
          <w:color w:val="auto"/>
          <w:kern w:val="0"/>
          <w:sz w:val="32"/>
          <w:szCs w:val="32"/>
          <w:lang w:val="zh-CN" w:eastAsia="zh-CN" w:bidi="ar-SA"/>
        </w:rPr>
        <w:t>根据部门预算绩效评价指标体系“项目绩效”涉及</w:t>
      </w:r>
      <w:r>
        <w:rPr>
          <w:rFonts w:hint="eastAsia" w:ascii="仿宋_GB2312" w:hAnsi="Times New Roman" w:eastAsia="仿宋_GB2312" w:cs="仿宋"/>
          <w:color w:val="auto"/>
          <w:kern w:val="0"/>
          <w:sz w:val="32"/>
          <w:szCs w:val="32"/>
          <w:lang w:val="zh-CN" w:eastAsia="zh-CN" w:bidi="ar-SA"/>
        </w:rPr>
        <w:t>二、三级</w:t>
      </w:r>
      <w:r>
        <w:rPr>
          <w:rFonts w:hint="default" w:ascii="仿宋_GB2312" w:hAnsi="Times New Roman" w:eastAsia="仿宋_GB2312" w:cs="仿宋"/>
          <w:color w:val="auto"/>
          <w:kern w:val="0"/>
          <w:sz w:val="32"/>
          <w:szCs w:val="32"/>
          <w:lang w:val="zh-CN" w:eastAsia="zh-CN" w:bidi="ar-SA"/>
        </w:rPr>
        <w:t>指标进行</w:t>
      </w:r>
      <w:r>
        <w:rPr>
          <w:rFonts w:hint="eastAsia" w:ascii="仿宋_GB2312" w:hAnsi="Times New Roman" w:eastAsia="仿宋_GB2312" w:cs="仿宋"/>
          <w:color w:val="auto"/>
          <w:kern w:val="0"/>
          <w:sz w:val="32"/>
          <w:szCs w:val="32"/>
          <w:lang w:val="zh-CN" w:eastAsia="zh-CN" w:bidi="ar-SA"/>
        </w:rPr>
        <w:t>逐项</w:t>
      </w:r>
      <w:r>
        <w:rPr>
          <w:rFonts w:hint="default" w:ascii="仿宋_GB2312" w:hAnsi="Times New Roman" w:eastAsia="仿宋_GB2312" w:cs="仿宋"/>
          <w:color w:val="auto"/>
          <w:kern w:val="0"/>
          <w:sz w:val="32"/>
          <w:szCs w:val="32"/>
          <w:lang w:val="zh-CN" w:eastAsia="zh-CN" w:bidi="ar-SA"/>
        </w:rPr>
        <w:t>绩效分析</w:t>
      </w:r>
      <w:r>
        <w:rPr>
          <w:rFonts w:hint="eastAsia" w:ascii="仿宋_GB2312" w:hAnsi="Times New Roman" w:eastAsia="仿宋_GB2312" w:cs="仿宋"/>
          <w:color w:val="auto"/>
          <w:kern w:val="0"/>
          <w:sz w:val="32"/>
          <w:szCs w:val="32"/>
          <w:lang w:val="zh-CN" w:eastAsia="zh-CN" w:bidi="ar-SA"/>
        </w:rPr>
        <w:t>并评分</w:t>
      </w:r>
      <w:r>
        <w:rPr>
          <w:rFonts w:hint="default" w:ascii="仿宋_GB2312" w:hAnsi="Times New Roman" w:eastAsia="仿宋_GB2312" w:cs="仿宋"/>
          <w:color w:val="auto"/>
          <w:kern w:val="0"/>
          <w:sz w:val="32"/>
          <w:szCs w:val="32"/>
          <w:lang w:val="zh-CN" w:eastAsia="zh-CN" w:bidi="ar-SA"/>
        </w:rPr>
        <w:t>，依次包括项目</w:t>
      </w:r>
      <w:r>
        <w:rPr>
          <w:rFonts w:hint="default" w:ascii="仿宋_GB2312" w:hAnsi="Times New Roman" w:eastAsia="仿宋_GB2312" w:cs="仿宋"/>
          <w:color w:val="auto"/>
          <w:kern w:val="0"/>
          <w:sz w:val="32"/>
          <w:szCs w:val="32"/>
          <w:lang w:val="en-US" w:eastAsia="zh-CN" w:bidi="ar-SA"/>
        </w:rPr>
        <w:t>决策、项目执行、目标实现等情况</w:t>
      </w:r>
      <w:r>
        <w:rPr>
          <w:rFonts w:hint="eastAsia" w:ascii="仿宋_GB2312" w:hAnsi="Times New Roman" w:eastAsia="仿宋_GB2312" w:cs="仿宋"/>
          <w:color w:val="auto"/>
          <w:kern w:val="0"/>
          <w:sz w:val="32"/>
          <w:szCs w:val="32"/>
          <w:lang w:val="en-US" w:eastAsia="zh-CN" w:bidi="ar-SA"/>
        </w:rPr>
        <w:t>。</w:t>
      </w:r>
    </w:p>
    <w:p w14:paraId="7F17A568">
      <w:pPr>
        <w:keepNext w:val="0"/>
        <w:keepLines w:val="0"/>
        <w:widowControl/>
        <w:suppressLineNumbers w:val="0"/>
        <w:ind w:firstLine="640" w:firstLineChars="200"/>
        <w:rPr>
          <w:rFonts w:hint="default" w:ascii="仿宋_GB2312" w:hAnsi="Times New Roman" w:eastAsia="仿宋_GB2312" w:cs="仿宋"/>
          <w:color w:val="auto"/>
          <w:kern w:val="0"/>
          <w:sz w:val="32"/>
          <w:szCs w:val="32"/>
          <w:lang w:val="zh-CN" w:eastAsia="zh-CN" w:bidi="ar-SA"/>
        </w:rPr>
      </w:pPr>
      <w:r>
        <w:rPr>
          <w:rFonts w:hint="default" w:ascii="仿宋_GB2312" w:hAnsi="Times New Roman" w:eastAsia="仿宋_GB2312" w:cs="仿宋"/>
          <w:color w:val="auto"/>
          <w:kern w:val="0"/>
          <w:sz w:val="32"/>
          <w:szCs w:val="32"/>
          <w:lang w:val="en-US" w:eastAsia="zh-CN" w:bidi="ar-SA"/>
        </w:rPr>
        <w:t>常年项目绩效分析。</w:t>
      </w:r>
      <w:r>
        <w:rPr>
          <w:rFonts w:hint="default" w:ascii="仿宋_GB2312" w:hAnsi="Times New Roman" w:eastAsia="仿宋_GB2312" w:cs="仿宋"/>
          <w:color w:val="auto"/>
          <w:kern w:val="0"/>
          <w:sz w:val="32"/>
          <w:szCs w:val="32"/>
          <w:lang w:val="zh-CN" w:eastAsia="zh-CN" w:bidi="ar-SA"/>
        </w:rPr>
        <w:t>该类项目总数</w:t>
      </w:r>
      <w:r>
        <w:rPr>
          <w:rFonts w:hint="default" w:ascii="仿宋_GB2312" w:hAnsi="Times New Roman" w:eastAsia="仿宋_GB2312" w:cs="仿宋"/>
          <w:color w:val="auto"/>
          <w:kern w:val="0"/>
          <w:sz w:val="32"/>
          <w:szCs w:val="32"/>
          <w:lang w:val="en-US" w:eastAsia="zh-CN" w:bidi="ar-SA"/>
        </w:rPr>
        <w:t xml:space="preserve"> </w:t>
      </w:r>
      <w:r>
        <w:rPr>
          <w:rFonts w:hint="eastAsia" w:ascii="仿宋_GB2312" w:hAnsi="Times New Roman" w:eastAsia="仿宋_GB2312" w:cs="仿宋"/>
          <w:color w:val="auto"/>
          <w:kern w:val="0"/>
          <w:sz w:val="32"/>
          <w:szCs w:val="32"/>
          <w:lang w:val="en-US" w:eastAsia="zh-CN" w:bidi="ar-SA"/>
        </w:rPr>
        <w:t>1</w:t>
      </w:r>
      <w:r>
        <w:rPr>
          <w:rFonts w:hint="default" w:ascii="仿宋_GB2312" w:hAnsi="Times New Roman" w:eastAsia="仿宋_GB2312" w:cs="仿宋"/>
          <w:color w:val="auto"/>
          <w:kern w:val="0"/>
          <w:sz w:val="32"/>
          <w:szCs w:val="32"/>
          <w:lang w:val="en-US" w:eastAsia="zh-CN" w:bidi="ar-SA"/>
        </w:rPr>
        <w:t xml:space="preserve"> </w:t>
      </w:r>
      <w:r>
        <w:rPr>
          <w:rFonts w:hint="default" w:ascii="仿宋_GB2312" w:hAnsi="Times New Roman" w:eastAsia="仿宋_GB2312" w:cs="仿宋"/>
          <w:color w:val="auto"/>
          <w:kern w:val="0"/>
          <w:sz w:val="32"/>
          <w:szCs w:val="32"/>
          <w:lang w:val="zh-CN" w:eastAsia="zh-CN" w:bidi="ar-SA"/>
        </w:rPr>
        <w:t>个，</w:t>
      </w:r>
      <w:r>
        <w:rPr>
          <w:rFonts w:hint="eastAsia" w:ascii="仿宋_GB2312" w:eastAsia="仿宋_GB2312" w:cs="仿宋"/>
          <w:color w:val="auto"/>
          <w:kern w:val="0"/>
          <w:sz w:val="32"/>
          <w:szCs w:val="32"/>
          <w:lang w:val="en-US" w:eastAsia="zh-CN" w:bidi="ar-SA"/>
        </w:rPr>
        <w:t>活动运转结费项目</w:t>
      </w:r>
      <w:r>
        <w:rPr>
          <w:rFonts w:hint="default" w:ascii="仿宋_GB2312" w:hAnsi="Times New Roman" w:eastAsia="仿宋_GB2312" w:cs="仿宋"/>
          <w:color w:val="auto"/>
          <w:kern w:val="0"/>
          <w:sz w:val="32"/>
          <w:szCs w:val="32"/>
          <w:lang w:val="zh-CN" w:eastAsia="zh-CN" w:bidi="ar-SA"/>
        </w:rPr>
        <w:t>涉及预算总金额</w:t>
      </w:r>
      <w:r>
        <w:rPr>
          <w:rFonts w:hint="eastAsia" w:ascii="仿宋_GB2312" w:hAnsi="Times New Roman" w:eastAsia="仿宋_GB2312" w:cs="仿宋"/>
          <w:color w:val="auto"/>
          <w:kern w:val="0"/>
          <w:sz w:val="32"/>
          <w:szCs w:val="32"/>
          <w:lang w:val="en-US" w:eastAsia="zh-CN" w:bidi="ar-SA"/>
        </w:rPr>
        <w:t>115</w:t>
      </w:r>
      <w:r>
        <w:rPr>
          <w:rFonts w:hint="default" w:ascii="仿宋_GB2312" w:hAnsi="Times New Roman" w:eastAsia="仿宋_GB2312" w:cs="仿宋"/>
          <w:color w:val="auto"/>
          <w:kern w:val="0"/>
          <w:sz w:val="32"/>
          <w:szCs w:val="32"/>
          <w:lang w:val="zh-CN" w:eastAsia="zh-CN" w:bidi="ar-SA"/>
        </w:rPr>
        <w:t>万元，1</w:t>
      </w:r>
      <w:r>
        <w:rPr>
          <w:rFonts w:hint="eastAsia" w:ascii="仿宋_GB2312" w:hAnsi="Times New Roman" w:eastAsia="仿宋_GB2312" w:cs="仿宋"/>
          <w:color w:val="auto"/>
          <w:kern w:val="0"/>
          <w:sz w:val="32"/>
          <w:szCs w:val="32"/>
          <w:lang w:val="zh-CN" w:eastAsia="zh-CN" w:bidi="ar-SA"/>
        </w:rPr>
        <w:t>—</w:t>
      </w:r>
      <w:r>
        <w:rPr>
          <w:rFonts w:hint="default" w:ascii="仿宋_GB2312" w:hAnsi="Times New Roman" w:eastAsia="仿宋_GB2312" w:cs="仿宋"/>
          <w:color w:val="auto"/>
          <w:kern w:val="0"/>
          <w:sz w:val="32"/>
          <w:szCs w:val="32"/>
          <w:lang w:val="zh-CN" w:eastAsia="zh-CN" w:bidi="ar-SA"/>
        </w:rPr>
        <w:t>1</w:t>
      </w:r>
      <w:r>
        <w:rPr>
          <w:rFonts w:hint="default" w:ascii="仿宋_GB2312" w:hAnsi="Times New Roman" w:eastAsia="仿宋_GB2312" w:cs="仿宋"/>
          <w:color w:val="auto"/>
          <w:kern w:val="0"/>
          <w:sz w:val="32"/>
          <w:szCs w:val="32"/>
          <w:lang w:val="en-US" w:eastAsia="zh-CN" w:bidi="ar-SA"/>
        </w:rPr>
        <w:t>2</w:t>
      </w:r>
      <w:r>
        <w:rPr>
          <w:rFonts w:hint="default" w:ascii="仿宋_GB2312" w:hAnsi="Times New Roman" w:eastAsia="仿宋_GB2312" w:cs="仿宋"/>
          <w:color w:val="auto"/>
          <w:kern w:val="0"/>
          <w:sz w:val="32"/>
          <w:szCs w:val="32"/>
          <w:lang w:val="zh-CN" w:eastAsia="zh-CN" w:bidi="ar-SA"/>
        </w:rPr>
        <w:t>月预算执行总体进度为</w:t>
      </w:r>
      <w:r>
        <w:rPr>
          <w:rFonts w:hint="default" w:ascii="仿宋_GB2312" w:hAnsi="Times New Roman" w:eastAsia="仿宋_GB2312" w:cs="仿宋"/>
          <w:color w:val="auto"/>
          <w:kern w:val="0"/>
          <w:sz w:val="32"/>
          <w:szCs w:val="32"/>
          <w:lang w:val="en-US" w:eastAsia="zh-CN" w:bidi="ar-SA"/>
        </w:rPr>
        <w:t xml:space="preserve"> </w:t>
      </w:r>
      <w:r>
        <w:rPr>
          <w:rFonts w:hint="eastAsia" w:ascii="仿宋_GB2312" w:hAnsi="Times New Roman" w:eastAsia="仿宋_GB2312" w:cs="仿宋"/>
          <w:color w:val="auto"/>
          <w:kern w:val="0"/>
          <w:sz w:val="32"/>
          <w:szCs w:val="32"/>
          <w:lang w:val="en-US" w:eastAsia="zh-CN" w:bidi="ar-SA"/>
        </w:rPr>
        <w:t>100</w:t>
      </w:r>
      <w:r>
        <w:rPr>
          <w:rFonts w:hint="default" w:ascii="仿宋_GB2312" w:hAnsi="Times New Roman" w:eastAsia="仿宋_GB2312" w:cs="仿宋"/>
          <w:color w:val="auto"/>
          <w:kern w:val="0"/>
          <w:sz w:val="32"/>
          <w:szCs w:val="32"/>
          <w:lang w:val="en-US" w:eastAsia="zh-CN" w:bidi="ar-SA"/>
        </w:rPr>
        <w:t xml:space="preserve"> </w:t>
      </w:r>
      <w:r>
        <w:rPr>
          <w:rFonts w:hint="default" w:ascii="仿宋_GB2312" w:hAnsi="Times New Roman" w:eastAsia="仿宋_GB2312" w:cs="仿宋"/>
          <w:color w:val="auto"/>
          <w:kern w:val="0"/>
          <w:sz w:val="32"/>
          <w:szCs w:val="32"/>
          <w:lang w:val="zh-CN" w:eastAsia="zh-CN" w:bidi="ar-SA"/>
        </w:rPr>
        <w:t>%，其中：预算结余率大于</w:t>
      </w:r>
      <w:r>
        <w:rPr>
          <w:rFonts w:hint="default" w:ascii="仿宋_GB2312" w:hAnsi="Times New Roman" w:eastAsia="仿宋_GB2312" w:cs="仿宋"/>
          <w:color w:val="auto"/>
          <w:kern w:val="0"/>
          <w:sz w:val="32"/>
          <w:szCs w:val="32"/>
          <w:lang w:val="en-US" w:eastAsia="zh-CN" w:bidi="ar-SA"/>
        </w:rPr>
        <w:t>10%</w:t>
      </w:r>
      <w:r>
        <w:rPr>
          <w:rFonts w:hint="default" w:ascii="仿宋_GB2312" w:hAnsi="Times New Roman" w:eastAsia="仿宋_GB2312" w:cs="仿宋"/>
          <w:color w:val="auto"/>
          <w:kern w:val="0"/>
          <w:sz w:val="32"/>
          <w:szCs w:val="32"/>
          <w:lang w:val="zh-CN" w:eastAsia="zh-CN" w:bidi="ar-SA"/>
        </w:rPr>
        <w:t>的项目共计</w:t>
      </w:r>
      <w:r>
        <w:rPr>
          <w:rFonts w:hint="default" w:ascii="仿宋_GB2312" w:hAnsi="Times New Roman" w:eastAsia="仿宋_GB2312" w:cs="仿宋"/>
          <w:color w:val="auto"/>
          <w:kern w:val="0"/>
          <w:sz w:val="32"/>
          <w:szCs w:val="32"/>
          <w:lang w:val="en-US" w:eastAsia="zh-CN" w:bidi="ar-SA"/>
        </w:rPr>
        <w:t xml:space="preserve"> </w:t>
      </w:r>
      <w:r>
        <w:rPr>
          <w:rFonts w:hint="eastAsia" w:ascii="仿宋_GB2312" w:hAnsi="Times New Roman" w:eastAsia="仿宋_GB2312" w:cs="仿宋"/>
          <w:color w:val="auto"/>
          <w:kern w:val="0"/>
          <w:sz w:val="32"/>
          <w:szCs w:val="32"/>
          <w:lang w:val="en-US" w:eastAsia="zh-CN" w:bidi="ar-SA"/>
        </w:rPr>
        <w:t>0</w:t>
      </w:r>
      <w:r>
        <w:rPr>
          <w:rFonts w:hint="default" w:ascii="仿宋_GB2312" w:hAnsi="Times New Roman" w:eastAsia="仿宋_GB2312" w:cs="仿宋"/>
          <w:color w:val="auto"/>
          <w:kern w:val="0"/>
          <w:sz w:val="32"/>
          <w:szCs w:val="32"/>
          <w:lang w:val="en-US" w:eastAsia="zh-CN" w:bidi="ar-SA"/>
        </w:rPr>
        <w:t xml:space="preserve"> </w:t>
      </w:r>
      <w:r>
        <w:rPr>
          <w:rFonts w:hint="default" w:ascii="仿宋_GB2312" w:hAnsi="Times New Roman" w:eastAsia="仿宋_GB2312" w:cs="仿宋"/>
          <w:color w:val="auto"/>
          <w:kern w:val="0"/>
          <w:sz w:val="32"/>
          <w:szCs w:val="32"/>
          <w:lang w:val="zh-CN" w:eastAsia="zh-CN" w:bidi="ar-SA"/>
        </w:rPr>
        <w:t>个。</w:t>
      </w:r>
    </w:p>
    <w:p w14:paraId="551BAA23">
      <w:pPr>
        <w:pStyle w:val="2"/>
        <w:ind w:firstLine="640" w:firstLineChars="200"/>
        <w:rPr>
          <w:rFonts w:hint="default"/>
          <w:lang w:val="zh-CN" w:eastAsia="zh-CN"/>
        </w:rPr>
      </w:pPr>
      <w:r>
        <w:rPr>
          <w:rFonts w:hint="default" w:ascii="仿宋_GB2312" w:hAnsi="Times New Roman" w:eastAsia="仿宋_GB2312" w:cs="仿宋"/>
          <w:color w:val="auto"/>
          <w:kern w:val="0"/>
          <w:sz w:val="32"/>
          <w:szCs w:val="32"/>
          <w:lang w:val="en-US" w:eastAsia="zh-CN" w:bidi="ar-SA"/>
        </w:rPr>
        <w:t>阶段</w:t>
      </w:r>
      <w:r>
        <w:rPr>
          <w:rFonts w:hint="eastAsia" w:ascii="仿宋_GB2312" w:hAnsi="Times New Roman" w:eastAsia="仿宋_GB2312" w:cs="仿宋"/>
          <w:color w:val="auto"/>
          <w:kern w:val="0"/>
          <w:sz w:val="32"/>
          <w:szCs w:val="32"/>
          <w:lang w:val="en-US" w:eastAsia="zh-CN" w:bidi="ar-SA"/>
        </w:rPr>
        <w:t>（</w:t>
      </w:r>
      <w:r>
        <w:rPr>
          <w:rFonts w:hint="default" w:ascii="仿宋_GB2312" w:hAnsi="Times New Roman" w:eastAsia="仿宋_GB2312" w:cs="仿宋"/>
          <w:color w:val="auto"/>
          <w:kern w:val="0"/>
          <w:sz w:val="32"/>
          <w:szCs w:val="32"/>
          <w:lang w:val="en-US" w:eastAsia="zh-CN" w:bidi="ar-SA"/>
        </w:rPr>
        <w:t>一次性</w:t>
      </w:r>
      <w:r>
        <w:rPr>
          <w:rFonts w:hint="eastAsia" w:ascii="仿宋_GB2312" w:hAnsi="Times New Roman" w:eastAsia="仿宋_GB2312" w:cs="仿宋"/>
          <w:color w:val="auto"/>
          <w:kern w:val="0"/>
          <w:sz w:val="32"/>
          <w:szCs w:val="32"/>
          <w:lang w:val="en-US" w:eastAsia="zh-CN" w:bidi="ar-SA"/>
        </w:rPr>
        <w:t>）</w:t>
      </w:r>
      <w:r>
        <w:rPr>
          <w:rFonts w:hint="default" w:ascii="仿宋_GB2312" w:hAnsi="Times New Roman" w:eastAsia="仿宋_GB2312" w:cs="仿宋"/>
          <w:color w:val="auto"/>
          <w:kern w:val="0"/>
          <w:sz w:val="32"/>
          <w:szCs w:val="32"/>
          <w:lang w:val="en-US" w:eastAsia="zh-CN" w:bidi="ar-SA"/>
        </w:rPr>
        <w:t>项目绩效分析。</w:t>
      </w:r>
      <w:r>
        <w:rPr>
          <w:rFonts w:hint="default" w:ascii="仿宋_GB2312" w:hAnsi="Times New Roman" w:eastAsia="仿宋_GB2312" w:cs="仿宋"/>
          <w:color w:val="auto"/>
          <w:kern w:val="0"/>
          <w:sz w:val="32"/>
          <w:szCs w:val="32"/>
          <w:lang w:val="zh-CN" w:eastAsia="zh-CN" w:bidi="ar-SA"/>
        </w:rPr>
        <w:t>该类项目总数</w:t>
      </w:r>
      <w:r>
        <w:rPr>
          <w:rFonts w:hint="default" w:ascii="仿宋_GB2312" w:hAnsi="Times New Roman" w:eastAsia="仿宋_GB2312" w:cs="仿宋"/>
          <w:color w:val="auto"/>
          <w:kern w:val="0"/>
          <w:sz w:val="32"/>
          <w:szCs w:val="32"/>
          <w:lang w:val="en-US" w:eastAsia="zh-CN" w:bidi="ar-SA"/>
        </w:rPr>
        <w:t xml:space="preserve"> </w:t>
      </w:r>
      <w:r>
        <w:rPr>
          <w:rFonts w:hint="eastAsia" w:ascii="仿宋_GB2312" w:hAnsi="Times New Roman" w:eastAsia="仿宋_GB2312" w:cs="仿宋"/>
          <w:color w:val="auto"/>
          <w:kern w:val="0"/>
          <w:sz w:val="32"/>
          <w:szCs w:val="32"/>
          <w:lang w:val="en-US" w:eastAsia="zh-CN" w:bidi="ar-SA"/>
        </w:rPr>
        <w:t>0</w:t>
      </w:r>
      <w:r>
        <w:rPr>
          <w:rFonts w:hint="default" w:ascii="仿宋_GB2312" w:hAnsi="Times New Roman" w:eastAsia="仿宋_GB2312" w:cs="仿宋"/>
          <w:color w:val="auto"/>
          <w:kern w:val="0"/>
          <w:sz w:val="32"/>
          <w:szCs w:val="32"/>
          <w:lang w:val="en-US" w:eastAsia="zh-CN" w:bidi="ar-SA"/>
        </w:rPr>
        <w:t xml:space="preserve"> </w:t>
      </w:r>
      <w:r>
        <w:rPr>
          <w:rFonts w:hint="default" w:ascii="仿宋_GB2312" w:hAnsi="Times New Roman" w:eastAsia="仿宋_GB2312" w:cs="仿宋"/>
          <w:color w:val="auto"/>
          <w:kern w:val="0"/>
          <w:sz w:val="32"/>
          <w:szCs w:val="32"/>
          <w:lang w:val="zh-CN" w:eastAsia="zh-CN" w:bidi="ar-SA"/>
        </w:rPr>
        <w:t>个，涉及预算总金额</w:t>
      </w:r>
      <w:r>
        <w:rPr>
          <w:rFonts w:hint="default" w:ascii="仿宋_GB2312" w:hAnsi="Times New Roman" w:eastAsia="仿宋_GB2312" w:cs="仿宋"/>
          <w:color w:val="auto"/>
          <w:kern w:val="0"/>
          <w:sz w:val="32"/>
          <w:szCs w:val="32"/>
          <w:lang w:val="en-US" w:eastAsia="zh-CN" w:bidi="ar-SA"/>
        </w:rPr>
        <w:t xml:space="preserve"> </w:t>
      </w:r>
      <w:r>
        <w:rPr>
          <w:rFonts w:hint="eastAsia" w:ascii="仿宋_GB2312" w:hAnsi="Times New Roman" w:eastAsia="仿宋_GB2312" w:cs="仿宋"/>
          <w:color w:val="auto"/>
          <w:kern w:val="0"/>
          <w:sz w:val="32"/>
          <w:szCs w:val="32"/>
          <w:lang w:val="en-US" w:eastAsia="zh-CN" w:bidi="ar-SA"/>
        </w:rPr>
        <w:t>0</w:t>
      </w:r>
      <w:r>
        <w:rPr>
          <w:rFonts w:hint="default" w:ascii="仿宋_GB2312" w:hAnsi="Times New Roman" w:eastAsia="仿宋_GB2312" w:cs="仿宋"/>
          <w:color w:val="auto"/>
          <w:kern w:val="0"/>
          <w:sz w:val="32"/>
          <w:szCs w:val="32"/>
          <w:lang w:val="zh-CN" w:eastAsia="zh-CN" w:bidi="ar-SA"/>
        </w:rPr>
        <w:t>万元，1</w:t>
      </w:r>
      <w:r>
        <w:rPr>
          <w:rFonts w:hint="eastAsia" w:ascii="仿宋_GB2312" w:hAnsi="Times New Roman" w:eastAsia="仿宋_GB2312" w:cs="仿宋"/>
          <w:color w:val="auto"/>
          <w:kern w:val="0"/>
          <w:sz w:val="32"/>
          <w:szCs w:val="32"/>
          <w:lang w:val="zh-CN" w:eastAsia="zh-CN" w:bidi="ar-SA"/>
        </w:rPr>
        <w:t>—</w:t>
      </w:r>
      <w:r>
        <w:rPr>
          <w:rFonts w:hint="default" w:ascii="仿宋_GB2312" w:hAnsi="Times New Roman" w:eastAsia="仿宋_GB2312" w:cs="仿宋"/>
          <w:color w:val="auto"/>
          <w:kern w:val="0"/>
          <w:sz w:val="32"/>
          <w:szCs w:val="32"/>
          <w:lang w:val="zh-CN" w:eastAsia="zh-CN" w:bidi="ar-SA"/>
        </w:rPr>
        <w:t>1</w:t>
      </w:r>
      <w:r>
        <w:rPr>
          <w:rFonts w:hint="default" w:ascii="仿宋_GB2312" w:hAnsi="Times New Roman" w:eastAsia="仿宋_GB2312" w:cs="仿宋"/>
          <w:color w:val="auto"/>
          <w:kern w:val="0"/>
          <w:sz w:val="32"/>
          <w:szCs w:val="32"/>
          <w:lang w:val="en-US" w:eastAsia="zh-CN" w:bidi="ar-SA"/>
        </w:rPr>
        <w:t>2</w:t>
      </w:r>
      <w:r>
        <w:rPr>
          <w:rFonts w:hint="default" w:ascii="仿宋_GB2312" w:hAnsi="Times New Roman" w:eastAsia="仿宋_GB2312" w:cs="仿宋"/>
          <w:color w:val="auto"/>
          <w:kern w:val="0"/>
          <w:sz w:val="32"/>
          <w:szCs w:val="32"/>
          <w:lang w:val="zh-CN" w:eastAsia="zh-CN" w:bidi="ar-SA"/>
        </w:rPr>
        <w:t>月预算执行总体进度为</w:t>
      </w:r>
      <w:r>
        <w:rPr>
          <w:rFonts w:hint="eastAsia" w:ascii="仿宋_GB2312" w:hAnsi="Times New Roman" w:eastAsia="仿宋_GB2312" w:cs="仿宋"/>
          <w:color w:val="auto"/>
          <w:kern w:val="0"/>
          <w:sz w:val="32"/>
          <w:szCs w:val="32"/>
          <w:lang w:val="en-US" w:eastAsia="zh-CN" w:bidi="ar-SA"/>
        </w:rPr>
        <w:t>0</w:t>
      </w:r>
      <w:r>
        <w:rPr>
          <w:rFonts w:hint="default" w:ascii="仿宋_GB2312" w:hAnsi="Times New Roman" w:eastAsia="仿宋_GB2312" w:cs="仿宋"/>
          <w:color w:val="auto"/>
          <w:kern w:val="0"/>
          <w:sz w:val="32"/>
          <w:szCs w:val="32"/>
          <w:lang w:val="zh-CN" w:eastAsia="zh-CN" w:bidi="ar-SA"/>
        </w:rPr>
        <w:t>%，其中：预算结余率大于</w:t>
      </w:r>
      <w:r>
        <w:rPr>
          <w:rFonts w:hint="default" w:ascii="仿宋_GB2312" w:hAnsi="Times New Roman" w:eastAsia="仿宋_GB2312" w:cs="仿宋"/>
          <w:color w:val="auto"/>
          <w:kern w:val="0"/>
          <w:sz w:val="32"/>
          <w:szCs w:val="32"/>
          <w:lang w:val="en-US" w:eastAsia="zh-CN" w:bidi="ar-SA"/>
        </w:rPr>
        <w:t>10%</w:t>
      </w:r>
      <w:r>
        <w:rPr>
          <w:rFonts w:hint="default" w:ascii="仿宋_GB2312" w:hAnsi="Times New Roman" w:eastAsia="仿宋_GB2312" w:cs="仿宋"/>
          <w:color w:val="auto"/>
          <w:kern w:val="0"/>
          <w:sz w:val="32"/>
          <w:szCs w:val="32"/>
          <w:lang w:val="zh-CN" w:eastAsia="zh-CN" w:bidi="ar-SA"/>
        </w:rPr>
        <w:t>的项目共计</w:t>
      </w:r>
      <w:r>
        <w:rPr>
          <w:rFonts w:hint="default" w:ascii="仿宋_GB2312" w:hAnsi="Times New Roman" w:eastAsia="仿宋_GB2312" w:cs="仿宋"/>
          <w:color w:val="auto"/>
          <w:kern w:val="0"/>
          <w:sz w:val="32"/>
          <w:szCs w:val="32"/>
          <w:lang w:val="en-US" w:eastAsia="zh-CN" w:bidi="ar-SA"/>
        </w:rPr>
        <w:t xml:space="preserve"> </w:t>
      </w:r>
      <w:r>
        <w:rPr>
          <w:rFonts w:hint="eastAsia" w:ascii="仿宋_GB2312" w:hAnsi="Times New Roman" w:eastAsia="仿宋_GB2312" w:cs="仿宋"/>
          <w:color w:val="auto"/>
          <w:kern w:val="0"/>
          <w:sz w:val="32"/>
          <w:szCs w:val="32"/>
          <w:lang w:val="en-US" w:eastAsia="zh-CN" w:bidi="ar-SA"/>
        </w:rPr>
        <w:t>0</w:t>
      </w:r>
      <w:r>
        <w:rPr>
          <w:rFonts w:hint="default" w:ascii="仿宋_GB2312" w:hAnsi="Times New Roman" w:eastAsia="仿宋_GB2312" w:cs="仿宋"/>
          <w:color w:val="auto"/>
          <w:kern w:val="0"/>
          <w:sz w:val="32"/>
          <w:szCs w:val="32"/>
          <w:lang w:val="en-US" w:eastAsia="zh-CN" w:bidi="ar-SA"/>
        </w:rPr>
        <w:t xml:space="preserve"> </w:t>
      </w:r>
      <w:r>
        <w:rPr>
          <w:rFonts w:hint="default" w:ascii="仿宋_GB2312" w:hAnsi="Times New Roman" w:eastAsia="仿宋_GB2312" w:cs="仿宋"/>
          <w:color w:val="auto"/>
          <w:kern w:val="0"/>
          <w:sz w:val="32"/>
          <w:szCs w:val="32"/>
          <w:lang w:val="zh-CN" w:eastAsia="zh-CN" w:bidi="ar-SA"/>
        </w:rPr>
        <w:t>个。</w:t>
      </w:r>
    </w:p>
    <w:p w14:paraId="1EEDDED8">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ascii="仿宋_GB2312" w:hAnsi="Times New Roman" w:eastAsia="仿宋_GB2312" w:cs="仿宋"/>
          <w:snapToGrid/>
          <w:color w:val="auto"/>
          <w:spacing w:val="0"/>
          <w:w w:val="100"/>
          <w:kern w:val="0"/>
          <w:position w:val="0"/>
          <w:sz w:val="32"/>
          <w:szCs w:val="32"/>
          <w:u w:val="none"/>
          <w:vertAlign w:val="baseline"/>
          <w:lang w:val="zh-CN" w:eastAsia="zh-CN" w:bidi="ar-SA"/>
        </w:rPr>
      </w:pP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1.</w:t>
      </w:r>
      <w:r>
        <w:rPr>
          <w:rFonts w:hint="eastAsia" w:ascii="仿宋_GB2312" w:hAnsi="Times New Roman" w:eastAsia="仿宋_GB2312" w:cs="仿宋"/>
          <w:snapToGrid/>
          <w:color w:val="auto"/>
          <w:spacing w:val="0"/>
          <w:w w:val="100"/>
          <w:kern w:val="0"/>
          <w:position w:val="0"/>
          <w:sz w:val="32"/>
          <w:szCs w:val="32"/>
          <w:u w:val="none"/>
          <w:vertAlign w:val="baseline"/>
          <w:lang w:val="zh-CN" w:eastAsia="zh-CN" w:bidi="ar-SA"/>
        </w:rPr>
        <w:t>项目决策。我</w:t>
      </w: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中心2025年年初部门整体绩效目标设定情况，符合国家法律法规、部门工作职责。年初绩效目标的的绩效指标为长期目标，年度指标值清晰、明细化，绩效目标与部门年度的任务数和计划数相对应。</w:t>
      </w:r>
    </w:p>
    <w:p w14:paraId="678EB441">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N/>
        <w:bidi w:val="0"/>
        <w:spacing w:before="0" w:beforeAutospacing="0" w:after="0" w:afterAutospacing="0" w:line="560" w:lineRule="exact"/>
        <w:ind w:right="0" w:firstLine="640" w:firstLineChars="200"/>
        <w:jc w:val="both"/>
        <w:textAlignment w:val="auto"/>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pP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2.项目执行</w:t>
      </w:r>
      <w:r>
        <w:rPr>
          <w:rFonts w:hint="eastAsia" w:ascii="仿宋_GB2312" w:hAnsi="Times New Roman" w:eastAsia="仿宋_GB2312" w:cs="仿宋"/>
          <w:snapToGrid/>
          <w:color w:val="auto"/>
          <w:spacing w:val="0"/>
          <w:w w:val="100"/>
          <w:kern w:val="0"/>
          <w:position w:val="0"/>
          <w:sz w:val="32"/>
          <w:szCs w:val="32"/>
          <w:u w:val="none"/>
          <w:vertAlign w:val="baseline"/>
          <w:lang w:val="zh-CN" w:eastAsia="zh-CN" w:bidi="ar-SA"/>
        </w:rPr>
        <w:t>。一是</w:t>
      </w: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本年度年初预算为115万元，项目支出为115万元，本年预算完成率为100%。</w:t>
      </w:r>
    </w:p>
    <w:p w14:paraId="272851EC">
      <w:pPr>
        <w:spacing w:line="576" w:lineRule="exact"/>
        <w:ind w:firstLine="640" w:firstLineChars="200"/>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pP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3.</w:t>
      </w:r>
      <w:r>
        <w:rPr>
          <w:rFonts w:hint="eastAsia" w:ascii="仿宋_GB2312" w:hAnsi="Times New Roman" w:eastAsia="仿宋_GB2312" w:cs="仿宋"/>
          <w:snapToGrid/>
          <w:color w:val="auto"/>
          <w:spacing w:val="0"/>
          <w:w w:val="100"/>
          <w:kern w:val="0"/>
          <w:position w:val="0"/>
          <w:sz w:val="32"/>
          <w:szCs w:val="32"/>
          <w:u w:val="none"/>
          <w:vertAlign w:val="baseline"/>
          <w:lang w:val="zh-CN" w:eastAsia="zh-CN" w:bidi="ar-SA"/>
        </w:rPr>
        <w:t>目标实现。（</w:t>
      </w: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1</w:t>
      </w:r>
      <w:r>
        <w:rPr>
          <w:rFonts w:hint="eastAsia" w:ascii="仿宋_GB2312" w:hAnsi="Times New Roman" w:eastAsia="仿宋_GB2312" w:cs="仿宋"/>
          <w:snapToGrid/>
          <w:color w:val="auto"/>
          <w:spacing w:val="0"/>
          <w:w w:val="100"/>
          <w:kern w:val="0"/>
          <w:position w:val="0"/>
          <w:sz w:val="32"/>
          <w:szCs w:val="32"/>
          <w:u w:val="none"/>
          <w:vertAlign w:val="baseline"/>
          <w:lang w:val="zh-CN" w:eastAsia="zh-CN" w:bidi="ar-SA"/>
        </w:rPr>
        <w:t>）</w:t>
      </w: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聚焦核心职能，优化课程体系与服务供给，促进青少年素养全面提升</w:t>
      </w:r>
    </w:p>
    <w:p w14:paraId="36B2ACE7">
      <w:pPr>
        <w:spacing w:line="576" w:lineRule="exact"/>
        <w:ind w:firstLine="640" w:firstLineChars="200"/>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pP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实施精准课程供给普惠与公平并重，全年科学规划并开设了涵盖艺术熏陶、科技创新、体育锻炼、文化传承等7大类共计36个周末兴趣班，构建了较为完善的兴趣培养课程体系。创新采用“固定阵地常态教学”与“流动少年宫送教下乡”相结合的模式，有效扩大了服务覆盖面，累计服务全州青少年超过1万人次。高度重视教育公平，专门设立一千余个公益学位，切实惠及家庭经济困难学生，托举起更多孩子的梦想。本年度秋季学期线上报名期间，系统峰值访问量达到每秒逾500人次，再创历史新高，充分体现了社会公众对我中心工作的广泛关注与高度认可。</w:t>
      </w:r>
    </w:p>
    <w:p w14:paraId="0F7672F8">
      <w:pPr>
        <w:spacing w:line="576" w:lineRule="exact"/>
        <w:ind w:firstLine="640" w:firstLineChars="200"/>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pP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主动回应社会关切服务民生有温度，积极贯彻落实州委“1610”系统部署，深度融入并深化群众工作“石榴籽”工程。针对广大家庭普遍反映的寒暑假少年儿童“看护难”问题，主动担当作为，精心策划并组织开办了多期假期公益托管班。托管班不仅提供基础的学业辅导，更注重兴趣拓展和综合素质培养，开设了丰富多彩的文体活动与特色课程，极大地丰富了青少年儿童的假期生活，有效解决了家长的实际困难，提升了家庭的获得感、幸福感与安全感，将校外教育的温暖送到了群众心坎上。</w:t>
      </w:r>
    </w:p>
    <w:p w14:paraId="4F95907F">
      <w:pPr>
        <w:spacing w:line="576" w:lineRule="exact"/>
        <w:ind w:firstLine="640" w:firstLineChars="200"/>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pP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2）聚焦关键环节风险防控，针对公益学位分配、项目经费使用、物资采购等重点领域，重新修订完善单位内部控制制度，明确流程、压实责任、强化监督与信息公开。严格执行民主集中制，在重大事项决策、资源分配等方面坚持集体研究。引入北京师范大学专家团队进行专业诊断，通过举办“共识工作坊”等形式，有效提升了内部治理的科学化、规范化水平。</w:t>
      </w:r>
    </w:p>
    <w:p w14:paraId="487AE6B2">
      <w:pPr>
        <w:spacing w:line="576" w:lineRule="exact"/>
        <w:ind w:firstLine="640" w:firstLineChars="200"/>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pP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（3）发挥阵地优势打造品牌活动与实践平台，增强实践育人综合成效。深化“石榴籽”品牌内涵，铸牢中华民族共同体意识 以铸牢中华民族共同体意识为主线，持续深化“石榴籽”系列品牌活动。通过组织“爱国行”红色研学活动，引导青少年追寻红色足迹，传承革命精神；开展“国防梦”军事实践体验，增强青少年国防观念与组织纪律性；推广非物质文化遗产传承体验课程，增进青少年对中华优秀传统文化和本地民族文化的了解与热爱；开设心理健康辅导活动，促进青少年身心和谐发展。近两年，“石榴籽”品牌活动累计覆盖全州各族青少年超过千人次，有效促进了各民族青少年之间的交往交流交融，不断增强了他们对伟大祖国、中华民族、中华文化、中国共产党、中国特色社会主义的认同，坚定了文化自信。</w:t>
      </w:r>
    </w:p>
    <w:p w14:paraId="4D068EC9">
      <w:pPr>
        <w:spacing w:line="576" w:lineRule="exact"/>
        <w:ind w:firstLine="640" w:firstLineChars="200"/>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pP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（4）构建多元实践平台，激发创新精神与实践能力：成功举办了以“AI时代 智创未来”为主题的青少年科技创新周活动，为全州青少年近距离接触和体验机器人、编程、人工智能等前沿科技搭建了重要平台，点燃了他们的科学梦想。常态化举办覆盖全州的“好声音大赛”、“武术大赛”、“钢琴大赛”、“书法大赛”、“游泳比赛”等专项赛事，为具有不同特长的青少年提供了展示自我、切磋技艺的舞台。积极协办“阿坝州中小学生艺术节”、“奔跑吧·少年亲子足球比赛”等全州性大型文体活动，营造了浓厚的素质教育氛围。大力实施“小创客”孵化计划，系统培育青少年的创新思维、动手能力和团队协作精神。年内，中心选送的学员首次参加全国青少年科技创新大赛即脱颖而出，荣获省级一等奖等多个重要奖项，实现了历史性突破，标志着我中心在创新人才培养方面迈上了新台阶。</w:t>
      </w:r>
    </w:p>
    <w:p w14:paraId="4C4DD7AD">
      <w:pPr>
        <w:keepNext w:val="0"/>
        <w:keepLines w:val="0"/>
        <w:pageBreakBefore w:val="0"/>
        <w:widowControl w:val="0"/>
        <w:kinsoku/>
        <w:wordWrap/>
        <w:overflowPunct/>
        <w:topLinePunct w:val="0"/>
        <w:autoSpaceDE/>
        <w:autoSpaceDN/>
        <w:bidi w:val="0"/>
        <w:snapToGrid w:val="0"/>
        <w:spacing w:line="560" w:lineRule="exact"/>
        <w:ind w:left="0" w:firstLine="321" w:firstLineChars="100"/>
        <w:jc w:val="both"/>
        <w:textAlignment w:val="auto"/>
        <w:rPr>
          <w:rFonts w:hint="eastAsia" w:ascii="仿宋_GB2312" w:hAnsi="Times New Roman" w:eastAsia="仿宋_GB2312" w:cs="仿宋"/>
          <w:b/>
          <w:bCs/>
          <w:snapToGrid/>
          <w:color w:val="auto"/>
          <w:spacing w:val="0"/>
          <w:w w:val="100"/>
          <w:kern w:val="0"/>
          <w:position w:val="0"/>
          <w:sz w:val="32"/>
          <w:szCs w:val="32"/>
          <w:u w:val="none"/>
          <w:vertAlign w:val="baseline"/>
          <w:lang w:val="zh-CN" w:eastAsia="zh-CN" w:bidi="ar-SA"/>
        </w:rPr>
      </w:pPr>
      <w:r>
        <w:rPr>
          <w:rFonts w:hint="eastAsia" w:ascii="仿宋_GB2312" w:hAnsi="Times New Roman" w:eastAsia="仿宋_GB2312" w:cs="仿宋"/>
          <w:b/>
          <w:bCs/>
          <w:snapToGrid/>
          <w:color w:val="auto"/>
          <w:spacing w:val="0"/>
          <w:w w:val="100"/>
          <w:kern w:val="0"/>
          <w:position w:val="0"/>
          <w:sz w:val="32"/>
          <w:szCs w:val="32"/>
          <w:u w:val="none"/>
          <w:vertAlign w:val="baseline"/>
          <w:lang w:val="zh-CN" w:eastAsia="zh-CN" w:bidi="ar-SA"/>
        </w:rPr>
        <w:t>（</w:t>
      </w:r>
      <w:r>
        <w:rPr>
          <w:rFonts w:hint="eastAsia" w:ascii="仿宋_GB2312" w:hAnsi="Times New Roman" w:eastAsia="仿宋_GB2312" w:cs="仿宋"/>
          <w:b/>
          <w:bCs/>
          <w:snapToGrid/>
          <w:color w:val="auto"/>
          <w:spacing w:val="0"/>
          <w:w w:val="100"/>
          <w:kern w:val="0"/>
          <w:position w:val="0"/>
          <w:sz w:val="32"/>
          <w:szCs w:val="32"/>
          <w:u w:val="none"/>
          <w:vertAlign w:val="baseline"/>
          <w:lang w:val="en-US" w:eastAsia="zh-CN" w:bidi="ar-SA"/>
        </w:rPr>
        <w:t>三</w:t>
      </w:r>
      <w:r>
        <w:rPr>
          <w:rFonts w:hint="eastAsia" w:ascii="仿宋_GB2312" w:hAnsi="Times New Roman" w:eastAsia="仿宋_GB2312" w:cs="仿宋"/>
          <w:b/>
          <w:bCs/>
          <w:snapToGrid/>
          <w:color w:val="auto"/>
          <w:spacing w:val="0"/>
          <w:w w:val="100"/>
          <w:kern w:val="0"/>
          <w:position w:val="0"/>
          <w:sz w:val="32"/>
          <w:szCs w:val="32"/>
          <w:u w:val="none"/>
          <w:vertAlign w:val="baseline"/>
          <w:lang w:val="zh-CN" w:eastAsia="zh-CN" w:bidi="ar-SA"/>
        </w:rPr>
        <w:t>）绩效结果应用情况。</w:t>
      </w:r>
    </w:p>
    <w:p w14:paraId="152A2DB6">
      <w:pPr>
        <w:keepNext w:val="0"/>
        <w:keepLines w:val="0"/>
        <w:widowControl/>
        <w:suppressLineNumbers w:val="0"/>
        <w:ind w:firstLine="640" w:firstLineChars="200"/>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pP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通过支出绩效自查考评，根据绩效考评结果，中心今后将进一步细化科学合理的绩效评价指标、评价标准和评价方法，对项目资金的经济性、效率性和效益性进行客观、公正的评价，严格按照国家的法律法规加强预算管理，大力提倡勤俭节约，坚持财政预算管理制度，做好预算支出及执行情况调度，财政供养人员控制在预算编制以内，“三公”经费预算支出在控制数内；严格财经纪律，严格财务制度，坚持先有预算、后有支出。</w:t>
      </w:r>
    </w:p>
    <w:p w14:paraId="7E74230B">
      <w:pPr>
        <w:keepNext w:val="0"/>
        <w:keepLines w:val="0"/>
        <w:widowControl/>
        <w:suppressLineNumbers w:val="0"/>
        <w:ind w:firstLine="643" w:firstLineChars="200"/>
        <w:rPr>
          <w:rFonts w:hint="default" w:ascii="仿宋_GB2312" w:hAnsi="Times New Roman" w:eastAsia="仿宋_GB2312" w:cs="仿宋"/>
          <w:b/>
          <w:bCs/>
          <w:snapToGrid/>
          <w:color w:val="auto"/>
          <w:spacing w:val="0"/>
          <w:w w:val="100"/>
          <w:kern w:val="0"/>
          <w:position w:val="0"/>
          <w:sz w:val="32"/>
          <w:szCs w:val="32"/>
          <w:u w:val="none"/>
          <w:vertAlign w:val="baseline"/>
          <w:lang w:val="en-US" w:eastAsia="zh-CN" w:bidi="ar-SA"/>
        </w:rPr>
      </w:pPr>
      <w:r>
        <w:rPr>
          <w:rFonts w:hint="default" w:ascii="仿宋_GB2312" w:hAnsi="Times New Roman" w:eastAsia="仿宋_GB2312" w:cs="仿宋"/>
          <w:b/>
          <w:bCs/>
          <w:snapToGrid/>
          <w:color w:val="auto"/>
          <w:spacing w:val="0"/>
          <w:w w:val="100"/>
          <w:kern w:val="0"/>
          <w:position w:val="0"/>
          <w:sz w:val="32"/>
          <w:szCs w:val="32"/>
          <w:u w:val="none"/>
          <w:vertAlign w:val="baseline"/>
          <w:lang w:val="en-US" w:eastAsia="zh-CN" w:bidi="ar-SA"/>
        </w:rPr>
        <w:t>四、评价结论及建议</w:t>
      </w:r>
    </w:p>
    <w:p w14:paraId="536A625F">
      <w:pPr>
        <w:keepNext w:val="0"/>
        <w:keepLines w:val="0"/>
        <w:widowControl/>
        <w:suppressLineNumbers w:val="0"/>
        <w:ind w:firstLine="643" w:firstLineChars="200"/>
        <w:rPr>
          <w:rFonts w:hint="default" w:ascii="仿宋_GB2312" w:hAnsi="Times New Roman" w:eastAsia="仿宋_GB2312" w:cs="仿宋"/>
          <w:snapToGrid/>
          <w:color w:val="auto"/>
          <w:spacing w:val="0"/>
          <w:w w:val="100"/>
          <w:kern w:val="0"/>
          <w:position w:val="0"/>
          <w:sz w:val="32"/>
          <w:szCs w:val="32"/>
          <w:u w:val="none"/>
          <w:vertAlign w:val="baseline"/>
          <w:lang w:val="zh-CN" w:eastAsia="zh-CN" w:bidi="ar-SA"/>
        </w:rPr>
      </w:pPr>
      <w:r>
        <w:rPr>
          <w:rFonts w:hint="default" w:ascii="仿宋_GB2312" w:hAnsi="Times New Roman" w:eastAsia="仿宋_GB2312" w:cs="仿宋"/>
          <w:b/>
          <w:bCs/>
          <w:snapToGrid/>
          <w:color w:val="auto"/>
          <w:spacing w:val="0"/>
          <w:w w:val="100"/>
          <w:kern w:val="0"/>
          <w:position w:val="0"/>
          <w:sz w:val="32"/>
          <w:szCs w:val="32"/>
          <w:u w:val="none"/>
          <w:vertAlign w:val="baseline"/>
          <w:lang w:val="zh-CN" w:eastAsia="zh-CN" w:bidi="ar-SA"/>
        </w:rPr>
        <w:t>（一）评价结论。</w:t>
      </w: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根据预算绩效管理要求，本单位在年初预算编制阶段，组织对一般公共预算项目开展了预算事前绩效评估，对项目开展了绩效目标完成情况自评，2025年全面高效地实现了项目绩效目标，任务量和效果均超出规划，提高预算编制质量，严格执行预算，保障中心日常活动正常运转。单位自行组织整体支出绩效自评，从评价情况来看历来重视单位内部管理制度建设及监督，对各项资金的管理、经费收支审批等均作了明确规定，正确组织资金的使用，债权债务及时结算，切实做好厉行节约，全面落实各项管理制度要求，努力降低行政成本。总计自评得分90分。</w:t>
      </w:r>
    </w:p>
    <w:p w14:paraId="03F7C6C2">
      <w:pPr>
        <w:keepNext w:val="0"/>
        <w:keepLines w:val="0"/>
        <w:widowControl/>
        <w:suppressLineNumbers w:val="0"/>
        <w:ind w:firstLine="643" w:firstLineChars="200"/>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pPr>
      <w:r>
        <w:rPr>
          <w:rFonts w:hint="default" w:ascii="仿宋_GB2312" w:hAnsi="Times New Roman" w:eastAsia="仿宋_GB2312" w:cs="仿宋"/>
          <w:b/>
          <w:bCs/>
          <w:snapToGrid/>
          <w:color w:val="auto"/>
          <w:spacing w:val="0"/>
          <w:w w:val="100"/>
          <w:kern w:val="0"/>
          <w:position w:val="0"/>
          <w:sz w:val="32"/>
          <w:szCs w:val="32"/>
          <w:u w:val="none"/>
          <w:vertAlign w:val="baseline"/>
          <w:lang w:val="zh-CN" w:eastAsia="zh-CN" w:bidi="ar-SA"/>
        </w:rPr>
        <w:t>（二）存在问题</w:t>
      </w:r>
      <w:r>
        <w:rPr>
          <w:rFonts w:hint="default" w:ascii="仿宋_GB2312" w:hAnsi="Times New Roman" w:eastAsia="仿宋_GB2312" w:cs="仿宋"/>
          <w:snapToGrid/>
          <w:color w:val="auto"/>
          <w:spacing w:val="0"/>
          <w:w w:val="100"/>
          <w:kern w:val="0"/>
          <w:position w:val="0"/>
          <w:sz w:val="32"/>
          <w:szCs w:val="32"/>
          <w:u w:val="none"/>
          <w:vertAlign w:val="baseline"/>
          <w:lang w:val="zh-CN" w:eastAsia="zh-CN" w:bidi="ar-SA"/>
        </w:rPr>
        <w:t>。</w:t>
      </w:r>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由于学生部分活动分春秋两学期进行和完成，部分经费的支付必须等到各项任务完成时才能支付，导致资金支付进度较为缓慢。</w:t>
      </w:r>
    </w:p>
    <w:p w14:paraId="28471D38">
      <w:pPr>
        <w:keepNext w:val="0"/>
        <w:keepLines w:val="0"/>
        <w:widowControl/>
        <w:suppressLineNumbers w:val="0"/>
        <w:ind w:firstLine="643" w:firstLineChars="200"/>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pPr>
      <w:r>
        <w:rPr>
          <w:rFonts w:hint="default" w:ascii="仿宋_GB2312" w:hAnsi="Times New Roman" w:eastAsia="仿宋_GB2312" w:cs="仿宋"/>
          <w:b/>
          <w:bCs/>
          <w:snapToGrid/>
          <w:color w:val="auto"/>
          <w:spacing w:val="0"/>
          <w:w w:val="100"/>
          <w:kern w:val="0"/>
          <w:position w:val="0"/>
          <w:sz w:val="32"/>
          <w:szCs w:val="32"/>
          <w:u w:val="none"/>
          <w:vertAlign w:val="baseline"/>
          <w:lang w:val="zh-CN" w:eastAsia="zh-CN" w:bidi="ar-SA"/>
        </w:rPr>
        <w:t>（三）改进建议</w:t>
      </w:r>
      <w:r>
        <w:rPr>
          <w:rFonts w:hint="default" w:ascii="仿宋_GB2312" w:hAnsi="Times New Roman" w:eastAsia="仿宋_GB2312" w:cs="仿宋"/>
          <w:snapToGrid/>
          <w:color w:val="auto"/>
          <w:spacing w:val="0"/>
          <w:w w:val="100"/>
          <w:kern w:val="0"/>
          <w:position w:val="0"/>
          <w:sz w:val="32"/>
          <w:szCs w:val="32"/>
          <w:u w:val="none"/>
          <w:vertAlign w:val="baseline"/>
          <w:lang w:val="zh-CN" w:eastAsia="zh-CN" w:bidi="ar-SA"/>
        </w:rPr>
        <w:t>。</w:t>
      </w:r>
      <w:bookmarkStart w:id="88" w:name="_Hlk110546638"/>
      <w:r>
        <w:rPr>
          <w:rFonts w:hint="eastAsia" w:ascii="仿宋_GB2312" w:hAnsi="Times New Roman" w:eastAsia="仿宋_GB2312" w:cs="仿宋"/>
          <w:snapToGrid/>
          <w:color w:val="auto"/>
          <w:spacing w:val="0"/>
          <w:w w:val="100"/>
          <w:kern w:val="0"/>
          <w:position w:val="0"/>
          <w:sz w:val="32"/>
          <w:szCs w:val="32"/>
          <w:u w:val="none"/>
          <w:vertAlign w:val="baseline"/>
          <w:lang w:val="en-US" w:eastAsia="zh-CN" w:bidi="ar-SA"/>
        </w:rPr>
        <w:t>建议进一步强化预算编制工作，结合年度工作任务目标和项目计划实施进度，加强预算项目前期评估，提高预算编制准确性和执行进度，严禁超预算或无预算安排支出。加强各项教学活动任务完成的及时性，及时结算支付已发生费用。</w:t>
      </w:r>
      <w:bookmarkEnd w:id="88"/>
    </w:p>
    <w:p w14:paraId="1C9138CF">
      <w:pPr>
        <w:keepNext w:val="0"/>
        <w:keepLines w:val="0"/>
        <w:widowControl/>
        <w:suppressLineNumbers w:val="0"/>
        <w:ind w:firstLine="640" w:firstLineChars="200"/>
        <w:rPr>
          <w:rFonts w:hint="default" w:ascii="仿宋_GB2312" w:hAnsi="Times New Roman" w:eastAsia="仿宋_GB2312" w:cs="仿宋"/>
          <w:color w:val="auto"/>
          <w:kern w:val="0"/>
          <w:sz w:val="32"/>
          <w:szCs w:val="32"/>
          <w:lang w:val="zh-CN" w:eastAsia="zh-CN" w:bidi="ar-SA"/>
        </w:rPr>
      </w:pPr>
    </w:p>
    <w:p w14:paraId="6B68255E">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附表：1.部门预算绩效自评打分表</w:t>
      </w:r>
    </w:p>
    <w:p w14:paraId="106F14FD">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2.部门整体支出绩效目标完成情况自评表</w:t>
      </w:r>
    </w:p>
    <w:p w14:paraId="6800198D">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3.部门预算项目支出绩效评价表（2025年度）</w:t>
      </w:r>
    </w:p>
    <w:p w14:paraId="3751545D">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p>
    <w:p w14:paraId="0F63E963">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p>
    <w:p w14:paraId="2C9B4727">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p>
    <w:p w14:paraId="3487C5F3">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p>
    <w:p w14:paraId="1B0A67F0">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p>
    <w:p w14:paraId="41CC9B0D">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p>
    <w:p w14:paraId="518D7F1B">
      <w:pPr>
        <w:pStyle w:val="2"/>
        <w:rPr>
          <w:rFonts w:hint="eastAsia"/>
          <w:lang w:val="en-US" w:eastAsia="zh-CN"/>
        </w:rPr>
      </w:pPr>
    </w:p>
    <w:p w14:paraId="5C2F55F7">
      <w:pPr>
        <w:pStyle w:val="3"/>
        <w:rPr>
          <w:rFonts w:hint="eastAsia"/>
          <w:lang w:val="en-US" w:eastAsia="zh-CN"/>
        </w:rPr>
      </w:pPr>
    </w:p>
    <w:p w14:paraId="25934147">
      <w:pPr>
        <w:rPr>
          <w:rFonts w:hint="eastAsia"/>
          <w:lang w:val="en-US" w:eastAsia="zh-CN"/>
        </w:rPr>
      </w:pPr>
    </w:p>
    <w:p w14:paraId="562C5CB2">
      <w:pPr>
        <w:pStyle w:val="2"/>
        <w:rPr>
          <w:rFonts w:hint="eastAsia"/>
          <w:lang w:val="en-US" w:eastAsia="zh-CN"/>
        </w:rPr>
      </w:pPr>
    </w:p>
    <w:p w14:paraId="69C666E7">
      <w:pPr>
        <w:pStyle w:val="3"/>
        <w:rPr>
          <w:rFonts w:hint="eastAsia"/>
          <w:lang w:val="en-US" w:eastAsia="zh-CN"/>
        </w:rPr>
      </w:pPr>
    </w:p>
    <w:p w14:paraId="2F9AB7F5">
      <w:pPr>
        <w:rPr>
          <w:rFonts w:hint="eastAsia"/>
          <w:lang w:val="en-US" w:eastAsia="zh-CN"/>
        </w:rPr>
      </w:pPr>
    </w:p>
    <w:p w14:paraId="4C8E95A4">
      <w:pPr>
        <w:pStyle w:val="2"/>
        <w:rPr>
          <w:rFonts w:hint="eastAsia"/>
          <w:lang w:val="en-US" w:eastAsia="zh-CN"/>
        </w:rPr>
      </w:pPr>
    </w:p>
    <w:p w14:paraId="43B1D6F7">
      <w:pPr>
        <w:pStyle w:val="3"/>
        <w:rPr>
          <w:rFonts w:hint="eastAsia"/>
          <w:lang w:val="en-US" w:eastAsia="zh-CN"/>
        </w:rPr>
      </w:pPr>
    </w:p>
    <w:p w14:paraId="1489CC81">
      <w:pPr>
        <w:rPr>
          <w:rFonts w:hint="eastAsia"/>
          <w:lang w:val="en-US" w:eastAsia="zh-CN"/>
        </w:rPr>
      </w:pPr>
    </w:p>
    <w:p w14:paraId="00E51E61">
      <w:pPr>
        <w:pStyle w:val="2"/>
        <w:rPr>
          <w:rFonts w:hint="eastAsia"/>
          <w:lang w:val="en-US" w:eastAsia="zh-CN"/>
        </w:rPr>
      </w:pPr>
    </w:p>
    <w:p w14:paraId="66B11448">
      <w:pPr>
        <w:pStyle w:val="3"/>
        <w:rPr>
          <w:rFonts w:hint="eastAsia"/>
          <w:lang w:val="en-US" w:eastAsia="zh-CN"/>
        </w:rPr>
      </w:pPr>
    </w:p>
    <w:p w14:paraId="4630487D">
      <w:pPr>
        <w:rPr>
          <w:rFonts w:hint="eastAsia"/>
          <w:lang w:val="en-US" w:eastAsia="zh-CN"/>
        </w:rPr>
      </w:pPr>
    </w:p>
    <w:p w14:paraId="38D05F0E">
      <w:pPr>
        <w:keepNext w:val="0"/>
        <w:keepLines w:val="0"/>
        <w:widowControl/>
        <w:suppressLineNumbers w:val="0"/>
        <w:ind w:firstLine="640" w:firstLineChars="200"/>
        <w:rPr>
          <w:rFonts w:hint="eastAsia" w:ascii="仿宋_GB2312" w:hAnsi="Times New Roman" w:eastAsia="仿宋_GB2312" w:cs="仿宋"/>
          <w:color w:val="auto"/>
          <w:kern w:val="0"/>
          <w:sz w:val="32"/>
          <w:szCs w:val="32"/>
          <w:lang w:val="en-US" w:eastAsia="zh-CN" w:bidi="ar-SA"/>
        </w:rPr>
      </w:pPr>
    </w:p>
    <w:p w14:paraId="2017132E">
      <w:pPr>
        <w:pStyle w:val="14"/>
        <w:spacing w:after="0" w:line="578" w:lineRule="exact"/>
        <w:ind w:left="0" w:leftChars="0" w:firstLine="0" w:firstLineChars="0"/>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附表1</w:t>
      </w:r>
    </w:p>
    <w:p w14:paraId="75288924">
      <w:pPr>
        <w:spacing w:line="578" w:lineRule="exact"/>
        <w:ind w:firstLine="1320" w:firstLineChars="300"/>
        <w:jc w:val="left"/>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7"/>
        <w:tblW w:w="10675" w:type="dxa"/>
        <w:jc w:val="center"/>
        <w:tblLayout w:type="fixed"/>
        <w:tblCellMar>
          <w:top w:w="0" w:type="dxa"/>
          <w:left w:w="108" w:type="dxa"/>
          <w:bottom w:w="0" w:type="dxa"/>
          <w:right w:w="108" w:type="dxa"/>
        </w:tblCellMar>
      </w:tblPr>
      <w:tblGrid>
        <w:gridCol w:w="956"/>
        <w:gridCol w:w="1240"/>
        <w:gridCol w:w="1904"/>
        <w:gridCol w:w="734"/>
        <w:gridCol w:w="4306"/>
        <w:gridCol w:w="766"/>
        <w:gridCol w:w="769"/>
      </w:tblGrid>
      <w:tr w14:paraId="0B3EFE3B">
        <w:tblPrEx>
          <w:tblCellMar>
            <w:top w:w="0" w:type="dxa"/>
            <w:left w:w="108" w:type="dxa"/>
            <w:bottom w:w="0" w:type="dxa"/>
            <w:right w:w="108" w:type="dxa"/>
          </w:tblCellMar>
        </w:tblPrEx>
        <w:trPr>
          <w:trHeight w:val="23" w:hRule="atLeast"/>
          <w:jc w:val="center"/>
        </w:trPr>
        <w:tc>
          <w:tcPr>
            <w:tcW w:w="48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B8893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EE3FA">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66" w:type="dxa"/>
            <w:vMerge w:val="restart"/>
            <w:tcBorders>
              <w:top w:val="single" w:color="000000" w:sz="4" w:space="0"/>
              <w:left w:val="single" w:color="000000" w:sz="4" w:space="0"/>
              <w:right w:val="single" w:color="000000" w:sz="4" w:space="0"/>
            </w:tcBorders>
            <w:shd w:val="clear" w:color="auto" w:fill="auto"/>
            <w:vAlign w:val="center"/>
          </w:tcPr>
          <w:p w14:paraId="0EB5EB32">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769" w:type="dxa"/>
            <w:vMerge w:val="restart"/>
            <w:tcBorders>
              <w:top w:val="single" w:color="000000" w:sz="4" w:space="0"/>
              <w:left w:val="single" w:color="000000" w:sz="4" w:space="0"/>
              <w:right w:val="single" w:color="000000" w:sz="4" w:space="0"/>
            </w:tcBorders>
            <w:shd w:val="clear" w:color="auto" w:fill="auto"/>
            <w:vAlign w:val="center"/>
          </w:tcPr>
          <w:p w14:paraId="49B91A3D">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554D4015">
        <w:tblPrEx>
          <w:tblCellMar>
            <w:top w:w="0" w:type="dxa"/>
            <w:left w:w="108" w:type="dxa"/>
            <w:bottom w:w="0" w:type="dxa"/>
            <w:right w:w="108" w:type="dxa"/>
          </w:tblCellMar>
        </w:tblPrEx>
        <w:trPr>
          <w:trHeight w:val="23" w:hRule="atLeast"/>
          <w:jc w:val="center"/>
        </w:trPr>
        <w:tc>
          <w:tcPr>
            <w:tcW w:w="956" w:type="dxa"/>
            <w:tcBorders>
              <w:top w:val="single" w:color="000000" w:sz="4" w:space="0"/>
              <w:left w:val="single" w:color="000000" w:sz="4" w:space="0"/>
              <w:bottom w:val="single" w:color="000000" w:sz="4" w:space="0"/>
              <w:right w:val="nil"/>
            </w:tcBorders>
            <w:shd w:val="clear" w:color="auto" w:fill="auto"/>
            <w:vAlign w:val="center"/>
          </w:tcPr>
          <w:p w14:paraId="51796DA7">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2E1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ACF5">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EC05">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55B77">
            <w:pPr>
              <w:widowControl/>
              <w:spacing w:line="240" w:lineRule="exact"/>
              <w:jc w:val="center"/>
              <w:rPr>
                <w:rFonts w:ascii="黑体" w:hAnsi="宋体" w:eastAsia="黑体" w:cs="黑体"/>
                <w:color w:val="000000"/>
                <w:sz w:val="24"/>
              </w:rPr>
            </w:pPr>
          </w:p>
        </w:tc>
        <w:tc>
          <w:tcPr>
            <w:tcW w:w="766" w:type="dxa"/>
            <w:vMerge w:val="continue"/>
            <w:tcBorders>
              <w:left w:val="single" w:color="000000" w:sz="4" w:space="0"/>
              <w:bottom w:val="single" w:color="000000" w:sz="4" w:space="0"/>
              <w:right w:val="single" w:color="000000" w:sz="4" w:space="0"/>
            </w:tcBorders>
            <w:shd w:val="clear" w:color="auto" w:fill="auto"/>
            <w:vAlign w:val="center"/>
          </w:tcPr>
          <w:p w14:paraId="33499EF1">
            <w:pPr>
              <w:widowControl/>
              <w:spacing w:line="240" w:lineRule="exact"/>
              <w:jc w:val="center"/>
              <w:rPr>
                <w:rFonts w:ascii="黑体" w:hAnsi="宋体" w:eastAsia="黑体" w:cs="黑体"/>
                <w:color w:val="000000"/>
                <w:sz w:val="24"/>
              </w:rPr>
            </w:pPr>
          </w:p>
        </w:tc>
        <w:tc>
          <w:tcPr>
            <w:tcW w:w="769" w:type="dxa"/>
            <w:vMerge w:val="continue"/>
            <w:tcBorders>
              <w:left w:val="single" w:color="000000" w:sz="4" w:space="0"/>
              <w:bottom w:val="single" w:color="000000" w:sz="4" w:space="0"/>
              <w:right w:val="single" w:color="000000" w:sz="4" w:space="0"/>
            </w:tcBorders>
            <w:shd w:val="clear" w:color="auto" w:fill="auto"/>
            <w:vAlign w:val="center"/>
          </w:tcPr>
          <w:p w14:paraId="498F19E4">
            <w:pPr>
              <w:widowControl/>
              <w:spacing w:line="240" w:lineRule="exact"/>
              <w:jc w:val="center"/>
              <w:rPr>
                <w:rFonts w:ascii="黑体" w:hAnsi="宋体" w:eastAsia="黑体" w:cs="黑体"/>
                <w:color w:val="000000"/>
                <w:sz w:val="24"/>
              </w:rPr>
            </w:pPr>
          </w:p>
        </w:tc>
      </w:tr>
      <w:tr w14:paraId="54869057">
        <w:tblPrEx>
          <w:tblCellMar>
            <w:top w:w="0" w:type="dxa"/>
            <w:left w:w="108" w:type="dxa"/>
            <w:bottom w:w="0" w:type="dxa"/>
            <w:right w:w="108" w:type="dxa"/>
          </w:tblCellMar>
        </w:tblPrEx>
        <w:trPr>
          <w:trHeight w:val="23" w:hRule="atLeast"/>
          <w:jc w:val="center"/>
        </w:trPr>
        <w:tc>
          <w:tcPr>
            <w:tcW w:w="956" w:type="dxa"/>
            <w:vMerge w:val="restart"/>
            <w:tcBorders>
              <w:top w:val="single" w:color="000000" w:sz="4" w:space="0"/>
              <w:left w:val="single" w:color="000000" w:sz="4" w:space="0"/>
              <w:right w:val="single" w:color="000000" w:sz="4" w:space="0"/>
            </w:tcBorders>
            <w:shd w:val="clear" w:color="auto" w:fill="auto"/>
            <w:vAlign w:val="center"/>
          </w:tcPr>
          <w:p w14:paraId="4CF61A4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8C4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262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履职效果</w:t>
            </w:r>
          </w:p>
        </w:tc>
        <w:tc>
          <w:tcPr>
            <w:tcW w:w="734" w:type="dxa"/>
            <w:tcBorders>
              <w:top w:val="nil"/>
              <w:left w:val="single" w:color="000000" w:sz="4" w:space="0"/>
              <w:bottom w:val="single" w:color="000000" w:sz="4" w:space="0"/>
              <w:right w:val="single" w:color="000000" w:sz="4" w:space="0"/>
            </w:tcBorders>
            <w:shd w:val="clear" w:color="auto" w:fill="auto"/>
            <w:vAlign w:val="center"/>
          </w:tcPr>
          <w:p w14:paraId="3F350D3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8DD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2ED7">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5E5A1">
            <w:pPr>
              <w:widowControl/>
              <w:spacing w:line="240" w:lineRule="exact"/>
              <w:jc w:val="left"/>
              <w:textAlignment w:val="center"/>
              <w:rPr>
                <w:rFonts w:ascii="宋体" w:hAnsi="宋体" w:eastAsia="宋体" w:cs="宋体"/>
                <w:color w:val="000000"/>
                <w:kern w:val="0"/>
                <w:sz w:val="24"/>
              </w:rPr>
            </w:pPr>
          </w:p>
        </w:tc>
      </w:tr>
      <w:tr w14:paraId="7D9453CB">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722C1A88">
            <w:pPr>
              <w:widowControl/>
              <w:spacing w:line="240" w:lineRule="exact"/>
              <w:jc w:val="center"/>
              <w:rPr>
                <w:rFonts w:ascii="宋体" w:hAnsi="宋体" w:eastAsia="宋体" w:cs="宋体"/>
                <w:b/>
                <w:color w:val="000000"/>
                <w:sz w:val="24"/>
              </w:rPr>
            </w:pPr>
          </w:p>
        </w:tc>
        <w:tc>
          <w:tcPr>
            <w:tcW w:w="1240" w:type="dxa"/>
            <w:vMerge w:val="restart"/>
            <w:tcBorders>
              <w:top w:val="single" w:color="000000" w:sz="4" w:space="0"/>
              <w:left w:val="single" w:color="000000" w:sz="4" w:space="0"/>
              <w:right w:val="single" w:color="000000" w:sz="4" w:space="0"/>
            </w:tcBorders>
            <w:shd w:val="clear" w:color="auto" w:fill="auto"/>
            <w:vAlign w:val="center"/>
          </w:tcPr>
          <w:p w14:paraId="68FCCC9A">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701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C18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C9D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555E">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5918">
            <w:pPr>
              <w:widowControl/>
              <w:spacing w:line="240" w:lineRule="exact"/>
              <w:jc w:val="left"/>
              <w:textAlignment w:val="center"/>
              <w:rPr>
                <w:rFonts w:ascii="宋体" w:hAnsi="宋体" w:eastAsia="宋体" w:cs="宋体"/>
                <w:color w:val="000000"/>
                <w:kern w:val="0"/>
                <w:sz w:val="24"/>
              </w:rPr>
            </w:pPr>
          </w:p>
        </w:tc>
      </w:tr>
      <w:tr w14:paraId="0927123A">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60444E2B">
            <w:pPr>
              <w:widowControl/>
              <w:spacing w:line="240" w:lineRule="exact"/>
              <w:jc w:val="center"/>
              <w:rPr>
                <w:rFonts w:ascii="宋体" w:hAnsi="宋体" w:eastAsia="宋体" w:cs="宋体"/>
                <w:b/>
                <w:color w:val="000000"/>
                <w:sz w:val="24"/>
              </w:rPr>
            </w:pPr>
          </w:p>
        </w:tc>
        <w:tc>
          <w:tcPr>
            <w:tcW w:w="1240" w:type="dxa"/>
            <w:vMerge w:val="continue"/>
            <w:tcBorders>
              <w:left w:val="single" w:color="000000" w:sz="4" w:space="0"/>
              <w:right w:val="single" w:color="000000" w:sz="4" w:space="0"/>
            </w:tcBorders>
            <w:shd w:val="clear" w:color="auto" w:fill="auto"/>
            <w:vAlign w:val="center"/>
          </w:tcPr>
          <w:p w14:paraId="76CFAB93">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F66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B9F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BAA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B1C4">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984B">
            <w:pPr>
              <w:widowControl/>
              <w:spacing w:line="240" w:lineRule="exact"/>
              <w:jc w:val="left"/>
              <w:textAlignment w:val="center"/>
              <w:rPr>
                <w:rFonts w:ascii="宋体" w:hAnsi="宋体" w:eastAsia="宋体" w:cs="宋体"/>
                <w:color w:val="000000"/>
                <w:kern w:val="0"/>
                <w:sz w:val="24"/>
              </w:rPr>
            </w:pPr>
          </w:p>
        </w:tc>
      </w:tr>
      <w:tr w14:paraId="7E330753">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1C9FEBB2">
            <w:pPr>
              <w:widowControl/>
              <w:spacing w:line="240" w:lineRule="exact"/>
              <w:jc w:val="center"/>
              <w:rPr>
                <w:rFonts w:ascii="宋体" w:hAnsi="宋体" w:eastAsia="宋体" w:cs="宋体"/>
                <w:b/>
                <w:color w:val="000000"/>
                <w:sz w:val="24"/>
              </w:rPr>
            </w:pPr>
          </w:p>
        </w:tc>
        <w:tc>
          <w:tcPr>
            <w:tcW w:w="1240" w:type="dxa"/>
            <w:vMerge w:val="continue"/>
            <w:tcBorders>
              <w:left w:val="single" w:color="000000" w:sz="4" w:space="0"/>
              <w:right w:val="single" w:color="000000" w:sz="4" w:space="0"/>
            </w:tcBorders>
            <w:shd w:val="clear" w:color="auto" w:fill="auto"/>
            <w:vAlign w:val="center"/>
          </w:tcPr>
          <w:p w14:paraId="5D9C1AF0">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10B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2669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678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1C6B">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51BD">
            <w:pPr>
              <w:widowControl/>
              <w:spacing w:line="240" w:lineRule="exact"/>
              <w:jc w:val="left"/>
              <w:textAlignment w:val="center"/>
              <w:rPr>
                <w:rFonts w:ascii="宋体" w:hAnsi="宋体" w:eastAsia="宋体" w:cs="宋体"/>
                <w:color w:val="000000"/>
                <w:kern w:val="0"/>
                <w:sz w:val="24"/>
              </w:rPr>
            </w:pPr>
          </w:p>
        </w:tc>
      </w:tr>
      <w:tr w14:paraId="46C542C5">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7D0941BD">
            <w:pPr>
              <w:widowControl/>
              <w:spacing w:line="240" w:lineRule="exact"/>
              <w:jc w:val="center"/>
              <w:rPr>
                <w:rFonts w:ascii="宋体" w:hAnsi="宋体" w:eastAsia="宋体" w:cs="宋体"/>
                <w:b/>
                <w:color w:val="000000"/>
                <w:sz w:val="24"/>
              </w:rPr>
            </w:pPr>
          </w:p>
        </w:tc>
        <w:tc>
          <w:tcPr>
            <w:tcW w:w="1240" w:type="dxa"/>
            <w:vMerge w:val="continue"/>
            <w:tcBorders>
              <w:left w:val="single" w:color="000000" w:sz="4" w:space="0"/>
              <w:right w:val="single" w:color="000000" w:sz="4" w:space="0"/>
            </w:tcBorders>
            <w:shd w:val="clear" w:color="auto" w:fill="auto"/>
            <w:vAlign w:val="center"/>
          </w:tcPr>
          <w:p w14:paraId="72C66C80">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008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BB1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4BA6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043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93D9">
            <w:pPr>
              <w:widowControl/>
              <w:spacing w:line="240" w:lineRule="exact"/>
              <w:jc w:val="left"/>
              <w:textAlignment w:val="center"/>
              <w:rPr>
                <w:rFonts w:ascii="宋体" w:hAnsi="宋体" w:eastAsia="宋体" w:cs="宋体"/>
                <w:color w:val="000000"/>
                <w:kern w:val="0"/>
                <w:sz w:val="24"/>
              </w:rPr>
            </w:pPr>
          </w:p>
        </w:tc>
      </w:tr>
      <w:tr w14:paraId="2170A1F6">
        <w:tblPrEx>
          <w:tblCellMar>
            <w:top w:w="0" w:type="dxa"/>
            <w:left w:w="108" w:type="dxa"/>
            <w:bottom w:w="0" w:type="dxa"/>
            <w:right w:w="108" w:type="dxa"/>
          </w:tblCellMar>
        </w:tblPrEx>
        <w:trPr>
          <w:trHeight w:val="743" w:hRule="atLeast"/>
          <w:jc w:val="center"/>
        </w:trPr>
        <w:tc>
          <w:tcPr>
            <w:tcW w:w="956" w:type="dxa"/>
            <w:vMerge w:val="continue"/>
            <w:tcBorders>
              <w:left w:val="single" w:color="000000" w:sz="4" w:space="0"/>
              <w:right w:val="single" w:color="000000" w:sz="4" w:space="0"/>
            </w:tcBorders>
            <w:shd w:val="clear" w:color="auto" w:fill="auto"/>
            <w:vAlign w:val="center"/>
          </w:tcPr>
          <w:p w14:paraId="623A6E16">
            <w:pPr>
              <w:widowControl/>
              <w:spacing w:line="240" w:lineRule="exact"/>
              <w:jc w:val="center"/>
              <w:rPr>
                <w:rFonts w:ascii="宋体" w:hAnsi="宋体" w:eastAsia="宋体" w:cs="宋体"/>
                <w:b/>
                <w:color w:val="000000"/>
                <w:sz w:val="24"/>
              </w:rPr>
            </w:pPr>
          </w:p>
        </w:tc>
        <w:tc>
          <w:tcPr>
            <w:tcW w:w="1240" w:type="dxa"/>
            <w:vMerge w:val="continue"/>
            <w:tcBorders>
              <w:left w:val="single" w:color="000000" w:sz="4" w:space="0"/>
              <w:right w:val="single" w:color="000000" w:sz="4" w:space="0"/>
            </w:tcBorders>
            <w:shd w:val="clear" w:color="auto" w:fill="auto"/>
            <w:vAlign w:val="center"/>
          </w:tcPr>
          <w:p w14:paraId="4076979B">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AAB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89C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6B7C3">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126B">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51CAF">
            <w:pPr>
              <w:widowControl/>
              <w:spacing w:line="240" w:lineRule="exact"/>
              <w:jc w:val="left"/>
              <w:textAlignment w:val="center"/>
              <w:rPr>
                <w:rFonts w:ascii="宋体" w:hAnsi="宋体" w:eastAsia="宋体" w:cs="宋体"/>
                <w:color w:val="000000"/>
                <w:kern w:val="0"/>
                <w:sz w:val="24"/>
              </w:rPr>
            </w:pPr>
          </w:p>
        </w:tc>
      </w:tr>
      <w:tr w14:paraId="0D83C11B">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6E3A0A42">
            <w:pPr>
              <w:widowControl/>
              <w:spacing w:line="240" w:lineRule="exact"/>
              <w:jc w:val="center"/>
              <w:rPr>
                <w:rFonts w:ascii="宋体" w:hAnsi="宋体" w:eastAsia="宋体" w:cs="宋体"/>
                <w:b/>
                <w:color w:val="000000"/>
                <w:sz w:val="24"/>
              </w:rPr>
            </w:pP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57A93">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DEB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FB7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D81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0894">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3F57">
            <w:pPr>
              <w:widowControl/>
              <w:spacing w:line="240" w:lineRule="exact"/>
              <w:jc w:val="left"/>
              <w:textAlignment w:val="center"/>
              <w:rPr>
                <w:rFonts w:ascii="宋体" w:hAnsi="宋体" w:eastAsia="宋体" w:cs="宋体"/>
                <w:color w:val="000000"/>
                <w:kern w:val="0"/>
                <w:sz w:val="24"/>
              </w:rPr>
            </w:pPr>
          </w:p>
        </w:tc>
      </w:tr>
      <w:tr w14:paraId="4B80FC21">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26C055E5">
            <w:pPr>
              <w:widowControl/>
              <w:spacing w:line="240" w:lineRule="exact"/>
              <w:jc w:val="center"/>
              <w:rPr>
                <w:rFonts w:ascii="宋体" w:hAnsi="宋体" w:eastAsia="宋体" w:cs="宋体"/>
                <w:b/>
                <w:color w:val="000000"/>
                <w:sz w:val="24"/>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3FCB7">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494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DB4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C79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4DCA">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5ED8">
            <w:pPr>
              <w:widowControl/>
              <w:spacing w:line="240" w:lineRule="exact"/>
              <w:jc w:val="left"/>
              <w:textAlignment w:val="center"/>
              <w:rPr>
                <w:rFonts w:ascii="宋体" w:hAnsi="宋体" w:eastAsia="宋体" w:cs="宋体"/>
                <w:color w:val="000000"/>
                <w:kern w:val="0"/>
                <w:sz w:val="24"/>
              </w:rPr>
            </w:pPr>
          </w:p>
        </w:tc>
      </w:tr>
      <w:tr w14:paraId="4DAF8A25">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38165906">
            <w:pPr>
              <w:widowControl/>
              <w:spacing w:line="240" w:lineRule="exact"/>
              <w:jc w:val="center"/>
              <w:rPr>
                <w:rFonts w:ascii="宋体" w:hAnsi="宋体" w:eastAsia="宋体" w:cs="宋体"/>
                <w:b/>
                <w:color w:val="000000"/>
                <w:sz w:val="24"/>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9E450">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6EB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5CE1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D07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4CD9">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4D20">
            <w:pPr>
              <w:widowControl/>
              <w:spacing w:line="240" w:lineRule="exact"/>
              <w:jc w:val="left"/>
              <w:textAlignment w:val="center"/>
              <w:rPr>
                <w:rFonts w:ascii="宋体" w:hAnsi="宋体" w:eastAsia="宋体" w:cs="宋体"/>
                <w:color w:val="000000"/>
                <w:kern w:val="0"/>
                <w:sz w:val="24"/>
              </w:rPr>
            </w:pPr>
          </w:p>
        </w:tc>
      </w:tr>
      <w:tr w14:paraId="5BF0BEB1">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521FA336">
            <w:pPr>
              <w:widowControl/>
              <w:spacing w:line="240" w:lineRule="exact"/>
              <w:jc w:val="center"/>
              <w:rPr>
                <w:rFonts w:ascii="宋体" w:hAnsi="宋体" w:eastAsia="宋体" w:cs="宋体"/>
                <w:b/>
                <w:color w:val="000000"/>
                <w:sz w:val="24"/>
              </w:rPr>
            </w:pP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68A22">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C47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58C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834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879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64840">
            <w:pPr>
              <w:widowControl/>
              <w:spacing w:line="240" w:lineRule="exact"/>
              <w:jc w:val="left"/>
              <w:textAlignment w:val="center"/>
              <w:rPr>
                <w:rFonts w:ascii="宋体" w:hAnsi="宋体" w:eastAsia="宋体" w:cs="宋体"/>
                <w:color w:val="000000"/>
                <w:kern w:val="0"/>
                <w:sz w:val="24"/>
              </w:rPr>
            </w:pPr>
          </w:p>
        </w:tc>
      </w:tr>
      <w:tr w14:paraId="6FFE5BFF">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0B3815C5">
            <w:pPr>
              <w:widowControl/>
              <w:spacing w:line="240" w:lineRule="exact"/>
              <w:jc w:val="center"/>
              <w:rPr>
                <w:rFonts w:ascii="宋体" w:hAnsi="宋体" w:eastAsia="宋体" w:cs="宋体"/>
                <w:b/>
                <w:color w:val="000000"/>
                <w:sz w:val="24"/>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96290">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E0E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C5C2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49FA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0603">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8DCE">
            <w:pPr>
              <w:widowControl/>
              <w:spacing w:line="240" w:lineRule="exact"/>
              <w:jc w:val="left"/>
              <w:textAlignment w:val="center"/>
              <w:rPr>
                <w:rFonts w:ascii="宋体" w:hAnsi="宋体" w:eastAsia="宋体" w:cs="宋体"/>
                <w:color w:val="000000"/>
                <w:kern w:val="0"/>
                <w:sz w:val="24"/>
              </w:rPr>
            </w:pPr>
          </w:p>
        </w:tc>
      </w:tr>
      <w:tr w14:paraId="39A5FE2F">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6FADAA7C">
            <w:pPr>
              <w:widowControl/>
              <w:spacing w:line="240" w:lineRule="exact"/>
              <w:jc w:val="center"/>
              <w:textAlignment w:val="center"/>
              <w:rPr>
                <w:rFonts w:ascii="宋体" w:hAnsi="宋体" w:eastAsia="宋体" w:cs="宋体"/>
                <w:b/>
                <w:color w:val="000000"/>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4B4C">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516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7E3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BDE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60B6">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6B31">
            <w:pPr>
              <w:widowControl/>
              <w:spacing w:line="240" w:lineRule="exact"/>
              <w:jc w:val="left"/>
              <w:textAlignment w:val="center"/>
              <w:rPr>
                <w:rFonts w:ascii="宋体" w:hAnsi="宋体" w:eastAsia="宋体" w:cs="宋体"/>
                <w:color w:val="000000"/>
                <w:kern w:val="0"/>
                <w:sz w:val="24"/>
              </w:rPr>
            </w:pPr>
          </w:p>
        </w:tc>
      </w:tr>
      <w:tr w14:paraId="4A195A25">
        <w:tblPrEx>
          <w:tblCellMar>
            <w:top w:w="0" w:type="dxa"/>
            <w:left w:w="108" w:type="dxa"/>
            <w:bottom w:w="0" w:type="dxa"/>
            <w:right w:w="108" w:type="dxa"/>
          </w:tblCellMar>
        </w:tblPrEx>
        <w:trPr>
          <w:trHeight w:val="23" w:hRule="atLeast"/>
          <w:jc w:val="center"/>
        </w:trPr>
        <w:tc>
          <w:tcPr>
            <w:tcW w:w="956" w:type="dxa"/>
            <w:vMerge w:val="continue"/>
            <w:tcBorders>
              <w:left w:val="single" w:color="000000" w:sz="4" w:space="0"/>
              <w:right w:val="single" w:color="000000" w:sz="4" w:space="0"/>
            </w:tcBorders>
            <w:shd w:val="clear" w:color="auto" w:fill="auto"/>
            <w:vAlign w:val="center"/>
          </w:tcPr>
          <w:p w14:paraId="45404C10">
            <w:pPr>
              <w:widowControl/>
              <w:spacing w:line="240" w:lineRule="exact"/>
              <w:jc w:val="center"/>
              <w:rPr>
                <w:rFonts w:ascii="宋体" w:hAnsi="宋体" w:eastAsia="宋体" w:cs="宋体"/>
                <w:b/>
                <w:color w:val="000000"/>
                <w:sz w:val="24"/>
              </w:rPr>
            </w:pP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97F4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CB5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B8E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035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253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F555">
            <w:pPr>
              <w:widowControl/>
              <w:spacing w:line="240" w:lineRule="exact"/>
              <w:jc w:val="left"/>
              <w:textAlignment w:val="center"/>
              <w:rPr>
                <w:rFonts w:ascii="宋体" w:hAnsi="宋体" w:eastAsia="宋体" w:cs="宋体"/>
                <w:color w:val="000000"/>
                <w:kern w:val="0"/>
                <w:sz w:val="24"/>
              </w:rPr>
            </w:pPr>
          </w:p>
        </w:tc>
      </w:tr>
      <w:tr w14:paraId="74185670">
        <w:tblPrEx>
          <w:tblCellMar>
            <w:top w:w="0" w:type="dxa"/>
            <w:left w:w="108" w:type="dxa"/>
            <w:bottom w:w="0" w:type="dxa"/>
            <w:right w:w="108" w:type="dxa"/>
          </w:tblCellMar>
        </w:tblPrEx>
        <w:trPr>
          <w:trHeight w:val="176" w:hRule="atLeast"/>
          <w:jc w:val="center"/>
        </w:trPr>
        <w:tc>
          <w:tcPr>
            <w:tcW w:w="956" w:type="dxa"/>
            <w:vMerge w:val="continue"/>
            <w:tcBorders>
              <w:left w:val="single" w:color="000000" w:sz="4" w:space="0"/>
              <w:bottom w:val="single" w:color="000000" w:sz="4" w:space="0"/>
              <w:right w:val="single" w:color="000000" w:sz="4" w:space="0"/>
            </w:tcBorders>
            <w:shd w:val="clear" w:color="auto" w:fill="auto"/>
            <w:vAlign w:val="center"/>
          </w:tcPr>
          <w:p w14:paraId="45113674">
            <w:pPr>
              <w:widowControl/>
              <w:spacing w:line="240" w:lineRule="exact"/>
              <w:jc w:val="center"/>
              <w:rPr>
                <w:rFonts w:ascii="宋体" w:hAnsi="宋体" w:eastAsia="宋体" w:cs="宋体"/>
                <w:b/>
                <w:color w:val="000000"/>
                <w:sz w:val="24"/>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4A615">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BEBE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4413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F58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D839">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45339">
            <w:pPr>
              <w:widowControl/>
              <w:spacing w:line="240" w:lineRule="exact"/>
              <w:jc w:val="left"/>
              <w:textAlignment w:val="center"/>
              <w:rPr>
                <w:rFonts w:ascii="宋体" w:hAnsi="宋体" w:eastAsia="宋体" w:cs="宋体"/>
                <w:color w:val="000000"/>
                <w:kern w:val="0"/>
                <w:sz w:val="24"/>
              </w:rPr>
            </w:pPr>
          </w:p>
        </w:tc>
      </w:tr>
      <w:tr w14:paraId="5D9E3FCF">
        <w:tblPrEx>
          <w:tblCellMar>
            <w:top w:w="0" w:type="dxa"/>
            <w:left w:w="108" w:type="dxa"/>
            <w:bottom w:w="0" w:type="dxa"/>
            <w:right w:w="108" w:type="dxa"/>
          </w:tblCellMar>
        </w:tblPrEx>
        <w:trPr>
          <w:trHeight w:val="23" w:hRule="atLeast"/>
          <w:jc w:val="center"/>
        </w:trPr>
        <w:tc>
          <w:tcPr>
            <w:tcW w:w="9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27716F">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40" w:type="dxa"/>
            <w:vMerge w:val="restart"/>
            <w:tcBorders>
              <w:top w:val="single" w:color="000000" w:sz="4" w:space="0"/>
              <w:left w:val="single" w:color="000000" w:sz="4" w:space="0"/>
              <w:bottom w:val="nil"/>
              <w:right w:val="single" w:color="000000" w:sz="4" w:space="0"/>
            </w:tcBorders>
            <w:shd w:val="clear" w:color="auto" w:fill="auto"/>
            <w:vAlign w:val="center"/>
          </w:tcPr>
          <w:p w14:paraId="2BE2D65F">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5EFF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F9E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96C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B6D2">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AE50">
            <w:pPr>
              <w:widowControl/>
              <w:spacing w:line="240" w:lineRule="exact"/>
              <w:jc w:val="left"/>
              <w:textAlignment w:val="center"/>
              <w:rPr>
                <w:rFonts w:ascii="宋体" w:hAnsi="宋体" w:eastAsia="宋体" w:cs="宋体"/>
                <w:color w:val="000000"/>
                <w:kern w:val="0"/>
                <w:sz w:val="24"/>
              </w:rPr>
            </w:pPr>
          </w:p>
        </w:tc>
      </w:tr>
      <w:tr w14:paraId="23F2ADB9">
        <w:tblPrEx>
          <w:tblCellMar>
            <w:top w:w="0" w:type="dxa"/>
            <w:left w:w="108" w:type="dxa"/>
            <w:bottom w:w="0" w:type="dxa"/>
            <w:right w:w="108" w:type="dxa"/>
          </w:tblCellMar>
        </w:tblPrEx>
        <w:trPr>
          <w:trHeight w:val="23" w:hRule="atLeast"/>
          <w:jc w:val="center"/>
        </w:trPr>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99504">
            <w:pPr>
              <w:widowControl/>
              <w:spacing w:line="240" w:lineRule="exact"/>
              <w:jc w:val="center"/>
              <w:rPr>
                <w:rFonts w:ascii="宋体" w:hAnsi="宋体" w:eastAsia="宋体" w:cs="宋体"/>
                <w:b/>
                <w:color w:val="000000"/>
                <w:sz w:val="24"/>
              </w:rPr>
            </w:pPr>
          </w:p>
        </w:tc>
        <w:tc>
          <w:tcPr>
            <w:tcW w:w="1240" w:type="dxa"/>
            <w:vMerge w:val="continue"/>
            <w:tcBorders>
              <w:top w:val="single" w:color="000000" w:sz="4" w:space="0"/>
              <w:left w:val="single" w:color="000000" w:sz="4" w:space="0"/>
              <w:bottom w:val="nil"/>
              <w:right w:val="single" w:color="000000" w:sz="4" w:space="0"/>
            </w:tcBorders>
            <w:shd w:val="clear" w:color="auto" w:fill="auto"/>
            <w:vAlign w:val="center"/>
          </w:tcPr>
          <w:p w14:paraId="74C943A6">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BD0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B42D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9164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3DED">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75196">
            <w:pPr>
              <w:widowControl/>
              <w:spacing w:line="240" w:lineRule="exact"/>
              <w:jc w:val="left"/>
              <w:textAlignment w:val="center"/>
              <w:rPr>
                <w:rFonts w:ascii="宋体" w:hAnsi="宋体" w:eastAsia="宋体" w:cs="宋体"/>
                <w:color w:val="000000"/>
                <w:kern w:val="0"/>
                <w:sz w:val="24"/>
              </w:rPr>
            </w:pPr>
          </w:p>
        </w:tc>
      </w:tr>
      <w:tr w14:paraId="1FDCD337">
        <w:tblPrEx>
          <w:tblCellMar>
            <w:top w:w="0" w:type="dxa"/>
            <w:left w:w="108" w:type="dxa"/>
            <w:bottom w:w="0" w:type="dxa"/>
            <w:right w:w="108" w:type="dxa"/>
          </w:tblCellMar>
        </w:tblPrEx>
        <w:trPr>
          <w:trHeight w:val="23" w:hRule="atLeast"/>
          <w:jc w:val="center"/>
        </w:trPr>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AD169">
            <w:pPr>
              <w:widowControl/>
              <w:spacing w:line="240" w:lineRule="exact"/>
              <w:jc w:val="center"/>
              <w:rPr>
                <w:rFonts w:ascii="宋体" w:hAnsi="宋体" w:eastAsia="宋体" w:cs="宋体"/>
                <w:b/>
                <w:color w:val="000000"/>
                <w:sz w:val="24"/>
              </w:rPr>
            </w:pPr>
          </w:p>
        </w:tc>
        <w:tc>
          <w:tcPr>
            <w:tcW w:w="1240" w:type="dxa"/>
            <w:vMerge w:val="continue"/>
            <w:tcBorders>
              <w:top w:val="single" w:color="000000" w:sz="4" w:space="0"/>
              <w:left w:val="single" w:color="000000" w:sz="4" w:space="0"/>
              <w:bottom w:val="nil"/>
              <w:right w:val="single" w:color="000000" w:sz="4" w:space="0"/>
            </w:tcBorders>
            <w:shd w:val="clear" w:color="auto" w:fill="auto"/>
            <w:vAlign w:val="center"/>
          </w:tcPr>
          <w:p w14:paraId="6B93D9A2">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09B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938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0F1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971FA">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8DD0">
            <w:pPr>
              <w:widowControl/>
              <w:spacing w:line="240" w:lineRule="exact"/>
              <w:jc w:val="left"/>
              <w:textAlignment w:val="center"/>
              <w:rPr>
                <w:rFonts w:ascii="宋体" w:hAnsi="宋体" w:eastAsia="宋体" w:cs="宋体"/>
                <w:color w:val="000000"/>
                <w:kern w:val="0"/>
                <w:sz w:val="24"/>
              </w:rPr>
            </w:pPr>
          </w:p>
        </w:tc>
      </w:tr>
      <w:tr w14:paraId="374F675B">
        <w:tblPrEx>
          <w:tblCellMar>
            <w:top w:w="0" w:type="dxa"/>
            <w:left w:w="108" w:type="dxa"/>
            <w:bottom w:w="0" w:type="dxa"/>
            <w:right w:w="108" w:type="dxa"/>
          </w:tblCellMar>
        </w:tblPrEx>
        <w:trPr>
          <w:trHeight w:val="23" w:hRule="atLeast"/>
          <w:jc w:val="center"/>
        </w:trPr>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F41BD">
            <w:pPr>
              <w:widowControl/>
              <w:spacing w:line="240" w:lineRule="exact"/>
              <w:jc w:val="center"/>
              <w:rPr>
                <w:rFonts w:ascii="宋体" w:hAnsi="宋体" w:eastAsia="宋体" w:cs="宋体"/>
                <w:b/>
                <w:color w:val="000000"/>
                <w:sz w:val="24"/>
              </w:rPr>
            </w:pPr>
          </w:p>
        </w:tc>
        <w:tc>
          <w:tcPr>
            <w:tcW w:w="1240" w:type="dxa"/>
            <w:vMerge w:val="restart"/>
            <w:tcBorders>
              <w:top w:val="single" w:color="000000" w:sz="4" w:space="0"/>
              <w:left w:val="single" w:color="000000" w:sz="4" w:space="0"/>
              <w:bottom w:val="nil"/>
              <w:right w:val="single" w:color="000000" w:sz="4" w:space="0"/>
            </w:tcBorders>
            <w:shd w:val="clear" w:color="auto" w:fill="auto"/>
            <w:vAlign w:val="center"/>
          </w:tcPr>
          <w:p w14:paraId="15035CE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47B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4A0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AE8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B08C">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47A1">
            <w:pPr>
              <w:widowControl/>
              <w:spacing w:line="240" w:lineRule="exact"/>
              <w:jc w:val="left"/>
              <w:textAlignment w:val="center"/>
              <w:rPr>
                <w:rFonts w:ascii="宋体" w:hAnsi="宋体" w:eastAsia="宋体" w:cs="宋体"/>
                <w:color w:val="000000"/>
                <w:kern w:val="0"/>
                <w:sz w:val="24"/>
              </w:rPr>
            </w:pPr>
          </w:p>
        </w:tc>
      </w:tr>
      <w:tr w14:paraId="15B2332B">
        <w:tblPrEx>
          <w:tblCellMar>
            <w:top w:w="0" w:type="dxa"/>
            <w:left w:w="108" w:type="dxa"/>
            <w:bottom w:w="0" w:type="dxa"/>
            <w:right w:w="108" w:type="dxa"/>
          </w:tblCellMar>
        </w:tblPrEx>
        <w:trPr>
          <w:trHeight w:val="23" w:hRule="atLeast"/>
          <w:jc w:val="center"/>
        </w:trPr>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9E030">
            <w:pPr>
              <w:widowControl/>
              <w:spacing w:line="240" w:lineRule="exact"/>
              <w:jc w:val="center"/>
              <w:rPr>
                <w:rFonts w:ascii="宋体" w:hAnsi="宋体" w:eastAsia="宋体" w:cs="宋体"/>
                <w:b/>
                <w:color w:val="000000"/>
                <w:sz w:val="24"/>
              </w:rPr>
            </w:pPr>
          </w:p>
        </w:tc>
        <w:tc>
          <w:tcPr>
            <w:tcW w:w="1240" w:type="dxa"/>
            <w:vMerge w:val="continue"/>
            <w:tcBorders>
              <w:top w:val="single" w:color="000000" w:sz="4" w:space="0"/>
              <w:left w:val="single" w:color="000000" w:sz="4" w:space="0"/>
              <w:bottom w:val="nil"/>
              <w:right w:val="single" w:color="000000" w:sz="4" w:space="0"/>
            </w:tcBorders>
            <w:shd w:val="clear" w:color="auto" w:fill="auto"/>
            <w:vAlign w:val="center"/>
          </w:tcPr>
          <w:p w14:paraId="553A978F">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nil"/>
              <w:right w:val="single" w:color="000000" w:sz="4" w:space="0"/>
            </w:tcBorders>
            <w:shd w:val="clear" w:color="auto" w:fill="auto"/>
            <w:vAlign w:val="center"/>
          </w:tcPr>
          <w:p w14:paraId="5F8CAE6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E19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7BD5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951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D4E8">
            <w:pPr>
              <w:widowControl/>
              <w:spacing w:line="240" w:lineRule="exact"/>
              <w:jc w:val="left"/>
              <w:textAlignment w:val="center"/>
              <w:rPr>
                <w:rFonts w:ascii="宋体" w:hAnsi="宋体" w:eastAsia="宋体" w:cs="宋体"/>
                <w:color w:val="000000"/>
                <w:kern w:val="0"/>
                <w:sz w:val="24"/>
              </w:rPr>
            </w:pPr>
          </w:p>
        </w:tc>
      </w:tr>
      <w:tr w14:paraId="43A702A3">
        <w:tblPrEx>
          <w:tblCellMar>
            <w:top w:w="0" w:type="dxa"/>
            <w:left w:w="108" w:type="dxa"/>
            <w:bottom w:w="0" w:type="dxa"/>
            <w:right w:w="108" w:type="dxa"/>
          </w:tblCellMar>
        </w:tblPrEx>
        <w:trPr>
          <w:trHeight w:val="90" w:hRule="atLeast"/>
          <w:jc w:val="center"/>
        </w:trPr>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7C7D8">
            <w:pPr>
              <w:widowControl/>
              <w:spacing w:line="240" w:lineRule="exact"/>
              <w:jc w:val="center"/>
              <w:rPr>
                <w:rFonts w:ascii="宋体" w:hAnsi="宋体" w:eastAsia="宋体" w:cs="宋体"/>
                <w:b/>
                <w:color w:val="000000"/>
                <w:sz w:val="24"/>
              </w:rPr>
            </w:pPr>
          </w:p>
        </w:tc>
        <w:tc>
          <w:tcPr>
            <w:tcW w:w="1240" w:type="dxa"/>
            <w:vMerge w:val="continue"/>
            <w:tcBorders>
              <w:top w:val="single" w:color="000000" w:sz="4" w:space="0"/>
              <w:left w:val="single" w:color="000000" w:sz="4" w:space="0"/>
              <w:bottom w:val="nil"/>
              <w:right w:val="single" w:color="000000" w:sz="4" w:space="0"/>
            </w:tcBorders>
            <w:shd w:val="clear" w:color="auto" w:fill="auto"/>
            <w:vAlign w:val="center"/>
          </w:tcPr>
          <w:p w14:paraId="13D5D5B4">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FDD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F896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EC5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8B5F">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C6C7">
            <w:pPr>
              <w:widowControl/>
              <w:spacing w:line="240" w:lineRule="exact"/>
              <w:jc w:val="left"/>
              <w:textAlignment w:val="center"/>
              <w:rPr>
                <w:rFonts w:ascii="宋体" w:hAnsi="宋体" w:eastAsia="宋体" w:cs="宋体"/>
                <w:color w:val="000000"/>
                <w:kern w:val="0"/>
                <w:sz w:val="24"/>
              </w:rPr>
            </w:pPr>
          </w:p>
        </w:tc>
      </w:tr>
      <w:tr w14:paraId="31558025">
        <w:tblPrEx>
          <w:tblCellMar>
            <w:top w:w="0" w:type="dxa"/>
            <w:left w:w="108" w:type="dxa"/>
            <w:bottom w:w="0" w:type="dxa"/>
            <w:right w:w="108" w:type="dxa"/>
          </w:tblCellMar>
        </w:tblPrEx>
        <w:trPr>
          <w:trHeight w:val="23" w:hRule="atLeast"/>
          <w:jc w:val="center"/>
        </w:trPr>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38704">
            <w:pPr>
              <w:widowControl/>
              <w:spacing w:line="240" w:lineRule="exact"/>
              <w:jc w:val="center"/>
              <w:rPr>
                <w:rFonts w:ascii="宋体" w:hAnsi="宋体" w:eastAsia="宋体" w:cs="宋体"/>
                <w:b/>
                <w:color w:val="000000"/>
                <w:sz w:val="24"/>
              </w:rPr>
            </w:pPr>
          </w:p>
        </w:tc>
        <w:tc>
          <w:tcPr>
            <w:tcW w:w="1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FFB69">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576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1F1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DD4B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5D5BF">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A3F9">
            <w:pPr>
              <w:widowControl/>
              <w:spacing w:line="240" w:lineRule="exact"/>
              <w:jc w:val="left"/>
              <w:textAlignment w:val="center"/>
              <w:rPr>
                <w:rFonts w:ascii="宋体" w:hAnsi="宋体" w:eastAsia="宋体" w:cs="宋体"/>
                <w:color w:val="000000"/>
                <w:kern w:val="0"/>
                <w:sz w:val="24"/>
              </w:rPr>
            </w:pPr>
          </w:p>
        </w:tc>
      </w:tr>
      <w:tr w14:paraId="4380920F">
        <w:tblPrEx>
          <w:tblCellMar>
            <w:top w:w="0" w:type="dxa"/>
            <w:left w:w="108" w:type="dxa"/>
            <w:bottom w:w="0" w:type="dxa"/>
            <w:right w:w="108" w:type="dxa"/>
          </w:tblCellMar>
        </w:tblPrEx>
        <w:trPr>
          <w:trHeight w:val="23" w:hRule="atLeast"/>
          <w:jc w:val="center"/>
        </w:trPr>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1F231">
            <w:pPr>
              <w:widowControl/>
              <w:spacing w:line="240" w:lineRule="exact"/>
              <w:jc w:val="center"/>
              <w:rPr>
                <w:rFonts w:ascii="宋体" w:hAnsi="宋体" w:eastAsia="宋体" w:cs="宋体"/>
                <w:b/>
                <w:color w:val="000000"/>
                <w:sz w:val="24"/>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4F342">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307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B71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60C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AEA5">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6276">
            <w:pPr>
              <w:widowControl/>
              <w:spacing w:line="240" w:lineRule="exact"/>
              <w:jc w:val="left"/>
              <w:textAlignment w:val="center"/>
              <w:rPr>
                <w:rFonts w:ascii="宋体" w:hAnsi="宋体" w:eastAsia="宋体" w:cs="宋体"/>
                <w:color w:val="000000"/>
                <w:kern w:val="0"/>
                <w:sz w:val="24"/>
              </w:rPr>
            </w:pPr>
          </w:p>
        </w:tc>
      </w:tr>
      <w:tr w14:paraId="498D0F7A">
        <w:tblPrEx>
          <w:tblCellMar>
            <w:top w:w="0" w:type="dxa"/>
            <w:left w:w="108" w:type="dxa"/>
            <w:bottom w:w="0" w:type="dxa"/>
            <w:right w:w="108" w:type="dxa"/>
          </w:tblCellMar>
        </w:tblPrEx>
        <w:trPr>
          <w:trHeight w:val="23" w:hRule="atLeast"/>
          <w:jc w:val="center"/>
        </w:trPr>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BA76D">
            <w:pPr>
              <w:widowControl/>
              <w:spacing w:line="240" w:lineRule="exact"/>
              <w:jc w:val="center"/>
              <w:rPr>
                <w:rFonts w:ascii="宋体" w:hAnsi="宋体" w:eastAsia="宋体" w:cs="宋体"/>
                <w:b/>
                <w:color w:val="000000"/>
                <w:sz w:val="24"/>
              </w:rPr>
            </w:pPr>
          </w:p>
        </w:tc>
        <w:tc>
          <w:tcPr>
            <w:tcW w:w="1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691E9">
            <w:pPr>
              <w:widowControl/>
              <w:spacing w:line="240" w:lineRule="exact"/>
              <w:jc w:val="center"/>
              <w:rPr>
                <w:rFonts w:ascii="宋体" w:hAnsi="宋体" w:eastAsia="宋体" w:cs="宋体"/>
                <w:b/>
                <w:color w:val="000000"/>
                <w:sz w:val="24"/>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995F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246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181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ACEF">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9F8C">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90分</w:t>
            </w:r>
          </w:p>
        </w:tc>
      </w:tr>
      <w:tr w14:paraId="04B01384">
        <w:tblPrEx>
          <w:tblCellMar>
            <w:top w:w="0" w:type="dxa"/>
            <w:left w:w="108" w:type="dxa"/>
            <w:bottom w:w="0" w:type="dxa"/>
            <w:right w:w="108" w:type="dxa"/>
          </w:tblCellMar>
        </w:tblPrEx>
        <w:trPr>
          <w:trHeight w:val="23" w:hRule="atLeast"/>
          <w:jc w:val="center"/>
        </w:trPr>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205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0AAC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FDB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B624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4189">
            <w:pPr>
              <w:widowControl/>
              <w:spacing w:line="240" w:lineRule="exact"/>
              <w:jc w:val="left"/>
              <w:textAlignment w:val="center"/>
              <w:rPr>
                <w:rFonts w:ascii="宋体" w:hAnsi="宋体" w:eastAsia="宋体" w:cs="宋体"/>
                <w:color w:val="000000"/>
                <w:kern w:val="0"/>
                <w:sz w:val="24"/>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C081">
            <w:pPr>
              <w:widowControl/>
              <w:spacing w:line="240" w:lineRule="exact"/>
              <w:jc w:val="left"/>
              <w:textAlignment w:val="center"/>
              <w:rPr>
                <w:rFonts w:ascii="宋体" w:hAnsi="宋体" w:eastAsia="宋体" w:cs="宋体"/>
                <w:color w:val="000000"/>
                <w:kern w:val="0"/>
                <w:sz w:val="24"/>
              </w:rPr>
            </w:pPr>
          </w:p>
        </w:tc>
      </w:tr>
    </w:tbl>
    <w:p w14:paraId="55788B94">
      <w:pPr>
        <w:spacing w:line="578" w:lineRule="exact"/>
        <w:jc w:val="left"/>
        <w:rPr>
          <w:rFonts w:eastAsia="黑体"/>
        </w:rPr>
      </w:pPr>
    </w:p>
    <w:p w14:paraId="72779FEC">
      <w:pPr>
        <w:pStyle w:val="14"/>
        <w:spacing w:after="0" w:line="578" w:lineRule="exact"/>
        <w:ind w:left="0" w:leftChars="0" w:firstLine="0" w:firstLineChars="0"/>
        <w:rPr>
          <w:rFonts w:hint="eastAsia" w:ascii="Times New Roman" w:eastAsia="黑体"/>
          <w:sz w:val="32"/>
          <w:szCs w:val="32"/>
          <w:lang w:eastAsia="zh-CN"/>
        </w:rPr>
      </w:pPr>
      <w:r>
        <w:rPr>
          <w:rFonts w:ascii="Times New Roman" w:eastAsia="黑体"/>
          <w:sz w:val="32"/>
          <w:szCs w:val="32"/>
        </w:rPr>
        <w:t>附表</w:t>
      </w:r>
      <w:r>
        <w:rPr>
          <w:rFonts w:hint="eastAsia" w:ascii="Times New Roman" w:eastAsia="黑体"/>
          <w:sz w:val="32"/>
          <w:szCs w:val="32"/>
          <w:lang w:val="en-US" w:eastAsia="zh-CN"/>
        </w:rPr>
        <w:t>2</w:t>
      </w:r>
    </w:p>
    <w:tbl>
      <w:tblPr>
        <w:tblStyle w:val="17"/>
        <w:tblW w:w="949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7"/>
        <w:gridCol w:w="947"/>
        <w:gridCol w:w="951"/>
        <w:gridCol w:w="1109"/>
        <w:gridCol w:w="720"/>
        <w:gridCol w:w="1008"/>
        <w:gridCol w:w="888"/>
        <w:gridCol w:w="696"/>
        <w:gridCol w:w="408"/>
        <w:gridCol w:w="473"/>
        <w:gridCol w:w="1343"/>
      </w:tblGrid>
      <w:tr w14:paraId="4626F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7" w:hRule="atLeast"/>
        </w:trPr>
        <w:tc>
          <w:tcPr>
            <w:tcW w:w="949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BFA207">
            <w:pPr>
              <w:keepNext w:val="0"/>
              <w:keepLines w:val="0"/>
              <w:widowControl/>
              <w:suppressLineNumbers w:val="0"/>
              <w:jc w:val="center"/>
              <w:textAlignment w:val="center"/>
              <w:rPr>
                <w:rFonts w:ascii="黑体" w:hAnsi="宋体" w:eastAsia="黑体" w:cs="黑体"/>
                <w:b/>
                <w:bCs/>
                <w:i w:val="0"/>
                <w:iCs w:val="0"/>
                <w:color w:val="000000"/>
                <w:sz w:val="15"/>
                <w:szCs w:val="15"/>
                <w:u w:val="none"/>
              </w:rPr>
            </w:pPr>
            <w:r>
              <w:rPr>
                <w:rFonts w:hint="eastAsia" w:ascii="黑体" w:hAnsi="宋体" w:eastAsia="黑体" w:cs="黑体"/>
                <w:b/>
                <w:bCs/>
                <w:i w:val="0"/>
                <w:iCs w:val="0"/>
                <w:color w:val="000000"/>
                <w:kern w:val="0"/>
                <w:sz w:val="28"/>
                <w:szCs w:val="28"/>
                <w:u w:val="none"/>
                <w:lang w:val="en-US" w:eastAsia="zh-CN" w:bidi="ar"/>
              </w:rPr>
              <w:t>部门预算项目支出绩效自评表（2025年度）</w:t>
            </w:r>
          </w:p>
        </w:tc>
      </w:tr>
      <w:tr w14:paraId="63D13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1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557E1">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项目名称</w:t>
            </w:r>
          </w:p>
        </w:tc>
        <w:tc>
          <w:tcPr>
            <w:tcW w:w="75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2539C3">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51320021T0</w:t>
            </w:r>
            <w:r>
              <w:rPr>
                <w:rFonts w:ascii="宋体" w:hAnsi="宋体" w:eastAsia="宋体" w:cs="宋体"/>
                <w:i w:val="0"/>
                <w:iCs w:val="0"/>
                <w:color w:val="000000"/>
                <w:kern w:val="0"/>
                <w:sz w:val="22"/>
                <w:szCs w:val="22"/>
                <w:u w:val="none"/>
                <w:lang w:val="en-US" w:eastAsia="zh-CN" w:bidi="ar"/>
              </w:rPr>
              <w:t>00000188151-活动运转经费</w:t>
            </w:r>
          </w:p>
        </w:tc>
      </w:tr>
      <w:tr w14:paraId="3FBAB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7" w:hRule="atLeast"/>
        </w:trPr>
        <w:tc>
          <w:tcPr>
            <w:tcW w:w="1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6593E">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46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EEB4A4">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州教体局部门</w:t>
            </w:r>
          </w:p>
        </w:tc>
        <w:tc>
          <w:tcPr>
            <w:tcW w:w="696" w:type="dxa"/>
            <w:tcBorders>
              <w:top w:val="nil"/>
              <w:left w:val="nil"/>
              <w:bottom w:val="nil"/>
              <w:right w:val="nil"/>
            </w:tcBorders>
            <w:shd w:val="clear" w:color="auto" w:fill="auto"/>
            <w:vAlign w:val="center"/>
          </w:tcPr>
          <w:p w14:paraId="167D302C">
            <w:pPr>
              <w:keepNext w:val="0"/>
              <w:keepLines w:val="0"/>
              <w:widowControl/>
              <w:suppressLineNumbers w:val="0"/>
              <w:jc w:val="left"/>
              <w:textAlignment w:val="center"/>
              <w:rPr>
                <w:rFonts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22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E71BC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州青少年校外教育活动中心</w:t>
            </w:r>
          </w:p>
        </w:tc>
      </w:tr>
      <w:tr w14:paraId="48ABB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DC3C3">
            <w:pPr>
              <w:keepNext w:val="0"/>
              <w:keepLines w:val="0"/>
              <w:widowControl/>
              <w:suppressLineNumbers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2D0692">
            <w:pPr>
              <w:keepNext w:val="0"/>
              <w:keepLines w:val="0"/>
              <w:widowControl/>
              <w:suppressLineNumbers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46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A970A0">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29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E60F82">
            <w:pPr>
              <w:keepNext w:val="0"/>
              <w:keepLines w:val="0"/>
              <w:widowControl/>
              <w:suppressLineNumbers w:val="0"/>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1CBA8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25B7B">
            <w:pPr>
              <w:rPr>
                <w:rFonts w:hint="eastAsia" w:ascii="宋体" w:hAnsi="宋体" w:eastAsia="宋体" w:cs="宋体"/>
                <w:i w:val="0"/>
                <w:iCs w:val="0"/>
                <w:color w:val="000000"/>
                <w:sz w:val="15"/>
                <w:szCs w:val="15"/>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BF14A">
            <w:pPr>
              <w:rPr>
                <w:rFonts w:hint="eastAsia" w:ascii="宋体" w:hAnsi="宋体" w:eastAsia="宋体" w:cs="宋体"/>
                <w:i w:val="0"/>
                <w:iCs w:val="0"/>
                <w:color w:val="000000"/>
                <w:sz w:val="15"/>
                <w:szCs w:val="15"/>
                <w:u w:val="none"/>
              </w:rPr>
            </w:pPr>
          </w:p>
        </w:tc>
        <w:tc>
          <w:tcPr>
            <w:tcW w:w="46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0642C8">
            <w:pPr>
              <w:keepNext w:val="0"/>
              <w:keepLines w:val="0"/>
              <w:widowControl/>
              <w:suppressLineNumbers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自2023年9月新场馆开班之初，我们即设立了13个教学班，吸引了300人次学员参与。在2024年春季进行了学员补录，并于同年9月秋季学期进一步扩大规模，共开设30个教学班，招收学员619人次。收入教学成本费212930元，中心学生活动兴趣特长培训参报学员成功达到了饱和状态。2025年（春、秋季）学期计划开班31个，预计招收学员900人次；其中书法班3个、播音主持班2个、播音主持（实践）班1个、钢琴班2个、少儿美术班2个、幼儿美术班2个、少儿舞蹈班2个、幼儿舞蹈班2个、民族舞蹈班1个、国画班1个、机器人编程班4个、机器人编程竞赛班1个、素描班2个、武术班2个、武术（竞赛）班1个、英语口语班2个、梦想班1个。计划开展线上线下主题为启迪智慧培养兴趣、展现自我挑战极限、立德树人核心素养三个大项14个分项活动以及参加武术类、舞蹈类、科创类、书法类国家级省级各项比赛。在2025年中心将继续秉承“服务青少年、促进全面发展”的宗旨，不断优化课程设置，丰富活动内容，提升教学质量。我们将继续加强与家长、学校及社会各界的沟通与合作，共同为青少年的健康成长与全面发展贡献力量，以及保障中心开展学生活动正常运转。</w:t>
            </w:r>
          </w:p>
        </w:tc>
        <w:tc>
          <w:tcPr>
            <w:tcW w:w="29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ACC5DF">
            <w:pPr>
              <w:keepNext w:val="0"/>
              <w:keepLines w:val="0"/>
              <w:widowControl/>
              <w:suppressLineNumbers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2</w:t>
            </w:r>
            <w:r>
              <w:rPr>
                <w:rFonts w:hint="eastAsia" w:ascii="宋体" w:hAnsi="宋体" w:eastAsia="宋体" w:cs="宋体"/>
                <w:i w:val="0"/>
                <w:iCs w:val="0"/>
                <w:color w:val="000000"/>
                <w:kern w:val="0"/>
                <w:sz w:val="15"/>
                <w:szCs w:val="15"/>
                <w:u w:val="none"/>
                <w:lang w:val="en-US" w:eastAsia="zh-CN" w:bidi="ar"/>
              </w:rPr>
              <w:t>025年共计开设兴趣班71个，招收学生1588余人次。其中2025年春季学期共开设班级35个，招收学生766个。其中美术类7个班：国画班1个、少儿美术班2个、幼儿美术班1个、唐卡1个、素描班2个；器乐类4个班：钢琴班3个、声乐班1个；舞蹈类6个班：少儿舞蹈班2个、幼儿舞蹈班2个、民族舞蹈班1个、街舞班1个；武术类3个班；播音主持类3个班；科创类5个班；书法类2个班、口语类2个班；体育类3个班。（合计35个）2025年秋季学期共开设班级36个。招收学生822个。较春季开班新增设1个班。2025年开展活动20场，参加（开展）比赛5场，获奖学生100余人次。</w:t>
            </w:r>
          </w:p>
        </w:tc>
      </w:tr>
      <w:tr w14:paraId="4F570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9"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3A1C4">
            <w:pPr>
              <w:rPr>
                <w:rFonts w:hint="eastAsia" w:ascii="宋体" w:hAnsi="宋体" w:eastAsia="宋体" w:cs="宋体"/>
                <w:i w:val="0"/>
                <w:iCs w:val="0"/>
                <w:color w:val="000000"/>
                <w:sz w:val="15"/>
                <w:szCs w:val="15"/>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0BA58">
            <w:pPr>
              <w:keepNext w:val="0"/>
              <w:keepLines w:val="0"/>
              <w:widowControl/>
              <w:suppressLineNumbers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759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B3C197">
            <w:pPr>
              <w:keepNext w:val="0"/>
              <w:keepLines w:val="0"/>
              <w:widowControl/>
              <w:suppressLineNumbers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在2025年中心将继续秉承“服务青少年、促进全面发展”的宗旨，不断优化课程设置，丰富活动内容，提升教学质量。我们将继续加强与家长、学校及社会各界的沟通与合作，共同为青少年的健康成长与全面发展贡献力量，以及保障中心开展学生活动正常运转。</w:t>
            </w:r>
          </w:p>
        </w:tc>
      </w:tr>
      <w:tr w14:paraId="3E007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DC0D1">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0D58">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224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025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26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6FF6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685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15F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79B2F">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58FC">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773FB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A0929">
            <w:pPr>
              <w:jc w:val="center"/>
              <w:rPr>
                <w:rFonts w:hint="eastAsia" w:ascii="宋体" w:hAnsi="宋体" w:eastAsia="宋体" w:cs="宋体"/>
                <w:i w:val="0"/>
                <w:iCs w:val="0"/>
                <w:color w:val="000000"/>
                <w:sz w:val="15"/>
                <w:szCs w:val="15"/>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18DBA">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33C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115.00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B546">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115.00</w:t>
            </w:r>
          </w:p>
        </w:tc>
        <w:tc>
          <w:tcPr>
            <w:tcW w:w="26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7A12D8">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115.00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060E">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AC51">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63A0">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13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24326">
            <w:pPr>
              <w:keepNext w:val="0"/>
              <w:keepLines w:val="0"/>
              <w:widowControl/>
              <w:suppressLineNumbers w:val="0"/>
              <w:jc w:val="left"/>
              <w:textAlignment w:val="center"/>
              <w:rPr>
                <w:rFonts w:hint="eastAsia" w:ascii="黑体" w:hAnsi="黑体" w:eastAsia="黑体" w:cs="黑体"/>
                <w:i/>
                <w:iCs/>
                <w:color w:val="000000"/>
                <w:sz w:val="15"/>
                <w:szCs w:val="15"/>
                <w:u w:val="none"/>
              </w:rPr>
            </w:pPr>
            <w:r>
              <w:rPr>
                <w:rFonts w:hint="eastAsia" w:ascii="黑体" w:hAnsi="黑体" w:eastAsia="黑体" w:cs="黑体"/>
                <w:i/>
                <w:iCs/>
                <w:color w:val="000000"/>
                <w:kern w:val="0"/>
                <w:sz w:val="15"/>
                <w:szCs w:val="15"/>
                <w:u w:val="none"/>
                <w:lang w:val="en-US" w:eastAsia="zh-CN" w:bidi="ar"/>
              </w:rPr>
              <w:t>无</w:t>
            </w:r>
          </w:p>
        </w:tc>
      </w:tr>
      <w:tr w14:paraId="560D5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E9B55">
            <w:pPr>
              <w:jc w:val="center"/>
              <w:rPr>
                <w:rFonts w:hint="eastAsia" w:ascii="宋体" w:hAnsi="宋体" w:eastAsia="宋体" w:cs="宋体"/>
                <w:i w:val="0"/>
                <w:iCs w:val="0"/>
                <w:color w:val="000000"/>
                <w:sz w:val="15"/>
                <w:szCs w:val="15"/>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4E74">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F94F">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115.00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507A">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115.00</w:t>
            </w:r>
          </w:p>
        </w:tc>
        <w:tc>
          <w:tcPr>
            <w:tcW w:w="26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77520">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115.00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94F2">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237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133B">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1B480">
            <w:pPr>
              <w:rPr>
                <w:rFonts w:hint="eastAsia" w:ascii="黑体" w:hAnsi="黑体" w:eastAsia="黑体" w:cs="黑体"/>
                <w:i/>
                <w:iCs/>
                <w:color w:val="000000"/>
                <w:sz w:val="15"/>
                <w:szCs w:val="15"/>
                <w:u w:val="none"/>
              </w:rPr>
            </w:pPr>
          </w:p>
        </w:tc>
      </w:tr>
      <w:tr w14:paraId="1620E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DE33C">
            <w:pPr>
              <w:jc w:val="center"/>
              <w:rPr>
                <w:rFonts w:hint="eastAsia" w:ascii="宋体" w:hAnsi="宋体" w:eastAsia="宋体" w:cs="宋体"/>
                <w:i w:val="0"/>
                <w:iCs w:val="0"/>
                <w:color w:val="000000"/>
                <w:sz w:val="15"/>
                <w:szCs w:val="15"/>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95C42">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7804">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E673">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26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70DFD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A71C">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5ACA">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1A6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76508">
            <w:pPr>
              <w:rPr>
                <w:rFonts w:hint="eastAsia" w:ascii="黑体" w:hAnsi="黑体" w:eastAsia="黑体" w:cs="黑体"/>
                <w:i/>
                <w:iCs/>
                <w:color w:val="000000"/>
                <w:sz w:val="15"/>
                <w:szCs w:val="15"/>
                <w:u w:val="none"/>
              </w:rPr>
            </w:pPr>
          </w:p>
        </w:tc>
      </w:tr>
      <w:tr w14:paraId="25896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EDD29">
            <w:pPr>
              <w:jc w:val="center"/>
              <w:rPr>
                <w:rFonts w:hint="eastAsia" w:ascii="宋体" w:hAnsi="宋体" w:eastAsia="宋体" w:cs="宋体"/>
                <w:i w:val="0"/>
                <w:iCs w:val="0"/>
                <w:color w:val="000000"/>
                <w:sz w:val="15"/>
                <w:szCs w:val="15"/>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B97C">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EFE4">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EF58E">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26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707C2">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FCC4">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83A89">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DF4E">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5F28F">
            <w:pPr>
              <w:rPr>
                <w:rFonts w:hint="eastAsia" w:ascii="黑体" w:hAnsi="黑体" w:eastAsia="黑体" w:cs="黑体"/>
                <w:i/>
                <w:iCs/>
                <w:color w:val="000000"/>
                <w:sz w:val="15"/>
                <w:szCs w:val="15"/>
                <w:u w:val="none"/>
              </w:rPr>
            </w:pPr>
          </w:p>
        </w:tc>
      </w:tr>
      <w:tr w14:paraId="0F2E0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40896">
            <w:pPr>
              <w:jc w:val="center"/>
              <w:rPr>
                <w:rFonts w:hint="eastAsia" w:ascii="宋体" w:hAnsi="宋体" w:eastAsia="宋体" w:cs="宋体"/>
                <w:i w:val="0"/>
                <w:iCs w:val="0"/>
                <w:color w:val="000000"/>
                <w:sz w:val="15"/>
                <w:szCs w:val="15"/>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8C38">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5659">
            <w:pPr>
              <w:jc w:val="center"/>
              <w:rPr>
                <w:rFonts w:hint="eastAsia" w:ascii="微软雅黑" w:hAnsi="微软雅黑" w:eastAsia="微软雅黑" w:cs="微软雅黑"/>
                <w:i/>
                <w:iCs/>
                <w:color w:val="000000"/>
                <w:sz w:val="15"/>
                <w:szCs w:val="15"/>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6BCF">
            <w:pPr>
              <w:jc w:val="center"/>
              <w:rPr>
                <w:rFonts w:hint="eastAsia" w:ascii="微软雅黑" w:hAnsi="微软雅黑" w:eastAsia="微软雅黑" w:cs="微软雅黑"/>
                <w:i/>
                <w:iCs/>
                <w:color w:val="000000"/>
                <w:sz w:val="15"/>
                <w:szCs w:val="15"/>
                <w:u w:val="none"/>
              </w:rPr>
            </w:pPr>
          </w:p>
        </w:tc>
        <w:tc>
          <w:tcPr>
            <w:tcW w:w="26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7A95CE">
            <w:pPr>
              <w:jc w:val="center"/>
              <w:rPr>
                <w:rFonts w:hint="eastAsia" w:ascii="微软雅黑" w:hAnsi="微软雅黑" w:eastAsia="微软雅黑" w:cs="微软雅黑"/>
                <w:i/>
                <w:iCs/>
                <w:color w:val="000000"/>
                <w:sz w:val="15"/>
                <w:szCs w:val="15"/>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3069">
            <w:pPr>
              <w:jc w:val="center"/>
              <w:rPr>
                <w:rFonts w:hint="eastAsia" w:ascii="微软雅黑" w:hAnsi="微软雅黑" w:eastAsia="微软雅黑" w:cs="微软雅黑"/>
                <w:i/>
                <w:iCs/>
                <w:color w:val="000000"/>
                <w:sz w:val="15"/>
                <w:szCs w:val="15"/>
                <w:u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CC71">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798E">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C517B">
            <w:pPr>
              <w:rPr>
                <w:rFonts w:hint="eastAsia" w:ascii="黑体" w:hAnsi="黑体" w:eastAsia="黑体" w:cs="黑体"/>
                <w:i/>
                <w:iCs/>
                <w:color w:val="000000"/>
                <w:sz w:val="15"/>
                <w:szCs w:val="15"/>
                <w:u w:val="none"/>
              </w:rPr>
            </w:pPr>
          </w:p>
        </w:tc>
      </w:tr>
      <w:tr w14:paraId="43918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9FE1F">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AC22">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9CC6">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9E33">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EC7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2EB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C1B6">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6C99">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9DF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CEDF">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8128">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4EBAF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33F8B">
            <w:pPr>
              <w:jc w:val="center"/>
              <w:rPr>
                <w:rFonts w:hint="eastAsia" w:ascii="宋体" w:hAnsi="宋体" w:eastAsia="宋体" w:cs="宋体"/>
                <w:i w:val="0"/>
                <w:iCs w:val="0"/>
                <w:color w:val="000000"/>
                <w:sz w:val="15"/>
                <w:szCs w:val="15"/>
                <w:u w:val="none"/>
              </w:rPr>
            </w:pP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8F983">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C9D1">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数量指标</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1E81">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完成开班数量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FB84">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D347E">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31</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28D2">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个</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51A0">
            <w:pPr>
              <w:jc w:val="center"/>
              <w:rPr>
                <w:rFonts w:hint="eastAsia" w:ascii="微软雅黑" w:hAnsi="微软雅黑" w:eastAsia="微软雅黑" w:cs="微软雅黑"/>
                <w:i/>
                <w:iCs/>
                <w:color w:val="000000"/>
                <w:sz w:val="15"/>
                <w:szCs w:val="15"/>
                <w:u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5446">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FA70">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8514">
            <w:pPr>
              <w:jc w:val="center"/>
              <w:rPr>
                <w:rFonts w:hint="eastAsia" w:ascii="微软雅黑" w:hAnsi="微软雅黑" w:eastAsia="微软雅黑" w:cs="微软雅黑"/>
                <w:i/>
                <w:iCs/>
                <w:color w:val="000000"/>
                <w:sz w:val="15"/>
                <w:szCs w:val="15"/>
                <w:u w:val="none"/>
              </w:rPr>
            </w:pPr>
          </w:p>
        </w:tc>
      </w:tr>
      <w:tr w14:paraId="5877D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5D1AB">
            <w:pPr>
              <w:jc w:val="center"/>
              <w:rPr>
                <w:rFonts w:hint="eastAsia" w:ascii="宋体" w:hAnsi="宋体" w:eastAsia="宋体" w:cs="宋体"/>
                <w:i w:val="0"/>
                <w:iCs w:val="0"/>
                <w:color w:val="000000"/>
                <w:sz w:val="15"/>
                <w:szCs w:val="15"/>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694BD">
            <w:pPr>
              <w:jc w:val="center"/>
              <w:rPr>
                <w:rFonts w:hint="eastAsia" w:ascii="宋体" w:hAnsi="宋体" w:eastAsia="宋体" w:cs="宋体"/>
                <w:i w:val="0"/>
                <w:iCs w:val="0"/>
                <w:color w:val="000000"/>
                <w:sz w:val="15"/>
                <w:szCs w:val="15"/>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DF41">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质量指标</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702D">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学生技能和特长合格率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252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D268">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B562">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C9E0">
            <w:pPr>
              <w:jc w:val="center"/>
              <w:rPr>
                <w:rFonts w:hint="eastAsia" w:ascii="微软雅黑" w:hAnsi="微软雅黑" w:eastAsia="微软雅黑" w:cs="微软雅黑"/>
                <w:i/>
                <w:iCs/>
                <w:color w:val="000000"/>
                <w:sz w:val="15"/>
                <w:szCs w:val="15"/>
                <w:u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1488">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4196">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F6C9">
            <w:pPr>
              <w:jc w:val="center"/>
              <w:rPr>
                <w:rFonts w:hint="eastAsia" w:ascii="微软雅黑" w:hAnsi="微软雅黑" w:eastAsia="微软雅黑" w:cs="微软雅黑"/>
                <w:i/>
                <w:iCs/>
                <w:color w:val="000000"/>
                <w:sz w:val="15"/>
                <w:szCs w:val="15"/>
                <w:u w:val="none"/>
              </w:rPr>
            </w:pPr>
          </w:p>
        </w:tc>
      </w:tr>
      <w:tr w14:paraId="3B256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8DA0D">
            <w:pPr>
              <w:jc w:val="center"/>
              <w:rPr>
                <w:rFonts w:hint="eastAsia" w:ascii="宋体" w:hAnsi="宋体" w:eastAsia="宋体" w:cs="宋体"/>
                <w:i w:val="0"/>
                <w:iCs w:val="0"/>
                <w:color w:val="000000"/>
                <w:sz w:val="15"/>
                <w:szCs w:val="15"/>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0C0F7">
            <w:pPr>
              <w:jc w:val="center"/>
              <w:rPr>
                <w:rFonts w:hint="eastAsia" w:ascii="宋体" w:hAnsi="宋体" w:eastAsia="宋体" w:cs="宋体"/>
                <w:i w:val="0"/>
                <w:iCs w:val="0"/>
                <w:color w:val="000000"/>
                <w:sz w:val="15"/>
                <w:szCs w:val="15"/>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7CBA">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时效指标</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5624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各项任务完成及时率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89A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DDE8">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95</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036D">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53C7">
            <w:pPr>
              <w:jc w:val="center"/>
              <w:rPr>
                <w:rFonts w:hint="eastAsia" w:ascii="微软雅黑" w:hAnsi="微软雅黑" w:eastAsia="微软雅黑" w:cs="微软雅黑"/>
                <w:i/>
                <w:iCs/>
                <w:color w:val="000000"/>
                <w:sz w:val="15"/>
                <w:szCs w:val="15"/>
                <w:u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21DE">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2DA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19</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6134">
            <w:pPr>
              <w:jc w:val="center"/>
              <w:rPr>
                <w:rFonts w:hint="eastAsia" w:ascii="微软雅黑" w:hAnsi="微软雅黑" w:eastAsia="微软雅黑" w:cs="微软雅黑"/>
                <w:i/>
                <w:iCs/>
                <w:color w:val="000000"/>
                <w:sz w:val="15"/>
                <w:szCs w:val="15"/>
                <w:u w:val="none"/>
              </w:rPr>
            </w:pPr>
          </w:p>
        </w:tc>
      </w:tr>
      <w:tr w14:paraId="4E2C8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AFADE">
            <w:pPr>
              <w:jc w:val="center"/>
              <w:rPr>
                <w:rFonts w:hint="eastAsia" w:ascii="宋体" w:hAnsi="宋体" w:eastAsia="宋体" w:cs="宋体"/>
                <w:i w:val="0"/>
                <w:iCs w:val="0"/>
                <w:color w:val="000000"/>
                <w:sz w:val="15"/>
                <w:szCs w:val="15"/>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6E79">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C773">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0319">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青少年参与兴趣特长的比例</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D6E3">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0DF9">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BE46">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7C22C">
            <w:pPr>
              <w:jc w:val="center"/>
              <w:rPr>
                <w:rFonts w:hint="eastAsia" w:ascii="微软雅黑" w:hAnsi="微软雅黑" w:eastAsia="微软雅黑" w:cs="微软雅黑"/>
                <w:i/>
                <w:iCs/>
                <w:color w:val="000000"/>
                <w:sz w:val="15"/>
                <w:szCs w:val="15"/>
                <w:u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7B23">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9B08">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A1E1">
            <w:pPr>
              <w:jc w:val="center"/>
              <w:rPr>
                <w:rFonts w:hint="eastAsia" w:ascii="微软雅黑" w:hAnsi="微软雅黑" w:eastAsia="微软雅黑" w:cs="微软雅黑"/>
                <w:i/>
                <w:iCs/>
                <w:color w:val="000000"/>
                <w:sz w:val="15"/>
                <w:szCs w:val="15"/>
                <w:u w:val="none"/>
              </w:rPr>
            </w:pPr>
          </w:p>
        </w:tc>
      </w:tr>
      <w:tr w14:paraId="40A1E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5F09D">
            <w:pPr>
              <w:jc w:val="center"/>
              <w:rPr>
                <w:rFonts w:hint="eastAsia" w:ascii="宋体" w:hAnsi="宋体" w:eastAsia="宋体" w:cs="宋体"/>
                <w:i w:val="0"/>
                <w:iCs w:val="0"/>
                <w:color w:val="000000"/>
                <w:sz w:val="15"/>
                <w:szCs w:val="15"/>
                <w:u w:val="none"/>
              </w:rPr>
            </w:pP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5C6F3">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9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F0A1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0DE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社会满意度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877C">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EDCC">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95</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D371">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9E3D">
            <w:pPr>
              <w:jc w:val="center"/>
              <w:rPr>
                <w:rFonts w:hint="eastAsia" w:ascii="微软雅黑" w:hAnsi="微软雅黑" w:eastAsia="微软雅黑" w:cs="微软雅黑"/>
                <w:i/>
                <w:iCs/>
                <w:color w:val="000000"/>
                <w:sz w:val="15"/>
                <w:szCs w:val="15"/>
                <w:u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2849">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964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4.5</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E30C">
            <w:pPr>
              <w:jc w:val="center"/>
              <w:rPr>
                <w:rFonts w:hint="eastAsia" w:ascii="微软雅黑" w:hAnsi="微软雅黑" w:eastAsia="微软雅黑" w:cs="微软雅黑"/>
                <w:i/>
                <w:iCs/>
                <w:color w:val="000000"/>
                <w:sz w:val="15"/>
                <w:szCs w:val="15"/>
                <w:u w:val="none"/>
              </w:rPr>
            </w:pPr>
          </w:p>
        </w:tc>
      </w:tr>
      <w:tr w14:paraId="1578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1A62A">
            <w:pPr>
              <w:jc w:val="center"/>
              <w:rPr>
                <w:rFonts w:hint="eastAsia" w:ascii="宋体" w:hAnsi="宋体" w:eastAsia="宋体" w:cs="宋体"/>
                <w:i w:val="0"/>
                <w:iCs w:val="0"/>
                <w:color w:val="000000"/>
                <w:sz w:val="15"/>
                <w:szCs w:val="15"/>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7F137">
            <w:pPr>
              <w:jc w:val="center"/>
              <w:rPr>
                <w:rFonts w:hint="eastAsia" w:ascii="宋体" w:hAnsi="宋体" w:eastAsia="宋体" w:cs="宋体"/>
                <w:i w:val="0"/>
                <w:iCs w:val="0"/>
                <w:color w:val="000000"/>
                <w:sz w:val="15"/>
                <w:szCs w:val="15"/>
                <w:u w:val="none"/>
              </w:rPr>
            </w:pPr>
          </w:p>
        </w:tc>
        <w:tc>
          <w:tcPr>
            <w:tcW w:w="9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75E8D">
            <w:pPr>
              <w:jc w:val="center"/>
              <w:rPr>
                <w:rFonts w:hint="eastAsia" w:ascii="宋体" w:hAnsi="宋体" w:eastAsia="宋体" w:cs="宋体"/>
                <w:i w:val="0"/>
                <w:iCs w:val="0"/>
                <w:color w:val="000000"/>
                <w:sz w:val="15"/>
                <w:szCs w:val="15"/>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7E7F">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辖区内学生校外教育活动满意度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29EF">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7CCD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95</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12FB">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1BA6">
            <w:pPr>
              <w:jc w:val="center"/>
              <w:rPr>
                <w:rFonts w:hint="eastAsia" w:ascii="微软雅黑" w:hAnsi="微软雅黑" w:eastAsia="微软雅黑" w:cs="微软雅黑"/>
                <w:i/>
                <w:iCs/>
                <w:color w:val="000000"/>
                <w:sz w:val="15"/>
                <w:szCs w:val="15"/>
                <w:u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5EE4">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A5C5">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4.5</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B9BD">
            <w:pPr>
              <w:jc w:val="center"/>
              <w:rPr>
                <w:rFonts w:hint="eastAsia" w:ascii="微软雅黑" w:hAnsi="微软雅黑" w:eastAsia="微软雅黑" w:cs="微软雅黑"/>
                <w:i/>
                <w:iCs/>
                <w:color w:val="000000"/>
                <w:sz w:val="15"/>
                <w:szCs w:val="15"/>
                <w:u w:val="none"/>
              </w:rPr>
            </w:pPr>
          </w:p>
        </w:tc>
      </w:tr>
      <w:tr w14:paraId="2B46F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0A47F">
            <w:pPr>
              <w:jc w:val="center"/>
              <w:rPr>
                <w:rFonts w:hint="eastAsia" w:ascii="宋体" w:hAnsi="宋体" w:eastAsia="宋体" w:cs="宋体"/>
                <w:i w:val="0"/>
                <w:iCs w:val="0"/>
                <w:color w:val="000000"/>
                <w:sz w:val="15"/>
                <w:szCs w:val="15"/>
                <w:u w:val="none"/>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7A2C">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A1EF">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B8FE">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成本控制金额</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3CAA">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F848">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115</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1DA8A">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万元</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7B2D">
            <w:pPr>
              <w:jc w:val="center"/>
              <w:rPr>
                <w:rFonts w:hint="eastAsia" w:ascii="微软雅黑" w:hAnsi="微软雅黑" w:eastAsia="微软雅黑" w:cs="微软雅黑"/>
                <w:i/>
                <w:iCs/>
                <w:color w:val="000000"/>
                <w:sz w:val="15"/>
                <w:szCs w:val="15"/>
                <w:u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AD57">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0E56">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AEAD">
            <w:pPr>
              <w:jc w:val="center"/>
              <w:rPr>
                <w:rFonts w:hint="eastAsia" w:ascii="微软雅黑" w:hAnsi="微软雅黑" w:eastAsia="微软雅黑" w:cs="微软雅黑"/>
                <w:i/>
                <w:iCs/>
                <w:color w:val="000000"/>
                <w:sz w:val="15"/>
                <w:szCs w:val="15"/>
                <w:u w:val="none"/>
              </w:rPr>
            </w:pPr>
          </w:p>
        </w:tc>
      </w:tr>
      <w:tr w14:paraId="7CC08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72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E8D602">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E950">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886F">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97</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2514">
            <w:pPr>
              <w:rPr>
                <w:rFonts w:hint="eastAsia" w:ascii="宋体" w:hAnsi="宋体" w:eastAsia="宋体" w:cs="宋体"/>
                <w:i w:val="0"/>
                <w:iCs w:val="0"/>
                <w:color w:val="000000"/>
                <w:sz w:val="15"/>
                <w:szCs w:val="15"/>
                <w:u w:val="none"/>
              </w:rPr>
            </w:pPr>
          </w:p>
        </w:tc>
      </w:tr>
      <w:tr w14:paraId="117BC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B4DF">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评价结论</w:t>
            </w:r>
          </w:p>
        </w:tc>
        <w:tc>
          <w:tcPr>
            <w:tcW w:w="85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11E2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2025年较好的完成了活动运转经费绩效目标各项指标。自评得分97分。对于产出指标中的质量指标的三级指标学生技能和特长合格率达到90%，在评价时持保守态度，因是对学生兴趣特长的培训和教学，不同资质不同天赋的个体差异影响合格率的完全达标。在实际支付过程中资金支付序时进度还加强，由于学生活动分春秋两学期进行和完成，部分经费的支付必须等到各项任务完成时才能实现。所以影响了产出指标的二级指标时效指标的三级指标各项任务完成及时未达到≥95%。由于中心管理教师人数有限和场馆活动空间环境的局限性，在实际活动开展和教学过程中，一级指标满意度指标二级指标服务对象满意度指标三级指标社会满意度、辖区内学生校外教育活动满意度无法完全达标。</w:t>
            </w:r>
          </w:p>
        </w:tc>
      </w:tr>
      <w:tr w14:paraId="1C1D4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A71D">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存在问题</w:t>
            </w:r>
          </w:p>
        </w:tc>
        <w:tc>
          <w:tcPr>
            <w:tcW w:w="85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64BFC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由于学生部分活动分春秋两学期进行和完成，部分经费的支付必须等到各项任务完成时才能支付，导致资金支付进度较为缓慢。</w:t>
            </w:r>
          </w:p>
        </w:tc>
      </w:tr>
      <w:tr w14:paraId="58A8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41C1">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改进措施</w:t>
            </w:r>
          </w:p>
        </w:tc>
        <w:tc>
          <w:tcPr>
            <w:tcW w:w="85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111EE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坚强各项教学活动任务完成的及时性，及时结算支付已发生费用。</w:t>
            </w:r>
          </w:p>
        </w:tc>
      </w:tr>
      <w:tr w14:paraId="0EC17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46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8169F2">
            <w:pPr>
              <w:keepNext w:val="0"/>
              <w:keepLines w:val="0"/>
              <w:widowControl/>
              <w:suppressLineNumbers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项目负责人：黄强</w:t>
            </w:r>
          </w:p>
        </w:tc>
        <w:tc>
          <w:tcPr>
            <w:tcW w:w="48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2868B3">
            <w:pPr>
              <w:keepNext w:val="0"/>
              <w:keepLines w:val="0"/>
              <w:widowControl/>
              <w:suppressLineNumbers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财务负责人：白玛央吉</w:t>
            </w:r>
          </w:p>
        </w:tc>
      </w:tr>
    </w:tbl>
    <w:p w14:paraId="433645E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p>
    <w:p w14:paraId="58E27E06">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6DD91AB2">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E4CFE10">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51DF40F2">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53B85B4">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54341C03">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63E3596F">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4FA372A">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614CAF37">
      <w:pPr>
        <w:widowControl/>
        <w:jc w:val="center"/>
        <w:outlineLvl w:val="0"/>
        <w:rPr>
          <w:rFonts w:hint="eastAsia" w:ascii="Times New Roman" w:hAnsi="Times New Roman" w:eastAsia="仿宋"/>
          <w:b w:val="0"/>
          <w:color w:val="auto"/>
          <w:highlight w:val="none"/>
        </w:rPr>
      </w:pPr>
      <w:bookmarkStart w:id="89" w:name="_Toc15396618"/>
      <w:bookmarkStart w:id="90" w:name="_Toc13930"/>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71"/>
      <w:bookmarkEnd w:id="89"/>
      <w:bookmarkEnd w:id="90"/>
      <w:bookmarkStart w:id="91" w:name="_Toc15396619"/>
    </w:p>
    <w:p w14:paraId="35F45F7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913290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1"/>
    </w:p>
    <w:p w14:paraId="293F19C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0"/>
      <w:r>
        <w:rPr>
          <w:rFonts w:hint="eastAsia" w:ascii="Times New Roman" w:hAnsi="Times New Roman" w:eastAsia="仿宋_GB2312" w:cs="仿宋_GB2312"/>
          <w:color w:val="auto"/>
          <w:sz w:val="32"/>
          <w:szCs w:val="32"/>
          <w:highlight w:val="none"/>
        </w:rPr>
        <w:t>二、收入决算表</w:t>
      </w:r>
      <w:bookmarkEnd w:id="92"/>
    </w:p>
    <w:p w14:paraId="1A4C9FB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1"/>
      <w:r>
        <w:rPr>
          <w:rFonts w:hint="eastAsia" w:ascii="Times New Roman" w:hAnsi="Times New Roman" w:eastAsia="仿宋_GB2312" w:cs="仿宋_GB2312"/>
          <w:color w:val="auto"/>
          <w:sz w:val="32"/>
          <w:szCs w:val="32"/>
          <w:highlight w:val="none"/>
        </w:rPr>
        <w:t>三、支出决算表</w:t>
      </w:r>
      <w:bookmarkEnd w:id="93"/>
    </w:p>
    <w:p w14:paraId="5E1DBAA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2"/>
      <w:r>
        <w:rPr>
          <w:rFonts w:hint="eastAsia" w:ascii="Times New Roman" w:hAnsi="Times New Roman" w:eastAsia="仿宋_GB2312" w:cs="仿宋_GB2312"/>
          <w:color w:val="auto"/>
          <w:sz w:val="32"/>
          <w:szCs w:val="32"/>
          <w:highlight w:val="none"/>
        </w:rPr>
        <w:t>四、财政拨款收入支出决算总表</w:t>
      </w:r>
      <w:bookmarkEnd w:id="94"/>
    </w:p>
    <w:p w14:paraId="2A5F630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3"/>
      <w:r>
        <w:rPr>
          <w:rFonts w:hint="eastAsia" w:ascii="Times New Roman" w:hAnsi="Times New Roman" w:eastAsia="仿宋_GB2312" w:cs="仿宋_GB2312"/>
          <w:color w:val="auto"/>
          <w:sz w:val="32"/>
          <w:szCs w:val="32"/>
          <w:highlight w:val="none"/>
        </w:rPr>
        <w:t>五、财政拨款支出决算明细表</w:t>
      </w:r>
      <w:bookmarkEnd w:id="95"/>
      <w:bookmarkStart w:id="96" w:name="_Toc15396624"/>
    </w:p>
    <w:p w14:paraId="4C3CF6A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6"/>
    </w:p>
    <w:p w14:paraId="1D58064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5"/>
      <w:r>
        <w:rPr>
          <w:rFonts w:hint="eastAsia" w:ascii="Times New Roman" w:hAnsi="Times New Roman" w:eastAsia="仿宋_GB2312" w:cs="仿宋_GB2312"/>
          <w:color w:val="auto"/>
          <w:sz w:val="32"/>
          <w:szCs w:val="32"/>
          <w:highlight w:val="none"/>
        </w:rPr>
        <w:t>七、一般公共预算财政拨款支出决算明细表</w:t>
      </w:r>
      <w:bookmarkEnd w:id="97"/>
    </w:p>
    <w:p w14:paraId="422F139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26"/>
      <w:r>
        <w:rPr>
          <w:rFonts w:hint="eastAsia" w:ascii="Times New Roman" w:hAnsi="Times New Roman" w:eastAsia="仿宋_GB2312" w:cs="仿宋_GB2312"/>
          <w:color w:val="auto"/>
          <w:sz w:val="32"/>
          <w:szCs w:val="32"/>
          <w:highlight w:val="none"/>
        </w:rPr>
        <w:t>八、一般公共预算财政拨款基本支出决算表</w:t>
      </w:r>
      <w:bookmarkEnd w:id="98"/>
    </w:p>
    <w:p w14:paraId="372F8AB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9" w:name="_Toc15396627"/>
      <w:r>
        <w:rPr>
          <w:rFonts w:hint="eastAsia" w:ascii="Times New Roman" w:hAnsi="Times New Roman" w:eastAsia="仿宋_GB2312" w:cs="仿宋_GB2312"/>
          <w:color w:val="auto"/>
          <w:sz w:val="32"/>
          <w:szCs w:val="32"/>
          <w:highlight w:val="none"/>
        </w:rPr>
        <w:t>九、一般公共预算财政拨款项目支出决算表</w:t>
      </w:r>
      <w:bookmarkEnd w:id="99"/>
    </w:p>
    <w:p w14:paraId="59707B8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8"/>
      <w:r>
        <w:rPr>
          <w:rFonts w:hint="eastAsia" w:ascii="Times New Roman" w:hAnsi="Times New Roman" w:eastAsia="仿宋_GB2312" w:cs="仿宋_GB2312"/>
          <w:color w:val="auto"/>
          <w:sz w:val="32"/>
          <w:szCs w:val="32"/>
          <w:highlight w:val="none"/>
        </w:rPr>
        <w:t>十、</w:t>
      </w:r>
      <w:bookmarkEnd w:id="100"/>
      <w:r>
        <w:rPr>
          <w:rFonts w:hint="eastAsia" w:ascii="Times New Roman" w:hAnsi="Times New Roman" w:eastAsia="仿宋_GB2312" w:cs="仿宋_GB2312"/>
          <w:color w:val="auto"/>
          <w:sz w:val="32"/>
          <w:szCs w:val="32"/>
          <w:highlight w:val="none"/>
        </w:rPr>
        <w:t>政府性基金预算财政拨款收入支出决算表</w:t>
      </w:r>
    </w:p>
    <w:p w14:paraId="548CCA4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15396629"/>
      <w:r>
        <w:rPr>
          <w:rFonts w:hint="eastAsia" w:ascii="Times New Roman" w:hAnsi="Times New Roman" w:eastAsia="仿宋_GB2312" w:cs="仿宋_GB2312"/>
          <w:color w:val="auto"/>
          <w:sz w:val="32"/>
          <w:szCs w:val="32"/>
          <w:highlight w:val="none"/>
        </w:rPr>
        <w:t>十一、</w:t>
      </w:r>
      <w:bookmarkEnd w:id="10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60B01A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5396630"/>
      <w:r>
        <w:rPr>
          <w:rFonts w:hint="eastAsia" w:ascii="Times New Roman" w:hAnsi="Times New Roman" w:eastAsia="仿宋_GB2312" w:cs="仿宋_GB2312"/>
          <w:color w:val="auto"/>
          <w:sz w:val="32"/>
          <w:szCs w:val="32"/>
          <w:highlight w:val="none"/>
        </w:rPr>
        <w:t>十二、</w:t>
      </w:r>
      <w:bookmarkEnd w:id="102"/>
      <w:r>
        <w:rPr>
          <w:rFonts w:hint="eastAsia" w:ascii="Times New Roman" w:hAnsi="Times New Roman" w:eastAsia="仿宋_GB2312" w:cs="仿宋_GB2312"/>
          <w:color w:val="auto"/>
          <w:sz w:val="32"/>
          <w:szCs w:val="32"/>
          <w:highlight w:val="none"/>
          <w:lang w:eastAsia="zh-CN"/>
        </w:rPr>
        <w:t>国有资本经营预算财政拨款支出决算表</w:t>
      </w:r>
    </w:p>
    <w:p w14:paraId="2CE0A39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03" w:name="_Toc15396631"/>
      <w:r>
        <w:rPr>
          <w:rFonts w:hint="eastAsia" w:ascii="Times New Roman" w:hAnsi="Times New Roman" w:eastAsia="仿宋_GB2312" w:cs="仿宋_GB2312"/>
          <w:color w:val="auto"/>
          <w:sz w:val="32"/>
          <w:szCs w:val="32"/>
          <w:highlight w:val="none"/>
        </w:rPr>
        <w:t>十三、</w:t>
      </w:r>
      <w:bookmarkEnd w:id="103"/>
      <w:r>
        <w:rPr>
          <w:rFonts w:hint="eastAsia" w:ascii="Times New Roman" w:hAnsi="Times New Roman" w:eastAsia="仿宋_GB2312" w:cs="仿宋_GB2312"/>
          <w:color w:val="auto"/>
          <w:sz w:val="32"/>
          <w:szCs w:val="32"/>
          <w:highlight w:val="none"/>
          <w:lang w:eastAsia="zh-CN"/>
        </w:rPr>
        <w:t>财政拨款“三公”经费支出决算表</w:t>
      </w:r>
    </w:p>
    <w:p w14:paraId="29942535">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F7D53">
    <w:pPr>
      <w:pStyle w:val="1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DC64F1">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BDC64F1">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6463387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2B0CD">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E4212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0E4212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F076A">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61C1EB"/>
    <w:multiLevelType w:val="singleLevel"/>
    <w:tmpl w:val="3561C1E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6E71703"/>
    <w:rsid w:val="07996F6E"/>
    <w:rsid w:val="07DFD8BA"/>
    <w:rsid w:val="08DB07E4"/>
    <w:rsid w:val="09371E95"/>
    <w:rsid w:val="09867E8F"/>
    <w:rsid w:val="09972933"/>
    <w:rsid w:val="0A2032A3"/>
    <w:rsid w:val="0C6C4794"/>
    <w:rsid w:val="0CA8290A"/>
    <w:rsid w:val="0D35B1ED"/>
    <w:rsid w:val="0DE07E2B"/>
    <w:rsid w:val="0F98263C"/>
    <w:rsid w:val="0FBF0E36"/>
    <w:rsid w:val="101860EC"/>
    <w:rsid w:val="10C055FF"/>
    <w:rsid w:val="11772AA4"/>
    <w:rsid w:val="118107EC"/>
    <w:rsid w:val="13957196"/>
    <w:rsid w:val="13D50BC4"/>
    <w:rsid w:val="14022904"/>
    <w:rsid w:val="14C53111"/>
    <w:rsid w:val="152F2A07"/>
    <w:rsid w:val="159643E7"/>
    <w:rsid w:val="165E0673"/>
    <w:rsid w:val="16BB723D"/>
    <w:rsid w:val="16F13FCB"/>
    <w:rsid w:val="186504BB"/>
    <w:rsid w:val="1938089F"/>
    <w:rsid w:val="19A445FC"/>
    <w:rsid w:val="1B7D550C"/>
    <w:rsid w:val="1BE8440E"/>
    <w:rsid w:val="1C1A25DC"/>
    <w:rsid w:val="1D155CEE"/>
    <w:rsid w:val="1D4B1F5B"/>
    <w:rsid w:val="1DE178F3"/>
    <w:rsid w:val="1E740ACF"/>
    <w:rsid w:val="1FF35744"/>
    <w:rsid w:val="1FF6BC77"/>
    <w:rsid w:val="21962A9E"/>
    <w:rsid w:val="21AE7C77"/>
    <w:rsid w:val="22257854"/>
    <w:rsid w:val="22BC3C41"/>
    <w:rsid w:val="23190CDF"/>
    <w:rsid w:val="23860B96"/>
    <w:rsid w:val="240371BF"/>
    <w:rsid w:val="25B52667"/>
    <w:rsid w:val="260F557C"/>
    <w:rsid w:val="26AF70B6"/>
    <w:rsid w:val="281408E2"/>
    <w:rsid w:val="29FD04D3"/>
    <w:rsid w:val="2A521C1D"/>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AD82C28"/>
    <w:rsid w:val="3AFA1256"/>
    <w:rsid w:val="3B7EF35A"/>
    <w:rsid w:val="3B9FDB6C"/>
    <w:rsid w:val="3BF5BC2F"/>
    <w:rsid w:val="3CEBA265"/>
    <w:rsid w:val="3D98207C"/>
    <w:rsid w:val="3D9B0D99"/>
    <w:rsid w:val="3DEE7CF3"/>
    <w:rsid w:val="3DF02244"/>
    <w:rsid w:val="3E5F0F6A"/>
    <w:rsid w:val="3E78745D"/>
    <w:rsid w:val="3FF4CAE0"/>
    <w:rsid w:val="3FF7B227"/>
    <w:rsid w:val="40E54C45"/>
    <w:rsid w:val="41313393"/>
    <w:rsid w:val="43A407DF"/>
    <w:rsid w:val="44515BEA"/>
    <w:rsid w:val="44E268DA"/>
    <w:rsid w:val="453F7E5B"/>
    <w:rsid w:val="486A6C7A"/>
    <w:rsid w:val="49176D9B"/>
    <w:rsid w:val="494006BD"/>
    <w:rsid w:val="4A0C0B5B"/>
    <w:rsid w:val="4A200666"/>
    <w:rsid w:val="4A627F82"/>
    <w:rsid w:val="4B0E749A"/>
    <w:rsid w:val="4B4F25DA"/>
    <w:rsid w:val="4BDA0CFB"/>
    <w:rsid w:val="4BE068DB"/>
    <w:rsid w:val="4CF34379"/>
    <w:rsid w:val="4D3C0CCC"/>
    <w:rsid w:val="4D577224"/>
    <w:rsid w:val="4DBF1CEB"/>
    <w:rsid w:val="4EAB630A"/>
    <w:rsid w:val="4ECE2238"/>
    <w:rsid w:val="4F833267"/>
    <w:rsid w:val="4FE9BD67"/>
    <w:rsid w:val="4FFB052F"/>
    <w:rsid w:val="53083A92"/>
    <w:rsid w:val="537E6D0A"/>
    <w:rsid w:val="53AF27A2"/>
    <w:rsid w:val="53F74C96"/>
    <w:rsid w:val="56452F5B"/>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1F51914"/>
    <w:rsid w:val="62BF3928"/>
    <w:rsid w:val="63584057"/>
    <w:rsid w:val="647F5392"/>
    <w:rsid w:val="664B1D71"/>
    <w:rsid w:val="67AA3209"/>
    <w:rsid w:val="681C4F0D"/>
    <w:rsid w:val="69046D0F"/>
    <w:rsid w:val="698D0931"/>
    <w:rsid w:val="6A993CED"/>
    <w:rsid w:val="6A9F07B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3329E"/>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7"/>
    <w:qFormat/>
    <w:uiPriority w:val="99"/>
    <w:pPr>
      <w:spacing w:beforeLines="30"/>
    </w:pPr>
    <w:rPr>
      <w:rFonts w:ascii="仿宋_GB2312" w:eastAsia="仿宋_GB2312"/>
      <w:kern w:val="0"/>
      <w:sz w:val="30"/>
    </w:rPr>
  </w:style>
  <w:style w:type="paragraph" w:styleId="3">
    <w:name w:val="toc 6"/>
    <w:next w:val="1"/>
    <w:qFormat/>
    <w:uiPriority w:val="0"/>
    <w:pPr>
      <w:wordWrap w:val="0"/>
      <w:ind w:left="1700"/>
      <w:jc w:val="both"/>
    </w:pPr>
    <w:rPr>
      <w:rFonts w:ascii="Calibri" w:hAnsi="Calibri" w:eastAsia="宋体" w:cs="Calibri"/>
      <w:sz w:val="21"/>
      <w:szCs w:val="22"/>
      <w:lang w:val="en-US" w:eastAsia="zh-CN" w:bidi="ar-SA"/>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unhideWhenUsed/>
    <w:qFormat/>
    <w:uiPriority w:val="99"/>
    <w:pPr>
      <w:ind w:firstLine="420" w:firstLine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snapToGrid/>
      <w:color w:val="auto"/>
      <w:spacing w:val="0"/>
      <w:w w:val="100"/>
      <w:kern w:val="0"/>
      <w:position w:val="0"/>
      <w:sz w:val="24"/>
      <w:u w:val="none" w:color="auto"/>
      <w:vertAlign w:val="baseline"/>
      <w:lang w:val="en-US" w:eastAsia="zh-CN"/>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普通(网站) Char"/>
    <w:basedOn w:val="1"/>
    <w:qFormat/>
    <w:uiPriority w:val="0"/>
    <w:pPr>
      <w:keepNext w:val="0"/>
      <w:keepLines w:val="0"/>
      <w:widowControl/>
      <w:suppressLineNumbers w:val="0"/>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paragraph" w:customStyle="1" w:styleId="38">
    <w:name w:val="正文文本1"/>
    <w:basedOn w:val="1"/>
    <w:qFormat/>
    <w:uiPriority w:val="0"/>
    <w:pPr>
      <w:spacing w:before="93"/>
    </w:pPr>
    <w:rPr>
      <w:rFonts w:ascii="仿宋_GB2312" w:eastAsia="仿宋_GB2312"/>
      <w:kern w:val="0"/>
      <w:sz w:val="3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D:\&#38738;&#23569;&#24180;\&#38738;&#23569;&#24180;&#65288;2015-2026&#65289;\&#20915;&#31639;&#32472;&#22270;&#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38738;&#23569;&#24180;\&#38738;&#23569;&#24180;&#65288;2015-2026&#65289;\&#20915;&#31639;&#32472;&#22270;&#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38738;&#23569;&#24180;\&#38738;&#23569;&#24180;&#65288;2015-2026&#65289;\&#20915;&#31639;&#32472;&#22270;&#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38738;&#23569;&#24180;\&#38738;&#23569;&#24180;&#65288;2015-2026&#65289;\&#20915;&#31639;&#32472;&#22270;&#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38738;&#23569;&#24180;\&#38738;&#23569;&#24180;&#65288;2015-2026&#65289;\&#20915;&#31639;&#32472;&#22270;&#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38738;&#23569;&#24180;\&#38738;&#23569;&#24180;&#65288;2015-2026&#65289;\&#20915;&#31639;&#32472;&#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rPr>
              <a:t>收入、支出决算总计变动情况图</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82631578947368"/>
          <c:y val="0.036110468255805"/>
        </c:manualLayout>
      </c:layout>
      <c:overlay val="0"/>
      <c:spPr>
        <a:noFill/>
        <a:ln>
          <a:noFill/>
        </a:ln>
        <a:effectLst/>
      </c:spPr>
    </c:title>
    <c:autoTitleDeleted val="0"/>
    <c:plotArea>
      <c:layout>
        <c:manualLayout>
          <c:layoutTarget val="inner"/>
          <c:xMode val="edge"/>
          <c:yMode val="edge"/>
          <c:x val="0.0740263157894737"/>
          <c:y val="0.17634806757695"/>
          <c:w val="0.900184210526316"/>
          <c:h val="0.606433695903726"/>
        </c:manualLayout>
      </c:layout>
      <c:barChart>
        <c:barDir val="col"/>
        <c:grouping val="clustered"/>
        <c:varyColors val="0"/>
        <c:ser>
          <c:idx val="0"/>
          <c:order val="0"/>
          <c:tx>
            <c:strRef>
              <c:f>[决算绘图表.xls]收入支出对比图!$A$2</c:f>
              <c:strCache>
                <c:ptCount val="1"/>
                <c:pt idx="0">
                  <c:v>2024年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[决算绘图表.xls]收入支出对比图!$B$1:$C$1</c:f>
              <c:strCache>
                <c:ptCount val="2"/>
                <c:pt idx="0" c:formatCode="@">
                  <c:v>   收入</c:v>
                </c:pt>
                <c:pt idx="1" c:formatCode="@">
                  <c:v>支出</c:v>
                </c:pt>
              </c:strCache>
            </c:strRef>
          </c:cat>
          <c:val>
            <c:numRef>
              <c:f>[决算绘图表.xls]收入支出对比图!$B$2:$C$2</c:f>
              <c:numCache>
                <c:formatCode>General</c:formatCode>
                <c:ptCount val="2"/>
                <c:pt idx="0">
                  <c:v>313.68</c:v>
                </c:pt>
                <c:pt idx="1">
                  <c:v>298.84</c:v>
                </c:pt>
              </c:numCache>
            </c:numRef>
          </c:val>
        </c:ser>
        <c:ser>
          <c:idx val="1"/>
          <c:order val="1"/>
          <c:tx>
            <c:strRef>
              <c:f>[决算绘图表.xls]收入支出对比图!$A$3</c:f>
              <c:strCache>
                <c:ptCount val="1"/>
                <c:pt idx="0">
                  <c:v>2025年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[决算绘图表.xls]收入支出对比图!$B$1:$C$1</c:f>
              <c:strCache>
                <c:ptCount val="2"/>
                <c:pt idx="0" c:formatCode="@">
                  <c:v>   收入</c:v>
                </c:pt>
                <c:pt idx="1" c:formatCode="@">
                  <c:v>支出</c:v>
                </c:pt>
              </c:strCache>
            </c:strRef>
          </c:cat>
          <c:val>
            <c:numRef>
              <c:f>[决算绘图表.xls]收入支出对比图!$B$3:$C$3</c:f>
              <c:numCache>
                <c:formatCode>0.00_ </c:formatCode>
                <c:ptCount val="2"/>
                <c:pt idx="0">
                  <c:v>475.37</c:v>
                </c:pt>
                <c:pt idx="1">
                  <c:v>470.49</c:v>
                </c:pt>
              </c:numCache>
            </c:numRef>
          </c:val>
        </c:ser>
        <c:dLbls>
          <c:showLegendKey val="0"/>
          <c:showVal val="0"/>
          <c:showCatName val="0"/>
          <c:showSerName val="0"/>
          <c:showPercent val="0"/>
          <c:showBubbleSize val="0"/>
        </c:dLbls>
        <c:gapWidth val="246"/>
        <c:overlap val="-28"/>
        <c:axId val="602387012"/>
        <c:axId val="337627017"/>
      </c:barChart>
      <c:catAx>
        <c:axId val="60238701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627017"/>
        <c:crosses val="autoZero"/>
        <c:auto val="1"/>
        <c:lblAlgn val="ctr"/>
        <c:lblOffset val="100"/>
        <c:noMultiLvlLbl val="0"/>
      </c:catAx>
      <c:valAx>
        <c:axId val="337627017"/>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23870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94e0d0c-f938-453a-9d55-0046a8dd7b2f}"/>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sz="1400" b="1" i="0" u="none" strike="noStrike" kern="1200" baseline="0">
                <a:solidFill>
                  <a:schemeClr val="tx1">
                    <a:lumMod val="75000"/>
                    <a:lumOff val="25000"/>
                  </a:schemeClr>
                </a:solidFill>
                <a:latin typeface="+mn-lt"/>
                <a:ea typeface="+mn-ea"/>
                <a:cs typeface="+mn-cs"/>
              </a:rPr>
              <a:t>收入决算构成图</a:t>
            </a:r>
            <a:endParaRPr lang="zh-CN" sz="1400" b="1" i="0" u="none" strike="noStrike" kern="1200" baseline="0">
              <a:solidFill>
                <a:schemeClr val="tx1">
                  <a:lumMod val="75000"/>
                  <a:lumOff val="25000"/>
                </a:schemeClr>
              </a:solidFill>
              <a:latin typeface="+mn-lt"/>
              <a:ea typeface="+mn-ea"/>
              <a:cs typeface="+mn-cs"/>
            </a:endParaRPr>
          </a:p>
          <a:p>
            <a:pPr defTabSz="914400">
              <a:defRPr lang="zh-CN" sz="1400" b="1" i="0" u="none" strike="noStrike" kern="1200" baseline="0">
                <a:solidFill>
                  <a:schemeClr val="tx1">
                    <a:lumMod val="75000"/>
                    <a:lumOff val="25000"/>
                  </a:schemeClr>
                </a:solidFill>
                <a:latin typeface="+mn-lt"/>
                <a:ea typeface="+mn-ea"/>
                <a:cs typeface="+mn-cs"/>
              </a:defRPr>
            </a:pPr>
            <a:endParaRPr lang="zh-CN" sz="1400" b="1" i="0" u="none" strike="noStrike" kern="1200" baseline="0">
              <a:solidFill>
                <a:schemeClr val="tx1">
                  <a:lumMod val="75000"/>
                  <a:lumOff val="25000"/>
                </a:schemeClr>
              </a:solidFill>
              <a:latin typeface="+mn-lt"/>
              <a:ea typeface="+mn-ea"/>
              <a:cs typeface="+mn-cs"/>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dLbl>
              <c:idx val="0"/>
              <c:layout>
                <c:manualLayout>
                  <c:x val="0.0376414405891134"/>
                  <c:y val="-0.12212777021575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98.7%</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0948566697241314"/>
                  <c:y val="-0.008514759155187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a:t>
                    </a:r>
                    <a:r>
                      <a:rPr lang="en-US" altLang="zh-CN"/>
                      <a:t>3</a:t>
                    </a:r>
                    <a:r>
                      <a:t>%</a:t>
                    </a: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[决算绘图表.xls]收入构成图!$A$1:$A$2</c:f>
              <c:strCache>
                <c:ptCount val="2"/>
                <c:pt idx="0">
                  <c:v>一般公共预算财政拨款收入</c:v>
                </c:pt>
                <c:pt idx="1">
                  <c:v>其他收入</c:v>
                </c:pt>
              </c:strCache>
            </c:strRef>
          </c:cat>
          <c:val>
            <c:numRef>
              <c:f>[决算绘图表.xls]收入构成图!$B$1:$B$2</c:f>
              <c:numCache>
                <c:formatCode>General</c:formatCode>
                <c:ptCount val="2"/>
                <c:pt idx="0">
                  <c:v>455.82</c:v>
                </c:pt>
                <c:pt idx="1">
                  <c:v>5.81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291c5e6-c72b-4120-b831-187b30760cce}"/>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854736842105263"/>
          <c:y val="0.318541666666667"/>
          <c:w val="0.829052631578947"/>
          <c:h val="0.587685185185185"/>
        </c:manualLayout>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[决算绘图表.xls]GK支出决算结构图!$A$1:$A$2</c:f>
              <c:strCache>
                <c:ptCount val="2"/>
                <c:pt idx="0">
                  <c:v>基本支出</c:v>
                </c:pt>
                <c:pt idx="1">
                  <c:v>项目支出</c:v>
                </c:pt>
              </c:strCache>
            </c:strRef>
          </c:cat>
          <c:val>
            <c:numRef>
              <c:f>[决算绘图表.xls]GK支出决算结构图!$B$1:$B$2</c:f>
              <c:numCache>
                <c:formatCode>General</c:formatCode>
                <c:ptCount val="2"/>
                <c:pt idx="0">
                  <c:v>206.83</c:v>
                </c:pt>
                <c:pt idx="1">
                  <c:v>263.67</c:v>
                </c:pt>
              </c:numCache>
            </c:numRef>
          </c:val>
        </c:ser>
        <c:dLbls>
          <c:showLegendKey val="0"/>
          <c:showVal val="1"/>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4a26460-2919-486f-ad40-7ba94b68689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财政拨款收、支决算总计变动图</a:t>
            </a:r>
          </a:p>
        </c:rich>
      </c:tx>
      <c:layout/>
      <c:overlay val="0"/>
      <c:spPr>
        <a:noFill/>
        <a:ln>
          <a:noFill/>
        </a:ln>
        <a:effectLst/>
      </c:spPr>
    </c:title>
    <c:autoTitleDeleted val="0"/>
    <c:plotArea>
      <c:layout>
        <c:manualLayout>
          <c:layoutTarget val="inner"/>
          <c:xMode val="edge"/>
          <c:yMode val="edge"/>
          <c:x val="0.0724473684210526"/>
          <c:y val="0.1745907319997"/>
          <c:w val="0.900184210526316"/>
          <c:h val="0.606342592592593"/>
        </c:manualLayout>
      </c:layout>
      <c:barChart>
        <c:barDir val="col"/>
        <c:grouping val="clustered"/>
        <c:varyColors val="0"/>
        <c:ser>
          <c:idx val="0"/>
          <c:order val="0"/>
          <c:tx>
            <c:strRef>
              <c:f>[决算绘图表.xls]财政拨款收、支决算总计变动情况!$A$2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[决算绘图表.xls]财政拨款收、支决算总计变动情况!$B$1:$C$1</c:f>
              <c:strCache>
                <c:ptCount val="2"/>
                <c:pt idx="0" c:formatCode="@">
                  <c:v>  财政拨款收入</c:v>
                </c:pt>
                <c:pt idx="1" c:formatCode="@">
                  <c:v> 财政拨款收入支出</c:v>
                </c:pt>
              </c:strCache>
            </c:strRef>
          </c:cat>
          <c:val>
            <c:numRef>
              <c:f>[决算绘图表.xls]财政拨款收、支决算总计变动情况!$B$2:$C$2</c:f>
              <c:numCache>
                <c:formatCode>General</c:formatCode>
                <c:ptCount val="2"/>
                <c:pt idx="0">
                  <c:v>285.28</c:v>
                </c:pt>
                <c:pt idx="1">
                  <c:v>285.28</c:v>
                </c:pt>
              </c:numCache>
            </c:numRef>
          </c:val>
        </c:ser>
        <c:ser>
          <c:idx val="1"/>
          <c:order val="1"/>
          <c:tx>
            <c:strRef>
              <c:f>[决算绘图表.xls]财政拨款收、支决算总计变动情况!$A$3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[决算绘图表.xls]财政拨款收、支决算总计变动情况!$B$1:$C$1</c:f>
              <c:strCache>
                <c:ptCount val="2"/>
                <c:pt idx="0" c:formatCode="@">
                  <c:v>  财政拨款收入</c:v>
                </c:pt>
                <c:pt idx="1" c:formatCode="@">
                  <c:v> 财政拨款收入支出</c:v>
                </c:pt>
              </c:strCache>
            </c:strRef>
          </c:cat>
          <c:val>
            <c:numRef>
              <c:f>[决算绘图表.xls]财政拨款收、支决算总计变动情况!$B$3:$C$3</c:f>
              <c:numCache>
                <c:formatCode>0.00_ </c:formatCode>
                <c:ptCount val="2"/>
                <c:pt idx="0">
                  <c:v>455.82</c:v>
                </c:pt>
                <c:pt idx="1">
                  <c:v>455.82</c:v>
                </c:pt>
              </c:numCache>
            </c:numRef>
          </c:val>
        </c:ser>
        <c:dLbls>
          <c:showLegendKey val="0"/>
          <c:showVal val="1"/>
          <c:showCatName val="0"/>
          <c:showSerName val="0"/>
          <c:showPercent val="0"/>
          <c:showBubbleSize val="0"/>
        </c:dLbls>
        <c:gapWidth val="246"/>
        <c:overlap val="-28"/>
        <c:axId val="59103036"/>
        <c:axId val="511219736"/>
      </c:barChart>
      <c:catAx>
        <c:axId val="591030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1219736"/>
        <c:crosses val="autoZero"/>
        <c:auto val="1"/>
        <c:lblAlgn val="ctr"/>
        <c:lblOffset val="100"/>
        <c:noMultiLvlLbl val="0"/>
      </c:catAx>
      <c:valAx>
        <c:axId val="51121973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1030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d6e6fed-6f2c-47bb-9a42-72d560a6801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一般公共预算财政拨款支出决算变动图</a:t>
            </a:r>
          </a:p>
        </c:rich>
      </c:tx>
      <c:layout/>
      <c:overlay val="0"/>
      <c:spPr>
        <a:noFill/>
        <a:ln>
          <a:noFill/>
        </a:ln>
        <a:effectLst/>
      </c:spPr>
    </c:title>
    <c:autoTitleDeleted val="0"/>
    <c:plotArea>
      <c:layout>
        <c:manualLayout>
          <c:layoutTarget val="inner"/>
          <c:xMode val="edge"/>
          <c:yMode val="edge"/>
          <c:x val="0.0708684210526316"/>
          <c:y val="0.174537037037037"/>
          <c:w val="0.900184210526316"/>
          <c:h val="0.606342592592593"/>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[决算绘图表.xls]GK一般公共预算财政拨款支出决算变动!$A$1:$A$2</c:f>
              <c:strCache>
                <c:ptCount val="2"/>
                <c:pt idx="0">
                  <c:v>2024年</c:v>
                </c:pt>
                <c:pt idx="1">
                  <c:v>2025年</c:v>
                </c:pt>
              </c:strCache>
            </c:strRef>
          </c:cat>
          <c:val>
            <c:numRef>
              <c:f>[决算绘图表.xls]GK一般公共预算财政拨款支出决算变动!$B$1:$B$2</c:f>
              <c:numCache>
                <c:formatCode>General</c:formatCode>
                <c:ptCount val="2"/>
                <c:pt idx="0">
                  <c:v>285.28</c:v>
                </c:pt>
                <c:pt idx="1">
                  <c:v>455.82</c:v>
                </c:pt>
              </c:numCache>
            </c:numRef>
          </c:val>
        </c:ser>
        <c:dLbls>
          <c:showLegendKey val="0"/>
          <c:showVal val="1"/>
          <c:showCatName val="0"/>
          <c:showSerName val="0"/>
          <c:showPercent val="0"/>
          <c:showBubbleSize val="0"/>
        </c:dLbls>
        <c:gapWidth val="246"/>
        <c:overlap val="-28"/>
        <c:axId val="60494304"/>
        <c:axId val="779319527"/>
      </c:barChart>
      <c:catAx>
        <c:axId val="604943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9319527"/>
        <c:crosses val="autoZero"/>
        <c:auto val="1"/>
        <c:lblAlgn val="ctr"/>
        <c:lblOffset val="100"/>
        <c:noMultiLvlLbl val="0"/>
      </c:catAx>
      <c:valAx>
        <c:axId val="77931952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943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2cbd061-317a-4170-befe-be8888c55b5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801624661528848"/>
          <c:y val="0.246837007348029"/>
          <c:w val="0.83967506769423"/>
          <c:h val="0.668817635270541"/>
        </c:manualLayout>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[决算绘图表.xls]GK一般公共预算财政拨款支出决算结构!$A$1:$A$4</c:f>
              <c:strCache>
                <c:ptCount val="4"/>
                <c:pt idx="0">
                  <c:v>教育支出</c:v>
                </c:pt>
                <c:pt idx="1">
                  <c:v>社会保障和就业支出</c:v>
                </c:pt>
                <c:pt idx="2">
                  <c:v>卫生健康支出</c:v>
                </c:pt>
                <c:pt idx="3">
                  <c:v> 住房保障支出</c:v>
                </c:pt>
              </c:strCache>
            </c:strRef>
          </c:cat>
          <c:val>
            <c:numRef>
              <c:f>[决算绘图表.xls]GK一般公共预算财政拨款支出决算结构!$B$1:$B$4</c:f>
              <c:numCache>
                <c:formatCode>#,##0.00</c:formatCode>
                <c:ptCount val="4"/>
                <c:pt idx="0">
                  <c:v>412.08</c:v>
                </c:pt>
                <c:pt idx="1">
                  <c:v>22.8</c:v>
                </c:pt>
                <c:pt idx="2">
                  <c:v>8.56</c:v>
                </c:pt>
                <c:pt idx="3">
                  <c:v>12.38</c:v>
                </c:pt>
              </c:numCache>
            </c:numRef>
          </c:val>
        </c:ser>
        <c:ser>
          <c:idx val="1"/>
          <c:order val="1"/>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[决算绘图表.xls]GK一般公共预算财政拨款支出决算结构!$A$1:$A$4</c:f>
              <c:strCache>
                <c:ptCount val="4"/>
                <c:pt idx="0">
                  <c:v>教育支出</c:v>
                </c:pt>
                <c:pt idx="1">
                  <c:v>社会保障和就业支出</c:v>
                </c:pt>
                <c:pt idx="2">
                  <c:v>卫生健康支出</c:v>
                </c:pt>
                <c:pt idx="3">
                  <c:v> 住房保障支出</c:v>
                </c:pt>
              </c:strCache>
            </c:strRef>
          </c:cat>
          <c:val>
            <c:numRef>
              <c:f>[决算绘图表.xls]GK一般公共预算财政拨款支出决算结构!$C$1:$C$4</c:f>
              <c:numCache>
                <c:formatCode>0.0%</c:formatCode>
                <c:ptCount val="4"/>
                <c:pt idx="0">
                  <c:v>0.904041068842964</c:v>
                </c:pt>
                <c:pt idx="1">
                  <c:v>0.0500197446360405</c:v>
                </c:pt>
                <c:pt idx="2">
                  <c:v>0.0187793427230047</c:v>
                </c:pt>
                <c:pt idx="3">
                  <c:v>0.0271598437979904</c:v>
                </c:pt>
              </c:numCache>
            </c:numRef>
          </c:val>
        </c:ser>
        <c:dLbls>
          <c:showLegendKey val="0"/>
          <c:showVal val="1"/>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6609f5-8516-424d-b712-10c724b1786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2215</Words>
  <Characters>2576</Characters>
  <Lines>61</Lines>
  <Paragraphs>17</Paragraphs>
  <TotalTime>7</TotalTime>
  <ScaleCrop>false</ScaleCrop>
  <LinksUpToDate>false</LinksUpToDate>
  <CharactersWithSpaces>2683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艳姐</cp:lastModifiedBy>
  <cp:lastPrinted>2026-08-03T09:27:00Z</cp:lastPrinted>
  <dcterms:modified xsi:type="dcterms:W3CDTF">2026-09-16T13:09:51Z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eyJoZGlkIjoiZDFjYjRlNTg1NTY3MGY2MzU0MDk3YTNkMjY2MGEwMjAiLCJ1c2VySWQiOiIxMDAzMTg5NjY0In0=</vt:lpwstr>
  </property>
</Properties>
</file>