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8441"/>
      <w:bookmarkStart w:id="2" w:name="_Toc15377193"/>
      <w:bookmarkStart w:id="3" w:name="_Toc15396475"/>
      <w:bookmarkStart w:id="4" w:name="_Toc15377425"/>
      <w:bookmarkStart w:id="5" w:name="_Toc15396597"/>
    </w:p>
    <w:p>
      <w:pPr>
        <w:jc w:val="center"/>
        <w:rPr>
          <w:rFonts w:ascii="黑体" w:eastAsia="黑体"/>
          <w:sz w:val="72"/>
          <w:szCs w:val="72"/>
        </w:rPr>
      </w:pPr>
      <w:r>
        <w:rPr>
          <w:rFonts w:ascii="黑体" w:eastAsia="黑体"/>
          <w:sz w:val="72"/>
          <w:szCs w:val="72"/>
        </w:rPr>
        <w:t>202</w:t>
      </w:r>
      <w:r>
        <w:rPr>
          <w:rFonts w:hint="default" w:ascii="黑体" w:eastAsia="黑体"/>
          <w:sz w:val="72"/>
          <w:szCs w:val="72"/>
          <w:lang w:val="en" w:eastAsia="zh-CN"/>
        </w:rPr>
        <w:t>4</w:t>
      </w:r>
      <w:r>
        <w:rPr>
          <w:rFonts w:hint="eastAsia" w:ascii="黑体" w:eastAsia="黑体"/>
          <w:sz w:val="72"/>
          <w:szCs w:val="72"/>
        </w:rPr>
        <w:t>年度</w:t>
      </w:r>
    </w:p>
    <w:p>
      <w:pPr>
        <w:jc w:val="center"/>
        <w:rPr>
          <w:rFonts w:ascii="方正小标宋简体" w:eastAsia="方正小标宋简体"/>
          <w:sz w:val="72"/>
          <w:szCs w:val="72"/>
        </w:rPr>
      </w:pPr>
      <w:r>
        <w:rPr>
          <w:rFonts w:hint="eastAsia" w:ascii="方正小标宋简体" w:eastAsia="方正小标宋简体"/>
          <w:sz w:val="72"/>
          <w:szCs w:val="72"/>
        </w:rPr>
        <w:t>四川省阿坝州</w:t>
      </w:r>
      <w:r>
        <w:rPr>
          <w:rFonts w:hint="eastAsia" w:ascii="方正小标宋简体" w:eastAsia="方正小标宋简体"/>
          <w:sz w:val="72"/>
          <w:szCs w:val="72"/>
          <w:lang w:val="en-US" w:eastAsia="zh-CN"/>
        </w:rPr>
        <w:t>中等职业技术学校</w:t>
      </w:r>
      <w:r>
        <w:rPr>
          <w:rFonts w:hint="eastAsia" w:ascii="方正小标宋简体" w:eastAsia="方正小标宋简体"/>
          <w:sz w:val="72"/>
          <w:szCs w:val="72"/>
        </w:rPr>
        <w:t>部门决算</w:t>
      </w:r>
    </w:p>
    <w:p>
      <w:pPr>
        <w:rPr>
          <w:rFonts w:ascii="方正小标宋简体" w:eastAsia="方正小标宋简体"/>
          <w:sz w:val="36"/>
          <w:szCs w:val="36"/>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autoSpaceDE w:val="0"/>
        <w:autoSpaceDN w:val="0"/>
        <w:adjustRightInd w:val="0"/>
        <w:ind w:firstLine="320" w:firstLineChars="100"/>
        <w:jc w:val="left"/>
        <w:rPr>
          <w:rFonts w:hint="eastAsia" w:ascii="宋体" w:cs="仿宋_GB2312"/>
          <w:sz w:val="32"/>
          <w:szCs w:val="32"/>
        </w:rPr>
      </w:pPr>
    </w:p>
    <w:p>
      <w:pPr>
        <w:pStyle w:val="2"/>
        <w:rPr>
          <w:rFonts w:hint="eastAsia" w:ascii="宋体" w:cs="仿宋_GB2312"/>
          <w:sz w:val="32"/>
          <w:szCs w:val="32"/>
        </w:rPr>
      </w:pPr>
    </w:p>
    <w:p>
      <w:pPr>
        <w:pStyle w:val="2"/>
        <w:rPr>
          <w:rFonts w:hint="eastAsia" w:ascii="宋体" w:cs="仿宋_GB2312"/>
          <w:sz w:val="32"/>
          <w:szCs w:val="32"/>
        </w:rPr>
      </w:pPr>
      <w:bookmarkStart w:id="63" w:name="_GoBack"/>
      <w:bookmarkEnd w:id="63"/>
    </w:p>
    <w:p>
      <w:pPr>
        <w:autoSpaceDE w:val="0"/>
        <w:autoSpaceDN w:val="0"/>
        <w:adjustRightInd w:val="0"/>
        <w:jc w:val="left"/>
        <w:rPr>
          <w:rFonts w:ascii="宋体"/>
          <w:sz w:val="32"/>
          <w:szCs w:val="32"/>
        </w:rPr>
      </w:pPr>
      <w:r>
        <w:rPr>
          <w:rFonts w:hint="eastAsia" w:ascii="宋体" w:cs="仿宋_GB2312"/>
          <w:sz w:val="32"/>
          <w:szCs w:val="32"/>
        </w:rPr>
        <w:t>保密审查情况：已审查，内容审定</w:t>
      </w:r>
    </w:p>
    <w:p>
      <w:pPr>
        <w:autoSpaceDE w:val="0"/>
        <w:autoSpaceDN w:val="0"/>
        <w:adjustRightInd w:val="0"/>
        <w:jc w:val="left"/>
        <w:rPr>
          <w:rFonts w:ascii="宋体"/>
          <w:sz w:val="32"/>
          <w:szCs w:val="32"/>
        </w:rPr>
      </w:pPr>
      <w:r>
        <w:rPr>
          <w:rFonts w:hint="eastAsia" w:ascii="宋体" w:cs="仿宋_GB2312"/>
          <w:sz w:val="32"/>
          <w:szCs w:val="32"/>
        </w:rPr>
        <w:t>部门主要负责人审签情况：已审签，同意对外公开</w:t>
      </w: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w:t>
      </w:r>
      <w:r>
        <w:rPr>
          <w:rFonts w:hint="default" w:ascii="Times New Roman" w:hAnsi="Times New Roman" w:eastAsia="仿宋_GB2312" w:cs="仿宋_GB2312"/>
          <w:color w:val="auto"/>
          <w:sz w:val="32"/>
          <w:szCs w:val="32"/>
          <w:highlight w:val="none"/>
          <w:lang w:val="en" w:eastAsia="zh-CN"/>
        </w:rPr>
        <w:t>5</w:t>
      </w:r>
      <w:r>
        <w:rPr>
          <w:rFonts w:hint="eastAsia" w:ascii="Times New Roman" w:hAnsi="Times New Roman" w:eastAsia="仿宋_GB2312" w:cs="仿宋_GB2312"/>
          <w:color w:val="auto"/>
          <w:sz w:val="32"/>
          <w:szCs w:val="32"/>
          <w:highlight w:val="none"/>
        </w:rPr>
        <w:t>年</w:t>
      </w:r>
      <w:r>
        <w:rPr>
          <w:rFonts w:hint="default" w:ascii="Times New Roman" w:hAnsi="Times New Roman" w:eastAsia="仿宋_GB2312" w:cs="仿宋_GB2312"/>
          <w:color w:val="auto"/>
          <w:sz w:val="32"/>
          <w:szCs w:val="32"/>
          <w:highlight w:val="none"/>
          <w:lang w:val="en"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2024年度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6"/>
        <w:adjustRightInd w:val="0"/>
        <w:snapToGrid w:val="0"/>
        <w:spacing w:before="93" w:line="600" w:lineRule="exact"/>
        <w:ind w:firstLine="672" w:firstLineChars="21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1、认真贯彻执行党和国家的职业教育方针，完成职业教育，以就业为导向，努力培养和造就适应市场需要的有一技之长的专业人才，并为各类高校输送培养合格的中专职业学员。</w:t>
      </w:r>
    </w:p>
    <w:p>
      <w:pPr>
        <w:pStyle w:val="6"/>
        <w:adjustRightInd w:val="0"/>
        <w:snapToGrid w:val="0"/>
        <w:spacing w:before="93" w:line="600" w:lineRule="exact"/>
        <w:ind w:firstLine="672" w:firstLineChars="21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2、对在职的农牧技术人员、财政经营人员、旅游服务人员、农业机械、电子电器电脑等方面的人员进行培训提高。</w:t>
      </w:r>
    </w:p>
    <w:p>
      <w:pPr>
        <w:pStyle w:val="6"/>
        <w:adjustRightInd w:val="0"/>
        <w:snapToGrid w:val="0"/>
        <w:spacing w:before="93" w:line="600" w:lineRule="exact"/>
        <w:ind w:firstLine="672" w:firstLineChars="21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3、对农牧民进行实用技术培训，培养致富能手和明白人。</w:t>
      </w:r>
    </w:p>
    <w:p>
      <w:pPr>
        <w:pStyle w:val="6"/>
        <w:adjustRightInd w:val="0"/>
        <w:snapToGrid w:val="0"/>
        <w:spacing w:before="93" w:line="600" w:lineRule="exact"/>
        <w:ind w:firstLine="672" w:firstLineChars="21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4、为农村劳动力转移，为农民进城务工培训相关技能。</w:t>
      </w:r>
    </w:p>
    <w:p>
      <w:pPr>
        <w:pStyle w:val="6"/>
        <w:adjustRightInd w:val="0"/>
        <w:snapToGrid w:val="0"/>
        <w:spacing w:before="93" w:line="600" w:lineRule="exact"/>
        <w:ind w:firstLine="672" w:firstLineChars="21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5、成人继续教育。</w:t>
      </w:r>
    </w:p>
    <w:p>
      <w:pPr>
        <w:pStyle w:val="6"/>
        <w:adjustRightInd w:val="0"/>
        <w:snapToGrid w:val="0"/>
        <w:spacing w:before="93" w:line="600" w:lineRule="exact"/>
        <w:ind w:firstLine="672" w:firstLineChars="21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6、驾驶技能培训。</w:t>
      </w:r>
    </w:p>
    <w:p>
      <w:pPr>
        <w:pStyle w:val="6"/>
        <w:adjustRightInd w:val="0"/>
        <w:snapToGrid w:val="0"/>
        <w:spacing w:before="93" w:line="600" w:lineRule="exact"/>
        <w:ind w:firstLine="672" w:firstLineChars="210"/>
        <w:rPr>
          <w:rFonts w:hint="eastAsia"/>
          <w:lang w:eastAsia="zh-CN"/>
        </w:rPr>
      </w:pPr>
      <w:r>
        <w:rPr>
          <w:rFonts w:hint="eastAsia" w:ascii="仿宋" w:hAnsi="仿宋" w:eastAsia="仿宋" w:cs="仿宋"/>
          <w:kern w:val="2"/>
          <w:sz w:val="32"/>
          <w:szCs w:val="32"/>
          <w:lang w:val="en-US" w:eastAsia="zh-CN" w:bidi="ar-SA"/>
        </w:rPr>
        <w:t>7、完成上级下达的其他任务。</w:t>
      </w:r>
    </w:p>
    <w:p>
      <w:pPr>
        <w:pStyle w:val="4"/>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阿坝藏族羌族自治州中等职业技术学校</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default" w:eastAsia="仿宋_GB2312" w:cs="仿宋_GB2312"/>
          <w:color w:val="auto"/>
          <w:sz w:val="32"/>
          <w:szCs w:val="32"/>
          <w:highlight w:val="none"/>
          <w:lang w:val="en"/>
        </w:rPr>
        <w:t>0</w:t>
      </w:r>
      <w:r>
        <w:rPr>
          <w:rFonts w:hint="eastAsia" w:ascii="Times New Roman" w:hAnsi="Times New Roman" w:eastAsia="仿宋_GB2312" w:cs="仿宋_GB2312"/>
          <w:color w:val="auto"/>
          <w:sz w:val="32"/>
          <w:szCs w:val="32"/>
          <w:highlight w:val="none"/>
        </w:rPr>
        <w:t>个，其中行政单位</w:t>
      </w:r>
      <w:r>
        <w:rPr>
          <w:rFonts w:hint="default" w:eastAsia="仿宋_GB2312" w:cs="仿宋_GB2312"/>
          <w:color w:val="auto"/>
          <w:sz w:val="32"/>
          <w:szCs w:val="32"/>
          <w:highlight w:val="none"/>
          <w:lang w:val="en"/>
        </w:rPr>
        <w:t>0</w:t>
      </w:r>
      <w:r>
        <w:rPr>
          <w:rFonts w:hint="eastAsia" w:ascii="Times New Roman" w:hAnsi="Times New Roman" w:eastAsia="仿宋_GB2312" w:cs="仿宋_GB2312"/>
          <w:color w:val="auto"/>
          <w:sz w:val="32"/>
          <w:szCs w:val="32"/>
          <w:highlight w:val="none"/>
        </w:rPr>
        <w:t>个，参照公务员法管理的事业单位</w:t>
      </w:r>
      <w:r>
        <w:rPr>
          <w:rFonts w:hint="default" w:eastAsia="仿宋_GB2312" w:cs="仿宋_GB2312"/>
          <w:bCs/>
          <w:color w:val="auto"/>
          <w:sz w:val="32"/>
          <w:szCs w:val="32"/>
          <w:highlight w:val="none"/>
          <w:lang w:val="en"/>
        </w:rPr>
        <w:t>0</w:t>
      </w:r>
      <w:r>
        <w:rPr>
          <w:rFonts w:hint="eastAsia" w:ascii="Times New Roman" w:hAnsi="Times New Roman" w:eastAsia="仿宋_GB2312" w:cs="仿宋_GB2312"/>
          <w:color w:val="auto"/>
          <w:sz w:val="32"/>
          <w:szCs w:val="32"/>
          <w:highlight w:val="none"/>
        </w:rPr>
        <w:t>个，其他事业单位</w:t>
      </w:r>
      <w:r>
        <w:rPr>
          <w:rFonts w:hint="default" w:eastAsia="仿宋_GB2312" w:cs="仿宋_GB2312"/>
          <w:color w:val="auto"/>
          <w:sz w:val="32"/>
          <w:szCs w:val="32"/>
          <w:highlight w:val="none"/>
          <w:lang w:val="en"/>
        </w:rPr>
        <w:t>0</w:t>
      </w:r>
      <w:r>
        <w:rPr>
          <w:rFonts w:hint="eastAsia" w:ascii="Times New Roman" w:hAnsi="Times New Roman" w:eastAsia="仿宋_GB2312" w:cs="仿宋_GB2312"/>
          <w:color w:val="auto"/>
          <w:sz w:val="32"/>
          <w:szCs w:val="32"/>
          <w:highlight w:val="none"/>
        </w:rPr>
        <w:t>个。</w:t>
      </w:r>
    </w:p>
    <w:p>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lang w:val="en" w:eastAsia="zh-CN"/>
        </w:rPr>
      </w:pPr>
      <w:r>
        <w:rPr>
          <w:rFonts w:hint="eastAsia" w:ascii="Times New Roman" w:hAnsi="Times New Roman" w:eastAsia="仿宋_GB2312" w:cs="仿宋_GB2312"/>
          <w:color w:val="auto"/>
          <w:sz w:val="32"/>
          <w:szCs w:val="32"/>
          <w:highlight w:val="none"/>
        </w:rPr>
        <w:t>纳入</w:t>
      </w:r>
      <w:r>
        <w:rPr>
          <w:sz w:val="32"/>
          <w:szCs w:val="32"/>
        </w:rPr>
        <w:t>阿坝藏族羌族自治州中等职业技术学校</w:t>
      </w:r>
      <w:r>
        <w:rPr>
          <w:rFonts w:hint="eastAsia" w:ascii="Times New Roman" w:hAnsi="Times New Roman" w:eastAsia="仿宋_GB2312" w:cs="仿宋_GB2312"/>
          <w:color w:val="auto"/>
          <w:sz w:val="32"/>
          <w:szCs w:val="32"/>
          <w:highlight w:val="none"/>
          <w:lang w:eastAsia="zh-CN"/>
        </w:rPr>
        <w:t>2024年度</w:t>
      </w:r>
      <w:r>
        <w:rPr>
          <w:rFonts w:hint="eastAsia" w:ascii="Times New Roman" w:hAnsi="Times New Roman" w:eastAsia="仿宋_GB2312" w:cs="仿宋_GB2312"/>
          <w:color w:val="auto"/>
          <w:sz w:val="32"/>
          <w:szCs w:val="32"/>
          <w:highlight w:val="none"/>
        </w:rPr>
        <w:t>部门决算编制范围的二级预算单位包括：</w:t>
      </w:r>
      <w:r>
        <w:rPr>
          <w:rFonts w:hint="eastAsia" w:ascii="Times New Roman" w:cs="仿宋_GB2312"/>
          <w:color w:val="auto"/>
          <w:sz w:val="32"/>
          <w:szCs w:val="32"/>
          <w:highlight w:val="none"/>
          <w:lang w:eastAsia="zh-CN"/>
        </w:rPr>
        <w:t>无</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eastAsia="zh-CN"/>
        </w:rPr>
        <w:t>2024年度收入</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支出</w:t>
      </w:r>
      <w:r>
        <w:rPr>
          <w:rFonts w:hint="eastAsia" w:ascii="方正仿宋_GBK" w:hAnsi="方正仿宋_GBK" w:eastAsia="方正仿宋_GBK" w:cs="方正仿宋_GBK"/>
          <w:color w:val="auto"/>
          <w:sz w:val="32"/>
          <w:szCs w:val="32"/>
          <w:highlight w:val="none"/>
        </w:rPr>
        <w:t>总计</w:t>
      </w:r>
      <w:r>
        <w:rPr>
          <w:rFonts w:hint="eastAsia" w:ascii="方正仿宋_GBK" w:hAnsi="方正仿宋_GBK" w:eastAsia="方正仿宋_GBK" w:cs="方正仿宋_GBK"/>
          <w:color w:val="auto"/>
          <w:sz w:val="32"/>
          <w:szCs w:val="32"/>
          <w:highlight w:val="none"/>
          <w:lang w:eastAsia="zh-CN"/>
        </w:rPr>
        <w:t>均为</w:t>
      </w:r>
      <w:r>
        <w:rPr>
          <w:rFonts w:hint="eastAsia" w:ascii="方正仿宋_GBK" w:hAnsi="方正仿宋_GBK" w:eastAsia="方正仿宋_GBK" w:cs="方正仿宋_GBK"/>
          <w:sz w:val="32"/>
          <w:szCs w:val="32"/>
        </w:rPr>
        <w:t>4308.34</w:t>
      </w:r>
      <w:r>
        <w:rPr>
          <w:rFonts w:hint="eastAsia" w:ascii="方正仿宋_GBK" w:hAnsi="方正仿宋_GBK" w:eastAsia="方正仿宋_GBK" w:cs="方正仿宋_GBK"/>
          <w:color w:val="auto"/>
          <w:sz w:val="32"/>
          <w:szCs w:val="32"/>
          <w:highlight w:val="none"/>
        </w:rPr>
        <w:t>万元。与</w:t>
      </w:r>
      <w:r>
        <w:rPr>
          <w:rFonts w:hint="eastAsia" w:ascii="方正仿宋_GBK" w:hAnsi="方正仿宋_GBK" w:eastAsia="方正仿宋_GBK" w:cs="方正仿宋_GBK"/>
          <w:color w:val="auto"/>
          <w:sz w:val="32"/>
          <w:szCs w:val="32"/>
          <w:highlight w:val="none"/>
          <w:lang w:eastAsia="zh-CN"/>
        </w:rPr>
        <w:t>202</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年</w:t>
      </w:r>
      <w:r>
        <w:rPr>
          <w:rFonts w:hint="eastAsia" w:ascii="方正仿宋_GBK" w:hAnsi="方正仿宋_GBK" w:eastAsia="方正仿宋_GBK" w:cs="方正仿宋_GBK"/>
          <w:color w:val="auto"/>
          <w:sz w:val="32"/>
          <w:szCs w:val="32"/>
          <w:highlight w:val="none"/>
          <w:lang w:eastAsia="zh-CN"/>
        </w:rPr>
        <w:t>度</w:t>
      </w:r>
      <w:r>
        <w:rPr>
          <w:rFonts w:hint="eastAsia" w:ascii="方正仿宋_GBK" w:hAnsi="方正仿宋_GBK" w:eastAsia="方正仿宋_GBK" w:cs="方正仿宋_GBK"/>
          <w:color w:val="auto"/>
          <w:sz w:val="32"/>
          <w:szCs w:val="32"/>
          <w:highlight w:val="none"/>
        </w:rPr>
        <w:t>相比，</w:t>
      </w:r>
      <w:r>
        <w:rPr>
          <w:rFonts w:hint="eastAsia" w:ascii="方正仿宋_GBK" w:hAnsi="方正仿宋_GBK" w:eastAsia="方正仿宋_GBK" w:cs="方正仿宋_GBK"/>
          <w:color w:val="auto"/>
          <w:sz w:val="32"/>
          <w:szCs w:val="32"/>
          <w:highlight w:val="none"/>
          <w:lang w:eastAsia="zh-CN"/>
        </w:rPr>
        <w:t>收入</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支出</w:t>
      </w:r>
      <w:r>
        <w:rPr>
          <w:rFonts w:hint="eastAsia" w:ascii="方正仿宋_GBK" w:hAnsi="方正仿宋_GBK" w:eastAsia="方正仿宋_GBK" w:cs="方正仿宋_GBK"/>
          <w:color w:val="auto"/>
          <w:sz w:val="32"/>
          <w:szCs w:val="32"/>
          <w:highlight w:val="none"/>
        </w:rPr>
        <w:t>总计各减少</w:t>
      </w:r>
      <w:r>
        <w:rPr>
          <w:rFonts w:hint="eastAsia" w:ascii="方正仿宋_GBK" w:hAnsi="方正仿宋_GBK" w:eastAsia="方正仿宋_GBK" w:cs="方正仿宋_GBK"/>
          <w:color w:val="auto"/>
          <w:sz w:val="32"/>
          <w:szCs w:val="32"/>
          <w:highlight w:val="none"/>
          <w:lang w:val="en-US" w:eastAsia="zh-CN"/>
        </w:rPr>
        <w:t>177.49</w:t>
      </w:r>
      <w:r>
        <w:rPr>
          <w:rFonts w:hint="eastAsia" w:ascii="方正仿宋_GBK" w:hAnsi="方正仿宋_GBK" w:eastAsia="方正仿宋_GBK" w:cs="方正仿宋_GBK"/>
          <w:color w:val="auto"/>
          <w:sz w:val="32"/>
          <w:szCs w:val="32"/>
          <w:highlight w:val="none"/>
        </w:rPr>
        <w:t>万元，下降</w:t>
      </w:r>
      <w:r>
        <w:rPr>
          <w:rFonts w:hint="eastAsia" w:ascii="方正仿宋_GBK" w:hAnsi="方正仿宋_GBK" w:eastAsia="方正仿宋_GBK" w:cs="方正仿宋_GBK"/>
          <w:color w:val="auto"/>
          <w:sz w:val="32"/>
          <w:szCs w:val="32"/>
          <w:highlight w:val="none"/>
          <w:lang w:val="en-US" w:eastAsia="zh-CN"/>
        </w:rPr>
        <w:t>4.11</w:t>
      </w:r>
      <w:r>
        <w:rPr>
          <w:rFonts w:hint="eastAsia" w:ascii="方正仿宋_GBK" w:hAnsi="方正仿宋_GBK" w:eastAsia="方正仿宋_GBK" w:cs="方正仿宋_GBK"/>
          <w:color w:val="auto"/>
          <w:sz w:val="32"/>
          <w:szCs w:val="32"/>
          <w:highlight w:val="none"/>
        </w:rPr>
        <w:t>%。主要变动原因是</w:t>
      </w:r>
      <w:r>
        <w:rPr>
          <w:rFonts w:hint="eastAsia" w:ascii="方正仿宋_GBK" w:hAnsi="方正仿宋_GBK" w:eastAsia="方正仿宋_GBK" w:cs="方正仿宋_GBK"/>
          <w:color w:val="auto"/>
          <w:sz w:val="32"/>
          <w:szCs w:val="32"/>
          <w:highlight w:val="none"/>
          <w:lang w:eastAsia="zh-CN"/>
        </w:rPr>
        <w:t>人员流动资金正常浮动。</w:t>
      </w:r>
    </w:p>
    <w:p>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drawing>
          <wp:inline distT="0" distB="0" distL="114300" distR="114300">
            <wp:extent cx="5080000" cy="3810000"/>
            <wp:effectExtent l="4445" t="4445" r="20955"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2024年度本年收入合计</w:t>
      </w:r>
      <w:r>
        <w:rPr>
          <w:rFonts w:hint="eastAsia" w:ascii="仿宋_GB2312" w:hAnsi="仿宋_GB2312" w:eastAsia="仿宋_GB2312" w:cs="仿宋_GB2312"/>
          <w:sz w:val="32"/>
          <w:szCs w:val="32"/>
        </w:rPr>
        <w:t>4308.34万元，其中：一般公共预算财政拨款收入4256.24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98.79</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52.1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1.2</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544195</wp:posOffset>
            </wp:positionH>
            <wp:positionV relativeFrom="paragraph">
              <wp:posOffset>265430</wp:posOffset>
            </wp:positionV>
            <wp:extent cx="3956685" cy="3565525"/>
            <wp:effectExtent l="4445" t="4445" r="20320" b="1143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ind w:firstLine="803" w:firstLineChars="250"/>
        <w:rPr>
          <w:rFonts w:hint="eastAsia" w:ascii="Times New Roman" w:hAnsi="Times New Roman" w:eastAsia="仿宋_GB2312" w:cs="仿宋_GB2312"/>
          <w:b/>
          <w:bCs/>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Fonts w:hint="eastAsia" w:eastAsia="黑体"/>
          <w:color w:val="auto"/>
          <w:sz w:val="32"/>
          <w:szCs w:val="32"/>
          <w:highlight w:val="none"/>
          <w:lang w:eastAsia="zh-CN"/>
        </w:rPr>
      </w:pPr>
      <w:bookmarkStart w:id="16" w:name="_Toc15377207"/>
      <w:bookmarkStart w:id="17" w:name="_Toc1539660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outlineLvl w:val="1"/>
        <w:rPr>
          <w:rStyle w:val="29"/>
          <w:rFonts w:hint="eastAsia" w:ascii="Times New Roman" w:hAnsi="Times New Roman" w:eastAsia="黑体"/>
          <w:b w:val="0"/>
          <w:color w:val="auto"/>
          <w:highlight w:val="none"/>
        </w:rPr>
      </w:pPr>
      <w:r>
        <w:rPr>
          <w:rFonts w:hint="eastAsia"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2024年度本年支出合计</w:t>
      </w:r>
      <w:r>
        <w:rPr>
          <w:rFonts w:hint="eastAsia" w:ascii="仿宋_GB2312" w:hAnsi="仿宋_GB2312" w:eastAsia="仿宋_GB2312" w:cs="仿宋_GB2312"/>
          <w:sz w:val="32"/>
          <w:szCs w:val="32"/>
        </w:rPr>
        <w:t>4308.34</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3615.25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83.91</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693.08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16.08</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8240" behindDoc="0" locked="0" layoutInCell="1" allowOverlap="1">
            <wp:simplePos x="0" y="0"/>
            <wp:positionH relativeFrom="column">
              <wp:posOffset>321945</wp:posOffset>
            </wp:positionH>
            <wp:positionV relativeFrom="paragraph">
              <wp:posOffset>173355</wp:posOffset>
            </wp:positionV>
            <wp:extent cx="5080000" cy="3810000"/>
            <wp:effectExtent l="4445" t="4445" r="20955" b="14605"/>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p>
    <w:p>
      <w:pPr>
        <w:rPr>
          <w:rFonts w:hint="eastAsia" w:ascii="Times New Roman" w:hAnsi="Times New Roman" w:eastAsia="仿宋_GB2312" w:cs="仿宋_GB2312"/>
          <w:color w:val="auto"/>
          <w:sz w:val="32"/>
          <w:szCs w:val="32"/>
          <w:highlight w:val="none"/>
          <w:lang w:eastAsia="zh-CN"/>
        </w:rPr>
      </w:pPr>
    </w:p>
    <w:p>
      <w:pPr>
        <w:pStyle w:val="2"/>
        <w:rPr>
          <w:rFonts w:hint="eastAsia"/>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bookmarkStart w:id="18" w:name="_Toc15377208"/>
      <w:bookmarkStart w:id="19" w:name="_Toc15396606"/>
    </w:p>
    <w:p>
      <w:pPr>
        <w:pStyle w:val="2"/>
        <w:rPr>
          <w:rFonts w:hint="eastAsia"/>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kern w:val="2"/>
          <w:sz w:val="32"/>
          <w:szCs w:val="32"/>
          <w:highlight w:val="none"/>
          <w:lang w:val="en-US" w:eastAsia="zh-CN" w:bidi="ar-SA"/>
        </w:rPr>
        <w:t>2024年度财政拨款收入、支出总计均为</w:t>
      </w:r>
      <w:r>
        <w:rPr>
          <w:rFonts w:hint="eastAsia" w:ascii="方正仿宋_GBK" w:hAnsi="方正仿宋_GBK" w:eastAsia="方正仿宋_GBK" w:cs="方正仿宋_GBK"/>
          <w:sz w:val="32"/>
          <w:szCs w:val="32"/>
        </w:rPr>
        <w:t>4256.24</w:t>
      </w:r>
      <w:r>
        <w:rPr>
          <w:rFonts w:hint="eastAsia" w:ascii="方正仿宋_GBK" w:hAnsi="方正仿宋_GBK" w:eastAsia="方正仿宋_GBK" w:cs="方正仿宋_GBK"/>
          <w:color w:val="auto"/>
          <w:kern w:val="2"/>
          <w:sz w:val="32"/>
          <w:szCs w:val="32"/>
          <w:highlight w:val="none"/>
          <w:lang w:val="en-US" w:eastAsia="zh-CN" w:bidi="ar-SA"/>
        </w:rPr>
        <w:t>万元。与2023年度相比，财政拨款收入总计、支出总计减少159.61万元，增长/下降3.75%。主要变动原因是</w:t>
      </w:r>
      <w:r>
        <w:rPr>
          <w:rFonts w:hint="eastAsia" w:ascii="方正仿宋_GBK" w:hAnsi="方正仿宋_GBK" w:eastAsia="方正仿宋_GBK" w:cs="方正仿宋_GBK"/>
          <w:color w:val="auto"/>
          <w:sz w:val="32"/>
          <w:szCs w:val="32"/>
          <w:highlight w:val="none"/>
          <w:lang w:eastAsia="zh-CN"/>
        </w:rPr>
        <w:t>人员流动资金正常浮动</w:t>
      </w:r>
    </w:p>
    <w:p>
      <w:pPr>
        <w:pStyle w:val="2"/>
        <w:rPr>
          <w:rFonts w:hint="eastAsia" w:eastAsia="仿宋_GB2312" w:cs="仿宋_GB2312"/>
          <w:color w:val="auto"/>
          <w:sz w:val="32"/>
          <w:szCs w:val="32"/>
          <w:highlight w:val="none"/>
          <w:lang w:eastAsia="zh-CN"/>
        </w:rPr>
      </w:pPr>
    </w:p>
    <w:p>
      <w:pPr>
        <w:pStyle w:val="2"/>
        <w:rPr>
          <w:rFonts w:hint="eastAsia" w:eastAsia="仿宋_GB2312" w:cs="仿宋_GB2312"/>
          <w:color w:val="auto"/>
          <w:sz w:val="32"/>
          <w:szCs w:val="32"/>
          <w:highlight w:val="none"/>
          <w:lang w:eastAsia="zh-CN"/>
        </w:rPr>
      </w:pPr>
    </w:p>
    <w:p>
      <w:pPr>
        <w:pStyle w:val="2"/>
        <w:rPr>
          <w:rFonts w:hint="eastAsia" w:eastAsia="仿宋_GB2312" w:cs="仿宋_GB2312"/>
          <w:color w:val="auto"/>
          <w:sz w:val="32"/>
          <w:szCs w:val="32"/>
          <w:highlight w:val="none"/>
          <w:lang w:eastAsia="zh-CN"/>
        </w:rPr>
      </w:pPr>
    </w:p>
    <w:p>
      <w:pPr>
        <w:pStyle w:val="2"/>
        <w:rPr>
          <w:rFonts w:hint="eastAsia" w:eastAsia="仿宋_GB2312" w:cs="仿宋_GB2312"/>
          <w:color w:val="auto"/>
          <w:sz w:val="32"/>
          <w:szCs w:val="32"/>
          <w:highlight w:val="none"/>
          <w:lang w:eastAsia="zh-CN"/>
        </w:rPr>
      </w:pPr>
    </w:p>
    <w:p>
      <w:pPr>
        <w:pStyle w:val="2"/>
        <w:rPr>
          <w:rFonts w:hint="eastAsia" w:eastAsia="仿宋_GB2312" w:cs="仿宋_GB2312"/>
          <w:color w:val="auto"/>
          <w:sz w:val="32"/>
          <w:szCs w:val="32"/>
          <w:highlight w:val="none"/>
          <w:lang w:eastAsia="zh-CN"/>
        </w:rPr>
      </w:pPr>
    </w:p>
    <w:p>
      <w:pPr>
        <w:pStyle w:val="2"/>
        <w:rPr>
          <w:rFonts w:hint="eastAsia"/>
          <w:lang w:val="en-US" w:eastAsia="zh-CN"/>
        </w:rPr>
      </w:pPr>
    </w:p>
    <w:p>
      <w:pPr>
        <w:pStyle w:val="2"/>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410845</wp:posOffset>
            </wp:positionH>
            <wp:positionV relativeFrom="paragraph">
              <wp:posOffset>-260350</wp:posOffset>
            </wp:positionV>
            <wp:extent cx="4742815" cy="3207385"/>
            <wp:effectExtent l="4445" t="4445" r="15240" b="762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
        <w:rPr>
          <w:rFonts w:hint="eastAsia"/>
          <w:lang w:val="en-US" w:eastAsia="zh-CN"/>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kern w:val="2"/>
          <w:sz w:val="32"/>
          <w:szCs w:val="32"/>
          <w:highlight w:val="none"/>
          <w:lang w:val="en-US" w:eastAsia="zh-CN" w:bidi="ar-SA"/>
        </w:rPr>
        <w:t>2024年度一般公共预算财政拨款支出</w:t>
      </w:r>
      <w:r>
        <w:rPr>
          <w:rFonts w:hint="eastAsia" w:ascii="方正仿宋_GBK" w:hAnsi="方正仿宋_GBK" w:eastAsia="方正仿宋_GBK" w:cs="方正仿宋_GBK"/>
          <w:sz w:val="32"/>
          <w:szCs w:val="32"/>
        </w:rPr>
        <w:t>4256.24</w:t>
      </w:r>
      <w:r>
        <w:rPr>
          <w:rFonts w:hint="eastAsia" w:ascii="方正仿宋_GBK" w:hAnsi="方正仿宋_GBK" w:eastAsia="方正仿宋_GBK" w:cs="方正仿宋_GBK"/>
          <w:color w:val="auto"/>
          <w:kern w:val="2"/>
          <w:sz w:val="32"/>
          <w:szCs w:val="32"/>
          <w:highlight w:val="none"/>
          <w:lang w:val="en-US" w:eastAsia="zh-CN" w:bidi="ar-SA"/>
        </w:rPr>
        <w:t>万元，占本年支出合计的</w:t>
      </w:r>
      <w:r>
        <w:rPr>
          <w:rFonts w:hint="eastAsia" w:ascii="方正仿宋_GBK" w:hAnsi="方正仿宋_GBK" w:eastAsia="方正仿宋_GBK" w:cs="方正仿宋_GBK"/>
          <w:sz w:val="32"/>
          <w:szCs w:val="32"/>
        </w:rPr>
        <w:t>98.79</w:t>
      </w:r>
      <w:r>
        <w:rPr>
          <w:rFonts w:hint="eastAsia" w:ascii="方正仿宋_GBK" w:hAnsi="方正仿宋_GBK" w:eastAsia="方正仿宋_GBK" w:cs="方正仿宋_GBK"/>
          <w:color w:val="auto"/>
          <w:kern w:val="2"/>
          <w:sz w:val="32"/>
          <w:szCs w:val="32"/>
          <w:highlight w:val="none"/>
          <w:lang w:val="en-US" w:eastAsia="zh-CN" w:bidi="ar-SA"/>
        </w:rPr>
        <w:t>%。与2023年度相比，一般公共预算财政拨款支出减少159.61万元，增长/下降3.75%。主要变动原因是</w:t>
      </w:r>
      <w:r>
        <w:rPr>
          <w:rFonts w:hint="eastAsia" w:ascii="方正仿宋_GBK" w:hAnsi="方正仿宋_GBK" w:eastAsia="方正仿宋_GBK" w:cs="方正仿宋_GBK"/>
          <w:color w:val="auto"/>
          <w:sz w:val="32"/>
          <w:szCs w:val="32"/>
          <w:highlight w:val="none"/>
          <w:lang w:eastAsia="zh-CN"/>
        </w:rPr>
        <w:t>人员流动资金正常浮动</w:t>
      </w:r>
    </w:p>
    <w:p>
      <w:pPr>
        <w:pStyle w:val="2"/>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130810</wp:posOffset>
            </wp:positionH>
            <wp:positionV relativeFrom="paragraph">
              <wp:posOffset>14605</wp:posOffset>
            </wp:positionV>
            <wp:extent cx="5292090" cy="2443480"/>
            <wp:effectExtent l="4445" t="4445" r="18415" b="952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
        <w:rPr>
          <w:rFonts w:hint="eastAsia" w:eastAsia="仿宋_GB2312" w:cs="仿宋_GB2312"/>
          <w:color w:val="auto"/>
          <w:sz w:val="32"/>
          <w:szCs w:val="32"/>
          <w:highlight w:val="none"/>
          <w:lang w:eastAsia="zh-CN"/>
        </w:rPr>
      </w:pPr>
    </w:p>
    <w:p>
      <w:pPr>
        <w:pStyle w:val="2"/>
        <w:rPr>
          <w:rFonts w:hint="eastAsia" w:eastAsia="仿宋_GB2312" w:cs="仿宋_GB2312"/>
          <w:color w:val="auto"/>
          <w:sz w:val="32"/>
          <w:szCs w:val="32"/>
          <w:highlight w:val="none"/>
          <w:lang w:eastAsia="zh-CN"/>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lang w:val="en-US" w:eastAsia="zh-CN"/>
        </w:rPr>
      </w:pPr>
    </w:p>
    <w:p>
      <w:pPr>
        <w:pStyle w:val="2"/>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ascii="方正仿宋_GBK" w:hAnsi="方正仿宋_GBK" w:eastAsia="方正仿宋_GBK" w:cs="方正仿宋_GBK"/>
          <w:b/>
          <w:bCs/>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2024年度一般公共预算财政拨款支出</w:t>
      </w:r>
      <w:r>
        <w:rPr>
          <w:rFonts w:hint="eastAsia" w:ascii="方正仿宋_GBK" w:hAnsi="方正仿宋_GBK" w:eastAsia="方正仿宋_GBK" w:cs="方正仿宋_GBK"/>
          <w:sz w:val="32"/>
          <w:szCs w:val="32"/>
        </w:rPr>
        <w:t>4256.24</w:t>
      </w:r>
      <w:r>
        <w:rPr>
          <w:rFonts w:hint="eastAsia" w:ascii="方正仿宋_GBK" w:hAnsi="方正仿宋_GBK" w:eastAsia="方正仿宋_GBK" w:cs="方正仿宋_GBK"/>
          <w:color w:val="auto"/>
          <w:kern w:val="2"/>
          <w:sz w:val="32"/>
          <w:szCs w:val="32"/>
          <w:highlight w:val="none"/>
          <w:lang w:val="en-US" w:eastAsia="zh-CN" w:bidi="ar-SA"/>
        </w:rPr>
        <w:t>万元，主要用于以下方面：教育支出3495万元，占82.11%；社会保障和就业支出416.03万元，占9.77%；卫生健康支出188.43万元，占4.42%；住房保障支出208.68万元，占4.9%。</w:t>
      </w:r>
    </w:p>
    <w:p>
      <w:pPr>
        <w:pStyle w:val="2"/>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99695</wp:posOffset>
            </wp:positionH>
            <wp:positionV relativeFrom="paragraph">
              <wp:posOffset>79375</wp:posOffset>
            </wp:positionV>
            <wp:extent cx="5080000" cy="3810000"/>
            <wp:effectExtent l="4445" t="4445" r="20955" b="14605"/>
            <wp:wrapNone/>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2" w:firstLineChars="200"/>
        <w:rPr>
          <w:rFonts w:hint="eastAsia" w:ascii="仿宋" w:hAnsi="仿宋" w:eastAsia="仿宋" w:cs="仿宋"/>
          <w:b/>
          <w:bCs/>
          <w:sz w:val="32"/>
          <w:szCs w:val="32"/>
        </w:rPr>
      </w:pPr>
      <w:bookmarkStart w:id="25" w:name="_Toc15377444"/>
      <w:bookmarkStart w:id="26" w:name="_Toc15378460"/>
      <w:bookmarkStart w:id="27" w:name="_Toc15377213"/>
      <w:r>
        <w:rPr>
          <w:rFonts w:hint="eastAsia" w:ascii="仿宋" w:hAnsi="仿宋" w:eastAsia="仿宋" w:cs="仿宋"/>
          <w:b/>
          <w:bCs/>
          <w:sz w:val="32"/>
          <w:szCs w:val="32"/>
        </w:rPr>
        <w:t>202</w:t>
      </w: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年一般公共预算支出决算数为</w:t>
      </w:r>
      <w:r>
        <w:rPr>
          <w:rFonts w:hint="eastAsia" w:ascii="仿宋_GB2312" w:hAnsi="仿宋_GB2312" w:eastAsia="仿宋_GB2312" w:cs="仿宋_GB2312"/>
          <w:b/>
          <w:bCs/>
          <w:sz w:val="32"/>
          <w:szCs w:val="32"/>
        </w:rPr>
        <w:t>4256.24</w:t>
      </w:r>
      <w:r>
        <w:rPr>
          <w:rFonts w:hint="eastAsia" w:ascii="仿宋" w:hAnsi="仿宋" w:eastAsia="仿宋" w:cs="仿宋"/>
          <w:b/>
          <w:bCs/>
          <w:sz w:val="32"/>
          <w:szCs w:val="32"/>
        </w:rPr>
        <w:t>，完成预算</w:t>
      </w:r>
      <w:r>
        <w:rPr>
          <w:rFonts w:hint="eastAsia" w:ascii="仿宋" w:hAnsi="仿宋" w:eastAsia="仿宋" w:cs="仿宋"/>
          <w:b/>
          <w:bCs/>
          <w:sz w:val="32"/>
          <w:szCs w:val="32"/>
          <w:lang w:val="en-US" w:eastAsia="zh-CN"/>
        </w:rPr>
        <w:t>100</w:t>
      </w:r>
      <w:r>
        <w:rPr>
          <w:rFonts w:hint="eastAsia" w:ascii="仿宋" w:hAnsi="仿宋" w:eastAsia="仿宋" w:cs="仿宋"/>
          <w:b/>
          <w:bCs/>
          <w:sz w:val="32"/>
          <w:szCs w:val="32"/>
        </w:rPr>
        <w:t>%。其中：</w:t>
      </w:r>
      <w:bookmarkEnd w:id="25"/>
      <w:bookmarkEnd w:id="26"/>
      <w:bookmarkEnd w:id="27"/>
    </w:p>
    <w:p>
      <w:pPr>
        <w:spacing w:line="600" w:lineRule="exact"/>
        <w:ind w:firstLine="642" w:firstLineChars="200"/>
        <w:rPr>
          <w:rFonts w:hint="eastAsia" w:ascii="仿宋" w:hAnsi="仿宋" w:eastAsia="仿宋" w:cs="仿宋"/>
          <w:b/>
          <w:color w:val="000000"/>
          <w:sz w:val="32"/>
          <w:szCs w:val="32"/>
        </w:rPr>
      </w:pPr>
      <w:r>
        <w:rPr>
          <w:rStyle w:val="18"/>
          <w:rFonts w:hint="eastAsia" w:ascii="仿宋" w:hAnsi="仿宋" w:eastAsia="仿宋" w:cs="仿宋"/>
          <w:bCs/>
          <w:color w:val="000000"/>
          <w:sz w:val="32"/>
          <w:szCs w:val="32"/>
          <w:lang w:val="en-US" w:eastAsia="zh-CN"/>
        </w:rPr>
        <w:t>1</w:t>
      </w:r>
      <w:r>
        <w:rPr>
          <w:rStyle w:val="18"/>
          <w:rFonts w:hint="eastAsia" w:ascii="仿宋" w:hAnsi="仿宋" w:eastAsia="仿宋" w:cs="仿宋"/>
          <w:bCs/>
          <w:color w:val="000000"/>
          <w:sz w:val="32"/>
          <w:szCs w:val="32"/>
        </w:rPr>
        <w:t>.教育</w:t>
      </w:r>
      <w:r>
        <w:rPr>
          <w:rStyle w:val="18"/>
          <w:rFonts w:hint="eastAsia" w:ascii="仿宋" w:hAnsi="仿宋" w:eastAsia="仿宋" w:cs="仿宋"/>
          <w:bCs/>
          <w:color w:val="000000"/>
          <w:sz w:val="32"/>
          <w:szCs w:val="32"/>
          <w:lang w:val="en-US" w:eastAsia="zh-CN"/>
        </w:rPr>
        <w:t>205</w:t>
      </w:r>
      <w:r>
        <w:rPr>
          <w:rStyle w:val="18"/>
          <w:rFonts w:hint="eastAsia" w:ascii="仿宋" w:hAnsi="仿宋" w:eastAsia="仿宋" w:cs="仿宋"/>
          <w:bCs/>
          <w:color w:val="000000"/>
          <w:sz w:val="32"/>
          <w:szCs w:val="32"/>
        </w:rPr>
        <w:t>（类）</w:t>
      </w:r>
      <w:r>
        <w:rPr>
          <w:rStyle w:val="18"/>
          <w:rFonts w:hint="eastAsia" w:ascii="仿宋" w:hAnsi="仿宋" w:eastAsia="仿宋" w:cs="仿宋"/>
          <w:bCs/>
          <w:color w:val="000000"/>
          <w:sz w:val="32"/>
          <w:szCs w:val="32"/>
          <w:lang w:val="en-US" w:eastAsia="zh-CN"/>
        </w:rPr>
        <w:t>03</w:t>
      </w:r>
      <w:r>
        <w:rPr>
          <w:rStyle w:val="18"/>
          <w:rFonts w:hint="eastAsia" w:ascii="仿宋" w:hAnsi="仿宋" w:eastAsia="仿宋" w:cs="仿宋"/>
          <w:bCs/>
          <w:color w:val="000000"/>
          <w:sz w:val="32"/>
          <w:szCs w:val="32"/>
        </w:rPr>
        <w:t>（款）</w:t>
      </w:r>
      <w:r>
        <w:rPr>
          <w:rStyle w:val="18"/>
          <w:rFonts w:hint="eastAsia" w:ascii="仿宋" w:hAnsi="仿宋" w:eastAsia="仿宋" w:cs="仿宋"/>
          <w:bCs/>
          <w:color w:val="000000"/>
          <w:sz w:val="32"/>
          <w:szCs w:val="32"/>
          <w:lang w:val="en-US" w:eastAsia="zh-CN"/>
        </w:rPr>
        <w:t>02</w:t>
      </w:r>
      <w:r>
        <w:rPr>
          <w:rStyle w:val="18"/>
          <w:rFonts w:hint="eastAsia" w:ascii="仿宋" w:hAnsi="仿宋" w:eastAsia="仿宋" w:cs="仿宋"/>
          <w:bCs/>
          <w:color w:val="000000"/>
          <w:sz w:val="32"/>
          <w:szCs w:val="32"/>
        </w:rPr>
        <w:t>（项）:</w:t>
      </w:r>
      <w:r>
        <w:rPr>
          <w:rStyle w:val="18"/>
          <w:rFonts w:hint="eastAsia" w:ascii="仿宋" w:hAnsi="仿宋" w:eastAsia="仿宋" w:cs="仿宋"/>
          <w:b w:val="0"/>
          <w:bCs/>
          <w:color w:val="000000"/>
          <w:sz w:val="32"/>
          <w:szCs w:val="32"/>
        </w:rPr>
        <w:t xml:space="preserve"> 支出决算为</w:t>
      </w:r>
      <w:r>
        <w:rPr>
          <w:rFonts w:hint="eastAsia" w:eastAsia="仿宋_GB2312" w:cs="仿宋_GB2312"/>
          <w:color w:val="auto"/>
          <w:kern w:val="2"/>
          <w:sz w:val="32"/>
          <w:szCs w:val="32"/>
          <w:highlight w:val="none"/>
          <w:lang w:val="en-US" w:eastAsia="zh-CN" w:bidi="ar-SA"/>
        </w:rPr>
        <w:t>3495</w:t>
      </w:r>
      <w:r>
        <w:rPr>
          <w:rStyle w:val="18"/>
          <w:rFonts w:hint="eastAsia" w:ascii="仿宋" w:hAnsi="仿宋" w:eastAsia="仿宋" w:cs="仿宋"/>
          <w:b w:val="0"/>
          <w:bCs/>
          <w:color w:val="000000"/>
          <w:sz w:val="32"/>
          <w:szCs w:val="32"/>
        </w:rPr>
        <w:t>万元，完成预算</w:t>
      </w:r>
      <w:r>
        <w:rPr>
          <w:rStyle w:val="18"/>
          <w:rFonts w:hint="eastAsia" w:ascii="仿宋" w:hAnsi="仿宋" w:eastAsia="仿宋" w:cs="仿宋"/>
          <w:b w:val="0"/>
          <w:bCs/>
          <w:color w:val="000000"/>
          <w:sz w:val="32"/>
          <w:szCs w:val="32"/>
          <w:lang w:val="en-US" w:eastAsia="zh-CN"/>
        </w:rPr>
        <w:t>100</w:t>
      </w:r>
      <w:r>
        <w:rPr>
          <w:rStyle w:val="18"/>
          <w:rFonts w:hint="eastAsia" w:ascii="仿宋" w:hAnsi="仿宋" w:eastAsia="仿宋" w:cs="仿宋"/>
          <w:b w:val="0"/>
          <w:bCs/>
          <w:color w:val="000000"/>
          <w:sz w:val="32"/>
          <w:szCs w:val="32"/>
        </w:rPr>
        <w:t>%，决算数等于预算数的主要原因</w:t>
      </w:r>
      <w:r>
        <w:rPr>
          <w:rStyle w:val="18"/>
          <w:rFonts w:hint="eastAsia" w:ascii="仿宋" w:hAnsi="仿宋" w:eastAsia="仿宋" w:cs="仿宋"/>
          <w:b w:val="0"/>
          <w:bCs/>
          <w:color w:val="000000"/>
          <w:sz w:val="32"/>
          <w:szCs w:val="32"/>
          <w:lang w:val="en-US" w:eastAsia="zh-CN"/>
        </w:rPr>
        <w:t>是按预算完成</w:t>
      </w:r>
      <w:r>
        <w:rPr>
          <w:rStyle w:val="18"/>
          <w:rFonts w:hint="eastAsia" w:ascii="仿宋" w:hAnsi="仿宋" w:eastAsia="仿宋" w:cs="仿宋"/>
          <w:b w:val="0"/>
          <w:bCs/>
          <w:color w:val="000000"/>
          <w:sz w:val="32"/>
          <w:szCs w:val="32"/>
        </w:rPr>
        <w:t>。</w:t>
      </w:r>
    </w:p>
    <w:p>
      <w:pPr>
        <w:spacing w:line="600" w:lineRule="exact"/>
        <w:ind w:firstLine="642" w:firstLineChars="200"/>
        <w:rPr>
          <w:rFonts w:hint="eastAsia" w:ascii="仿宋" w:hAnsi="仿宋" w:eastAsia="仿宋" w:cs="仿宋"/>
          <w:b/>
          <w:color w:val="000000"/>
          <w:sz w:val="32"/>
          <w:szCs w:val="32"/>
        </w:rPr>
      </w:pPr>
      <w:r>
        <w:rPr>
          <w:rStyle w:val="18"/>
          <w:rFonts w:hint="eastAsia" w:ascii="仿宋" w:hAnsi="仿宋" w:eastAsia="仿宋" w:cs="仿宋"/>
          <w:bCs/>
          <w:color w:val="000000"/>
          <w:sz w:val="32"/>
          <w:szCs w:val="32"/>
          <w:lang w:val="en-US" w:eastAsia="zh-CN"/>
        </w:rPr>
        <w:t>2</w:t>
      </w:r>
      <w:r>
        <w:rPr>
          <w:rStyle w:val="18"/>
          <w:rFonts w:hint="eastAsia" w:ascii="仿宋" w:hAnsi="仿宋" w:eastAsia="仿宋" w:cs="仿宋"/>
          <w:bCs/>
          <w:color w:val="000000"/>
          <w:sz w:val="32"/>
          <w:szCs w:val="32"/>
        </w:rPr>
        <w:t>.社会保障和就业</w:t>
      </w:r>
      <w:r>
        <w:rPr>
          <w:rStyle w:val="18"/>
          <w:rFonts w:hint="eastAsia" w:ascii="仿宋" w:hAnsi="仿宋" w:eastAsia="仿宋" w:cs="仿宋"/>
          <w:bCs/>
          <w:color w:val="000000"/>
          <w:sz w:val="32"/>
          <w:szCs w:val="32"/>
          <w:lang w:val="en-US" w:eastAsia="zh-CN"/>
        </w:rPr>
        <w:t>208</w:t>
      </w:r>
      <w:r>
        <w:rPr>
          <w:rStyle w:val="18"/>
          <w:rFonts w:hint="eastAsia" w:ascii="仿宋" w:hAnsi="仿宋" w:eastAsia="仿宋" w:cs="仿宋"/>
          <w:bCs/>
          <w:color w:val="000000"/>
          <w:sz w:val="32"/>
          <w:szCs w:val="32"/>
        </w:rPr>
        <w:t>（类）</w:t>
      </w:r>
      <w:r>
        <w:rPr>
          <w:rStyle w:val="18"/>
          <w:rFonts w:hint="eastAsia" w:ascii="仿宋" w:hAnsi="仿宋" w:eastAsia="仿宋" w:cs="仿宋"/>
          <w:bCs/>
          <w:color w:val="000000"/>
          <w:sz w:val="32"/>
          <w:szCs w:val="32"/>
          <w:lang w:val="en-US" w:eastAsia="zh-CN"/>
        </w:rPr>
        <w:t>05</w:t>
      </w:r>
      <w:r>
        <w:rPr>
          <w:rStyle w:val="18"/>
          <w:rFonts w:hint="eastAsia" w:ascii="仿宋" w:hAnsi="仿宋" w:eastAsia="仿宋" w:cs="仿宋"/>
          <w:bCs/>
          <w:color w:val="000000"/>
          <w:sz w:val="32"/>
          <w:szCs w:val="32"/>
        </w:rPr>
        <w:t>（款）</w:t>
      </w:r>
      <w:r>
        <w:rPr>
          <w:rStyle w:val="18"/>
          <w:rFonts w:hint="eastAsia" w:ascii="仿宋" w:hAnsi="仿宋" w:eastAsia="仿宋" w:cs="仿宋"/>
          <w:bCs/>
          <w:color w:val="000000"/>
          <w:sz w:val="32"/>
          <w:szCs w:val="32"/>
          <w:lang w:val="en-US" w:eastAsia="zh-CN"/>
        </w:rPr>
        <w:t>05</w:t>
      </w:r>
      <w:r>
        <w:rPr>
          <w:rStyle w:val="18"/>
          <w:rFonts w:hint="eastAsia" w:ascii="仿宋" w:hAnsi="仿宋" w:eastAsia="仿宋" w:cs="仿宋"/>
          <w:bCs/>
          <w:color w:val="000000"/>
          <w:sz w:val="32"/>
          <w:szCs w:val="32"/>
        </w:rPr>
        <w:t>（项）:</w:t>
      </w:r>
      <w:r>
        <w:rPr>
          <w:rStyle w:val="18"/>
          <w:rFonts w:hint="eastAsia" w:ascii="仿宋" w:hAnsi="仿宋" w:eastAsia="仿宋" w:cs="仿宋"/>
          <w:b w:val="0"/>
          <w:bCs/>
          <w:color w:val="000000"/>
          <w:sz w:val="32"/>
          <w:szCs w:val="32"/>
        </w:rPr>
        <w:t>支出决算为</w:t>
      </w:r>
      <w:r>
        <w:rPr>
          <w:rFonts w:hint="eastAsia" w:eastAsia="仿宋_GB2312" w:cs="仿宋_GB2312"/>
          <w:color w:val="auto"/>
          <w:kern w:val="2"/>
          <w:sz w:val="32"/>
          <w:szCs w:val="32"/>
          <w:highlight w:val="none"/>
          <w:lang w:val="en-US" w:eastAsia="zh-CN" w:bidi="ar-SA"/>
        </w:rPr>
        <w:t>416.03</w:t>
      </w:r>
      <w:r>
        <w:rPr>
          <w:rStyle w:val="18"/>
          <w:rFonts w:hint="eastAsia" w:ascii="仿宋" w:hAnsi="仿宋" w:eastAsia="仿宋" w:cs="仿宋"/>
          <w:b w:val="0"/>
          <w:bCs/>
          <w:color w:val="000000"/>
          <w:sz w:val="32"/>
          <w:szCs w:val="32"/>
        </w:rPr>
        <w:t>万元，完成预算</w:t>
      </w:r>
      <w:r>
        <w:rPr>
          <w:rStyle w:val="18"/>
          <w:rFonts w:hint="eastAsia" w:ascii="仿宋" w:hAnsi="仿宋" w:eastAsia="仿宋" w:cs="仿宋"/>
          <w:b w:val="0"/>
          <w:bCs/>
          <w:color w:val="000000"/>
          <w:sz w:val="32"/>
          <w:szCs w:val="32"/>
          <w:lang w:val="en-US" w:eastAsia="zh-CN"/>
        </w:rPr>
        <w:t>100</w:t>
      </w:r>
      <w:r>
        <w:rPr>
          <w:rStyle w:val="18"/>
          <w:rFonts w:hint="eastAsia" w:ascii="仿宋" w:hAnsi="仿宋" w:eastAsia="仿宋" w:cs="仿宋"/>
          <w:b w:val="0"/>
          <w:bCs/>
          <w:color w:val="000000"/>
          <w:sz w:val="32"/>
          <w:szCs w:val="32"/>
        </w:rPr>
        <w:t>%，决算数等于预算数的主要原因是</w:t>
      </w:r>
      <w:r>
        <w:rPr>
          <w:rStyle w:val="18"/>
          <w:rFonts w:hint="eastAsia" w:ascii="仿宋" w:hAnsi="仿宋" w:eastAsia="仿宋" w:cs="仿宋"/>
          <w:b w:val="0"/>
          <w:bCs/>
          <w:color w:val="000000"/>
          <w:sz w:val="32"/>
          <w:szCs w:val="32"/>
          <w:lang w:val="en-US" w:eastAsia="zh-CN"/>
        </w:rPr>
        <w:t>按预算完成</w:t>
      </w:r>
      <w:r>
        <w:rPr>
          <w:rStyle w:val="18"/>
          <w:rFonts w:hint="eastAsia" w:ascii="仿宋" w:hAnsi="仿宋" w:eastAsia="仿宋" w:cs="仿宋"/>
          <w:b w:val="0"/>
          <w:bCs/>
          <w:color w:val="000000"/>
          <w:sz w:val="32"/>
          <w:szCs w:val="32"/>
        </w:rPr>
        <w:t>。</w:t>
      </w:r>
    </w:p>
    <w:p>
      <w:pPr>
        <w:spacing w:line="600" w:lineRule="exact"/>
        <w:ind w:firstLine="642" w:firstLineChars="200"/>
        <w:rPr>
          <w:rStyle w:val="18"/>
          <w:rFonts w:hint="eastAsia" w:ascii="仿宋" w:hAnsi="仿宋" w:eastAsia="仿宋" w:cs="仿宋"/>
          <w:b w:val="0"/>
          <w:bCs/>
          <w:color w:val="000000"/>
          <w:sz w:val="32"/>
          <w:szCs w:val="32"/>
        </w:rPr>
      </w:pPr>
      <w:r>
        <w:rPr>
          <w:rStyle w:val="18"/>
          <w:rFonts w:hint="eastAsia" w:ascii="仿宋" w:hAnsi="仿宋" w:eastAsia="仿宋" w:cs="仿宋"/>
          <w:bCs/>
          <w:color w:val="000000"/>
          <w:sz w:val="32"/>
          <w:szCs w:val="32"/>
          <w:lang w:val="en-US" w:eastAsia="zh-CN"/>
        </w:rPr>
        <w:t>3</w:t>
      </w:r>
      <w:r>
        <w:rPr>
          <w:rStyle w:val="18"/>
          <w:rFonts w:hint="eastAsia" w:ascii="仿宋" w:hAnsi="仿宋" w:eastAsia="仿宋" w:cs="仿宋"/>
          <w:bCs/>
          <w:color w:val="000000"/>
          <w:sz w:val="32"/>
          <w:szCs w:val="32"/>
        </w:rPr>
        <w:t>.</w:t>
      </w:r>
      <w:r>
        <w:rPr>
          <w:rFonts w:hint="eastAsia" w:ascii="仿宋" w:hAnsi="仿宋" w:eastAsia="仿宋" w:cs="仿宋"/>
          <w:b/>
          <w:bCs/>
          <w:color w:val="000000"/>
          <w:sz w:val="32"/>
          <w:szCs w:val="32"/>
        </w:rPr>
        <w:t>卫生健康</w:t>
      </w:r>
      <w:r>
        <w:rPr>
          <w:rFonts w:hint="eastAsia" w:ascii="仿宋" w:hAnsi="仿宋" w:eastAsia="仿宋" w:cs="仿宋"/>
          <w:b/>
          <w:bCs/>
          <w:color w:val="000000"/>
          <w:sz w:val="32"/>
          <w:szCs w:val="32"/>
          <w:lang w:val="en-US" w:eastAsia="zh-CN"/>
        </w:rPr>
        <w:t>210</w:t>
      </w:r>
      <w:r>
        <w:rPr>
          <w:rStyle w:val="18"/>
          <w:rFonts w:hint="eastAsia" w:ascii="仿宋" w:hAnsi="仿宋" w:eastAsia="仿宋" w:cs="仿宋"/>
          <w:bCs/>
          <w:color w:val="000000"/>
          <w:sz w:val="32"/>
          <w:szCs w:val="32"/>
        </w:rPr>
        <w:t>（类）</w:t>
      </w:r>
      <w:r>
        <w:rPr>
          <w:rStyle w:val="18"/>
          <w:rFonts w:hint="eastAsia" w:ascii="仿宋" w:hAnsi="仿宋" w:eastAsia="仿宋" w:cs="仿宋"/>
          <w:bCs/>
          <w:color w:val="000000"/>
          <w:sz w:val="32"/>
          <w:szCs w:val="32"/>
          <w:lang w:val="en-US" w:eastAsia="zh-CN"/>
        </w:rPr>
        <w:t>11</w:t>
      </w:r>
      <w:r>
        <w:rPr>
          <w:rStyle w:val="18"/>
          <w:rFonts w:hint="eastAsia" w:ascii="仿宋" w:hAnsi="仿宋" w:eastAsia="仿宋" w:cs="仿宋"/>
          <w:bCs/>
          <w:color w:val="000000"/>
          <w:sz w:val="32"/>
          <w:szCs w:val="32"/>
        </w:rPr>
        <w:t>（款）</w:t>
      </w:r>
      <w:r>
        <w:rPr>
          <w:rStyle w:val="18"/>
          <w:rFonts w:hint="eastAsia" w:ascii="仿宋" w:hAnsi="仿宋" w:eastAsia="仿宋" w:cs="仿宋"/>
          <w:bCs/>
          <w:color w:val="000000"/>
          <w:sz w:val="32"/>
          <w:szCs w:val="32"/>
          <w:lang w:val="en-US" w:eastAsia="zh-CN"/>
        </w:rPr>
        <w:t>02</w:t>
      </w:r>
      <w:r>
        <w:rPr>
          <w:rStyle w:val="18"/>
          <w:rFonts w:hint="eastAsia" w:ascii="仿宋" w:hAnsi="仿宋" w:eastAsia="仿宋" w:cs="仿宋"/>
          <w:bCs/>
          <w:color w:val="000000"/>
          <w:sz w:val="32"/>
          <w:szCs w:val="32"/>
        </w:rPr>
        <w:t>（项）:</w:t>
      </w:r>
      <w:r>
        <w:rPr>
          <w:rStyle w:val="18"/>
          <w:rFonts w:hint="eastAsia" w:ascii="仿宋" w:hAnsi="仿宋" w:eastAsia="仿宋" w:cs="仿宋"/>
          <w:b w:val="0"/>
          <w:bCs/>
          <w:color w:val="000000"/>
          <w:sz w:val="32"/>
          <w:szCs w:val="32"/>
        </w:rPr>
        <w:t>支出决算为</w:t>
      </w:r>
      <w:r>
        <w:rPr>
          <w:rFonts w:hint="eastAsia" w:eastAsia="仿宋_GB2312" w:cs="仿宋_GB2312"/>
          <w:color w:val="auto"/>
          <w:kern w:val="2"/>
          <w:sz w:val="32"/>
          <w:szCs w:val="32"/>
          <w:highlight w:val="none"/>
          <w:lang w:val="en-US" w:eastAsia="zh-CN" w:bidi="ar-SA"/>
        </w:rPr>
        <w:t>188.43</w:t>
      </w:r>
      <w:r>
        <w:rPr>
          <w:rStyle w:val="18"/>
          <w:rFonts w:hint="eastAsia" w:ascii="仿宋" w:hAnsi="仿宋" w:eastAsia="仿宋" w:cs="仿宋"/>
          <w:b w:val="0"/>
          <w:bCs/>
          <w:color w:val="000000"/>
          <w:sz w:val="32"/>
          <w:szCs w:val="32"/>
        </w:rPr>
        <w:t>万元，完成预算</w:t>
      </w:r>
      <w:r>
        <w:rPr>
          <w:rStyle w:val="18"/>
          <w:rFonts w:hint="eastAsia" w:ascii="仿宋" w:hAnsi="仿宋" w:eastAsia="仿宋" w:cs="仿宋"/>
          <w:b w:val="0"/>
          <w:bCs/>
          <w:color w:val="000000"/>
          <w:sz w:val="32"/>
          <w:szCs w:val="32"/>
          <w:lang w:val="en-US" w:eastAsia="zh-CN"/>
        </w:rPr>
        <w:t>100</w:t>
      </w:r>
      <w:r>
        <w:rPr>
          <w:rStyle w:val="18"/>
          <w:rFonts w:hint="eastAsia" w:ascii="仿宋" w:hAnsi="仿宋" w:eastAsia="仿宋" w:cs="仿宋"/>
          <w:b w:val="0"/>
          <w:bCs/>
          <w:color w:val="000000"/>
          <w:sz w:val="32"/>
          <w:szCs w:val="32"/>
        </w:rPr>
        <w:t>%，决算数等于预算数的主要原因是</w:t>
      </w:r>
      <w:r>
        <w:rPr>
          <w:rStyle w:val="18"/>
          <w:rFonts w:hint="eastAsia" w:ascii="仿宋" w:hAnsi="仿宋" w:eastAsia="仿宋" w:cs="仿宋"/>
          <w:b w:val="0"/>
          <w:bCs/>
          <w:color w:val="000000"/>
          <w:sz w:val="32"/>
          <w:szCs w:val="32"/>
          <w:lang w:val="en-US" w:eastAsia="zh-CN"/>
        </w:rPr>
        <w:t>按预算完成</w:t>
      </w:r>
      <w:r>
        <w:rPr>
          <w:rStyle w:val="18"/>
          <w:rFonts w:hint="eastAsia" w:ascii="仿宋" w:hAnsi="仿宋" w:eastAsia="仿宋" w:cs="仿宋"/>
          <w:b w:val="0"/>
          <w:bCs/>
          <w:color w:val="000000"/>
          <w:sz w:val="32"/>
          <w:szCs w:val="32"/>
        </w:rPr>
        <w:t>。</w:t>
      </w:r>
    </w:p>
    <w:p>
      <w:pPr>
        <w:spacing w:line="600" w:lineRule="exact"/>
        <w:ind w:firstLine="642" w:firstLineChars="200"/>
        <w:rPr>
          <w:rFonts w:hint="eastAsia" w:ascii="仿宋" w:hAnsi="仿宋" w:eastAsia="仿宋" w:cs="仿宋"/>
          <w:b/>
          <w:color w:val="000000"/>
          <w:sz w:val="32"/>
          <w:szCs w:val="32"/>
        </w:rPr>
      </w:pPr>
      <w:r>
        <w:rPr>
          <w:rStyle w:val="18"/>
          <w:rFonts w:hint="eastAsia" w:ascii="仿宋" w:hAnsi="仿宋" w:eastAsia="仿宋" w:cs="仿宋"/>
          <w:b/>
          <w:bCs w:val="0"/>
          <w:color w:val="000000"/>
          <w:sz w:val="32"/>
          <w:szCs w:val="32"/>
          <w:lang w:val="en-US" w:eastAsia="zh-CN"/>
        </w:rPr>
        <w:t>4.住房保障221</w:t>
      </w:r>
      <w:r>
        <w:rPr>
          <w:rStyle w:val="18"/>
          <w:rFonts w:hint="eastAsia" w:ascii="仿宋" w:hAnsi="仿宋" w:eastAsia="仿宋" w:cs="仿宋"/>
          <w:b/>
          <w:bCs w:val="0"/>
          <w:color w:val="000000"/>
          <w:sz w:val="32"/>
          <w:szCs w:val="32"/>
        </w:rPr>
        <w:t>（类）</w:t>
      </w:r>
      <w:r>
        <w:rPr>
          <w:rStyle w:val="18"/>
          <w:rFonts w:hint="eastAsia" w:ascii="仿宋" w:hAnsi="仿宋" w:eastAsia="仿宋" w:cs="仿宋"/>
          <w:b/>
          <w:bCs w:val="0"/>
          <w:color w:val="000000"/>
          <w:sz w:val="32"/>
          <w:szCs w:val="32"/>
          <w:lang w:val="en-US" w:eastAsia="zh-CN"/>
        </w:rPr>
        <w:t>02</w:t>
      </w:r>
      <w:r>
        <w:rPr>
          <w:rStyle w:val="18"/>
          <w:rFonts w:hint="eastAsia" w:ascii="仿宋" w:hAnsi="仿宋" w:eastAsia="仿宋" w:cs="仿宋"/>
          <w:b/>
          <w:bCs w:val="0"/>
          <w:color w:val="000000"/>
          <w:sz w:val="32"/>
          <w:szCs w:val="32"/>
        </w:rPr>
        <w:t>（款）</w:t>
      </w:r>
      <w:r>
        <w:rPr>
          <w:rStyle w:val="18"/>
          <w:rFonts w:hint="eastAsia" w:ascii="仿宋" w:hAnsi="仿宋" w:eastAsia="仿宋" w:cs="仿宋"/>
          <w:b/>
          <w:bCs w:val="0"/>
          <w:color w:val="000000"/>
          <w:sz w:val="32"/>
          <w:szCs w:val="32"/>
          <w:lang w:val="en-US" w:eastAsia="zh-CN"/>
        </w:rPr>
        <w:t>01</w:t>
      </w:r>
      <w:r>
        <w:rPr>
          <w:rStyle w:val="18"/>
          <w:rFonts w:hint="eastAsia" w:ascii="仿宋" w:hAnsi="仿宋" w:eastAsia="仿宋" w:cs="仿宋"/>
          <w:b/>
          <w:bCs w:val="0"/>
          <w:color w:val="000000"/>
          <w:sz w:val="32"/>
          <w:szCs w:val="32"/>
        </w:rPr>
        <w:t>（项）</w:t>
      </w:r>
      <w:r>
        <w:rPr>
          <w:rStyle w:val="18"/>
          <w:rFonts w:hint="eastAsia" w:ascii="仿宋" w:hAnsi="仿宋" w:eastAsia="仿宋" w:cs="仿宋"/>
          <w:bCs/>
          <w:color w:val="000000"/>
          <w:sz w:val="32"/>
          <w:szCs w:val="32"/>
        </w:rPr>
        <w:t>:</w:t>
      </w:r>
      <w:r>
        <w:rPr>
          <w:rStyle w:val="18"/>
          <w:rFonts w:hint="eastAsia" w:ascii="仿宋" w:hAnsi="仿宋" w:eastAsia="仿宋" w:cs="仿宋"/>
          <w:b w:val="0"/>
          <w:bCs/>
          <w:color w:val="000000"/>
          <w:sz w:val="32"/>
          <w:szCs w:val="32"/>
        </w:rPr>
        <w:t>支出决算为</w:t>
      </w:r>
      <w:r>
        <w:rPr>
          <w:rFonts w:hint="eastAsia" w:eastAsia="仿宋_GB2312" w:cs="仿宋_GB2312"/>
          <w:color w:val="auto"/>
          <w:kern w:val="2"/>
          <w:sz w:val="32"/>
          <w:szCs w:val="32"/>
          <w:highlight w:val="none"/>
          <w:lang w:val="en-US" w:eastAsia="zh-CN" w:bidi="ar-SA"/>
        </w:rPr>
        <w:t>208.68</w:t>
      </w:r>
      <w:r>
        <w:rPr>
          <w:rStyle w:val="18"/>
          <w:rFonts w:hint="eastAsia" w:ascii="仿宋" w:hAnsi="仿宋" w:eastAsia="仿宋" w:cs="仿宋"/>
          <w:b w:val="0"/>
          <w:bCs/>
          <w:color w:val="000000"/>
          <w:sz w:val="32"/>
          <w:szCs w:val="32"/>
        </w:rPr>
        <w:t>万元，完成预算</w:t>
      </w:r>
      <w:r>
        <w:rPr>
          <w:rStyle w:val="18"/>
          <w:rFonts w:hint="eastAsia" w:ascii="仿宋" w:hAnsi="仿宋" w:eastAsia="仿宋" w:cs="仿宋"/>
          <w:b w:val="0"/>
          <w:bCs/>
          <w:color w:val="000000"/>
          <w:sz w:val="32"/>
          <w:szCs w:val="32"/>
          <w:lang w:val="en-US" w:eastAsia="zh-CN"/>
        </w:rPr>
        <w:t>100</w:t>
      </w:r>
      <w:r>
        <w:rPr>
          <w:rStyle w:val="18"/>
          <w:rFonts w:hint="eastAsia" w:ascii="仿宋" w:hAnsi="仿宋" w:eastAsia="仿宋" w:cs="仿宋"/>
          <w:b w:val="0"/>
          <w:bCs/>
          <w:color w:val="000000"/>
          <w:sz w:val="32"/>
          <w:szCs w:val="32"/>
        </w:rPr>
        <w:t>%，决算数等于预算数的主要原因是</w:t>
      </w:r>
      <w:r>
        <w:rPr>
          <w:rStyle w:val="18"/>
          <w:rFonts w:hint="eastAsia" w:ascii="仿宋" w:hAnsi="仿宋" w:eastAsia="仿宋" w:cs="仿宋"/>
          <w:b w:val="0"/>
          <w:bCs/>
          <w:color w:val="000000"/>
          <w:sz w:val="32"/>
          <w:szCs w:val="32"/>
          <w:lang w:val="en-US" w:eastAsia="zh-CN"/>
        </w:rPr>
        <w:t>按预算完成</w:t>
      </w:r>
      <w:r>
        <w:rPr>
          <w:rStyle w:val="18"/>
          <w:rFonts w:hint="eastAsia" w:ascii="仿宋" w:hAnsi="仿宋" w:eastAsia="仿宋" w:cs="仿宋"/>
          <w:b w:val="0"/>
          <w:bCs/>
          <w:color w:val="000000"/>
          <w:sz w:val="32"/>
          <w:szCs w:val="32"/>
        </w:rPr>
        <w:t>。</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hAnsi="仿宋_GB2312" w:eastAsia="仿宋_GB2312" w:cs="仿宋_GB2312"/>
          <w:sz w:val="32"/>
          <w:szCs w:val="32"/>
        </w:rPr>
        <w:t>3615.25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3342.04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273.22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pPr>
        <w:spacing w:line="600" w:lineRule="exact"/>
        <w:ind w:firstLine="640"/>
        <w:rPr>
          <w:rFonts w:hint="eastAsia" w:ascii="方正仿宋_GBK" w:hAnsi="方正仿宋_GBK" w:eastAsia="方正仿宋_GBK" w:cs="方正仿宋_GBK"/>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2024年度“三公”经费财政拨款支出决算为</w:t>
      </w:r>
      <w:r>
        <w:rPr>
          <w:rFonts w:hint="eastAsia" w:ascii="方正仿宋_GBK" w:hAnsi="方正仿宋_GBK" w:eastAsia="方正仿宋_GBK" w:cs="方正仿宋_GBK"/>
          <w:sz w:val="32"/>
          <w:szCs w:val="32"/>
        </w:rPr>
        <w:t>25.27</w:t>
      </w:r>
      <w:r>
        <w:rPr>
          <w:rFonts w:hint="eastAsia" w:ascii="方正仿宋_GBK" w:hAnsi="方正仿宋_GBK" w:eastAsia="方正仿宋_GBK" w:cs="方正仿宋_GBK"/>
          <w:color w:val="auto"/>
          <w:kern w:val="2"/>
          <w:sz w:val="32"/>
          <w:szCs w:val="32"/>
          <w:highlight w:val="none"/>
          <w:lang w:val="en-US" w:eastAsia="zh-CN" w:bidi="ar-SA"/>
        </w:rPr>
        <w:t>万元，完成预算</w:t>
      </w:r>
      <w:r>
        <w:rPr>
          <w:rFonts w:hint="eastAsia" w:ascii="方正仿宋_GBK" w:hAnsi="方正仿宋_GBK" w:eastAsia="方正仿宋_GBK" w:cs="方正仿宋_GBK"/>
          <w:sz w:val="32"/>
          <w:szCs w:val="32"/>
        </w:rPr>
        <w:t>85.54</w:t>
      </w:r>
      <w:r>
        <w:rPr>
          <w:rFonts w:hint="eastAsia" w:ascii="方正仿宋_GBK" w:hAnsi="方正仿宋_GBK" w:eastAsia="方正仿宋_GBK" w:cs="方正仿宋_GBK"/>
          <w:color w:val="auto"/>
          <w:kern w:val="2"/>
          <w:sz w:val="32"/>
          <w:szCs w:val="32"/>
          <w:highlight w:val="none"/>
          <w:lang w:val="en-US" w:eastAsia="zh-CN" w:bidi="ar-SA"/>
        </w:rPr>
        <w:t>%，较上年度增加0.73万元，增长2.9%。决算数小于预算数（或与预算数持平）的主要原因是实际支出控制在预算范围内，且执行中通过各项措施减少不必要开支。</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3"/>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25</w:t>
      </w:r>
      <w:r>
        <w:rPr>
          <w:rFonts w:hint="eastAsia" w:ascii="仿宋_GB2312" w:hAnsi="仿宋_GB2312" w:eastAsia="仿宋_GB2312" w:cs="仿宋_GB2312"/>
          <w:color w:val="auto"/>
          <w:kern w:val="2"/>
          <w:sz w:val="32"/>
          <w:szCs w:val="32"/>
          <w:highlight w:val="none"/>
          <w:lang w:val="en-US" w:eastAsia="zh-CN" w:bidi="ar-SA"/>
        </w:rPr>
        <w:t>万元，占98.93%；公务接待费支出决算</w:t>
      </w:r>
      <w:r>
        <w:rPr>
          <w:rFonts w:hint="eastAsia" w:ascii="仿宋_GB2312" w:hAnsi="仿宋_GB2312" w:eastAsia="仿宋_GB2312" w:cs="仿宋_GB2312"/>
          <w:sz w:val="32"/>
          <w:szCs w:val="32"/>
        </w:rPr>
        <w:t>0.26</w:t>
      </w:r>
      <w:r>
        <w:rPr>
          <w:rFonts w:hint="eastAsia" w:ascii="仿宋_GB2312" w:hAnsi="仿宋_GB2312" w:eastAsia="仿宋_GB2312" w:cs="仿宋_GB2312"/>
          <w:color w:val="auto"/>
          <w:kern w:val="2"/>
          <w:sz w:val="32"/>
          <w:szCs w:val="32"/>
          <w:highlight w:val="none"/>
          <w:lang w:val="en-US" w:eastAsia="zh-CN" w:bidi="ar-SA"/>
        </w:rPr>
        <w:t>万元，占1.07%。具体情况如下：</w:t>
      </w:r>
    </w:p>
    <w:p>
      <w:pPr>
        <w:pStyle w:val="2"/>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375285</wp:posOffset>
            </wp:positionH>
            <wp:positionV relativeFrom="paragraph">
              <wp:posOffset>78740</wp:posOffset>
            </wp:positionV>
            <wp:extent cx="4264660" cy="2181225"/>
            <wp:effectExtent l="4445" t="5080" r="17145" b="4445"/>
            <wp:wrapNone/>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pStyle w:val="2"/>
        <w:rPr>
          <w:rFonts w:hint="eastAsia" w:ascii="仿宋_GB2312" w:hAnsi="仿宋_GB2312"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25万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方正仿宋_GBK" w:hAnsi="方正仿宋_GBK" w:eastAsia="方正仿宋_GBK" w:cs="方正仿宋_GBK"/>
          <w:b w:val="0"/>
          <w:bCs w:val="0"/>
          <w:color w:val="auto"/>
          <w:kern w:val="2"/>
          <w:sz w:val="32"/>
          <w:szCs w:val="32"/>
          <w:highlight w:val="none"/>
          <w:lang w:val="en-US" w:eastAsia="zh-CN" w:bidi="ar-SA"/>
        </w:rPr>
        <w:t>98.93%</w:t>
      </w:r>
      <w:r>
        <w:rPr>
          <w:rFonts w:hint="eastAsia" w:ascii="方正仿宋_GBK" w:hAnsi="方正仿宋_GBK" w:eastAsia="方正仿宋_GBK" w:cs="方正仿宋_GBK"/>
          <w:b/>
          <w:bCs/>
          <w:color w:val="auto"/>
          <w:kern w:val="2"/>
          <w:sz w:val="32"/>
          <w:szCs w:val="32"/>
          <w:highlight w:val="none"/>
          <w:lang w:val="en-US" w:eastAsia="zh-CN" w:bidi="ar-SA"/>
        </w:rPr>
        <w:t>。</w:t>
      </w:r>
      <w:r>
        <w:rPr>
          <w:rFonts w:hint="eastAsia" w:ascii="方正仿宋_GBK" w:hAnsi="方正仿宋_GBK" w:eastAsia="方正仿宋_GBK" w:cs="方正仿宋_GBK"/>
          <w:color w:val="auto"/>
          <w:kern w:val="2"/>
          <w:sz w:val="32"/>
          <w:szCs w:val="32"/>
          <w:highlight w:val="none"/>
          <w:lang w:val="en-US" w:eastAsia="zh-CN" w:bidi="ar-SA"/>
        </w:rPr>
        <w:t>公务用车购置及运行维护费支出决算比2023年度增加0.91万元，增长0.3%。主要原因是实际出差次数及发生费用，每年会有相对浮动。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 w:hAnsi="仿宋" w:eastAsia="仿宋" w:cs="仿宋"/>
          <w:color w:val="000000"/>
          <w:sz w:val="32"/>
          <w:szCs w:val="32"/>
        </w:rPr>
        <w:t>全年按规定更新购置公务用车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辆，其中：轿车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万元，越野车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万元，载客汽车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辆、金额</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万元。截至202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年12月底，单位共有公务用车</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辆，其中：轿车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辆、越野车</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辆、载客汽车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25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 w:hAnsi="仿宋" w:eastAsia="仿宋" w:cs="仿宋"/>
          <w:color w:val="000000"/>
          <w:sz w:val="32"/>
          <w:szCs w:val="32"/>
        </w:rPr>
        <w:t>主要用于</w:t>
      </w:r>
      <w:r>
        <w:rPr>
          <w:rFonts w:hint="eastAsia" w:ascii="仿宋" w:hAnsi="仿宋" w:eastAsia="仿宋" w:cs="仿宋"/>
          <w:color w:val="000000" w:themeColor="text1"/>
          <w:sz w:val="32"/>
          <w:szCs w:val="32"/>
          <w:lang w:val="en-US" w:eastAsia="zh-CN"/>
          <w14:textFill>
            <w14:solidFill>
              <w14:schemeClr w14:val="tx1"/>
            </w14:solidFill>
          </w14:textFill>
        </w:rPr>
        <w:t>应急处理及出差</w:t>
      </w:r>
      <w:r>
        <w:rPr>
          <w:rFonts w:hint="eastAsia" w:ascii="仿宋" w:hAnsi="仿宋" w:eastAsia="仿宋" w:cs="仿宋"/>
          <w:color w:val="000000" w:themeColor="text1"/>
          <w:sz w:val="32"/>
          <w:szCs w:val="32"/>
          <w14:textFill>
            <w14:solidFill>
              <w14:schemeClr w14:val="tx1"/>
            </w14:solidFill>
          </w14:textFill>
        </w:rPr>
        <w:t>等所需的公务用车燃料费、维修费、过路过桥费、保险费等支出。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0.26万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0.5</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方正仿宋_GBK" w:hAnsi="方正仿宋_GBK" w:eastAsia="方正仿宋_GBK" w:cs="方正仿宋_GBK"/>
          <w:color w:val="auto"/>
          <w:kern w:val="2"/>
          <w:sz w:val="32"/>
          <w:szCs w:val="32"/>
          <w:highlight w:val="none"/>
          <w:lang w:val="en-US" w:eastAsia="zh-CN" w:bidi="ar-SA"/>
        </w:rPr>
        <w:t>公务接待费支出决算比2023年度减少0.18万元，增长/下降59.09%。主要原因是</w:t>
      </w:r>
      <w:r>
        <w:rPr>
          <w:rFonts w:hint="eastAsia" w:ascii="方正仿宋_GBK" w:hAnsi="方正仿宋_GBK" w:eastAsia="方正仿宋_GBK" w:cs="方正仿宋_GBK"/>
          <w:color w:val="000000"/>
          <w:sz w:val="32"/>
          <w:szCs w:val="32"/>
          <w:lang w:eastAsia="zh-CN"/>
        </w:rPr>
        <w:t>来校交流单位减少</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0.26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ascii="仿宋" w:hAnsi="仿宋" w:eastAsia="仿宋" w:cs="仿宋"/>
          <w:color w:val="000000"/>
          <w:sz w:val="32"/>
          <w:szCs w:val="32"/>
        </w:rPr>
        <w:t>主要用于开展业务活动开支的用餐费等</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国内公务接待</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批次</w:t>
      </w:r>
      <w:r>
        <w:rPr>
          <w:rFonts w:hint="eastAsia" w:ascii="仿宋" w:hAnsi="仿宋" w:eastAsia="仿宋" w:cs="仿宋"/>
          <w:color w:val="000000"/>
          <w:sz w:val="32"/>
          <w:szCs w:val="32"/>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34" w:name="_Toc15396610"/>
      <w:bookmarkStart w:id="35" w:name="_Toc15377218"/>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numPr>
          <w:ilvl w:val="0"/>
          <w:numId w:val="0"/>
        </w:numPr>
        <w:spacing w:line="600" w:lineRule="exact"/>
        <w:ind w:left="630" w:leftChars="0"/>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36" w:name="_Toc15396611"/>
      <w:bookmarkStart w:id="37" w:name="_Toc15377219"/>
    </w:p>
    <w:p>
      <w:pPr>
        <w:numPr>
          <w:ilvl w:val="0"/>
          <w:numId w:val="0"/>
        </w:numPr>
        <w:spacing w:line="600" w:lineRule="exact"/>
        <w:ind w:left="630" w:leftChars="0"/>
        <w:outlineLvl w:val="1"/>
        <w:rPr>
          <w:rStyle w:val="29"/>
          <w:rFonts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numPr>
          <w:ilvl w:val="0"/>
          <w:numId w:val="0"/>
        </w:numPr>
        <w:spacing w:line="600" w:lineRule="exact"/>
        <w:ind w:left="630" w:leftChars="0"/>
        <w:outlineLvl w:val="1"/>
        <w:rPr>
          <w:rFonts w:hint="eastAsia" w:ascii="仿宋_GB2312" w:hAnsi="仿宋_GB2312" w:eastAsia="仿宋_GB2312" w:cs="仿宋_GB2312"/>
          <w:color w:val="auto"/>
          <w:kern w:val="2"/>
          <w:sz w:val="32"/>
          <w:szCs w:val="32"/>
          <w:highlight w:val="none"/>
          <w:lang w:val="en-US" w:eastAsia="zh-CN" w:bidi="ar-SA"/>
        </w:rPr>
      </w:pPr>
      <w:r>
        <w:rPr>
          <w:rFonts w:hint="eastAsia" w:ascii="方正仿宋_GBK" w:hAnsi="方正仿宋_GBK" w:eastAsia="方正仿宋_GBK" w:cs="方正仿宋_GBK"/>
          <w:color w:val="auto"/>
          <w:kern w:val="2"/>
          <w:sz w:val="32"/>
          <w:szCs w:val="32"/>
          <w:highlight w:val="none"/>
          <w:lang w:val="en-US" w:eastAsia="zh-CN" w:bidi="ar-SA"/>
        </w:rPr>
        <w:t>2024年</w:t>
      </w:r>
      <w:r>
        <w:rPr>
          <w:rFonts w:hint="eastAsia" w:ascii="Times New Roman" w:hAnsi="Times New Roman" w:eastAsia="仿宋_GB2312" w:cs="仿宋_GB2312"/>
          <w:color w:val="auto"/>
          <w:kern w:val="2"/>
          <w:sz w:val="32"/>
          <w:szCs w:val="32"/>
          <w:highlight w:val="none"/>
          <w:lang w:val="en-US" w:eastAsia="zh-CN" w:bidi="ar-SA"/>
        </w:rPr>
        <w:t>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bookmarkStart w:id="38" w:name="_Toc15396612"/>
      <w:bookmarkStart w:id="39" w:name="_Toc15377221"/>
    </w:p>
    <w:p>
      <w:pPr>
        <w:numPr>
          <w:ilvl w:val="0"/>
          <w:numId w:val="0"/>
        </w:numPr>
        <w:spacing w:line="600" w:lineRule="exact"/>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阿坝藏族羌族自治州中等职业技术学校</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17.6</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1.74</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15.85</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截至2024年12月31日，</w:t>
      </w:r>
      <w:r>
        <w:rPr>
          <w:rFonts w:hint="eastAsia" w:ascii="仿宋_GB2312" w:hAnsi="仿宋_GB2312" w:eastAsia="仿宋_GB2312" w:cs="仿宋_GB2312"/>
          <w:sz w:val="32"/>
          <w:szCs w:val="32"/>
        </w:rPr>
        <w:t>阿坝藏族羌族自治州中等职业技术学校</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5</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 w:hAnsi="仿宋" w:eastAsia="仿宋" w:cs="仿宋"/>
          <w:color w:val="000000"/>
          <w:sz w:val="32"/>
          <w:szCs w:val="32"/>
          <w:lang w:val="en-US" w:eastAsia="zh-CN"/>
        </w:rPr>
        <w:t>公务用车</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根据预算绩效管理要求，本部门（单位）在年初预算编制阶段，组织对</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教学设施设备购置”等</w:t>
      </w:r>
      <w:r>
        <w:rPr>
          <w:rFonts w:hint="eastAsia" w:ascii="仿宋" w:hAnsi="仿宋" w:eastAsia="仿宋" w:cs="仿宋"/>
          <w:sz w:val="32"/>
          <w:szCs w:val="32"/>
        </w:rPr>
        <w:t>项目（项目名称）开展了预算事前绩效评估，对</w:t>
      </w:r>
      <w:r>
        <w:rPr>
          <w:rFonts w:hint="eastAsia" w:ascii="仿宋" w:hAnsi="仿宋" w:eastAsia="仿宋" w:cs="仿宋"/>
          <w:sz w:val="32"/>
          <w:szCs w:val="32"/>
          <w:lang w:val="en-US" w:eastAsia="zh-CN"/>
        </w:rPr>
        <w:t>5</w:t>
      </w:r>
      <w:r>
        <w:rPr>
          <w:rFonts w:hint="eastAsia" w:ascii="仿宋" w:hAnsi="仿宋" w:eastAsia="仿宋" w:cs="仿宋"/>
          <w:sz w:val="32"/>
          <w:szCs w:val="32"/>
        </w:rPr>
        <w:t>个项目编制了绩效目标，预算执行过程中，选取</w:t>
      </w:r>
      <w:r>
        <w:rPr>
          <w:rFonts w:hint="eastAsia" w:ascii="仿宋" w:hAnsi="仿宋" w:eastAsia="仿宋" w:cs="仿宋"/>
          <w:sz w:val="32"/>
          <w:szCs w:val="32"/>
          <w:lang w:val="en-US" w:eastAsia="zh-CN"/>
        </w:rPr>
        <w:t>5</w:t>
      </w:r>
      <w:r>
        <w:rPr>
          <w:rFonts w:hint="eastAsia" w:ascii="仿宋" w:hAnsi="仿宋" w:eastAsia="仿宋" w:cs="仿宋"/>
          <w:sz w:val="32"/>
          <w:szCs w:val="32"/>
        </w:rPr>
        <w:t>个项目开展绩效监控，年终执行完毕后，对</w:t>
      </w:r>
      <w:r>
        <w:rPr>
          <w:rFonts w:hint="eastAsia" w:ascii="仿宋" w:hAnsi="仿宋" w:eastAsia="仿宋" w:cs="仿宋"/>
          <w:sz w:val="32"/>
          <w:szCs w:val="32"/>
          <w:lang w:val="en-US" w:eastAsia="zh-CN"/>
        </w:rPr>
        <w:t>5</w:t>
      </w:r>
      <w:r>
        <w:rPr>
          <w:rFonts w:hint="eastAsia" w:ascii="仿宋" w:hAnsi="仿宋" w:eastAsia="仿宋" w:cs="仿宋"/>
          <w:sz w:val="32"/>
          <w:szCs w:val="32"/>
        </w:rPr>
        <w:t>个项目开展了绩效目标完成情况自评。</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本部门按要求对202</w:t>
      </w:r>
      <w:r>
        <w:rPr>
          <w:rFonts w:hint="eastAsia" w:ascii="仿宋" w:hAnsi="仿宋" w:eastAsia="仿宋" w:cs="仿宋"/>
          <w:sz w:val="32"/>
          <w:szCs w:val="32"/>
          <w:lang w:val="en-US" w:eastAsia="zh-CN"/>
        </w:rPr>
        <w:t>4</w:t>
      </w:r>
      <w:r>
        <w:rPr>
          <w:rFonts w:hint="eastAsia" w:ascii="仿宋" w:hAnsi="仿宋" w:eastAsia="仿宋" w:cs="仿宋"/>
          <w:sz w:val="32"/>
          <w:szCs w:val="32"/>
        </w:rPr>
        <w:t>年部门整体支出开展绩效自评，从评价情况来看</w:t>
      </w:r>
      <w:r>
        <w:rPr>
          <w:rFonts w:hint="eastAsia" w:ascii="仿宋" w:hAnsi="仿宋" w:eastAsia="仿宋" w:cs="仿宋"/>
          <w:sz w:val="32"/>
          <w:szCs w:val="32"/>
          <w:lang w:val="en-US" w:eastAsia="zh-CN"/>
        </w:rPr>
        <w:t>部门2024年绩效整体完成度较高，能保证按时按量完成</w:t>
      </w:r>
      <w:r>
        <w:rPr>
          <w:rFonts w:hint="eastAsia" w:ascii="仿宋" w:hAnsi="仿宋" w:eastAsia="仿宋" w:cs="仿宋"/>
          <w:sz w:val="32"/>
          <w:szCs w:val="32"/>
        </w:rPr>
        <w:t>（简要说明整体绩效情况）。本部门还自行组织了</w:t>
      </w:r>
      <w:r>
        <w:rPr>
          <w:rFonts w:hint="eastAsia" w:ascii="仿宋" w:hAnsi="仿宋" w:eastAsia="仿宋" w:cs="仿宋"/>
          <w:sz w:val="32"/>
          <w:szCs w:val="32"/>
          <w:lang w:val="en-US" w:eastAsia="zh-CN"/>
        </w:rPr>
        <w:t>5</w:t>
      </w:r>
      <w:r>
        <w:rPr>
          <w:rFonts w:hint="eastAsia" w:ascii="仿宋" w:hAnsi="仿宋" w:eastAsia="仿宋" w:cs="仿宋"/>
          <w:sz w:val="32"/>
          <w:szCs w:val="32"/>
        </w:rPr>
        <w:t>个项目支出绩效评价，从评价情况来看</w:t>
      </w:r>
      <w:r>
        <w:rPr>
          <w:rFonts w:hint="eastAsia" w:ascii="仿宋" w:hAnsi="仿宋" w:eastAsia="仿宋" w:cs="仿宋"/>
          <w:sz w:val="32"/>
          <w:szCs w:val="32"/>
          <w:lang w:eastAsia="zh-CN"/>
        </w:rPr>
        <w:t>各个项目根据预算要求无论从数量还是质量都能如期完成。</w:t>
      </w:r>
      <w:r>
        <w:rPr>
          <w:rFonts w:hint="eastAsia" w:ascii="仿宋" w:hAnsi="仿宋" w:eastAsia="仿宋" w:cs="仿宋"/>
          <w:sz w:val="32"/>
          <w:szCs w:val="32"/>
        </w:rPr>
        <w:t>（简要说明项目绩效情况；若未开展项目支出绩效评价，则说明未开展情况。如：本部门无专项预算项目，因此未组织开展项目支出绩效评价/本部门未组织开展项目支出绩效评价）。</w:t>
      </w:r>
    </w:p>
    <w:p>
      <w:pPr>
        <w:spacing w:line="580" w:lineRule="exact"/>
        <w:rPr>
          <w:rFonts w:hint="eastAsia" w:ascii="仿宋" w:hAnsi="仿宋" w:eastAsia="仿宋" w:cs="仿宋"/>
          <w:sz w:val="32"/>
          <w:szCs w:val="32"/>
          <w:lang w:eastAsia="zh-CN"/>
        </w:rPr>
      </w:pPr>
      <w:r>
        <w:rPr>
          <w:rFonts w:hint="eastAsia" w:ascii="仿宋" w:hAnsi="仿宋" w:eastAsia="仿宋" w:cs="仿宋"/>
          <w:sz w:val="32"/>
          <w:szCs w:val="32"/>
        </w:rPr>
        <w:t>项目绩效目标完成情况。</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本部门在202</w:t>
      </w:r>
      <w:r>
        <w:rPr>
          <w:rFonts w:hint="eastAsia" w:ascii="仿宋" w:hAnsi="仿宋" w:eastAsia="仿宋" w:cs="仿宋"/>
          <w:sz w:val="32"/>
          <w:szCs w:val="32"/>
          <w:lang w:val="en-US" w:eastAsia="zh-CN"/>
        </w:rPr>
        <w:t>4</w:t>
      </w:r>
      <w:r>
        <w:rPr>
          <w:rFonts w:hint="eastAsia" w:ascii="仿宋" w:hAnsi="仿宋" w:eastAsia="仿宋" w:cs="仿宋"/>
          <w:sz w:val="32"/>
          <w:szCs w:val="32"/>
        </w:rPr>
        <w:t>年度部门决算中反映“</w:t>
      </w:r>
      <w:r>
        <w:rPr>
          <w:rFonts w:hint="eastAsia" w:ascii="仿宋" w:hAnsi="仿宋" w:eastAsia="仿宋" w:cs="仿宋"/>
          <w:sz w:val="32"/>
          <w:szCs w:val="32"/>
          <w:lang w:val="en-US" w:eastAsia="zh-CN"/>
        </w:rPr>
        <w:t>中等职业教育学生资助补助经费</w:t>
      </w:r>
      <w:r>
        <w:rPr>
          <w:rFonts w:hint="eastAsia" w:ascii="仿宋" w:hAnsi="仿宋" w:eastAsia="仿宋" w:cs="仿宋"/>
          <w:sz w:val="32"/>
          <w:szCs w:val="32"/>
        </w:rPr>
        <w:t>”“</w:t>
      </w:r>
      <w:r>
        <w:rPr>
          <w:rFonts w:hint="eastAsia" w:ascii="仿宋" w:hAnsi="仿宋" w:eastAsia="仿宋" w:cs="仿宋"/>
          <w:sz w:val="32"/>
          <w:szCs w:val="32"/>
          <w:lang w:val="en-US" w:eastAsia="zh-CN"/>
        </w:rPr>
        <w:t>招生宣传支出</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驾校支出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教学设施设备购置</w:t>
      </w:r>
      <w:r>
        <w:rPr>
          <w:rFonts w:hint="eastAsia" w:ascii="仿宋" w:hAnsi="仿宋" w:eastAsia="仿宋" w:cs="仿宋"/>
          <w:sz w:val="32"/>
          <w:szCs w:val="32"/>
          <w:lang w:eastAsia="zh-CN"/>
        </w:rPr>
        <w:t>”“车辆维修大修（川U74145）”</w:t>
      </w:r>
      <w:r>
        <w:rPr>
          <w:rFonts w:hint="eastAsia" w:ascii="仿宋" w:hAnsi="仿宋" w:eastAsia="仿宋" w:cs="仿宋"/>
          <w:sz w:val="32"/>
          <w:szCs w:val="32"/>
        </w:rPr>
        <w:t>等</w:t>
      </w:r>
      <w:r>
        <w:rPr>
          <w:rFonts w:hint="eastAsia" w:ascii="仿宋" w:hAnsi="仿宋" w:eastAsia="仿宋" w:cs="仿宋"/>
          <w:sz w:val="32"/>
          <w:szCs w:val="32"/>
          <w:lang w:val="en-US" w:eastAsia="zh-CN"/>
        </w:rPr>
        <w:t>5</w:t>
      </w:r>
      <w:r>
        <w:rPr>
          <w:rFonts w:hint="eastAsia" w:ascii="仿宋" w:hAnsi="仿宋" w:eastAsia="仿宋" w:cs="仿宋"/>
          <w:sz w:val="32"/>
          <w:szCs w:val="32"/>
        </w:rPr>
        <w:t>个项目绩效目标实际完成情况。（本单位部门项目绩效目标个数在5个以上的，选取5个项目进行公开，目标个数在5个以下的，全部进行公开，公开内容包括选取的全部项目完成情况综述和完成情况表）。</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驾校支出</w:t>
      </w:r>
      <w:r>
        <w:rPr>
          <w:rFonts w:hint="eastAsia" w:ascii="仿宋" w:hAnsi="仿宋" w:eastAsia="仿宋" w:cs="仿宋"/>
          <w:sz w:val="32"/>
          <w:szCs w:val="32"/>
          <w:lang w:eastAsia="zh-CN"/>
        </w:rPr>
        <w:t>”</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38.4</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26.8</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69.79</w:t>
      </w:r>
      <w:r>
        <w:rPr>
          <w:rFonts w:hint="eastAsia" w:ascii="仿宋" w:hAnsi="仿宋" w:eastAsia="仿宋" w:cs="仿宋"/>
          <w:sz w:val="32"/>
          <w:szCs w:val="32"/>
        </w:rPr>
        <w:t>%。通过项目实施，保障了</w:t>
      </w:r>
      <w:r>
        <w:rPr>
          <w:rFonts w:hint="eastAsia" w:ascii="仿宋" w:hAnsi="仿宋" w:eastAsia="仿宋" w:cs="仿宋"/>
          <w:sz w:val="32"/>
          <w:szCs w:val="32"/>
          <w:lang w:val="en-US" w:eastAsia="zh-CN"/>
        </w:rPr>
        <w:t>学校驾校教练薪酬、差旅费、教学用耗材等费用，按时完成培训任务</w:t>
      </w:r>
      <w:r>
        <w:rPr>
          <w:rFonts w:hint="eastAsia" w:ascii="仿宋" w:hAnsi="仿宋" w:eastAsia="仿宋" w:cs="仿宋"/>
          <w:sz w:val="32"/>
          <w:szCs w:val="32"/>
        </w:rPr>
        <w:t>(按照项目总体目标简要描述项目成效），发现的主要问题：</w:t>
      </w:r>
      <w:r>
        <w:rPr>
          <w:rFonts w:hint="eastAsia" w:ascii="仿宋" w:hAnsi="仿宋" w:eastAsia="仿宋" w:cs="仿宋"/>
          <w:sz w:val="32"/>
          <w:szCs w:val="32"/>
          <w:lang w:val="en-US" w:eastAsia="zh-CN"/>
        </w:rPr>
        <w:t>因区域原因、生源减少驾校各项收入支出减少</w:t>
      </w:r>
      <w:r>
        <w:rPr>
          <w:rFonts w:hint="eastAsia" w:ascii="仿宋" w:hAnsi="仿宋" w:eastAsia="仿宋" w:cs="仿宋"/>
          <w:sz w:val="32"/>
          <w:szCs w:val="32"/>
        </w:rPr>
        <w:t>。</w:t>
      </w:r>
    </w:p>
    <w:p>
      <w:pPr>
        <w:spacing w:line="5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招生宣传支出”</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10</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10</w:t>
      </w:r>
      <w:r>
        <w:rPr>
          <w:rFonts w:hint="eastAsia" w:ascii="仿宋" w:hAnsi="仿宋" w:eastAsia="仿宋" w:cs="仿宋"/>
          <w:sz w:val="32"/>
          <w:szCs w:val="32"/>
        </w:rPr>
        <w:t>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%。通过项目实施，保障了</w:t>
      </w:r>
      <w:r>
        <w:rPr>
          <w:rFonts w:hint="eastAsia" w:ascii="仿宋" w:hAnsi="仿宋" w:eastAsia="仿宋" w:cs="仿宋"/>
          <w:sz w:val="32"/>
          <w:szCs w:val="32"/>
          <w:lang w:val="en-US" w:eastAsia="zh-CN"/>
        </w:rPr>
        <w:t>学校招生工作按时完成</w:t>
      </w:r>
      <w:r>
        <w:rPr>
          <w:rFonts w:hint="eastAsia" w:ascii="仿宋" w:hAnsi="仿宋" w:eastAsia="仿宋" w:cs="仿宋"/>
          <w:sz w:val="32"/>
          <w:szCs w:val="32"/>
        </w:rPr>
        <w:t>(按照项目总体目标简要描述项目成效），发现的主要问题：</w:t>
      </w:r>
      <w:r>
        <w:rPr>
          <w:rFonts w:hint="eastAsia" w:ascii="仿宋" w:hAnsi="仿宋" w:eastAsia="仿宋" w:cs="仿宋"/>
          <w:sz w:val="32"/>
          <w:szCs w:val="32"/>
          <w:lang w:eastAsia="zh-CN"/>
        </w:rPr>
        <w:t>无</w:t>
      </w:r>
    </w:p>
    <w:p>
      <w:pPr>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教学设施设备购置</w:t>
      </w:r>
      <w:r>
        <w:rPr>
          <w:rFonts w:hint="eastAsia" w:ascii="仿宋" w:hAnsi="仿宋" w:eastAsia="仿宋" w:cs="仿宋"/>
          <w:sz w:val="32"/>
          <w:szCs w:val="32"/>
          <w:lang w:eastAsia="zh-CN"/>
        </w:rPr>
        <w:t>”</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50</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50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%。通过项目实施，保障了</w:t>
      </w:r>
      <w:r>
        <w:rPr>
          <w:rFonts w:hint="eastAsia" w:ascii="仿宋" w:hAnsi="仿宋" w:eastAsia="仿宋" w:cs="仿宋"/>
          <w:sz w:val="32"/>
          <w:szCs w:val="32"/>
          <w:lang w:val="en-US" w:eastAsia="zh-CN"/>
        </w:rPr>
        <w:t>学校教学和办公用设施设备的采购。</w:t>
      </w:r>
      <w:r>
        <w:rPr>
          <w:rFonts w:hint="eastAsia" w:ascii="仿宋" w:hAnsi="仿宋" w:eastAsia="仿宋" w:cs="仿宋"/>
          <w:sz w:val="32"/>
          <w:szCs w:val="32"/>
        </w:rPr>
        <w:t>发现的主要问题：</w:t>
      </w:r>
      <w:r>
        <w:rPr>
          <w:rFonts w:hint="eastAsia" w:ascii="仿宋" w:hAnsi="仿宋" w:eastAsia="仿宋" w:cs="仿宋"/>
          <w:sz w:val="32"/>
          <w:szCs w:val="32"/>
          <w:lang w:val="en-US" w:eastAsia="zh-CN"/>
        </w:rPr>
        <w:t>无</w:t>
      </w:r>
      <w:r>
        <w:rPr>
          <w:rFonts w:hint="eastAsia" w:ascii="仿宋" w:hAnsi="仿宋" w:eastAsia="仿宋" w:cs="仿宋"/>
          <w:sz w:val="32"/>
          <w:szCs w:val="32"/>
        </w:rPr>
        <w:t>。下一步改进措施：</w:t>
      </w:r>
      <w:r>
        <w:rPr>
          <w:rFonts w:hint="eastAsia" w:ascii="仿宋" w:hAnsi="仿宋" w:eastAsia="仿宋" w:cs="仿宋"/>
          <w:sz w:val="32"/>
          <w:szCs w:val="32"/>
          <w:lang w:val="en-US" w:eastAsia="zh-CN"/>
        </w:rPr>
        <w:t>严格控制预算申报采购量。</w:t>
      </w:r>
    </w:p>
    <w:p>
      <w:pPr>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w:t>
      </w: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中等职业教育学生资助补助经费</w:t>
      </w:r>
      <w:r>
        <w:rPr>
          <w:rFonts w:hint="eastAsia" w:ascii="仿宋" w:hAnsi="仿宋" w:eastAsia="仿宋" w:cs="仿宋"/>
          <w:sz w:val="32"/>
          <w:szCs w:val="32"/>
          <w:lang w:eastAsia="zh-CN"/>
        </w:rPr>
        <w:t>”</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48.18</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48.18</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%。通过项目实施，</w:t>
      </w:r>
      <w:r>
        <w:rPr>
          <w:rFonts w:hint="eastAsia" w:ascii="仿宋" w:hAnsi="仿宋" w:eastAsia="仿宋" w:cs="仿宋"/>
          <w:sz w:val="32"/>
          <w:szCs w:val="32"/>
          <w:lang w:val="en-US" w:eastAsia="zh-CN"/>
        </w:rPr>
        <w:t>中等职业教育学生资助补助经费，弥补办学经费不足及发放学生助学金及促进学生学习积极性</w:t>
      </w:r>
      <w:r>
        <w:rPr>
          <w:rFonts w:hint="eastAsia" w:ascii="仿宋" w:hAnsi="仿宋" w:eastAsia="仿宋" w:cs="仿宋"/>
          <w:sz w:val="32"/>
          <w:szCs w:val="32"/>
        </w:rPr>
        <w:t>(按照项目总体目标简要描述项目成效），发现的主要问题：</w:t>
      </w:r>
      <w:r>
        <w:rPr>
          <w:rFonts w:hint="eastAsia" w:ascii="仿宋" w:hAnsi="仿宋" w:eastAsia="仿宋" w:cs="仿宋"/>
          <w:sz w:val="32"/>
          <w:szCs w:val="32"/>
          <w:lang w:val="en-US" w:eastAsia="zh-CN"/>
        </w:rPr>
        <w:t>无。</w:t>
      </w:r>
    </w:p>
    <w:p>
      <w:pPr>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eastAsia="zh-CN"/>
        </w:rPr>
        <w:t>“中职校（学校边坡治理）”</w:t>
      </w:r>
      <w:r>
        <w:rPr>
          <w:rFonts w:hint="eastAsia" w:ascii="仿宋" w:hAnsi="仿宋" w:eastAsia="仿宋" w:cs="仿宋"/>
          <w:sz w:val="32"/>
          <w:szCs w:val="32"/>
        </w:rPr>
        <w:t>项目绩效目标完成情况综述。项目全年预算数</w:t>
      </w:r>
      <w:r>
        <w:rPr>
          <w:rFonts w:hint="eastAsia" w:ascii="仿宋" w:hAnsi="仿宋" w:eastAsia="仿宋" w:cs="仿宋"/>
          <w:sz w:val="32"/>
          <w:szCs w:val="32"/>
          <w:lang w:val="en-US" w:eastAsia="zh-CN"/>
        </w:rPr>
        <w:t>35</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34.33</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98.08</w:t>
      </w:r>
      <w:r>
        <w:rPr>
          <w:rFonts w:hint="eastAsia" w:ascii="仿宋" w:hAnsi="仿宋" w:eastAsia="仿宋" w:cs="仿宋"/>
          <w:sz w:val="32"/>
          <w:szCs w:val="32"/>
        </w:rPr>
        <w:t>%。通过项目实施，</w:t>
      </w:r>
      <w:r>
        <w:rPr>
          <w:rFonts w:hint="eastAsia" w:ascii="仿宋" w:hAnsi="仿宋" w:eastAsia="仿宋" w:cs="仿宋"/>
          <w:sz w:val="32"/>
          <w:szCs w:val="32"/>
          <w:lang w:val="en-US" w:eastAsia="zh-CN"/>
        </w:rPr>
        <w:t>砌堡坎、挡土墙及平整土地。</w:t>
      </w:r>
      <w:r>
        <w:rPr>
          <w:rFonts w:hint="eastAsia" w:ascii="仿宋" w:hAnsi="仿宋" w:eastAsia="仿宋" w:cs="仿宋"/>
          <w:sz w:val="32"/>
          <w:szCs w:val="32"/>
        </w:rPr>
        <w:t>发现的主要问题：</w:t>
      </w:r>
      <w:r>
        <w:rPr>
          <w:rFonts w:hint="eastAsia" w:ascii="仿宋" w:hAnsi="仿宋" w:eastAsia="仿宋" w:cs="仿宋"/>
          <w:sz w:val="32"/>
          <w:szCs w:val="32"/>
          <w:lang w:val="en-US" w:eastAsia="zh-CN"/>
        </w:rPr>
        <w:t>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2.事业收入：指事业单位开展专业业务活动及辅助活动取得的收入。本单位无事业收入。</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3.经营收入：指事业单位在专业业务活动及其辅助活动之外开展非独立核算经营活动取得的收入。本单位无经营收入。</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4.其他收入：指单位取得的除上述收入以外的各项收入。本单位无其他收入。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5.使用非财政拨款结余：指事业单位使用以前年度积累的非财政拨款结余弥补当年收支差额的金额。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9.教育2050101行政支出：指行政单位基本支出，主要为工资福利支出和日常公用经费支出。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10.教育2050102一般行政管理事务：指未单独设置项级科目的其他项目支出，主要为我单位纳入年初预算的项目支出。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11.教育2050199其他教育管理事务支出：指其他用于教育管理事务的支出。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12.教育2050203初中教育：指用于初中教育的支出。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13.教育2050299其他普通教育支出：指其他用于普通教育方面的支出。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14.教育2050803培训支出：指用于教育培训的支出。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15.教育2059999其他教育支出：指其他用于教育方面的支出。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16.社会保障和就业2080505机关事业单位养老保险：指机关事业单位缴纳的养老保险支出。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17.社会保障和就业2080506机关事业单位职业年金：指机关事业单位缴纳的职业年金支出。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18.社会保障和就业2082001临时救助支出：指用于城乡生活困难居民的临时救助支出。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19.医疗卫生与计划生育2100499其他公共卫生支出：指用于其他的公共卫生方面的支出。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20.医疗卫生与计划生育2101101行政单位医疗：指行政单位基本医疗保险缴费经费支出。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21.医疗卫生与计划生育2101103公务员医疗补助：指公务员医疗补助经费支出。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22.住房保障2210201住房公积金：指为职工缴纳的住房公积金支出。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23.住房保障2210203购房补贴：指用于购买住房的补贴支出。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24.基本支出：指为保障机构正常运转、完成日常工作任务而发生的人员支出和公用支出。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25.项目支出：指在基本支出之外为完成特定行政任务和事业发展目标所发生的支出。 </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26.经营支出：指事业单位在专业业务活动及其辅助活动之外开展非独立核算经营活动发生的支出。</w:t>
      </w:r>
    </w:p>
    <w:p>
      <w:pPr>
        <w:spacing w:line="600" w:lineRule="exact"/>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left"/>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spacing w:line="600" w:lineRule="exact"/>
        <w:jc w:val="center"/>
        <w:rPr>
          <w:rFonts w:hint="eastAsia" w:ascii="仿宋" w:hAnsi="仿宋" w:eastAsia="仿宋" w:cs="仿宋"/>
          <w:color w:val="000000"/>
          <w:kern w:val="0"/>
          <w:sz w:val="40"/>
          <w:szCs w:val="44"/>
          <w:lang w:val="zh-CN"/>
        </w:rPr>
      </w:pPr>
      <w:r>
        <w:rPr>
          <w:rFonts w:hint="eastAsia" w:ascii="仿宋" w:hAnsi="仿宋" w:eastAsia="仿宋" w:cs="仿宋"/>
          <w:color w:val="000000"/>
          <w:kern w:val="0"/>
          <w:sz w:val="40"/>
          <w:szCs w:val="44"/>
          <w:lang w:eastAsia="zh-CN"/>
        </w:rPr>
        <w:t>阿坝州中等职业技术学校</w:t>
      </w:r>
      <w:r>
        <w:rPr>
          <w:rFonts w:hint="eastAsia" w:ascii="仿宋" w:hAnsi="仿宋" w:eastAsia="仿宋" w:cs="仿宋"/>
          <w:color w:val="000000"/>
          <w:kern w:val="0"/>
          <w:sz w:val="40"/>
          <w:szCs w:val="44"/>
        </w:rPr>
        <w:t>20</w:t>
      </w:r>
      <w:r>
        <w:rPr>
          <w:rFonts w:hint="eastAsia" w:ascii="仿宋" w:hAnsi="仿宋" w:eastAsia="仿宋" w:cs="仿宋"/>
          <w:color w:val="000000"/>
          <w:kern w:val="0"/>
          <w:sz w:val="40"/>
          <w:szCs w:val="44"/>
          <w:lang w:val="en-US" w:eastAsia="zh-CN"/>
        </w:rPr>
        <w:t>24</w:t>
      </w:r>
      <w:r>
        <w:rPr>
          <w:rFonts w:hint="eastAsia" w:ascii="仿宋" w:hAnsi="仿宋" w:eastAsia="仿宋" w:cs="仿宋"/>
          <w:color w:val="000000"/>
          <w:kern w:val="0"/>
          <w:sz w:val="40"/>
          <w:szCs w:val="44"/>
        </w:rPr>
        <w:t>年部门</w:t>
      </w:r>
      <w:r>
        <w:rPr>
          <w:rFonts w:hint="eastAsia" w:ascii="仿宋" w:hAnsi="仿宋" w:eastAsia="仿宋" w:cs="仿宋"/>
          <w:color w:val="000000"/>
          <w:kern w:val="0"/>
          <w:sz w:val="40"/>
          <w:szCs w:val="44"/>
          <w:lang w:val="zh-CN"/>
        </w:rPr>
        <w:t>整体支出绩效评价报告</w:t>
      </w:r>
    </w:p>
    <w:p>
      <w:pPr>
        <w:spacing w:line="580" w:lineRule="exact"/>
        <w:ind w:firstLine="640" w:firstLineChars="200"/>
        <w:rPr>
          <w:rFonts w:hint="eastAsia" w:ascii="仿宋" w:hAnsi="仿宋" w:eastAsia="仿宋" w:cs="仿宋"/>
          <w:sz w:val="32"/>
          <w:szCs w:val="32"/>
          <w:shd w:val="clear" w:color="auto" w:fill="FFFFFF"/>
        </w:rPr>
      </w:pP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一、部门（单位）基本情况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（一）机构组成。</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阿坝州人民政府为了打造阿坝州的职教培训高地，于2003年11月组建阿坝州中等职业技术学校。</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（二）机构职能。</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主要职责是：进行中等职业教育，培训，多元化教学。</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（三）人员概况。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截止202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年12月31日，我校共144个编制，在编人员</w:t>
      </w:r>
      <w:r>
        <w:rPr>
          <w:rFonts w:hint="eastAsia" w:ascii="仿宋" w:hAnsi="仿宋" w:eastAsia="仿宋" w:cs="仿宋"/>
          <w:sz w:val="32"/>
          <w:szCs w:val="32"/>
          <w:shd w:val="clear" w:color="auto" w:fill="FFFFFF"/>
          <w:lang w:val="en-US" w:eastAsia="zh-CN"/>
        </w:rPr>
        <w:t>118</w:t>
      </w:r>
      <w:r>
        <w:rPr>
          <w:rFonts w:hint="eastAsia" w:ascii="仿宋" w:hAnsi="仿宋" w:eastAsia="仿宋" w:cs="仿宋"/>
          <w:sz w:val="32"/>
          <w:szCs w:val="32"/>
          <w:shd w:val="clear" w:color="auto" w:fill="FFFFFF"/>
        </w:rPr>
        <w:t>人。</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二、部门资金收支情况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（一）部门财政资金收入情况。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年财政资金收入总额为</w:t>
      </w:r>
      <w:r>
        <w:rPr>
          <w:rFonts w:hint="eastAsia" w:ascii="仿宋" w:hAnsi="仿宋" w:eastAsia="仿宋" w:cs="仿宋"/>
          <w:sz w:val="32"/>
          <w:szCs w:val="32"/>
          <w:shd w:val="clear" w:color="auto" w:fill="FFFFFF"/>
          <w:lang w:val="en-US" w:eastAsia="zh-CN"/>
        </w:rPr>
        <w:t>4256.23</w:t>
      </w:r>
      <w:r>
        <w:rPr>
          <w:rFonts w:hint="eastAsia" w:ascii="仿宋" w:hAnsi="仿宋" w:eastAsia="仿宋" w:cs="仿宋"/>
          <w:sz w:val="32"/>
          <w:szCs w:val="32"/>
          <w:shd w:val="clear" w:color="auto" w:fill="FFFFFF"/>
        </w:rPr>
        <w:t>万元，其中年初预算收入</w:t>
      </w:r>
      <w:r>
        <w:rPr>
          <w:rFonts w:hint="eastAsia" w:ascii="仿宋" w:hAnsi="仿宋" w:eastAsia="仿宋" w:cs="仿宋"/>
          <w:sz w:val="32"/>
          <w:szCs w:val="32"/>
          <w:shd w:val="clear" w:color="auto" w:fill="FFFFFF"/>
          <w:lang w:val="en-US" w:eastAsia="zh-CN"/>
        </w:rPr>
        <w:t>3783.47</w:t>
      </w:r>
      <w:r>
        <w:rPr>
          <w:rFonts w:hint="eastAsia" w:ascii="仿宋" w:hAnsi="仿宋" w:eastAsia="仿宋" w:cs="仿宋"/>
          <w:sz w:val="32"/>
          <w:szCs w:val="32"/>
          <w:shd w:val="clear" w:color="auto" w:fill="FFFFFF"/>
        </w:rPr>
        <w:t>万元，上年结转财政收入</w:t>
      </w:r>
      <w:r>
        <w:rPr>
          <w:rFonts w:hint="eastAsia" w:ascii="仿宋" w:hAnsi="仿宋" w:eastAsia="仿宋" w:cs="仿宋"/>
          <w:sz w:val="32"/>
          <w:szCs w:val="32"/>
          <w:shd w:val="clear" w:color="auto" w:fill="FFFFFF"/>
          <w:lang w:val="en-US" w:eastAsia="zh-CN"/>
        </w:rPr>
        <w:t>472.76</w:t>
      </w:r>
      <w:r>
        <w:rPr>
          <w:rFonts w:hint="eastAsia" w:ascii="仿宋" w:hAnsi="仿宋" w:eastAsia="仿宋" w:cs="仿宋"/>
          <w:sz w:val="32"/>
          <w:szCs w:val="32"/>
          <w:shd w:val="clear" w:color="auto" w:fill="FFFFFF"/>
        </w:rPr>
        <w:t>万元。202</w:t>
      </w:r>
      <w:r>
        <w:rPr>
          <w:rFonts w:hint="eastAsia" w:ascii="仿宋" w:hAnsi="仿宋" w:eastAsia="仿宋" w:cs="仿宋"/>
          <w:sz w:val="32"/>
          <w:szCs w:val="32"/>
          <w:shd w:val="clear" w:color="auto" w:fill="FFFFFF"/>
          <w:lang w:val="en-US" w:eastAsia="zh-CN"/>
        </w:rPr>
        <w:t>3</w:t>
      </w:r>
      <w:r>
        <w:rPr>
          <w:rFonts w:hint="eastAsia" w:ascii="仿宋" w:hAnsi="仿宋" w:eastAsia="仿宋" w:cs="仿宋"/>
          <w:sz w:val="32"/>
          <w:szCs w:val="32"/>
          <w:shd w:val="clear" w:color="auto" w:fill="FFFFFF"/>
        </w:rPr>
        <w:t>年一般公共预算财政拨款收入</w:t>
      </w:r>
      <w:r>
        <w:rPr>
          <w:rFonts w:hint="eastAsia" w:ascii="仿宋" w:hAnsi="仿宋" w:eastAsia="仿宋" w:cs="仿宋"/>
          <w:sz w:val="32"/>
          <w:szCs w:val="32"/>
          <w:shd w:val="clear" w:color="auto" w:fill="FFFFFF"/>
          <w:lang w:val="en-US" w:eastAsia="zh-CN"/>
        </w:rPr>
        <w:t>4415.85</w:t>
      </w:r>
      <w:r>
        <w:rPr>
          <w:rFonts w:hint="eastAsia" w:ascii="仿宋" w:hAnsi="仿宋" w:eastAsia="仿宋" w:cs="仿宋"/>
          <w:sz w:val="32"/>
          <w:szCs w:val="32"/>
          <w:shd w:val="clear" w:color="auto" w:fill="FFFFFF"/>
        </w:rPr>
        <w:t>万元，较上年减少共计</w:t>
      </w:r>
      <w:r>
        <w:rPr>
          <w:rFonts w:hint="eastAsia" w:ascii="仿宋" w:hAnsi="仿宋" w:eastAsia="仿宋" w:cs="仿宋"/>
          <w:sz w:val="32"/>
          <w:szCs w:val="32"/>
          <w:shd w:val="clear" w:color="auto" w:fill="FFFFFF"/>
          <w:lang w:val="en-US" w:eastAsia="zh-CN"/>
        </w:rPr>
        <w:t>159.62</w:t>
      </w:r>
      <w:r>
        <w:rPr>
          <w:rFonts w:hint="eastAsia" w:ascii="仿宋" w:hAnsi="仿宋" w:eastAsia="仿宋" w:cs="仿宋"/>
          <w:sz w:val="32"/>
          <w:szCs w:val="32"/>
          <w:shd w:val="clear" w:color="auto" w:fill="FFFFFF"/>
        </w:rPr>
        <w:t>万元。</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（二）部门财政资金支出情况。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截至202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年12月财政资金支出</w:t>
      </w:r>
      <w:r>
        <w:rPr>
          <w:rFonts w:hint="eastAsia" w:ascii="仿宋" w:hAnsi="仿宋" w:eastAsia="仿宋" w:cs="仿宋"/>
          <w:sz w:val="32"/>
          <w:szCs w:val="32"/>
          <w:shd w:val="clear" w:color="auto" w:fill="FFFFFF"/>
          <w:lang w:val="en-US" w:eastAsia="zh-CN"/>
        </w:rPr>
        <w:t>4256.23</w:t>
      </w:r>
      <w:r>
        <w:rPr>
          <w:rFonts w:hint="eastAsia" w:ascii="仿宋" w:hAnsi="仿宋" w:eastAsia="仿宋" w:cs="仿宋"/>
          <w:sz w:val="32"/>
          <w:szCs w:val="32"/>
          <w:shd w:val="clear" w:color="auto" w:fill="FFFFFF"/>
        </w:rPr>
        <w:t>万元。其中208社会保障和就业支出</w:t>
      </w:r>
      <w:r>
        <w:rPr>
          <w:rFonts w:hint="eastAsia" w:ascii="仿宋" w:hAnsi="仿宋" w:eastAsia="仿宋" w:cs="仿宋"/>
          <w:sz w:val="32"/>
          <w:szCs w:val="32"/>
          <w:shd w:val="clear" w:color="auto" w:fill="FFFFFF"/>
          <w:lang w:val="en-US" w:eastAsia="zh-CN"/>
        </w:rPr>
        <w:t>416.03</w:t>
      </w:r>
      <w:r>
        <w:rPr>
          <w:rFonts w:hint="eastAsia" w:ascii="仿宋" w:hAnsi="仿宋" w:eastAsia="仿宋" w:cs="仿宋"/>
          <w:sz w:val="32"/>
          <w:szCs w:val="32"/>
          <w:shd w:val="clear" w:color="auto" w:fill="FFFFFF"/>
        </w:rPr>
        <w:t>万元，占总收入</w:t>
      </w:r>
      <w:r>
        <w:rPr>
          <w:rFonts w:hint="eastAsia" w:ascii="仿宋" w:hAnsi="仿宋" w:eastAsia="仿宋" w:cs="仿宋"/>
          <w:sz w:val="32"/>
          <w:szCs w:val="32"/>
          <w:shd w:val="clear" w:color="auto" w:fill="FFFFFF"/>
          <w:lang w:val="en-US" w:eastAsia="zh-CN"/>
        </w:rPr>
        <w:t>9.77</w:t>
      </w:r>
      <w:r>
        <w:rPr>
          <w:rFonts w:hint="eastAsia" w:ascii="仿宋" w:hAnsi="仿宋" w:eastAsia="仿宋" w:cs="仿宋"/>
          <w:sz w:val="32"/>
          <w:szCs w:val="32"/>
          <w:shd w:val="clear" w:color="auto" w:fill="FFFFFF"/>
        </w:rPr>
        <w:t>%。210卫生健康支出</w:t>
      </w:r>
      <w:r>
        <w:rPr>
          <w:rFonts w:hint="eastAsia" w:ascii="仿宋" w:hAnsi="仿宋" w:eastAsia="仿宋" w:cs="仿宋"/>
          <w:sz w:val="32"/>
          <w:szCs w:val="32"/>
          <w:shd w:val="clear" w:color="auto" w:fill="FFFFFF"/>
          <w:lang w:val="en-US" w:eastAsia="zh-CN"/>
        </w:rPr>
        <w:t>188.42</w:t>
      </w:r>
      <w:r>
        <w:rPr>
          <w:rFonts w:hint="eastAsia" w:ascii="仿宋" w:hAnsi="仿宋" w:eastAsia="仿宋" w:cs="仿宋"/>
          <w:sz w:val="32"/>
          <w:szCs w:val="32"/>
          <w:shd w:val="clear" w:color="auto" w:fill="FFFFFF"/>
        </w:rPr>
        <w:t>万元，占总收入</w:t>
      </w:r>
      <w:r>
        <w:rPr>
          <w:rFonts w:hint="eastAsia" w:ascii="仿宋" w:hAnsi="仿宋" w:eastAsia="仿宋" w:cs="仿宋"/>
          <w:sz w:val="32"/>
          <w:szCs w:val="32"/>
          <w:shd w:val="clear" w:color="auto" w:fill="FFFFFF"/>
          <w:lang w:val="en-US" w:eastAsia="zh-CN"/>
        </w:rPr>
        <w:t>4.42</w:t>
      </w:r>
      <w:r>
        <w:rPr>
          <w:rFonts w:hint="eastAsia" w:ascii="仿宋" w:hAnsi="仿宋" w:eastAsia="仿宋" w:cs="仿宋"/>
          <w:sz w:val="32"/>
          <w:szCs w:val="32"/>
          <w:shd w:val="clear" w:color="auto" w:fill="FFFFFF"/>
        </w:rPr>
        <w:t>%。211住房保障支出</w:t>
      </w:r>
      <w:r>
        <w:rPr>
          <w:rFonts w:hint="eastAsia" w:ascii="仿宋" w:hAnsi="仿宋" w:eastAsia="仿宋" w:cs="仿宋"/>
          <w:sz w:val="32"/>
          <w:szCs w:val="32"/>
          <w:shd w:val="clear" w:color="auto" w:fill="FFFFFF"/>
          <w:lang w:val="en-US" w:eastAsia="zh-CN"/>
        </w:rPr>
        <w:t>208.67</w:t>
      </w:r>
      <w:r>
        <w:rPr>
          <w:rFonts w:hint="eastAsia" w:ascii="仿宋" w:hAnsi="仿宋" w:eastAsia="仿宋" w:cs="仿宋"/>
          <w:sz w:val="32"/>
          <w:szCs w:val="32"/>
          <w:shd w:val="clear" w:color="auto" w:fill="FFFFFF"/>
        </w:rPr>
        <w:t>万元，占总收入</w:t>
      </w:r>
      <w:r>
        <w:rPr>
          <w:rFonts w:hint="eastAsia" w:ascii="仿宋" w:hAnsi="仿宋" w:eastAsia="仿宋" w:cs="仿宋"/>
          <w:sz w:val="32"/>
          <w:szCs w:val="32"/>
          <w:shd w:val="clear" w:color="auto" w:fill="FFFFFF"/>
          <w:lang w:val="en-US" w:eastAsia="zh-CN"/>
        </w:rPr>
        <w:t>4.9</w:t>
      </w:r>
      <w:r>
        <w:rPr>
          <w:rFonts w:hint="eastAsia" w:ascii="仿宋" w:hAnsi="仿宋" w:eastAsia="仿宋" w:cs="仿宋"/>
          <w:sz w:val="32"/>
          <w:szCs w:val="32"/>
          <w:shd w:val="clear" w:color="auto" w:fill="FFFFFF"/>
        </w:rPr>
        <w:t>%。205教育支出</w:t>
      </w:r>
      <w:r>
        <w:rPr>
          <w:rFonts w:hint="eastAsia" w:ascii="仿宋" w:hAnsi="仿宋" w:eastAsia="仿宋" w:cs="仿宋"/>
          <w:sz w:val="32"/>
          <w:szCs w:val="32"/>
          <w:shd w:val="clear" w:color="auto" w:fill="FFFFFF"/>
          <w:lang w:val="en-US" w:eastAsia="zh-CN"/>
        </w:rPr>
        <w:t>3794.99</w:t>
      </w:r>
      <w:r>
        <w:rPr>
          <w:rFonts w:hint="eastAsia" w:ascii="仿宋" w:hAnsi="仿宋" w:eastAsia="仿宋" w:cs="仿宋"/>
          <w:sz w:val="32"/>
          <w:szCs w:val="32"/>
          <w:shd w:val="clear" w:color="auto" w:fill="FFFFFF"/>
        </w:rPr>
        <w:t>万元，占总收入</w:t>
      </w:r>
      <w:r>
        <w:rPr>
          <w:rFonts w:hint="eastAsia" w:ascii="仿宋" w:hAnsi="仿宋" w:eastAsia="仿宋" w:cs="仿宋"/>
          <w:sz w:val="32"/>
          <w:szCs w:val="32"/>
          <w:shd w:val="clear" w:color="auto" w:fill="FFFFFF"/>
          <w:lang w:val="en-US" w:eastAsia="zh-CN"/>
        </w:rPr>
        <w:t>89.16</w:t>
      </w:r>
      <w:r>
        <w:rPr>
          <w:rFonts w:hint="eastAsia" w:ascii="仿宋" w:hAnsi="仿宋" w:eastAsia="仿宋" w:cs="仿宋"/>
          <w:sz w:val="32"/>
          <w:szCs w:val="32"/>
          <w:shd w:val="clear" w:color="auto" w:fill="FFFFFF"/>
        </w:rPr>
        <w:t>%。</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三、部门预算绩效分析</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（一）部门预算管理。</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包括部门绩效目标制定、目标实现、预算编制准确、支出控制、预算动态调整、执行进度、预算完成情况和违规记录等情况。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1、绩效目标制定</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根据不同项目特征制定了不同的绩效目标指标包括：社会效益指标、满意度指标、时效指标、数量指标等。</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2、目标实现</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根据202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年决算数据，财政资金支出4515.85万元，占202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年财政资金收入总额100%。</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3、编制准确</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年初预算编制按照财政局要求编制预算严格执行实事求是、数据编制准确原则，单位人员编制严格经编办审核后，方可核实人头经费，杜绝了吃空饷等违规行为。预算编制填入预算编报软件，认真填写专项预算的绩效目标申请表，并附相关专项经费批准预算的文件。</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4、支出控制</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年初预算编制中公务用车运行维护费、公务接待费共计：29.5万元。截至202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年6月，办公费、印刷费、水费、电费共计：</w:t>
      </w:r>
      <w:r>
        <w:rPr>
          <w:rFonts w:hint="eastAsia" w:ascii="仿宋" w:hAnsi="仿宋" w:eastAsia="仿宋" w:cs="仿宋"/>
          <w:sz w:val="32"/>
          <w:szCs w:val="32"/>
          <w:shd w:val="clear" w:color="auto" w:fill="FFFFFF"/>
          <w:lang w:val="en-US" w:eastAsia="zh-CN"/>
        </w:rPr>
        <w:t>52.44</w:t>
      </w:r>
      <w:r>
        <w:rPr>
          <w:rFonts w:hint="eastAsia" w:ascii="仿宋" w:hAnsi="仿宋" w:eastAsia="仿宋" w:cs="仿宋"/>
          <w:sz w:val="32"/>
          <w:szCs w:val="32"/>
          <w:shd w:val="clear" w:color="auto" w:fill="FFFFFF"/>
        </w:rPr>
        <w:t>万元，占预算金额的</w:t>
      </w:r>
      <w:r>
        <w:rPr>
          <w:rFonts w:hint="eastAsia" w:ascii="仿宋" w:hAnsi="仿宋" w:eastAsia="仿宋" w:cs="仿宋"/>
          <w:sz w:val="32"/>
          <w:szCs w:val="32"/>
          <w:shd w:val="clear" w:color="auto" w:fill="FFFFFF"/>
          <w:lang w:val="en-US" w:eastAsia="zh-CN"/>
        </w:rPr>
        <w:t>12.32</w:t>
      </w:r>
      <w:r>
        <w:rPr>
          <w:rFonts w:hint="eastAsia" w:ascii="仿宋" w:hAnsi="仿宋" w:eastAsia="仿宋" w:cs="仿宋"/>
          <w:sz w:val="32"/>
          <w:szCs w:val="32"/>
          <w:shd w:val="clear" w:color="auto" w:fill="FFFFFF"/>
        </w:rPr>
        <w:t>%。</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5、执行进度</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 xml:space="preserve">   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年预算执行情况：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预算收入完成率＝年终执行数÷（年初预算数±年中预算调数）×100%=42,562,381.88÷42,562,381.88×100%=100%；</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预算支出完成率＝年终执行数÷（年初预算数±年中预算调数）×100%=42,562,381.88÷42,562,381.88×100%=100%。</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从上述公式中可以看出202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 xml:space="preserve">年全年预算数（包含调整预算数）42,562,381.88元，支出决算数42,562,381.88元，全年执行进度达到100%。 </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年6月支付</w:t>
      </w:r>
      <w:r>
        <w:rPr>
          <w:rFonts w:hint="eastAsia" w:ascii="仿宋" w:hAnsi="仿宋" w:eastAsia="仿宋" w:cs="仿宋"/>
          <w:sz w:val="32"/>
          <w:szCs w:val="32"/>
          <w:shd w:val="clear" w:color="auto" w:fill="FFFFFF"/>
          <w:lang w:val="en-US" w:eastAsia="zh-CN"/>
        </w:rPr>
        <w:t>2174.87</w:t>
      </w:r>
      <w:r>
        <w:rPr>
          <w:rFonts w:hint="eastAsia" w:ascii="仿宋" w:hAnsi="仿宋" w:eastAsia="仿宋" w:cs="仿宋"/>
          <w:sz w:val="32"/>
          <w:szCs w:val="32"/>
          <w:shd w:val="clear" w:color="auto" w:fill="FFFFFF"/>
        </w:rPr>
        <w:t>万元，占预算总数的</w:t>
      </w:r>
      <w:r>
        <w:rPr>
          <w:rFonts w:hint="eastAsia" w:ascii="仿宋" w:hAnsi="仿宋" w:eastAsia="仿宋" w:cs="仿宋"/>
          <w:sz w:val="32"/>
          <w:szCs w:val="32"/>
          <w:shd w:val="clear" w:color="auto" w:fill="FFFFFF"/>
          <w:lang w:val="en-US" w:eastAsia="zh-CN"/>
        </w:rPr>
        <w:t>51.09</w:t>
      </w:r>
      <w:r>
        <w:rPr>
          <w:rFonts w:hint="eastAsia" w:ascii="仿宋" w:hAnsi="仿宋" w:eastAsia="仿宋" w:cs="仿宋"/>
          <w:sz w:val="32"/>
          <w:szCs w:val="32"/>
          <w:shd w:val="clear" w:color="auto" w:fill="FFFFFF"/>
        </w:rPr>
        <w:t>%，202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年9月支付</w:t>
      </w:r>
      <w:r>
        <w:rPr>
          <w:rFonts w:hint="eastAsia" w:ascii="仿宋" w:hAnsi="仿宋" w:eastAsia="仿宋" w:cs="仿宋"/>
          <w:sz w:val="32"/>
          <w:szCs w:val="32"/>
          <w:shd w:val="clear" w:color="auto" w:fill="FFFFFF"/>
          <w:lang w:val="en-US" w:eastAsia="zh-CN"/>
        </w:rPr>
        <w:t>3083.87</w:t>
      </w:r>
      <w:r>
        <w:rPr>
          <w:rFonts w:hint="eastAsia" w:ascii="仿宋" w:hAnsi="仿宋" w:eastAsia="仿宋" w:cs="仿宋"/>
          <w:sz w:val="32"/>
          <w:szCs w:val="32"/>
          <w:shd w:val="clear" w:color="auto" w:fill="FFFFFF"/>
        </w:rPr>
        <w:t>万元，占预算总数的</w:t>
      </w:r>
      <w:r>
        <w:rPr>
          <w:rFonts w:hint="eastAsia" w:ascii="仿宋" w:hAnsi="仿宋" w:eastAsia="仿宋" w:cs="仿宋"/>
          <w:sz w:val="32"/>
          <w:szCs w:val="32"/>
          <w:shd w:val="clear" w:color="auto" w:fill="FFFFFF"/>
          <w:lang w:val="en-US" w:eastAsia="zh-CN"/>
        </w:rPr>
        <w:t>72.45</w:t>
      </w:r>
      <w:r>
        <w:rPr>
          <w:rFonts w:hint="eastAsia" w:ascii="仿宋" w:hAnsi="仿宋" w:eastAsia="仿宋" w:cs="仿宋"/>
          <w:sz w:val="32"/>
          <w:szCs w:val="32"/>
          <w:shd w:val="clear" w:color="auto" w:fill="FFFFFF"/>
        </w:rPr>
        <w:t>%。202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年11月支付</w:t>
      </w:r>
      <w:r>
        <w:rPr>
          <w:rFonts w:hint="eastAsia" w:ascii="仿宋" w:hAnsi="仿宋" w:eastAsia="仿宋" w:cs="仿宋"/>
          <w:sz w:val="32"/>
          <w:szCs w:val="32"/>
          <w:shd w:val="clear" w:color="auto" w:fill="FFFFFF"/>
          <w:lang w:val="en-US" w:eastAsia="zh-CN"/>
        </w:rPr>
        <w:t>3577.21</w:t>
      </w:r>
      <w:r>
        <w:rPr>
          <w:rFonts w:hint="eastAsia" w:ascii="仿宋" w:hAnsi="仿宋" w:eastAsia="仿宋" w:cs="仿宋"/>
          <w:sz w:val="32"/>
          <w:szCs w:val="32"/>
          <w:shd w:val="clear" w:color="auto" w:fill="FFFFFF"/>
        </w:rPr>
        <w:t>万元，占预算总数的8</w:t>
      </w:r>
      <w:r>
        <w:rPr>
          <w:rFonts w:hint="eastAsia" w:ascii="仿宋" w:hAnsi="仿宋" w:eastAsia="仿宋" w:cs="仿宋"/>
          <w:sz w:val="32"/>
          <w:szCs w:val="32"/>
          <w:shd w:val="clear" w:color="auto" w:fill="FFFFFF"/>
          <w:lang w:val="en-US" w:eastAsia="zh-CN"/>
        </w:rPr>
        <w:t>4.04</w:t>
      </w:r>
      <w:r>
        <w:rPr>
          <w:rFonts w:hint="eastAsia" w:ascii="仿宋" w:hAnsi="仿宋" w:eastAsia="仿宋" w:cs="仿宋"/>
          <w:sz w:val="32"/>
          <w:szCs w:val="32"/>
          <w:shd w:val="clear" w:color="auto" w:fill="FFFFFF"/>
        </w:rPr>
        <w:t>%。执行率基本按要求完成，差别主要原因是项目支付进度缓慢。我校今后会按相关制度及要求，加快推进工作力度提高财政资金使用效率，进一步提高预算执行进度。</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6、预算完成</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截至202</w:t>
      </w:r>
      <w:r>
        <w:rPr>
          <w:rFonts w:hint="eastAsia" w:ascii="仿宋" w:hAnsi="仿宋" w:eastAsia="仿宋" w:cs="仿宋"/>
          <w:sz w:val="32"/>
          <w:szCs w:val="32"/>
          <w:shd w:val="clear" w:color="auto" w:fill="FFFFFF"/>
          <w:lang w:val="en-US" w:eastAsia="zh-CN"/>
        </w:rPr>
        <w:t>4</w:t>
      </w:r>
      <w:r>
        <w:rPr>
          <w:rFonts w:hint="eastAsia" w:ascii="仿宋" w:hAnsi="仿宋" w:eastAsia="仿宋" w:cs="仿宋"/>
          <w:sz w:val="32"/>
          <w:szCs w:val="32"/>
          <w:shd w:val="clear" w:color="auto" w:fill="FFFFFF"/>
        </w:rPr>
        <w:t>年12月共支付</w:t>
      </w:r>
      <w:r>
        <w:rPr>
          <w:rFonts w:hint="eastAsia" w:ascii="仿宋" w:hAnsi="仿宋" w:eastAsia="仿宋" w:cs="仿宋"/>
          <w:sz w:val="32"/>
          <w:szCs w:val="32"/>
          <w:shd w:val="clear" w:color="auto" w:fill="FFFFFF"/>
          <w:lang w:val="en-US" w:eastAsia="zh-CN"/>
        </w:rPr>
        <w:t>4256.23</w:t>
      </w:r>
      <w:r>
        <w:rPr>
          <w:rFonts w:hint="eastAsia" w:ascii="仿宋" w:hAnsi="仿宋" w:eastAsia="仿宋" w:cs="仿宋"/>
          <w:sz w:val="32"/>
          <w:szCs w:val="32"/>
          <w:shd w:val="clear" w:color="auto" w:fill="FFFFFF"/>
        </w:rPr>
        <w:t>万元，占预算金额的100%。</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（二）结果应用情况。</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包括绩效自评公开、评价结果整改和应用结果反馈等情况。</w:t>
      </w:r>
    </w:p>
    <w:p>
      <w:pPr>
        <w:spacing w:line="580" w:lineRule="exact"/>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四、评价结论及建议</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（一）评价结论。</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我校预算实施严格按照预算编制进行，年末预算完成率100%，完成度较高。不存在超预算和无预算支出。预算批复后严格按照预算公开时间及时公开。</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（二）存在问题。</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预算执行进度在6月、9月未达到执行进度要求。</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（三）改进建议。</w:t>
      </w:r>
    </w:p>
    <w:p>
      <w:pPr>
        <w:spacing w:line="580" w:lineRule="exact"/>
        <w:ind w:firstLine="640" w:firstLineChars="200"/>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学校将按照相关制度及要求，加强对财政资金、各项目资金支付进度进行中期监督，及时提醒。</w:t>
      </w:r>
    </w:p>
    <w:p>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6"/>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bidi w:val="0"/>
        <w:jc w:val="center"/>
        <w:rPr>
          <w:rFonts w:hint="eastAsia" w:ascii="仿宋" w:hAnsi="仿宋" w:eastAsia="仿宋" w:cs="仿宋"/>
          <w:sz w:val="36"/>
          <w:szCs w:val="36"/>
        </w:rPr>
      </w:pPr>
      <w:r>
        <w:rPr>
          <w:rFonts w:hint="eastAsia" w:ascii="仿宋" w:hAnsi="仿宋" w:eastAsia="仿宋" w:cs="仿宋"/>
          <w:sz w:val="36"/>
          <w:szCs w:val="36"/>
        </w:rPr>
        <w:t>教学设施设备购置</w:t>
      </w:r>
    </w:p>
    <w:p>
      <w:pPr>
        <w:bidi w:val="0"/>
        <w:jc w:val="center"/>
        <w:rPr>
          <w:rFonts w:hint="eastAsia" w:ascii="仿宋" w:hAnsi="仿宋" w:eastAsia="仿宋" w:cs="仿宋"/>
          <w:sz w:val="32"/>
          <w:szCs w:val="32"/>
        </w:rPr>
      </w:pPr>
      <w:r>
        <w:rPr>
          <w:rFonts w:hint="eastAsia" w:ascii="仿宋" w:hAnsi="仿宋" w:eastAsia="仿宋" w:cs="仿宋"/>
          <w:sz w:val="36"/>
          <w:szCs w:val="36"/>
        </w:rPr>
        <w:t>专项预算项目绩效评价报告</w:t>
      </w:r>
    </w:p>
    <w:p>
      <w:pPr>
        <w:bidi w:val="0"/>
        <w:jc w:val="left"/>
        <w:rPr>
          <w:rFonts w:hint="eastAsia" w:ascii="仿宋" w:hAnsi="仿宋" w:eastAsia="仿宋" w:cs="仿宋"/>
          <w:sz w:val="32"/>
          <w:szCs w:val="32"/>
        </w:rPr>
      </w:pPr>
    </w:p>
    <w:p>
      <w:pPr>
        <w:bidi w:val="0"/>
        <w:jc w:val="left"/>
        <w:rPr>
          <w:rFonts w:hint="eastAsia" w:ascii="仿宋" w:hAnsi="仿宋" w:eastAsia="仿宋" w:cs="仿宋"/>
          <w:sz w:val="32"/>
          <w:szCs w:val="32"/>
        </w:rPr>
      </w:pPr>
      <w:r>
        <w:rPr>
          <w:rFonts w:hint="eastAsia" w:ascii="仿宋" w:hAnsi="仿宋" w:eastAsia="仿宋" w:cs="仿宋"/>
          <w:sz w:val="32"/>
          <w:szCs w:val="32"/>
        </w:rPr>
        <w:t>一、项目概况</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（一）设立背景及基本情况</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项目设立原因及背景</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随着教育教学改革的不断推进，为了改善教学条件，提升教学质量，满足学生日益增长的学习需求，特设立本教学设施设备购置专项预算项目。</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项目立项、资金申报的依据</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依据学校的发展规划、教学需求以及相关教育政策，进行项目立项和资金申报。</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项目主要内容</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购置心理测评AI数字人设备购置、人脸考勤机购置、用无人机购置等教学设施设备。</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主管部门职能</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主管部门负责项目的规划审批、设备采购的监督管理以及设备的验收和调配使用。</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（二）实施目的及支持方向</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项目资金管理办法制定情况</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制定了《教学设施设备购置资金管理办法》，明确了资金的使用范围、采购流程和监督机制。</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项目实施目的和主要工作任务</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目的是优化教学资源配置，提高教学效果。主要工作任务包括确定购置需求、选择合适的供应商、组织采购和设备安装调试等。</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项目支持方向</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重点支持教学急需的设施设备更新和补充，以提升学校的整体教学水平。</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（三）预算安排及分配管理</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项目预算安排情况</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本年度教学设施设备购置专项预算资金总额为</w:t>
      </w:r>
      <w:r>
        <w:rPr>
          <w:rFonts w:hint="eastAsia" w:ascii="仿宋" w:hAnsi="仿宋" w:eastAsia="仿宋" w:cs="仿宋"/>
          <w:sz w:val="32"/>
          <w:szCs w:val="32"/>
          <w:lang w:val="en-US" w:eastAsia="zh-CN"/>
        </w:rPr>
        <w:t>50</w:t>
      </w:r>
      <w:r>
        <w:rPr>
          <w:rFonts w:hint="eastAsia" w:ascii="仿宋" w:hAnsi="仿宋" w:eastAsia="仿宋" w:cs="仿宋"/>
          <w:sz w:val="32"/>
          <w:szCs w:val="32"/>
        </w:rPr>
        <w:t>万元，其中财政拨款</w:t>
      </w:r>
      <w:r>
        <w:rPr>
          <w:rFonts w:hint="eastAsia" w:ascii="仿宋" w:hAnsi="仿宋" w:eastAsia="仿宋" w:cs="仿宋"/>
          <w:sz w:val="32"/>
          <w:szCs w:val="32"/>
          <w:lang w:val="en-US" w:eastAsia="zh-CN"/>
        </w:rPr>
        <w:t>50</w:t>
      </w:r>
      <w:r>
        <w:rPr>
          <w:rFonts w:hint="eastAsia" w:ascii="仿宋" w:hAnsi="仿宋" w:eastAsia="仿宋" w:cs="仿宋"/>
          <w:sz w:val="32"/>
          <w:szCs w:val="32"/>
        </w:rPr>
        <w:t>万元。</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项目资金分配原则及考虑因素</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资金分配遵循按需分配、优先重点的原则，主要考虑学校各学科教学的实际需求、设备的先进性和适用性等因素。</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（四）项目绩效目标设置</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项目整体绩效目标</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通过购置教学设施设备，改善教学环境，提高教学质量和学生的学习效果。</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区域绩效目标</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在本地区学校中，提升学校的硬件设施水平，增强学校的竞争力。</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具体绩效目标</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（1）购置的设施设备验收合格率达到95%以上。</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（2）设施设备投入使用后，教师教学满意度达到</w:t>
      </w:r>
      <w:r>
        <w:rPr>
          <w:rFonts w:hint="eastAsia" w:ascii="仿宋" w:hAnsi="仿宋" w:eastAsia="仿宋" w:cs="仿宋"/>
          <w:sz w:val="32"/>
          <w:szCs w:val="32"/>
          <w:lang w:val="en-US" w:eastAsia="zh-CN"/>
        </w:rPr>
        <w:t>90</w:t>
      </w:r>
      <w:r>
        <w:rPr>
          <w:rFonts w:hint="eastAsia" w:ascii="仿宋" w:hAnsi="仿宋" w:eastAsia="仿宋" w:cs="仿宋"/>
          <w:sz w:val="32"/>
          <w:szCs w:val="32"/>
        </w:rPr>
        <w:t>%以上。</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（3）学生对教学设施设备的使用满意度达到90%以上。</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项目自评工作开展情况</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成立了自评工作小组，通过设备检查、师生问卷调查、教学效果评估等方式，对项目绩效进行了全面自评。</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二、评价实施</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（一）评价目的</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通过对教学设施设备购置专项预算项目的绩效自评，总结经验，发现问题，为今后优化采购工作、提高资金使用效益提供参考依据。</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（二）评价方法</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综合运用成本效益分析法、问卷调查法、实地勘察法、座谈调研法等方法进行评价。</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（三）评价组织</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评价组由学校财务部门、后勤管理部门和师生代表组成。其中，财务部门负责资金使用情况的评价，后勤管理部门负责设备采购和管理情况的评价，师生代表负责收集使用者的意见和建议。</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三、绩效分析</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（一）通用指标绩效分析</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项目决策</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（1）决策程序：项目决策经过充分的调研和论证，符合学校教学发展的实际需求。</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（2）规划论证：规划科学合理，充分考虑了学校各学科的发展需求和教学设施设备的更新换代。</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（3）资金投向：资金投向明确，重点购置了学校急需的教学设施设备。</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项目管理</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（1）制度办法：建立了完善的资金管理和设备采购制度，保障了项目的规范运行。</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（2）分配管理：资金分配合理，根据教学设施设备的重要性和紧迫性进行了有效安排。</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（3）绩效监管：建立了绩效监管机制，对设备采购过程和质量进行了监督。</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项目实施</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（1）预算执行：预算执行情况良好，资金使用基本按照预算安排进行。</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（2）资金使用：资金使用合规，各项采购支出符合相关规定。</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项目结果</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（1）目标完成：大部分绩效目标已完成，购置的设施设备基本满足教学需求。</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（2）完成时效：采购工作按时完成，设备及时投入使用，未出现明显的延误情况。</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（二）专用指标绩效分析</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民生保障</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（1）区域均衡性：学校内部各教学区域的设施设备配置相对均衡，不存在明显差异。</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（2）对象精准性：购置的设施设备精准满足了教学的实际需求。</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（3）标准合理性：设备的质量和性能符合相关标准，价格合理。</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（4）群众满意度：师生对新购置的教学设施设备总体满意度较高，但仍有部分改进空间。</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（三）个性指标绩效分析</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设备先进性</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购置的部分设备具有一定的先进性，能够满足教学创新的需求。</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设备维护便利性</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设备的维护和保养较为便利，降低了后续使用成本。</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四、评价结论</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（一）总体结论</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本项目的绩效评价总分为</w:t>
      </w:r>
      <w:r>
        <w:rPr>
          <w:rFonts w:hint="eastAsia" w:ascii="仿宋" w:hAnsi="仿宋" w:eastAsia="仿宋" w:cs="仿宋"/>
          <w:sz w:val="32"/>
          <w:szCs w:val="32"/>
          <w:lang w:val="en-US" w:eastAsia="zh-CN"/>
        </w:rPr>
        <w:t>90</w:t>
      </w:r>
      <w:r>
        <w:rPr>
          <w:rFonts w:hint="eastAsia" w:ascii="仿宋" w:hAnsi="仿宋" w:eastAsia="仿宋" w:cs="仿宋"/>
          <w:sz w:val="32"/>
          <w:szCs w:val="32"/>
        </w:rPr>
        <w:t>分，评价等级为良好。项目实施情况基本达到预期目标，教学设施设备购置工作取得了一定的成效。</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（二）项目实施情况</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采购工作按计划顺利完成，新购置的教学设施设备投入使用。</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设施设备的种类和数量能够满足现阶段教学的基本需求。</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对教学质量的提升和学生的学习兴趣培养起到了积极作用。</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五、存在主要问题</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部分设备的操作培训不够到位，教师和学生未能充分发挥设备的功能</w:t>
      </w:r>
    </w:p>
    <w:p>
      <w:pPr>
        <w:bidi w:val="0"/>
        <w:ind w:firstLine="432" w:firstLineChars="0"/>
        <w:jc w:val="left"/>
        <w:rPr>
          <w:rFonts w:hint="eastAsia" w:ascii="仿宋" w:hAnsi="仿宋" w:eastAsia="仿宋" w:cs="仿宋"/>
          <w:sz w:val="32"/>
          <w:szCs w:val="32"/>
        </w:rPr>
      </w:pPr>
      <w:r>
        <w:rPr>
          <w:rFonts w:hint="eastAsia" w:ascii="仿宋" w:hAnsi="仿宋" w:eastAsia="仿宋" w:cs="仿宋"/>
          <w:sz w:val="32"/>
          <w:szCs w:val="32"/>
        </w:rPr>
        <w:t>六、改进建议</w:t>
      </w:r>
    </w:p>
    <w:p>
      <w:pPr>
        <w:spacing w:line="600" w:lineRule="exact"/>
        <w:jc w:val="left"/>
        <w:outlineLvl w:val="1"/>
        <w:rPr>
          <w:rFonts w:hint="eastAsia" w:ascii="仿宋" w:hAnsi="仿宋" w:eastAsia="仿宋" w:cs="仿宋"/>
          <w:sz w:val="32"/>
          <w:szCs w:val="32"/>
        </w:rPr>
      </w:pPr>
      <w:r>
        <w:rPr>
          <w:rFonts w:hint="eastAsia" w:ascii="仿宋" w:hAnsi="仿宋" w:eastAsia="仿宋" w:cs="仿宋"/>
          <w:sz w:val="32"/>
          <w:szCs w:val="32"/>
        </w:rPr>
        <w:t>加强设备操作培训，组织专业人员对教师和学生进行培训，提高设备使用率</w:t>
      </w:r>
      <w:bookmarkStart w:id="47" w:name="_Toc14305"/>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仿宋" w:hAnsi="仿宋" w:eastAsia="仿宋" w:cs="仿宋"/>
          <w:sz w:val="32"/>
          <w:szCs w:val="32"/>
        </w:rPr>
      </w:pPr>
    </w:p>
    <w:p>
      <w:pPr>
        <w:spacing w:line="600" w:lineRule="exact"/>
        <w:jc w:val="left"/>
        <w:outlineLvl w:val="1"/>
        <w:rPr>
          <w:rFonts w:hint="eastAsia" w:ascii="黑体" w:eastAsia="黑体" w:cs="黑体"/>
          <w:sz w:val="32"/>
          <w:szCs w:val="32"/>
          <w:lang w:val="en-US" w:eastAsia="zh-CN"/>
        </w:rPr>
      </w:pPr>
      <w:r>
        <w:rPr>
          <w:rFonts w:hint="eastAsia" w:ascii="黑体" w:eastAsia="黑体" w:cs="黑体"/>
          <w:sz w:val="32"/>
          <w:szCs w:val="32"/>
        </w:rPr>
        <w:t>附件</w:t>
      </w:r>
      <w:r>
        <w:rPr>
          <w:rFonts w:hint="eastAsia" w:ascii="黑体" w:eastAsia="黑体" w:cs="黑体"/>
          <w:sz w:val="32"/>
          <w:szCs w:val="32"/>
          <w:lang w:val="en-US" w:eastAsia="zh-CN"/>
        </w:rPr>
        <w:t>3</w:t>
      </w:r>
      <w:bookmarkEnd w:id="47"/>
    </w:p>
    <w:p>
      <w:pPr>
        <w:spacing w:line="600" w:lineRule="exact"/>
        <w:jc w:val="left"/>
        <w:outlineLvl w:val="0"/>
        <w:rPr>
          <w:rFonts w:hint="eastAsia" w:ascii="仿宋" w:hAnsi="仿宋" w:eastAsia="仿宋" w:cs="仿宋"/>
          <w:b w:val="0"/>
          <w:bCs w:val="0"/>
          <w:sz w:val="36"/>
          <w:szCs w:val="36"/>
        </w:rPr>
      </w:pPr>
      <w:bookmarkStart w:id="48" w:name="_Toc19753"/>
      <w:r>
        <w:rPr>
          <w:rFonts w:hint="eastAsia" w:ascii="仿宋" w:hAnsi="仿宋" w:eastAsia="仿宋" w:cs="仿宋"/>
          <w:b w:val="0"/>
          <w:bCs w:val="0"/>
          <w:i w:val="0"/>
          <w:iCs w:val="0"/>
          <w:color w:val="000000"/>
          <w:kern w:val="0"/>
          <w:sz w:val="36"/>
          <w:szCs w:val="36"/>
          <w:u w:val="none"/>
          <w:lang w:val="en-US" w:eastAsia="zh-CN" w:bidi="ar"/>
        </w:rPr>
        <w:t>部门预算项目支出绩效自评表</w:t>
      </w:r>
      <w:bookmarkEnd w:id="48"/>
    </w:p>
    <w:p>
      <w:pPr>
        <w:bidi w:val="0"/>
        <w:ind w:firstLine="432" w:firstLineChars="0"/>
        <w:jc w:val="left"/>
        <w:rPr>
          <w:rFonts w:hint="eastAsia" w:ascii="仿宋" w:hAnsi="仿宋" w:eastAsia="仿宋" w:cs="仿宋"/>
          <w:kern w:val="2"/>
          <w:sz w:val="32"/>
          <w:szCs w:val="32"/>
          <w:lang w:val="en-US" w:eastAsia="zh-CN" w:bidi="ar-SA"/>
        </w:rPr>
      </w:pPr>
    </w:p>
    <w:p>
      <w:pPr>
        <w:keepNext w:val="0"/>
        <w:keepLines w:val="0"/>
        <w:pageBreakBefore w:val="0"/>
        <w:widowControl w:val="0"/>
        <w:kinsoku/>
        <w:wordWrap/>
        <w:overflowPunct/>
        <w:topLinePunct w:val="0"/>
        <w:autoSpaceDE/>
        <w:autoSpaceDN/>
        <w:bidi w:val="0"/>
        <w:spacing w:line="240" w:lineRule="auto"/>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6062980" cy="3409950"/>
            <wp:effectExtent l="0" t="0" r="13970" b="0"/>
            <wp:docPr id="37" name="图片 37" descr="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0315"/>
                    <pic:cNvPicPr>
                      <a:picLocks noChangeAspect="1"/>
                    </pic:cNvPicPr>
                  </pic:nvPicPr>
                  <pic:blipFill>
                    <a:blip r:embed="rId15"/>
                    <a:stretch>
                      <a:fillRect/>
                    </a:stretch>
                  </pic:blipFill>
                  <pic:spPr>
                    <a:xfrm>
                      <a:off x="0" y="0"/>
                      <a:ext cx="6062980" cy="340995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6101080" cy="4073525"/>
            <wp:effectExtent l="0" t="0" r="13970" b="3175"/>
            <wp:docPr id="36" name="图片 36" descr="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146"/>
                    <pic:cNvPicPr>
                      <a:picLocks noChangeAspect="1"/>
                    </pic:cNvPicPr>
                  </pic:nvPicPr>
                  <pic:blipFill>
                    <a:blip r:embed="rId16"/>
                    <a:stretch>
                      <a:fillRect/>
                    </a:stretch>
                  </pic:blipFill>
                  <pic:spPr>
                    <a:xfrm>
                      <a:off x="0" y="0"/>
                      <a:ext cx="6101080" cy="407352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67960" cy="4010025"/>
            <wp:effectExtent l="0" t="0" r="8890" b="9525"/>
            <wp:docPr id="35" name="图片 35" descr="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068"/>
                    <pic:cNvPicPr>
                      <a:picLocks noChangeAspect="1"/>
                    </pic:cNvPicPr>
                  </pic:nvPicPr>
                  <pic:blipFill>
                    <a:blip r:embed="rId17"/>
                    <a:stretch>
                      <a:fillRect/>
                    </a:stretch>
                  </pic:blipFill>
                  <pic:spPr>
                    <a:xfrm>
                      <a:off x="0" y="0"/>
                      <a:ext cx="5267960" cy="401002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4887595" cy="3429635"/>
            <wp:effectExtent l="0" t="0" r="8255" b="18415"/>
            <wp:docPr id="38" name="图片 38" descr="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0137"/>
                    <pic:cNvPicPr>
                      <a:picLocks noChangeAspect="1"/>
                    </pic:cNvPicPr>
                  </pic:nvPicPr>
                  <pic:blipFill>
                    <a:blip r:embed="rId18"/>
                    <a:stretch>
                      <a:fillRect/>
                    </a:stretch>
                  </pic:blipFill>
                  <pic:spPr>
                    <a:xfrm>
                      <a:off x="0" y="0"/>
                      <a:ext cx="4887595" cy="342963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71135" cy="4294505"/>
            <wp:effectExtent l="0" t="0" r="5715" b="10795"/>
            <wp:docPr id="34" name="图片 34" descr="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659"/>
                    <pic:cNvPicPr>
                      <a:picLocks noChangeAspect="1"/>
                    </pic:cNvPicPr>
                  </pic:nvPicPr>
                  <pic:blipFill>
                    <a:blip r:embed="rId19"/>
                    <a:stretch>
                      <a:fillRect/>
                    </a:stretch>
                  </pic:blipFill>
                  <pic:spPr>
                    <a:xfrm>
                      <a:off x="0" y="0"/>
                      <a:ext cx="5271135" cy="429450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847715" cy="3978275"/>
            <wp:effectExtent l="0" t="0" r="635" b="3175"/>
            <wp:docPr id="33" name="图片 33" descr="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928"/>
                    <pic:cNvPicPr>
                      <a:picLocks noChangeAspect="1"/>
                    </pic:cNvPicPr>
                  </pic:nvPicPr>
                  <pic:blipFill>
                    <a:blip r:embed="rId20"/>
                    <a:stretch>
                      <a:fillRect/>
                    </a:stretch>
                  </pic:blipFill>
                  <pic:spPr>
                    <a:xfrm>
                      <a:off x="0" y="0"/>
                      <a:ext cx="5847715" cy="39782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68595" cy="4089400"/>
            <wp:effectExtent l="0" t="0" r="8255" b="6350"/>
            <wp:docPr id="32" name="图片 32" descr="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994"/>
                    <pic:cNvPicPr>
                      <a:picLocks noChangeAspect="1"/>
                    </pic:cNvPicPr>
                  </pic:nvPicPr>
                  <pic:blipFill>
                    <a:blip r:embed="rId21"/>
                    <a:stretch>
                      <a:fillRect/>
                    </a:stretch>
                  </pic:blipFill>
                  <pic:spPr>
                    <a:xfrm>
                      <a:off x="0" y="0"/>
                      <a:ext cx="5268595" cy="408940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800725" cy="4168140"/>
            <wp:effectExtent l="0" t="0" r="9525" b="3810"/>
            <wp:docPr id="31" name="图片 31" descr="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4181"/>
                    <pic:cNvPicPr>
                      <a:picLocks noChangeAspect="1"/>
                    </pic:cNvPicPr>
                  </pic:nvPicPr>
                  <pic:blipFill>
                    <a:blip r:embed="rId22"/>
                    <a:stretch>
                      <a:fillRect/>
                    </a:stretch>
                  </pic:blipFill>
                  <pic:spPr>
                    <a:xfrm>
                      <a:off x="0" y="0"/>
                      <a:ext cx="5800725" cy="416814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52720" cy="3978275"/>
            <wp:effectExtent l="0" t="0" r="5080" b="3175"/>
            <wp:docPr id="30" name="图片 30" descr="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4204"/>
                    <pic:cNvPicPr>
                      <a:picLocks noChangeAspect="1"/>
                    </pic:cNvPicPr>
                  </pic:nvPicPr>
                  <pic:blipFill>
                    <a:blip r:embed="rId23"/>
                    <a:stretch>
                      <a:fillRect/>
                    </a:stretch>
                  </pic:blipFill>
                  <pic:spPr>
                    <a:xfrm>
                      <a:off x="0" y="0"/>
                      <a:ext cx="5252720" cy="39782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66690" cy="4279265"/>
            <wp:effectExtent l="0" t="0" r="10160" b="6985"/>
            <wp:docPr id="29" name="图片 29" descr="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4212"/>
                    <pic:cNvPicPr>
                      <a:picLocks noChangeAspect="1"/>
                    </pic:cNvPicPr>
                  </pic:nvPicPr>
                  <pic:blipFill>
                    <a:blip r:embed="rId24"/>
                    <a:stretch>
                      <a:fillRect/>
                    </a:stretch>
                  </pic:blipFill>
                  <pic:spPr>
                    <a:xfrm>
                      <a:off x="0" y="0"/>
                      <a:ext cx="5266690" cy="427926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67325" cy="4182745"/>
            <wp:effectExtent l="0" t="0" r="9525" b="8255"/>
            <wp:docPr id="28" name="图片 28" descr="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4232"/>
                    <pic:cNvPicPr>
                      <a:picLocks noChangeAspect="1"/>
                    </pic:cNvPicPr>
                  </pic:nvPicPr>
                  <pic:blipFill>
                    <a:blip r:embed="rId25"/>
                    <a:stretch>
                      <a:fillRect/>
                    </a:stretch>
                  </pic:blipFill>
                  <pic:spPr>
                    <a:xfrm>
                      <a:off x="0" y="0"/>
                      <a:ext cx="5267325" cy="418274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58435" cy="4041140"/>
            <wp:effectExtent l="0" t="0" r="18415" b="16510"/>
            <wp:docPr id="27" name="图片 27" descr="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4256"/>
                    <pic:cNvPicPr>
                      <a:picLocks noChangeAspect="1"/>
                    </pic:cNvPicPr>
                  </pic:nvPicPr>
                  <pic:blipFill>
                    <a:blip r:embed="rId26"/>
                    <a:stretch>
                      <a:fillRect/>
                    </a:stretch>
                  </pic:blipFill>
                  <pic:spPr>
                    <a:xfrm>
                      <a:off x="0" y="0"/>
                      <a:ext cx="5258435" cy="404114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71135" cy="4304030"/>
            <wp:effectExtent l="0" t="0" r="5715" b="1270"/>
            <wp:docPr id="26" name="图片 26" descr="4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4266"/>
                    <pic:cNvPicPr>
                      <a:picLocks noChangeAspect="1"/>
                    </pic:cNvPicPr>
                  </pic:nvPicPr>
                  <pic:blipFill>
                    <a:blip r:embed="rId27"/>
                    <a:stretch>
                      <a:fillRect/>
                    </a:stretch>
                  </pic:blipFill>
                  <pic:spPr>
                    <a:xfrm>
                      <a:off x="0" y="0"/>
                      <a:ext cx="5271135" cy="430403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511800" cy="4177030"/>
            <wp:effectExtent l="0" t="0" r="12700" b="13970"/>
            <wp:docPr id="25" name="图片 25" descr="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4286"/>
                    <pic:cNvPicPr>
                      <a:picLocks noChangeAspect="1"/>
                    </pic:cNvPicPr>
                  </pic:nvPicPr>
                  <pic:blipFill>
                    <a:blip r:embed="rId28"/>
                    <a:stretch>
                      <a:fillRect/>
                    </a:stretch>
                  </pic:blipFill>
                  <pic:spPr>
                    <a:xfrm>
                      <a:off x="0" y="0"/>
                      <a:ext cx="5511800" cy="417703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65420" cy="3797935"/>
            <wp:effectExtent l="0" t="0" r="11430" b="12065"/>
            <wp:docPr id="24" name="图片 24" descr="4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4537"/>
                    <pic:cNvPicPr>
                      <a:picLocks noChangeAspect="1"/>
                    </pic:cNvPicPr>
                  </pic:nvPicPr>
                  <pic:blipFill>
                    <a:blip r:embed="rId29"/>
                    <a:stretch>
                      <a:fillRect/>
                    </a:stretch>
                  </pic:blipFill>
                  <pic:spPr>
                    <a:xfrm>
                      <a:off x="0" y="0"/>
                      <a:ext cx="5265420" cy="379793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869940" cy="4073525"/>
            <wp:effectExtent l="0" t="0" r="16510" b="3175"/>
            <wp:docPr id="23" name="图片 23" descr="4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4916"/>
                    <pic:cNvPicPr>
                      <a:picLocks noChangeAspect="1"/>
                    </pic:cNvPicPr>
                  </pic:nvPicPr>
                  <pic:blipFill>
                    <a:blip r:embed="rId30"/>
                    <a:stretch>
                      <a:fillRect/>
                    </a:stretch>
                  </pic:blipFill>
                  <pic:spPr>
                    <a:xfrm>
                      <a:off x="0" y="0"/>
                      <a:ext cx="5869940" cy="407352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814695" cy="3996055"/>
            <wp:effectExtent l="0" t="0" r="14605" b="4445"/>
            <wp:docPr id="22" name="图片 22" descr="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5678"/>
                    <pic:cNvPicPr>
                      <a:picLocks noChangeAspect="1"/>
                    </pic:cNvPicPr>
                  </pic:nvPicPr>
                  <pic:blipFill>
                    <a:blip r:embed="rId31"/>
                    <a:stretch>
                      <a:fillRect/>
                    </a:stretch>
                  </pic:blipFill>
                  <pic:spPr>
                    <a:xfrm>
                      <a:off x="0" y="0"/>
                      <a:ext cx="5814695" cy="399605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57800" cy="4092575"/>
            <wp:effectExtent l="0" t="0" r="0" b="3175"/>
            <wp:docPr id="21" name="图片 21" descr="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5740"/>
                    <pic:cNvPicPr>
                      <a:picLocks noChangeAspect="1"/>
                    </pic:cNvPicPr>
                  </pic:nvPicPr>
                  <pic:blipFill>
                    <a:blip r:embed="rId32"/>
                    <a:stretch>
                      <a:fillRect/>
                    </a:stretch>
                  </pic:blipFill>
                  <pic:spPr>
                    <a:xfrm>
                      <a:off x="0" y="0"/>
                      <a:ext cx="5257800" cy="40925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531485" cy="3883025"/>
            <wp:effectExtent l="0" t="0" r="12065" b="3175"/>
            <wp:docPr id="20" name="图片 20" descr="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969"/>
                    <pic:cNvPicPr>
                      <a:picLocks noChangeAspect="1"/>
                    </pic:cNvPicPr>
                  </pic:nvPicPr>
                  <pic:blipFill>
                    <a:blip r:embed="rId33"/>
                    <a:stretch>
                      <a:fillRect/>
                    </a:stretch>
                  </pic:blipFill>
                  <pic:spPr>
                    <a:xfrm>
                      <a:off x="0" y="0"/>
                      <a:ext cx="5531485" cy="388302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55260" cy="3857625"/>
            <wp:effectExtent l="0" t="0" r="2540" b="9525"/>
            <wp:docPr id="19" name="图片 19" descr="7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7486"/>
                    <pic:cNvPicPr>
                      <a:picLocks noChangeAspect="1"/>
                    </pic:cNvPicPr>
                  </pic:nvPicPr>
                  <pic:blipFill>
                    <a:blip r:embed="rId34"/>
                    <a:stretch>
                      <a:fillRect/>
                    </a:stretch>
                  </pic:blipFill>
                  <pic:spPr>
                    <a:xfrm>
                      <a:off x="0" y="0"/>
                      <a:ext cx="5255260" cy="385762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60340" cy="4163695"/>
            <wp:effectExtent l="0" t="0" r="16510" b="8255"/>
            <wp:docPr id="18" name="图片 18" descr="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7513"/>
                    <pic:cNvPicPr>
                      <a:picLocks noChangeAspect="1"/>
                    </pic:cNvPicPr>
                  </pic:nvPicPr>
                  <pic:blipFill>
                    <a:blip r:embed="rId35"/>
                    <a:stretch>
                      <a:fillRect/>
                    </a:stretch>
                  </pic:blipFill>
                  <pic:spPr>
                    <a:xfrm>
                      <a:off x="0" y="0"/>
                      <a:ext cx="5260340" cy="416369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530850" cy="4030980"/>
            <wp:effectExtent l="0" t="0" r="12700" b="7620"/>
            <wp:docPr id="17" name="图片 17" descr="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7555"/>
                    <pic:cNvPicPr>
                      <a:picLocks noChangeAspect="1"/>
                    </pic:cNvPicPr>
                  </pic:nvPicPr>
                  <pic:blipFill>
                    <a:blip r:embed="rId36"/>
                    <a:stretch>
                      <a:fillRect/>
                    </a:stretch>
                  </pic:blipFill>
                  <pic:spPr>
                    <a:xfrm>
                      <a:off x="0" y="0"/>
                      <a:ext cx="5530850" cy="403098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73675" cy="4232275"/>
            <wp:effectExtent l="0" t="0" r="3175" b="15875"/>
            <wp:docPr id="16" name="图片 16" descr="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584"/>
                    <pic:cNvPicPr>
                      <a:picLocks noChangeAspect="1"/>
                    </pic:cNvPicPr>
                  </pic:nvPicPr>
                  <pic:blipFill>
                    <a:blip r:embed="rId37"/>
                    <a:stretch>
                      <a:fillRect/>
                    </a:stretch>
                  </pic:blipFill>
                  <pic:spPr>
                    <a:xfrm>
                      <a:off x="0" y="0"/>
                      <a:ext cx="5273675" cy="423227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6248400" cy="4134485"/>
            <wp:effectExtent l="0" t="0" r="0" b="18415"/>
            <wp:docPr id="15" name="图片 15" descr="7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859"/>
                    <pic:cNvPicPr>
                      <a:picLocks noChangeAspect="1"/>
                    </pic:cNvPicPr>
                  </pic:nvPicPr>
                  <pic:blipFill>
                    <a:blip r:embed="rId38"/>
                    <a:stretch>
                      <a:fillRect/>
                    </a:stretch>
                  </pic:blipFill>
                  <pic:spPr>
                    <a:xfrm>
                      <a:off x="0" y="0"/>
                      <a:ext cx="6248400" cy="4134485"/>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916930" cy="4030980"/>
            <wp:effectExtent l="0" t="0" r="7620" b="7620"/>
            <wp:docPr id="14" name="图片 14" descr="8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551"/>
                    <pic:cNvPicPr>
                      <a:picLocks noChangeAspect="1"/>
                    </pic:cNvPicPr>
                  </pic:nvPicPr>
                  <pic:blipFill>
                    <a:blip r:embed="rId39"/>
                    <a:stretch>
                      <a:fillRect/>
                    </a:stretch>
                  </pic:blipFill>
                  <pic:spPr>
                    <a:xfrm>
                      <a:off x="0" y="0"/>
                      <a:ext cx="5916930" cy="403098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59070" cy="4251960"/>
            <wp:effectExtent l="0" t="0" r="17780" b="15240"/>
            <wp:docPr id="13" name="图片 13" descr="9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011"/>
                    <pic:cNvPicPr>
                      <a:picLocks noChangeAspect="1"/>
                    </pic:cNvPicPr>
                  </pic:nvPicPr>
                  <pic:blipFill>
                    <a:blip r:embed="rId40"/>
                    <a:stretch>
                      <a:fillRect/>
                    </a:stretch>
                  </pic:blipFill>
                  <pic:spPr>
                    <a:xfrm>
                      <a:off x="0" y="0"/>
                      <a:ext cx="5259070" cy="4251960"/>
                    </a:xfrm>
                    <a:prstGeom prst="rect">
                      <a:avLst/>
                    </a:prstGeom>
                  </pic:spPr>
                </pic:pic>
              </a:graphicData>
            </a:graphic>
          </wp:inline>
        </w:drawing>
      </w:r>
      <w:r>
        <w:rPr>
          <w:rFonts w:hint="eastAsia" w:ascii="Times New Roman" w:hAnsi="Times New Roman" w:eastAsia="仿宋_GB2312" w:cs="仿宋_GB2312"/>
          <w:b w:val="0"/>
          <w:bCs w:val="0"/>
          <w:kern w:val="0"/>
          <w:position w:val="0"/>
          <w:sz w:val="32"/>
          <w:szCs w:val="32"/>
          <w:highlight w:val="none"/>
          <w:lang w:val="en-US" w:eastAsia="zh-CN" w:bidi="ar-SA"/>
        </w:rPr>
        <w:drawing>
          <wp:inline distT="0" distB="0" distL="114300" distR="114300">
            <wp:extent cx="5260975" cy="4064000"/>
            <wp:effectExtent l="0" t="0" r="15875" b="12700"/>
            <wp:docPr id="12" name="图片 12" descr="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109"/>
                    <pic:cNvPicPr>
                      <a:picLocks noChangeAspect="1"/>
                    </pic:cNvPicPr>
                  </pic:nvPicPr>
                  <pic:blipFill>
                    <a:blip r:embed="rId41"/>
                    <a:stretch>
                      <a:fillRect/>
                    </a:stretch>
                  </pic:blipFill>
                  <pic:spPr>
                    <a:xfrm>
                      <a:off x="0" y="0"/>
                      <a:ext cx="5260975" cy="40640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9"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9"/>
      <w:bookmarkStart w:id="50"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0"/>
      <w:r>
        <w:rPr>
          <w:rFonts w:hint="eastAsia" w:ascii="Times New Roman" w:hAnsi="Times New Roman" w:eastAsia="仿宋_GB2312" w:cs="仿宋_GB2312"/>
          <w:color w:val="auto"/>
          <w:sz w:val="32"/>
          <w:szCs w:val="32"/>
          <w:highlight w:val="none"/>
        </w:rPr>
        <w:t>二、收入决算表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1"/>
      <w:r>
        <w:rPr>
          <w:rFonts w:hint="eastAsia" w:ascii="Times New Roman" w:hAnsi="Times New Roman" w:eastAsia="仿宋_GB2312" w:cs="仿宋_GB2312"/>
          <w:color w:val="auto"/>
          <w:sz w:val="32"/>
          <w:szCs w:val="32"/>
          <w:highlight w:val="none"/>
        </w:rPr>
        <w:t>三、支出决算表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2"/>
      <w:r>
        <w:rPr>
          <w:rFonts w:hint="eastAsia" w:ascii="Times New Roman" w:hAnsi="Times New Roman" w:eastAsia="仿宋_GB2312" w:cs="仿宋_GB2312"/>
          <w:color w:val="auto"/>
          <w:sz w:val="32"/>
          <w:szCs w:val="32"/>
          <w:highlight w:val="none"/>
        </w:rPr>
        <w:t>四、财政拨款收入支出决算总表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3"/>
      <w:r>
        <w:rPr>
          <w:rFonts w:hint="eastAsia" w:ascii="Times New Roman" w:hAnsi="Times New Roman" w:eastAsia="仿宋_GB2312" w:cs="仿宋_GB2312"/>
          <w:color w:val="auto"/>
          <w:sz w:val="32"/>
          <w:szCs w:val="32"/>
          <w:highlight w:val="none"/>
        </w:rPr>
        <w:t>五、财政拨款支出决算明细表</w:t>
      </w:r>
      <w:bookmarkEnd w:id="54"/>
      <w:bookmarkStart w:id="55"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5"/>
      <w:r>
        <w:rPr>
          <w:rFonts w:hint="eastAsia" w:ascii="Times New Roman" w:hAnsi="Times New Roman" w:eastAsia="仿宋_GB2312" w:cs="仿宋_GB2312"/>
          <w:color w:val="auto"/>
          <w:sz w:val="32"/>
          <w:szCs w:val="32"/>
          <w:highlight w:val="none"/>
        </w:rPr>
        <w:t>七、一般公共预算财政拨款支出决算明细表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6"/>
      <w:r>
        <w:rPr>
          <w:rFonts w:hint="eastAsia" w:ascii="Times New Roman" w:hAnsi="Times New Roman" w:eastAsia="仿宋_GB2312" w:cs="仿宋_GB2312"/>
          <w:color w:val="auto"/>
          <w:sz w:val="32"/>
          <w:szCs w:val="32"/>
          <w:highlight w:val="none"/>
        </w:rPr>
        <w:t>八、一般公共预算财政拨款基本支出决算表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7"/>
      <w:r>
        <w:rPr>
          <w:rFonts w:hint="eastAsia" w:ascii="Times New Roman" w:hAnsi="Times New Roman" w:eastAsia="仿宋_GB2312" w:cs="仿宋_GB2312"/>
          <w:color w:val="auto"/>
          <w:sz w:val="32"/>
          <w:szCs w:val="32"/>
          <w:highlight w:val="none"/>
        </w:rPr>
        <w:t>九、一般公共预算财政拨款项目支出决算表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8"/>
      <w:r>
        <w:rPr>
          <w:rFonts w:hint="eastAsia" w:ascii="Times New Roman" w:hAnsi="Times New Roman" w:eastAsia="仿宋_GB2312" w:cs="仿宋_GB2312"/>
          <w:color w:val="auto"/>
          <w:sz w:val="32"/>
          <w:szCs w:val="32"/>
          <w:highlight w:val="none"/>
        </w:rPr>
        <w:t>十、</w:t>
      </w:r>
      <w:bookmarkEnd w:id="59"/>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9"/>
      <w:r>
        <w:rPr>
          <w:rFonts w:hint="eastAsia" w:ascii="Times New Roman" w:hAnsi="Times New Roman" w:eastAsia="仿宋_GB2312" w:cs="仿宋_GB2312"/>
          <w:color w:val="auto"/>
          <w:sz w:val="32"/>
          <w:szCs w:val="32"/>
          <w:highlight w:val="none"/>
        </w:rPr>
        <w:t>十一、</w:t>
      </w:r>
      <w:bookmarkEnd w:id="6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30"/>
      <w:r>
        <w:rPr>
          <w:rFonts w:hint="eastAsia" w:ascii="Times New Roman" w:hAnsi="Times New Roman" w:eastAsia="仿宋_GB2312" w:cs="仿宋_GB2312"/>
          <w:color w:val="auto"/>
          <w:sz w:val="32"/>
          <w:szCs w:val="32"/>
          <w:highlight w:val="none"/>
        </w:rPr>
        <w:t>十二、</w:t>
      </w:r>
      <w:bookmarkEnd w:id="61"/>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2" w:name="_Toc15396631"/>
      <w:r>
        <w:rPr>
          <w:rFonts w:hint="eastAsia" w:ascii="Times New Roman" w:hAnsi="Times New Roman" w:eastAsia="仿宋_GB2312" w:cs="仿宋_GB2312"/>
          <w:color w:val="auto"/>
          <w:sz w:val="32"/>
          <w:szCs w:val="32"/>
          <w:highlight w:val="none"/>
        </w:rPr>
        <w:t>十三、</w:t>
      </w:r>
      <w:bookmarkEnd w:id="62"/>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
    <w:altName w:val="Quicksand Light"/>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Quicksand Light">
    <w:panose1 w:val="00000400000000000000"/>
    <w:charset w:val="00"/>
    <w:family w:val="auto"/>
    <w:pitch w:val="default"/>
    <w:sig w:usb0="2000000F" w:usb1="00000001" w:usb2="00000000" w:usb3="00000000" w:csb0="2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47C4D"/>
    <w:multiLevelType w:val="singleLevel"/>
    <w:tmpl w:val="FFB47C4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79E1115"/>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5F71951"/>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08313"/>
    <w:rsid w:val="7F79F205"/>
    <w:rsid w:val="7FA30C79"/>
    <w:rsid w:val="7FA79C44"/>
    <w:rsid w:val="7FAF8ABF"/>
    <w:rsid w:val="7FB7269E"/>
    <w:rsid w:val="7FC96657"/>
    <w:rsid w:val="7FDA9588"/>
    <w:rsid w:val="7FDF220F"/>
    <w:rsid w:val="7FEDC5F7"/>
    <w:rsid w:val="7FEDD9DE"/>
    <w:rsid w:val="7FF5890D"/>
    <w:rsid w:val="7FF93490"/>
    <w:rsid w:val="99FF2014"/>
    <w:rsid w:val="9FBC303E"/>
    <w:rsid w:val="A6DD0D7F"/>
    <w:rsid w:val="ACFF4FBB"/>
    <w:rsid w:val="ADC6F725"/>
    <w:rsid w:val="B3FB66B0"/>
    <w:rsid w:val="B6B6041C"/>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7BF085B"/>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A9FA70"/>
    <w:rsid w:val="FBFF5B2E"/>
    <w:rsid w:val="FD7FFE2B"/>
    <w:rsid w:val="FDBE3A5F"/>
    <w:rsid w:val="FDEE196B"/>
    <w:rsid w:val="FDFE6575"/>
    <w:rsid w:val="FDFFD076"/>
    <w:rsid w:val="FEDFDDC2"/>
    <w:rsid w:val="FEED32F6"/>
    <w:rsid w:val="FEF781DD"/>
    <w:rsid w:val="FF3F7E3F"/>
    <w:rsid w:val="FFBA12D7"/>
    <w:rsid w:val="FFCBD314"/>
    <w:rsid w:val="FFDFF91C"/>
    <w:rsid w:val="FFDFFAEE"/>
    <w:rsid w:val="FFEB1C1F"/>
    <w:rsid w:val="FFEF6777"/>
    <w:rsid w:val="FFF9B57B"/>
    <w:rsid w:val="FFFD61D9"/>
    <w:rsid w:val="FFFD8F59"/>
    <w:rsid w:val="FFFF2BB1"/>
    <w:rsid w:val="FFFFB04D"/>
    <w:rsid w:val="FFFFFA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footer" Target="footer1.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jpe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2023</a:t>
            </a:r>
            <a:r>
              <a:rPr altLang="en-US"/>
              <a:t>年和</a:t>
            </a:r>
            <a:r>
              <a:rPr lang="en-US" altLang="zh-CN"/>
              <a:t>2024</a:t>
            </a:r>
            <a:r>
              <a:rPr altLang="en-US"/>
              <a:t>年收支变动柱状图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numRef>
              <c:f>Sheet1!$A$2:$A$3</c:f>
              <c:numCache>
                <c:formatCode>General</c:formatCode>
                <c:ptCount val="2"/>
                <c:pt idx="0">
                  <c:v>2023</c:v>
                </c:pt>
                <c:pt idx="1">
                  <c:v>2024</c:v>
                </c:pt>
              </c:numCache>
            </c:numRef>
          </c:cat>
          <c:val>
            <c:numRef>
              <c:f>Sheet1!$B$2:$B$3</c:f>
              <c:numCache>
                <c:formatCode>General</c:formatCode>
                <c:ptCount val="2"/>
                <c:pt idx="0">
                  <c:v>4485.83</c:v>
                </c:pt>
                <c:pt idx="1">
                  <c:v>4308.34</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numRef>
              <c:f>Sheet1!$A$2:$A$3</c:f>
              <c:numCache>
                <c:formatCode>General</c:formatCode>
                <c:ptCount val="2"/>
                <c:pt idx="0">
                  <c:v>2023</c:v>
                </c:pt>
                <c:pt idx="1">
                  <c:v>2024</c:v>
                </c:pt>
              </c:numCache>
            </c:numRef>
          </c:cat>
          <c:val>
            <c:numRef>
              <c:f>Sheet1!$C$2:$C$3</c:f>
              <c:numCache>
                <c:formatCode>General</c:formatCode>
                <c:ptCount val="2"/>
                <c:pt idx="0">
                  <c:v>4485.83</c:v>
                </c:pt>
                <c:pt idx="1">
                  <c:v>4308.34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2023</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18515502"/>
        <c:axId val="762980785"/>
      </c:barChart>
      <c:catAx>
        <c:axId val="1851550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80785"/>
        <c:crosses val="autoZero"/>
        <c:auto val="1"/>
        <c:lblAlgn val="ctr"/>
        <c:lblOffset val="100"/>
        <c:noMultiLvlLbl val="0"/>
      </c:catAx>
      <c:valAx>
        <c:axId val="76298078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1550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一般公共预算财政拨款收入</c:v>
                </c:pt>
                <c:pt idx="1">
                  <c:v>事业收入</c:v>
                </c:pt>
              </c:strCache>
            </c:strRef>
          </c:cat>
          <c:val>
            <c:numRef>
              <c:f>Sheet1!$B$2:$B$3</c:f>
              <c:numCache>
                <c:formatCode>General</c:formatCode>
                <c:ptCount val="2"/>
                <c:pt idx="0">
                  <c:v>4308.34</c:v>
                </c:pt>
                <c:pt idx="1">
                  <c:v>52.1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18764946065026"/>
          <c:y val="0.90776491893756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项目支出</c:v>
                </c:pt>
                <c:pt idx="1">
                  <c:v>基本支出</c:v>
                </c:pt>
              </c:strCache>
            </c:strRef>
          </c:cat>
          <c:val>
            <c:numRef>
              <c:f>Sheet1!$B$2:$B$3</c:f>
              <c:numCache>
                <c:formatCode>General</c:formatCode>
                <c:ptCount val="2"/>
                <c:pt idx="0">
                  <c:v>693.08</c:v>
                </c:pt>
                <c:pt idx="1">
                  <c:v>3615.25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2023年</c:v>
                </c:pt>
                <c:pt idx="1">
                  <c:v>2024年</c:v>
                </c:pt>
              </c:strCache>
            </c:strRef>
          </c:cat>
          <c:val>
            <c:numRef>
              <c:f>Sheet1!$B$2:$B$3</c:f>
              <c:numCache>
                <c:formatCode>General</c:formatCode>
                <c:ptCount val="2"/>
                <c:pt idx="0">
                  <c:v>4415.85</c:v>
                </c:pt>
                <c:pt idx="1">
                  <c:v>4256.24</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2023年</c:v>
                </c:pt>
                <c:pt idx="1">
                  <c:v>2024年</c:v>
                </c:pt>
              </c:strCache>
            </c:strRef>
          </c:cat>
          <c:val>
            <c:numRef>
              <c:f>Sheet1!$C$2:$C$3</c:f>
              <c:numCache>
                <c:formatCode>General</c:formatCode>
                <c:ptCount val="2"/>
                <c:pt idx="0">
                  <c:v>4415.85</c:v>
                </c:pt>
                <c:pt idx="1">
                  <c:v>4256.24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2023年</c:v>
                </c:pt>
                <c:pt idx="1">
                  <c:v>2024年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541002569"/>
        <c:axId val="896527700"/>
      </c:barChart>
      <c:catAx>
        <c:axId val="54100256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6527700"/>
        <c:crosses val="autoZero"/>
        <c:auto val="1"/>
        <c:lblAlgn val="ctr"/>
        <c:lblOffset val="100"/>
        <c:noMultiLvlLbl val="0"/>
      </c:catAx>
      <c:valAx>
        <c:axId val="8965277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00256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86657067434605"/>
          <c:y val="0.121311317118556"/>
          <c:w val="0.902086729703293"/>
          <c:h val="0.597676073037705"/>
        </c:manualLayout>
      </c:layout>
      <c:barChart>
        <c:barDir val="col"/>
        <c:grouping val="clustered"/>
        <c:varyColors val="0"/>
        <c:ser>
          <c:idx val="0"/>
          <c:order val="0"/>
          <c:tx>
            <c:strRef>
              <c:f>Sheet1!$B$1</c:f>
              <c:strCache>
                <c:ptCount val="1"/>
                <c:pt idx="0">
                  <c:v>一般公共预算支出</c:v>
                </c:pt>
              </c:strCache>
            </c:strRef>
          </c:tx>
          <c:spPr>
            <a:solidFill>
              <a:schemeClr val="accent1"/>
            </a:solidFill>
            <a:ln>
              <a:noFill/>
            </a:ln>
            <a:effectLst/>
          </c:spPr>
          <c:invertIfNegative val="0"/>
          <c:dLbls>
            <c:delete val="1"/>
          </c:dLbls>
          <c:cat>
            <c:strRef>
              <c:f>Sheet1!$A$2:$A$3</c:f>
              <c:strCache>
                <c:ptCount val="2"/>
                <c:pt idx="0">
                  <c:v>2023年</c:v>
                </c:pt>
                <c:pt idx="1">
                  <c:v>2024年</c:v>
                </c:pt>
              </c:strCache>
            </c:strRef>
          </c:cat>
          <c:val>
            <c:numRef>
              <c:f>Sheet1!$B$2:$B$3</c:f>
              <c:numCache>
                <c:formatCode>General</c:formatCode>
                <c:ptCount val="2"/>
                <c:pt idx="0">
                  <c:v>4415.85</c:v>
                </c:pt>
                <c:pt idx="1">
                  <c:v>4256.24</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Sheet1!$A$2:$A$3</c:f>
              <c:strCache>
                <c:ptCount val="2"/>
                <c:pt idx="0">
                  <c:v>2023年</c:v>
                </c:pt>
                <c:pt idx="1">
                  <c:v>2024年</c:v>
                </c:pt>
              </c:strCache>
            </c:strRef>
          </c:cat>
          <c:val>
            <c:numRef>
              <c:f>Sheet1!$C$2:$C$3</c:f>
              <c:numCache>
                <c:formatCode>General</c:formatCode>
                <c:ptCount val="2"/>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Sheet1!$A$2:$A$3</c:f>
              <c:strCache>
                <c:ptCount val="2"/>
                <c:pt idx="0">
                  <c:v>2023年</c:v>
                </c:pt>
                <c:pt idx="1">
                  <c:v>2024年</c:v>
                </c:pt>
              </c:strCache>
            </c:strRef>
          </c:cat>
          <c:val>
            <c:numRef>
              <c:f>Sheet1!$D$2:$D$3</c:f>
              <c:numCache>
                <c:formatCode>General</c:formatCode>
                <c:ptCount val="2"/>
              </c:numCache>
            </c:numRef>
          </c:val>
        </c:ser>
        <c:dLbls>
          <c:showLegendKey val="0"/>
          <c:showVal val="0"/>
          <c:showCatName val="0"/>
          <c:showSerName val="0"/>
          <c:showPercent val="0"/>
          <c:showBubbleSize val="0"/>
        </c:dLbls>
        <c:gapWidth val="219"/>
        <c:overlap val="-27"/>
        <c:axId val="13866650"/>
        <c:axId val="853160655"/>
      </c:barChart>
      <c:catAx>
        <c:axId val="13866650"/>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3160655"/>
        <c:crosses val="autoZero"/>
        <c:auto val="1"/>
        <c:lblAlgn val="ctr"/>
        <c:lblOffset val="100"/>
        <c:noMultiLvlLbl val="0"/>
      </c:catAx>
      <c:valAx>
        <c:axId val="8531606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666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3495</c:v>
                </c:pt>
                <c:pt idx="1">
                  <c:v>416.03</c:v>
                </c:pt>
                <c:pt idx="2">
                  <c:v>188.43</c:v>
                </c:pt>
                <c:pt idx="3">
                  <c:v>208.68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25</c:v>
                </c:pt>
                <c:pt idx="2">
                  <c:v>0.27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5</TotalTime>
  <ScaleCrop>false</ScaleCrop>
  <LinksUpToDate>false</LinksUpToDate>
  <CharactersWithSpaces>8692</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huawei</cp:lastModifiedBy>
  <cp:lastPrinted>2025-09-09T09:40:28Z</cp:lastPrinted>
  <dcterms:modified xsi:type="dcterms:W3CDTF">2025-09-09T09:43:41Z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04787F2533EB45DC91BCDE4AB213247F</vt:lpwstr>
  </property>
</Properties>
</file>