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EB68D">
      <w:pPr>
        <w:outlineLvl w:val="9"/>
        <w:rPr>
          <w:rFonts w:ascii="Times New Roman" w:hAnsi="Times New Roman"/>
        </w:rPr>
      </w:pPr>
      <w:bookmarkStart w:id="0" w:name="_Toc15377425"/>
      <w:bookmarkStart w:id="1" w:name="_Toc15378441"/>
      <w:bookmarkStart w:id="2" w:name="_Toc15377193"/>
      <w:bookmarkStart w:id="3" w:name="_Toc15396597"/>
      <w:bookmarkStart w:id="4" w:name="_Toc15396475"/>
      <w:bookmarkStart w:id="5" w:name="_Toc15306267"/>
    </w:p>
    <w:p w14:paraId="3138695E">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1B5A2C6E">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68973072">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173AEAA4">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FD7CA27">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476"/>
      <w:bookmarkStart w:id="8" w:name="_Toc15378442"/>
      <w:bookmarkStart w:id="9" w:name="_Toc15396598"/>
      <w:bookmarkStart w:id="10" w:name="_Toc15377426"/>
      <w:r>
        <w:rPr>
          <w:rFonts w:hint="eastAsia" w:ascii="Times New Roman" w:hAnsi="Times New Roman" w:eastAsia="方正小标宋简体" w:cs="Times New Roman"/>
          <w:color w:val="auto"/>
          <w:kern w:val="2"/>
          <w:sz w:val="44"/>
          <w:szCs w:val="44"/>
          <w:highlight w:val="none"/>
          <w:lang w:val="en-US" w:eastAsia="zh-CN" w:bidi="ar-SA"/>
        </w:rPr>
        <w:t>2024年度四川省</w:t>
      </w:r>
      <w:bookmarkEnd w:id="5"/>
      <w:bookmarkStart w:id="11" w:name="_Toc15306268"/>
      <w:r>
        <w:rPr>
          <w:rFonts w:hint="eastAsia" w:ascii="方正小标宋简体" w:eastAsia="方正小标宋简体" w:cs="Times New Roman"/>
          <w:color w:val="auto"/>
          <w:kern w:val="2"/>
          <w:sz w:val="44"/>
          <w:szCs w:val="44"/>
          <w:highlight w:val="none"/>
          <w:lang w:val="en-US" w:eastAsia="zh-CN" w:bidi="ar-SA"/>
        </w:rPr>
        <w:t>威州民族师范学校附属小学校</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3658D9CB">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4E394E59">
      <w:pPr>
        <w:widowControl/>
        <w:jc w:val="center"/>
        <w:rPr>
          <w:rFonts w:ascii="Times New Roman" w:hAnsi="Times New Roman" w:eastAsia="黑体" w:cs="Arial"/>
          <w:color w:val="auto"/>
          <w:sz w:val="28"/>
          <w:szCs w:val="28"/>
          <w:highlight w:val="none"/>
        </w:rPr>
      </w:pPr>
    </w:p>
    <w:p w14:paraId="5B73BA21">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24</w:t>
      </w:r>
      <w:r>
        <w:rPr>
          <w:rFonts w:hint="eastAsia" w:ascii="Times New Roman" w:hAnsi="Times New Roman" w:eastAsia="仿宋_GB2312" w:cs="仿宋_GB2312"/>
          <w:color w:val="auto"/>
          <w:sz w:val="32"/>
          <w:szCs w:val="32"/>
          <w:highlight w:val="none"/>
        </w:rPr>
        <w:t>年</w:t>
      </w:r>
      <w:r>
        <w:rPr>
          <w:rFonts w:hint="eastAsia" w:asci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eastAsia="仿宋_GB2312" w:cs="仿宋_GB2312"/>
          <w:color w:val="auto"/>
          <w:sz w:val="32"/>
          <w:szCs w:val="32"/>
          <w:highlight w:val="none"/>
          <w:lang w:val="en-US" w:eastAsia="zh-CN"/>
        </w:rPr>
        <w:t>21</w:t>
      </w:r>
      <w:r>
        <w:rPr>
          <w:rFonts w:hint="eastAsia" w:ascii="Times New Roman" w:hAnsi="Times New Roman" w:eastAsia="仿宋_GB2312" w:cs="仿宋_GB2312"/>
          <w:color w:val="auto"/>
          <w:sz w:val="32"/>
          <w:szCs w:val="32"/>
          <w:highlight w:val="none"/>
        </w:rPr>
        <w:t>日</w:t>
      </w:r>
    </w:p>
    <w:p w14:paraId="2439A8E3">
      <w:pPr>
        <w:rPr>
          <w:rFonts w:ascii="Times New Roman" w:hAnsi="Times New Roman"/>
          <w:color w:val="auto"/>
          <w:highlight w:val="none"/>
        </w:rPr>
      </w:pPr>
    </w:p>
    <w:p w14:paraId="20C2AE8D"/>
    <w:p w14:paraId="3D036399">
      <w:pPr>
        <w:pStyle w:val="14"/>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outlineLvl w:val="0"/>
        <w:rPr>
          <w:rFonts w:hint="default" w:ascii="Times New Roman" w:hAnsi="Times New Roman" w:eastAsia="黑体" w:cs="黑体"/>
          <w:color w:val="auto"/>
          <w:sz w:val="32"/>
          <w:szCs w:val="32"/>
          <w:highlight w:val="none"/>
          <w:lang w:val="en-US" w:eastAsia="zh-CN"/>
        </w:rPr>
      </w:pPr>
      <w:bookmarkStart w:id="12" w:name="_Toc12438"/>
      <w:r>
        <w:rPr>
          <w:rFonts w:hint="eastAsia" w:ascii="Times New Roman" w:hAnsi="Times New Roman" w:eastAsia="黑体" w:cs="黑体"/>
          <w:color w:val="auto"/>
          <w:sz w:val="32"/>
          <w:szCs w:val="32"/>
          <w:highlight w:val="none"/>
        </w:rPr>
        <w:t>第一部分 部门概况</w:t>
      </w:r>
      <w:bookmarkEnd w:id="12"/>
      <w:r>
        <w:rPr>
          <w:rFonts w:hint="eastAsia" w:ascii="Times New Roman" w:eastAsia="黑体" w:cs="黑体"/>
          <w:color w:val="auto"/>
          <w:sz w:val="32"/>
          <w:szCs w:val="32"/>
          <w:highlight w:val="none"/>
          <w:lang w:val="en-US" w:eastAsia="zh-CN"/>
        </w:rPr>
        <w:t>.................................................................1</w:t>
      </w:r>
    </w:p>
    <w:p w14:paraId="4E98DB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227AEA9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...................................................................1</w:t>
      </w:r>
    </w:p>
    <w:p w14:paraId="5B43000D">
      <w:pPr>
        <w:pStyle w:val="14"/>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outlineLvl w:val="0"/>
        <w:rPr>
          <w:rFonts w:hint="default" w:ascii="Times New Roman" w:hAnsi="Times New Roman" w:eastAsia="黑体" w:cs="黑体"/>
          <w:color w:val="auto"/>
          <w:sz w:val="32"/>
          <w:szCs w:val="32"/>
          <w:highlight w:val="none"/>
          <w:lang w:val="en-US" w:eastAsia="zh-CN"/>
        </w:rPr>
      </w:pPr>
      <w:bookmarkStart w:id="13" w:name="_Toc8306"/>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2024年度</w:t>
      </w:r>
      <w:r>
        <w:rPr>
          <w:rFonts w:hint="eastAsia" w:ascii="Times New Roman" w:hAnsi="Times New Roman" w:eastAsia="黑体" w:cs="黑体"/>
          <w:color w:val="auto"/>
          <w:sz w:val="32"/>
          <w:szCs w:val="32"/>
          <w:highlight w:val="none"/>
        </w:rPr>
        <w:t>部门决算情况说明</w:t>
      </w:r>
      <w:bookmarkEnd w:id="13"/>
      <w:r>
        <w:rPr>
          <w:rFonts w:hint="eastAsia" w:ascii="Times New Roman" w:eastAsia="黑体" w:cs="黑体"/>
          <w:color w:val="auto"/>
          <w:sz w:val="32"/>
          <w:szCs w:val="32"/>
          <w:highlight w:val="none"/>
          <w:lang w:val="en-US" w:eastAsia="zh-CN"/>
        </w:rPr>
        <w:t>................................2</w:t>
      </w:r>
    </w:p>
    <w:p w14:paraId="2DB661A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...................................2</w:t>
      </w:r>
    </w:p>
    <w:p w14:paraId="54264FB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...................................................2</w:t>
      </w:r>
    </w:p>
    <w:p w14:paraId="688B93B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...................................................3</w:t>
      </w:r>
    </w:p>
    <w:p w14:paraId="2DF3731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39DBF42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...........4</w:t>
      </w:r>
    </w:p>
    <w:p w14:paraId="2574690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14:paraId="450DDDB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...........7</w:t>
      </w:r>
    </w:p>
    <w:p w14:paraId="79B14E9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.......................9</w:t>
      </w:r>
    </w:p>
    <w:p w14:paraId="5559C63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...................9</w:t>
      </w:r>
    </w:p>
    <w:p w14:paraId="21A3E77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.......................................9</w:t>
      </w:r>
    </w:p>
    <w:p w14:paraId="4EC4BC1B">
      <w:pPr>
        <w:pStyle w:val="14"/>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eastAsia="黑体" w:cs="黑体"/>
          <w:color w:val="auto"/>
          <w:sz w:val="32"/>
          <w:szCs w:val="32"/>
          <w:highlight w:val="none"/>
          <w:lang w:val="en-US" w:eastAsia="zh-CN"/>
        </w:rPr>
        <w:t>...............................................................12</w:t>
      </w:r>
    </w:p>
    <w:p w14:paraId="0D003D5F">
      <w:pPr>
        <w:pStyle w:val="14"/>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eastAsia="黑体" w:cs="黑体"/>
          <w:color w:val="auto"/>
          <w:sz w:val="32"/>
          <w:szCs w:val="32"/>
          <w:highlight w:val="none"/>
          <w:lang w:val="en-US" w:eastAsia="zh-CN"/>
        </w:rPr>
        <w:t>.......................................................................15</w:t>
      </w:r>
    </w:p>
    <w:p w14:paraId="583A10DD">
      <w:pPr>
        <w:pStyle w:val="14"/>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eastAsia="黑体" w:cs="黑体"/>
          <w:color w:val="auto"/>
          <w:sz w:val="32"/>
          <w:szCs w:val="32"/>
          <w:highlight w:val="none"/>
          <w:lang w:val="en-US" w:eastAsia="zh-CN"/>
        </w:rPr>
        <w:t>.......................................................................29</w:t>
      </w:r>
    </w:p>
    <w:p w14:paraId="008A632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346559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98B718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7BD27D4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8F20B5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47ED495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EE934C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22BE94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7C7F5E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14B6C5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F5E233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59C6E85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7F4E57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DA5F048">
      <w:pPr>
        <w:pStyle w:val="3"/>
        <w:jc w:val="center"/>
        <w:rPr>
          <w:rFonts w:hint="eastAsia" w:ascii="Times New Roman" w:hAnsi="Times New Roman" w:eastAsia="方正小标宋简体" w:cs="方正小标宋简体"/>
          <w:b w:val="0"/>
          <w:color w:val="auto"/>
          <w:highlight w:val="none"/>
        </w:rPr>
        <w:sectPr>
          <w:headerReference r:id="rId3" w:type="default"/>
          <w:footerReference r:id="rId4" w:type="default"/>
          <w:pgSz w:w="11906" w:h="16838"/>
          <w:pgMar w:top="1440" w:right="1800" w:bottom="1440" w:left="1800" w:header="851" w:footer="992" w:gutter="0"/>
          <w:pgNumType w:fmt="numberInDash" w:start="1"/>
          <w:cols w:space="720" w:num="1"/>
          <w:titlePg/>
          <w:docGrid w:type="lines" w:linePitch="312" w:charSpace="0"/>
        </w:sectPr>
      </w:pPr>
      <w:bookmarkStart w:id="14" w:name="_Toc15377196"/>
      <w:bookmarkStart w:id="15" w:name="_Toc15396599"/>
    </w:p>
    <w:p w14:paraId="78876EC5">
      <w:pPr>
        <w:pStyle w:val="3"/>
        <w:jc w:val="center"/>
        <w:rPr>
          <w:rStyle w:val="2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1"/>
          <w:rFonts w:hint="eastAsia" w:ascii="Times New Roman" w:hAnsi="Times New Roman" w:eastAsia="方正小标宋简体" w:cs="方正小标宋简体"/>
          <w:b w:val="0"/>
          <w:bCs w:val="0"/>
          <w:color w:val="auto"/>
          <w:highlight w:val="none"/>
        </w:rPr>
        <w:t>部门概况</w:t>
      </w:r>
      <w:bookmarkEnd w:id="14"/>
      <w:bookmarkEnd w:id="15"/>
    </w:p>
    <w:p w14:paraId="1062BF1F">
      <w:pPr>
        <w:widowControl/>
        <w:jc w:val="left"/>
        <w:rPr>
          <w:rFonts w:ascii="Times New Roman" w:hAnsi="Times New Roman" w:eastAsia="黑体"/>
          <w:color w:val="auto"/>
          <w:sz w:val="32"/>
          <w:szCs w:val="32"/>
          <w:highlight w:val="none"/>
        </w:rPr>
      </w:pPr>
    </w:p>
    <w:p w14:paraId="1C4B3393">
      <w:pPr>
        <w:pStyle w:val="4"/>
        <w:numPr>
          <w:ilvl w:val="0"/>
          <w:numId w:val="1"/>
        </w:numPr>
        <w:ind w:left="640" w:leftChars="0" w:hanging="640" w:firstLineChars="0"/>
        <w:outlineLvl w:val="1"/>
        <w:rPr>
          <w:rFonts w:ascii="Times New Roman" w:hAnsi="Times New Roman" w:eastAsia="黑体"/>
          <w:b w:val="0"/>
          <w:color w:val="auto"/>
          <w:highlight w:val="none"/>
          <w:lang w:eastAsia="zh-CN"/>
        </w:rPr>
      </w:pPr>
      <w:bookmarkStart w:id="16" w:name="_Toc15396600"/>
      <w:bookmarkEnd w:id="16"/>
      <w:bookmarkStart w:id="17" w:name="_Toc15377197"/>
      <w:bookmarkEnd w:id="17"/>
      <w:r>
        <w:rPr>
          <w:rFonts w:hint="eastAsia" w:ascii="Times New Roman" w:hAnsi="Times New Roman" w:eastAsia="黑体"/>
          <w:b w:val="0"/>
          <w:color w:val="auto"/>
          <w:highlight w:val="none"/>
          <w:lang w:eastAsia="zh-CN"/>
        </w:rPr>
        <w:t>部门职责</w:t>
      </w:r>
    </w:p>
    <w:p w14:paraId="19387282">
      <w:pPr>
        <w:ind w:firstLine="800" w:firstLineChars="250"/>
        <w:rPr>
          <w:rFonts w:hint="eastAsia"/>
        </w:rPr>
      </w:pPr>
      <w:r>
        <w:rPr>
          <w:rFonts w:hint="eastAsia" w:ascii="仿宋" w:eastAsia="仿宋" w:cs="Times New Roman"/>
          <w:color w:val="auto"/>
          <w:sz w:val="32"/>
          <w:szCs w:val="32"/>
          <w:highlight w:val="none"/>
          <w:lang w:val="en-US" w:eastAsia="zh-CN" w:bidi="ar-SA"/>
        </w:rPr>
        <w:t>在州教育局的领导下，实施小学义务教育，促进小学教育发展。</w:t>
      </w:r>
    </w:p>
    <w:p w14:paraId="0804FD26">
      <w:pPr>
        <w:pStyle w:val="4"/>
        <w:outlineLvl w:val="1"/>
        <w:rPr>
          <w:rStyle w:val="22"/>
          <w:rFonts w:ascii="Times New Roman" w:hAnsi="Times New Roman"/>
          <w:b w:val="0"/>
          <w:bCs w:val="0"/>
          <w:color w:val="auto"/>
          <w:highlight w:val="none"/>
        </w:rPr>
      </w:pPr>
      <w:bookmarkStart w:id="18" w:name="_Toc15396601"/>
      <w:bookmarkStart w:id="19" w:name="_Toc15377200"/>
      <w:r>
        <w:rPr>
          <w:rFonts w:hint="eastAsia" w:ascii="Times New Roman" w:hAnsi="Times New Roman" w:eastAsia="黑体"/>
          <w:b w:val="0"/>
          <w:color w:val="auto"/>
          <w:highlight w:val="none"/>
        </w:rPr>
        <w:t>二、机</w:t>
      </w:r>
      <w:r>
        <w:rPr>
          <w:rStyle w:val="22"/>
          <w:rFonts w:hint="eastAsia" w:ascii="Times New Roman" w:hAnsi="Times New Roman" w:eastAsia="黑体"/>
          <w:b w:val="0"/>
          <w:bCs w:val="0"/>
          <w:color w:val="auto"/>
          <w:highlight w:val="none"/>
        </w:rPr>
        <w:t>构设置</w:t>
      </w:r>
      <w:bookmarkEnd w:id="18"/>
      <w:bookmarkEnd w:id="19"/>
    </w:p>
    <w:p w14:paraId="644EC7E0">
      <w:pPr>
        <w:ind w:firstLine="800" w:firstLineChars="250"/>
        <w:rPr>
          <w:rFonts w:hint="eastAsia" w:ascii="Times New Roman" w:hAnsi="Times New Roman" w:eastAsia="仿宋_GB2312" w:cs="仿宋_GB2312"/>
          <w:color w:val="auto"/>
          <w:sz w:val="32"/>
          <w:szCs w:val="32"/>
          <w:highlight w:val="none"/>
        </w:rPr>
      </w:pPr>
      <w:r>
        <w:rPr>
          <w:rFonts w:hint="eastAsia" w:ascii="仿宋_GB2312" w:eastAsia="仿宋_GB2312" w:cs="仿宋_GB2312"/>
          <w:color w:val="auto"/>
          <w:sz w:val="32"/>
          <w:szCs w:val="32"/>
          <w:highlight w:val="none"/>
        </w:rPr>
        <w:t>四川省威州民族师范学校附属小学校</w:t>
      </w:r>
      <w:r>
        <w:rPr>
          <w:rFonts w:ascii="仿宋_GB2312" w:eastAsia="仿宋_GB2312" w:cs="仿宋_GB2312"/>
          <w:color w:val="auto"/>
          <w:sz w:val="32"/>
          <w:szCs w:val="32"/>
          <w:highlight w:val="none"/>
        </w:rPr>
        <w:t>属二级预算单位，无</w:t>
      </w:r>
      <w:r>
        <w:rPr>
          <w:rFonts w:hint="eastAsia" w:ascii="Times New Roman" w:hAnsi="Times New Roman" w:eastAsia="仿宋_GB2312" w:cs="仿宋_GB2312"/>
          <w:color w:val="auto"/>
          <w:sz w:val="32"/>
          <w:szCs w:val="32"/>
          <w:highlight w:val="none"/>
        </w:rPr>
        <w:t>下属</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p>
    <w:p w14:paraId="0E50198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bookmarkStart w:id="72" w:name="_GoBack"/>
      <w:bookmarkEnd w:id="72"/>
    </w:p>
    <w:p w14:paraId="4AE2BCFB">
      <w:pPr>
        <w:pStyle w:val="3"/>
        <w:jc w:val="center"/>
        <w:rPr>
          <w:rFonts w:hint="eastAsia" w:ascii="Times New Roman" w:hAnsi="Times New Roman" w:eastAsia="方正小标宋简体" w:cs="方正小标宋简体"/>
          <w:b w:val="0"/>
          <w:color w:val="auto"/>
          <w:highlight w:val="none"/>
        </w:rPr>
      </w:pPr>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20"/>
      <w:bookmarkEnd w:id="21"/>
    </w:p>
    <w:p w14:paraId="6E9811C3">
      <w:pPr>
        <w:rPr>
          <w:rFonts w:ascii="Times New Roman" w:hAnsi="Times New Roman"/>
          <w:color w:val="auto"/>
          <w:highlight w:val="none"/>
        </w:rPr>
      </w:pPr>
    </w:p>
    <w:p w14:paraId="63AA413A">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1"/>
        <w:rPr>
          <w:rStyle w:val="22"/>
          <w:rFonts w:hint="eastAsia" w:ascii="Times New Roman" w:hAnsi="Times New Roman" w:eastAsia="黑体"/>
          <w:b w:val="0"/>
          <w:color w:val="auto"/>
          <w:highlight w:val="none"/>
        </w:rPr>
      </w:pPr>
      <w:bookmarkStart w:id="22" w:name="_Toc15377205"/>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2"/>
          <w:rFonts w:hint="eastAsia" w:ascii="Times New Roman" w:hAnsi="Times New Roman" w:eastAsia="黑体"/>
          <w:b w:val="0"/>
          <w:color w:val="auto"/>
          <w:highlight w:val="none"/>
        </w:rPr>
        <w:t>入支出决算总体情况说明</w:t>
      </w:r>
      <w:bookmarkEnd w:id="22"/>
      <w:bookmarkEnd w:id="23"/>
    </w:p>
    <w:p w14:paraId="1A3107D2">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2024年度收入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仿宋_GB2312"/>
          <w:sz w:val="32"/>
          <w:szCs w:val="32"/>
        </w:rPr>
        <w:t>2268.32</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ascii="Times New Roman" w:hAnsi="Times New Roman" w:eastAsia="仿宋_GB2312" w:cs="仿宋_GB2312"/>
          <w:color w:val="auto"/>
          <w:sz w:val="32"/>
          <w:szCs w:val="32"/>
          <w:highlight w:val="none"/>
        </w:rPr>
        <w:t>191.15</w:t>
      </w:r>
      <w:r>
        <w:rPr>
          <w:rFonts w:hint="eastAsia" w:ascii="Times New Roman" w:hAnsi="Times New Roman" w:eastAsia="仿宋_GB2312" w:cs="仿宋_GB2312"/>
          <w:color w:val="auto"/>
          <w:sz w:val="32"/>
          <w:szCs w:val="32"/>
          <w:highlight w:val="none"/>
        </w:rPr>
        <w:t>万元，增长</w:t>
      </w:r>
      <w:r>
        <w:rPr>
          <w:rFonts w:ascii="Times New Roman" w:hAnsi="Times New Roman" w:eastAsia="仿宋_GB2312" w:cs="仿宋_GB2312"/>
          <w:color w:val="auto"/>
          <w:sz w:val="32"/>
          <w:szCs w:val="32"/>
          <w:highlight w:val="none"/>
        </w:rPr>
        <w:t>9.2</w:t>
      </w:r>
      <w:r>
        <w:rPr>
          <w:rFonts w:hint="eastAsia" w:ascii="Times New Roman" w:hAnsi="Times New Roman" w:eastAsia="仿宋_GB2312" w:cs="仿宋_GB2312"/>
          <w:color w:val="auto"/>
          <w:sz w:val="32"/>
          <w:szCs w:val="32"/>
          <w:highlight w:val="none"/>
        </w:rPr>
        <w:t>%。主要变动原因是</w:t>
      </w:r>
      <w:r>
        <w:rPr>
          <w:rFonts w:ascii="Times New Roman" w:hAnsi="Times New Roman" w:eastAsia="仿宋_GB2312" w:cs="仿宋_GB2312"/>
          <w:color w:val="auto"/>
          <w:sz w:val="32"/>
          <w:szCs w:val="32"/>
          <w:highlight w:val="none"/>
        </w:rPr>
        <w:t>项目增加</w:t>
      </w:r>
      <w:r>
        <w:rPr>
          <w:rFonts w:hint="eastAsia" w:eastAsia="仿宋_GB2312" w:cs="仿宋_GB2312"/>
          <w:color w:val="auto"/>
          <w:sz w:val="32"/>
          <w:szCs w:val="32"/>
          <w:highlight w:val="none"/>
          <w:lang w:eastAsia="zh-CN"/>
        </w:rPr>
        <w:t>。</w:t>
      </w:r>
    </w:p>
    <w:p w14:paraId="4D7E10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53AC8F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ascii="仿宋" w:eastAsia="仿宋" w:cs="Times New Roman"/>
          <w:color w:val="000000"/>
          <w:sz w:val="32"/>
          <w:szCs w:val="32"/>
          <w:lang w:eastAsia="zh-CN" w:bidi="ar-SA"/>
        </w:rPr>
        <w:pict>
          <v:shape id="Object 2" o:spid="_x0000_s1026" o:spt="75" alt="0.emf" type="#_x0000_t75" style="position:absolute;left:0pt;margin-left:65.3pt;margin-top:39.95pt;height:257.2pt;width:302.15pt;mso-wrap-distance-bottom:0pt;mso-wrap-distance-top:0pt;z-index:251662336;mso-width-relative:page;mso-height-relative:page;" o:ole="t" filled="f" o:preferrelative="t" stroked="f" coordsize="21600,21600">
            <v:path/>
            <v:fill on="f" focussize="0,0"/>
            <v:stroke on="f"/>
            <v:imagedata r:id="rId9" o:title=""/>
            <o:lock v:ext="edit" aspectratio="t"/>
            <w10:wrap type="topAndBottom"/>
          </v:shape>
          <o:OLEObject Type="Embed" ProgID="Excel.Chart.8" ShapeID="Object 2" DrawAspect="Content" ObjectID="_1468075725" r:id="rId8">
            <o:LockedField>false</o:LockedField>
          </o:OLEObject>
        </w:pict>
      </w:r>
    </w:p>
    <w:p w14:paraId="5D97B961">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15396604"/>
      <w:r>
        <w:rPr>
          <w:rFonts w:hint="eastAsia" w:ascii="Times New Roman" w:hAnsi="Times New Roman" w:eastAsia="黑体"/>
          <w:color w:val="auto"/>
          <w:sz w:val="32"/>
          <w:szCs w:val="32"/>
          <w:highlight w:val="none"/>
          <w:lang w:eastAsia="zh-CN"/>
        </w:rPr>
        <w:t>二、收入决算情况说明</w:t>
      </w:r>
      <w:bookmarkEnd w:id="24"/>
      <w:bookmarkEnd w:id="25"/>
    </w:p>
    <w:p w14:paraId="49A2965F">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eastAsia="仿宋_GB2312" w:cs="仿宋_GB2312"/>
          <w:color w:val="auto"/>
          <w:sz w:val="32"/>
          <w:szCs w:val="32"/>
          <w:highlight w:val="none"/>
          <w:lang w:eastAsia="zh-CN"/>
        </w:rPr>
        <w:t>2024年度本年收入合计</w:t>
      </w:r>
      <w:r>
        <w:rPr>
          <w:rFonts w:hint="eastAsia" w:ascii="仿宋_GB2312" w:eastAsia="仿宋_GB2312" w:cs="仿宋_GB2312"/>
          <w:sz w:val="32"/>
          <w:szCs w:val="32"/>
        </w:rPr>
        <w:t>2268.32万元，其中：一般公共预算财政拨款收入1978.36</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87.2</w:t>
      </w:r>
      <w:r>
        <w:rPr>
          <w:rFonts w:hint="eastAsia" w:ascii="仿宋_GB2312" w:eastAsia="仿宋_GB2312" w:cs="仿宋_GB2312"/>
          <w:sz w:val="32"/>
          <w:szCs w:val="32"/>
          <w:lang w:val="en-US" w:eastAsia="zh-CN"/>
        </w:rPr>
        <w:t>2</w:t>
      </w:r>
      <w:r>
        <w:rPr>
          <w:rFonts w:hint="eastAsia" w:ascii="仿宋_GB2312" w:eastAsia="仿宋_GB2312" w:cs="仿宋_GB2312"/>
          <w:color w:val="auto"/>
          <w:sz w:val="32"/>
          <w:szCs w:val="32"/>
          <w:highlight w:val="none"/>
          <w:lang w:eastAsia="zh-CN"/>
        </w:rPr>
        <w:t>%；其他收入</w:t>
      </w:r>
      <w:r>
        <w:rPr>
          <w:rFonts w:hint="eastAsia" w:ascii="仿宋_GB2312" w:eastAsia="仿宋_GB2312" w:cs="仿宋_GB2312"/>
          <w:sz w:val="32"/>
          <w:szCs w:val="32"/>
        </w:rPr>
        <w:t>289.96</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12.7</w:t>
      </w:r>
      <w:r>
        <w:rPr>
          <w:rFonts w:hint="eastAsia" w:ascii="仿宋_GB2312" w:eastAsia="仿宋_GB2312" w:cs="仿宋_GB2312"/>
          <w:sz w:val="32"/>
          <w:szCs w:val="32"/>
          <w:lang w:val="en-US" w:eastAsia="zh-CN"/>
        </w:rPr>
        <w:t>8</w:t>
      </w:r>
      <w:r>
        <w:rPr>
          <w:rFonts w:hint="eastAsia" w:ascii="仿宋_GB2312" w:eastAsia="仿宋_GB2312" w:cs="仿宋_GB2312"/>
          <w:color w:val="auto"/>
          <w:sz w:val="32"/>
          <w:szCs w:val="32"/>
          <w:highlight w:val="none"/>
          <w:lang w:eastAsia="zh-CN"/>
        </w:rPr>
        <w:t>%。</w:t>
      </w:r>
    </w:p>
    <w:p w14:paraId="5E1C029A">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102691F6">
      <w:pPr>
        <w:ind w:firstLine="525" w:firstLineChars="250"/>
        <w:rPr>
          <w:rFonts w:hint="eastAsia" w:ascii="Times New Roman" w:hAnsi="Times New Roman" w:eastAsia="仿宋_GB2312" w:cs="仿宋_GB2312"/>
          <w:color w:val="auto"/>
          <w:sz w:val="32"/>
          <w:szCs w:val="32"/>
          <w:highlight w:val="none"/>
          <w:lang w:eastAsia="zh-CN"/>
        </w:rPr>
      </w:pPr>
      <w:r>
        <w:rPr>
          <w:rFonts w:eastAsia="仿宋"/>
          <w:lang w:eastAsia="zh-CN"/>
        </w:rPr>
        <w:pict>
          <v:shape id="Object 4" o:spid="_x0000_s1027" o:spt="75" alt="2.emf" type="#_x0000_t75" style="position:absolute;left:0pt;margin-left:33.45pt;margin-top:12.45pt;height:283.5pt;width:329.25pt;mso-wrap-distance-bottom:0pt;mso-wrap-distance-left:9pt;mso-wrap-distance-right:9pt;mso-wrap-distance-top:0pt;z-index:251663360;mso-width-relative:page;mso-height-relative:page;" o:ole="t" filled="f" o:preferrelative="t" stroked="f" coordsize="21600,21600">
            <v:path/>
            <v:fill on="f" focussize="0,0"/>
            <v:stroke on="f"/>
            <v:imagedata r:id="rId11" o:title=""/>
            <o:lock v:ext="edit" aspectratio="t"/>
            <w10:wrap type="square"/>
          </v:shape>
          <o:OLEObject Type="Embed" ProgID="Excel.Chart.8" ShapeID="Object 4" DrawAspect="Content" ObjectID="_1468075726" r:id="rId10">
            <o:LockedField>false</o:LockedField>
          </o:OLEObject>
        </w:pict>
      </w:r>
    </w:p>
    <w:p w14:paraId="2A033078">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outlineLvl w:val="1"/>
        <w:rPr>
          <w:rStyle w:val="22"/>
          <w:rFonts w:hint="eastAsia" w:ascii="Times New Roman" w:hAnsi="Times New Roman" w:eastAsia="黑体"/>
          <w:b w:val="0"/>
          <w:color w:val="auto"/>
          <w:highlight w:val="none"/>
        </w:rPr>
      </w:pPr>
      <w:bookmarkStart w:id="26" w:name="_Toc15396605"/>
      <w:bookmarkStart w:id="2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2"/>
          <w:rFonts w:hint="eastAsia" w:ascii="Times New Roman" w:hAnsi="Times New Roman" w:eastAsia="黑体"/>
          <w:b w:val="0"/>
          <w:color w:val="auto"/>
          <w:highlight w:val="none"/>
        </w:rPr>
        <w:t>出决算情况说明</w:t>
      </w:r>
      <w:bookmarkEnd w:id="26"/>
      <w:bookmarkEnd w:id="27"/>
    </w:p>
    <w:p w14:paraId="074B1133">
      <w:pPr>
        <w:pStyle w:val="27"/>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2024年度本年支出合计</w:t>
      </w:r>
      <w:r>
        <w:rPr>
          <w:rFonts w:hint="eastAsia" w:ascii="仿宋_GB2312" w:eastAsia="仿宋_GB2312" w:cs="仿宋_GB2312"/>
          <w:sz w:val="32"/>
          <w:szCs w:val="32"/>
        </w:rPr>
        <w:t>2232.84</w:t>
      </w:r>
      <w:r>
        <w:rPr>
          <w:rFonts w:hint="eastAsia" w:ascii="仿宋_GB2312" w:eastAsia="仿宋_GB2312" w:cs="仿宋_GB2312"/>
          <w:color w:val="auto"/>
          <w:sz w:val="32"/>
          <w:szCs w:val="32"/>
          <w:highlight w:val="none"/>
          <w:lang w:eastAsia="zh-CN"/>
        </w:rPr>
        <w:t>万元，其中：基本支出</w:t>
      </w:r>
      <w:r>
        <w:rPr>
          <w:rFonts w:hint="eastAsia" w:ascii="仿宋_GB2312" w:eastAsia="仿宋_GB2312" w:cs="仿宋_GB2312"/>
          <w:sz w:val="32"/>
          <w:szCs w:val="32"/>
        </w:rPr>
        <w:t>1762.02</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78.91</w:t>
      </w:r>
      <w:r>
        <w:rPr>
          <w:rFonts w:hint="eastAsia" w:ascii="仿宋_GB2312" w:eastAsia="仿宋_GB2312" w:cs="仿宋_GB2312"/>
          <w:color w:val="auto"/>
          <w:sz w:val="32"/>
          <w:szCs w:val="32"/>
          <w:highlight w:val="none"/>
          <w:lang w:eastAsia="zh-CN"/>
        </w:rPr>
        <w:t>%；项目支出</w:t>
      </w:r>
      <w:r>
        <w:rPr>
          <w:rFonts w:hint="eastAsia" w:ascii="仿宋_GB2312" w:eastAsia="仿宋_GB2312" w:cs="仿宋_GB2312"/>
          <w:sz w:val="32"/>
          <w:szCs w:val="32"/>
        </w:rPr>
        <w:t>470.82</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21.0</w:t>
      </w:r>
      <w:r>
        <w:rPr>
          <w:rFonts w:ascii="仿宋_GB2312" w:eastAsia="仿宋_GB2312" w:cs="仿宋_GB2312"/>
          <w:sz w:val="32"/>
          <w:szCs w:val="32"/>
        </w:rPr>
        <w:t>9</w:t>
      </w:r>
      <w:r>
        <w:rPr>
          <w:rFonts w:hint="eastAsia" w:ascii="仿宋_GB2312" w:eastAsia="仿宋_GB2312" w:cs="仿宋_GB2312"/>
          <w:color w:val="auto"/>
          <w:sz w:val="32"/>
          <w:szCs w:val="32"/>
          <w:highlight w:val="none"/>
          <w:lang w:eastAsia="zh-CN"/>
        </w:rPr>
        <w:t>%。</w:t>
      </w:r>
    </w:p>
    <w:p w14:paraId="051CDD1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672294E9">
      <w:pPr>
        <w:ind w:firstLine="525" w:firstLineChars="250"/>
        <w:rPr>
          <w:rFonts w:hint="eastAsia" w:ascii="Times New Roman" w:hAnsi="Times New Roman" w:eastAsia="仿宋_GB2312" w:cs="仿宋_GB2312"/>
          <w:color w:val="auto"/>
          <w:sz w:val="32"/>
          <w:szCs w:val="32"/>
          <w:highlight w:val="none"/>
          <w:lang w:eastAsia="zh-CN"/>
        </w:rPr>
      </w:pPr>
      <w:r>
        <w:rPr>
          <w:rFonts w:eastAsia="仿宋_GB2312"/>
          <w:lang w:eastAsia="zh-CN"/>
        </w:rPr>
        <w:object>
          <v:shape id="_x0000_i1025" o:spt="75" alt="3.emf" type="#_x0000_t75" style="height:238.35pt;width:276.85pt;" o:ole="t" filled="f" o:preferrelative="t" stroked="f" coordsize="21600,21600">
            <v:path/>
            <v:fill on="f" focussize="0,0"/>
            <v:stroke on="f"/>
            <v:imagedata r:id="rId13" o:title=""/>
            <o:lock v:ext="edit" aspectratio="t"/>
            <w10:wrap type="none"/>
            <w10:anchorlock/>
          </v:shape>
          <o:OLEObject Type="Embed" ProgID="Excel.Chart.8" ShapeID="_x0000_i1025" DrawAspect="Content" ObjectID="_1468075727" r:id="rId12">
            <o:LockedField>false</o:LockedField>
          </o:OLEObject>
        </w:object>
      </w:r>
    </w:p>
    <w:p w14:paraId="45AD48C0">
      <w:pPr>
        <w:spacing w:line="600" w:lineRule="exact"/>
        <w:ind w:firstLine="640" w:firstLineChars="200"/>
        <w:outlineLvl w:val="1"/>
        <w:rPr>
          <w:rStyle w:val="22"/>
          <w:rFonts w:ascii="Times New Roman" w:hAnsi="Times New Roman" w:eastAsia="黑体"/>
          <w:b w:val="0"/>
          <w:color w:val="auto"/>
          <w:highlight w:val="none"/>
        </w:rPr>
      </w:pPr>
      <w:bookmarkStart w:id="28" w:name="_Toc15377208"/>
      <w:bookmarkStart w:id="29" w:name="_Toc15396606"/>
      <w:r>
        <w:rPr>
          <w:rFonts w:hint="eastAsia" w:ascii="Times New Roman" w:hAnsi="Times New Roman" w:eastAsia="黑体"/>
          <w:color w:val="auto"/>
          <w:sz w:val="32"/>
          <w:szCs w:val="32"/>
          <w:highlight w:val="none"/>
        </w:rPr>
        <w:t>四、财</w:t>
      </w:r>
      <w:r>
        <w:rPr>
          <w:rStyle w:val="22"/>
          <w:rFonts w:hint="eastAsia" w:ascii="Times New Roman" w:hAnsi="Times New Roman" w:eastAsia="黑体"/>
          <w:b w:val="0"/>
          <w:color w:val="auto"/>
          <w:highlight w:val="none"/>
        </w:rPr>
        <w:t>政拨款收入支出决算总体情况说明</w:t>
      </w:r>
      <w:bookmarkEnd w:id="28"/>
      <w:bookmarkEnd w:id="29"/>
    </w:p>
    <w:p w14:paraId="18DD5E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仿宋_GB2312" w:eastAsia="仿宋_GB2312" w:cs="仿宋_GB2312"/>
          <w:sz w:val="32"/>
          <w:szCs w:val="32"/>
        </w:rPr>
        <w:t>1978.36</w:t>
      </w:r>
      <w:r>
        <w:rPr>
          <w:rFonts w:hint="eastAsia" w:ascii="Times New Roman" w:hAnsi="Times New Roman" w:eastAsia="仿宋_GB2312" w:cs="仿宋_GB2312"/>
          <w:color w:val="auto"/>
          <w:kern w:val="2"/>
          <w:sz w:val="32"/>
          <w:szCs w:val="32"/>
          <w:highlight w:val="none"/>
          <w:lang w:val="en-US" w:eastAsia="zh-CN" w:bidi="ar-SA"/>
        </w:rPr>
        <w:t>万元。与2023年度相比，财政拨款收入总计、支出总计各增加</w:t>
      </w:r>
      <w:r>
        <w:rPr>
          <w:rFonts w:ascii="Times New Roman" w:hAnsi="Times New Roman" w:eastAsia="仿宋_GB2312" w:cs="仿宋_GB2312"/>
          <w:color w:val="auto"/>
          <w:kern w:val="2"/>
          <w:sz w:val="32"/>
          <w:szCs w:val="32"/>
          <w:highlight w:val="none"/>
          <w:lang w:val="en-US" w:eastAsia="zh-CN" w:bidi="ar-SA"/>
        </w:rPr>
        <w:t>80.45</w:t>
      </w:r>
      <w:r>
        <w:rPr>
          <w:rFonts w:hint="eastAsia" w:ascii="Times New Roman" w:hAnsi="Times New Roman" w:eastAsia="仿宋_GB2312" w:cs="仿宋_GB2312"/>
          <w:color w:val="auto"/>
          <w:kern w:val="2"/>
          <w:sz w:val="32"/>
          <w:szCs w:val="32"/>
          <w:highlight w:val="none"/>
          <w:lang w:val="en-US" w:eastAsia="zh-CN" w:bidi="ar-SA"/>
        </w:rPr>
        <w:t>万元，增长</w:t>
      </w:r>
      <w:r>
        <w:rPr>
          <w:rFonts w:ascii="Times New Roman" w:hAnsi="Times New Roman" w:eastAsia="仿宋_GB2312" w:cs="仿宋_GB2312"/>
          <w:color w:val="auto"/>
          <w:kern w:val="2"/>
          <w:sz w:val="32"/>
          <w:szCs w:val="32"/>
          <w:highlight w:val="none"/>
          <w:lang w:val="en-US" w:eastAsia="zh-CN" w:bidi="ar-SA"/>
        </w:rPr>
        <w:t>4.2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Times New Roman" w:hAnsi="Times New Roman" w:eastAsia="仿宋_GB2312" w:cs="仿宋_GB2312"/>
          <w:color w:val="auto"/>
          <w:kern w:val="2"/>
          <w:sz w:val="32"/>
          <w:szCs w:val="32"/>
          <w:highlight w:val="none"/>
          <w:lang w:val="en-US" w:eastAsia="zh-CN" w:bidi="ar-SA"/>
        </w:rPr>
        <w:t>项目增加。</w:t>
      </w:r>
    </w:p>
    <w:p w14:paraId="4128842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s="Times New Roman"/>
          <w:color w:val="000000"/>
          <w:sz w:val="32"/>
          <w:szCs w:val="32"/>
          <w:lang w:eastAsia="zh-CN" w:bidi="ar-SA"/>
        </w:rPr>
        <w:pict>
          <v:shape id="Object 3" o:spid="_x0000_s1030" o:spt="75" alt="0.emf" type="#_x0000_t75" style="position:absolute;left:0pt;margin-left:48.55pt;margin-top:54.25pt;height:257.2pt;width:302.15pt;mso-wrap-distance-bottom:0pt;mso-wrap-distance-top:0pt;z-index:251664384;mso-width-relative:page;mso-height-relative:page;" o:ole="t" filled="f" o:preferrelative="t" stroked="f" coordsize="21600,21600">
            <v:path/>
            <v:fill on="f" focussize="0,0"/>
            <v:stroke on="f"/>
            <v:imagedata r:id="rId15" o:title=""/>
            <o:lock v:ext="edit" aspectratio="t"/>
            <w10:wrap type="topAndBottom"/>
          </v:shape>
          <o:OLEObject Type="Embed" ProgID="Excel.Chart.8" ShapeID="Object 3" DrawAspect="Content" ObjectID="_1468075728" r:id="rId14">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28ADDB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7D67AE">
      <w:pPr>
        <w:spacing w:line="600" w:lineRule="exact"/>
        <w:ind w:firstLine="640" w:firstLineChars="200"/>
        <w:outlineLvl w:val="1"/>
        <w:rPr>
          <w:rStyle w:val="22"/>
          <w:rFonts w:ascii="Times New Roman" w:hAnsi="Times New Roman" w:eastAsia="黑体"/>
          <w:b w:val="0"/>
          <w:color w:val="auto"/>
          <w:highlight w:val="none"/>
        </w:rPr>
      </w:pPr>
      <w:bookmarkStart w:id="30" w:name="_Toc15396607"/>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2"/>
          <w:rFonts w:hint="eastAsia" w:ascii="Times New Roman" w:hAnsi="Times New Roman" w:eastAsia="黑体"/>
          <w:b w:val="0"/>
          <w:color w:val="auto"/>
          <w:highlight w:val="none"/>
        </w:rPr>
        <w:t>般公共预算财政拨款支出决算情况说明</w:t>
      </w:r>
      <w:bookmarkEnd w:id="30"/>
      <w:bookmarkEnd w:id="31"/>
    </w:p>
    <w:p w14:paraId="595EB76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48EC1E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2024年度一般公共预算财政拨款支出</w:t>
      </w:r>
      <w:r>
        <w:rPr>
          <w:rFonts w:hint="eastAsia" w:ascii="仿宋_GB2312" w:eastAsia="仿宋_GB2312" w:cs="仿宋_GB2312"/>
          <w:sz w:val="32"/>
          <w:szCs w:val="32"/>
        </w:rPr>
        <w:t>1978.36</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rPr>
        <w:t>88.6</w:t>
      </w:r>
      <w:r>
        <w:rPr>
          <w:rFonts w:hint="eastAsia" w:ascii="仿宋_GB2312" w:eastAsia="仿宋_GB2312" w:cs="仿宋_GB2312"/>
          <w:color w:val="auto"/>
          <w:kern w:val="2"/>
          <w:sz w:val="32"/>
          <w:szCs w:val="32"/>
          <w:highlight w:val="none"/>
          <w:lang w:val="en-US" w:eastAsia="zh-CN" w:bidi="ar-SA"/>
        </w:rPr>
        <w:t>%。与2023年度相比，一般公共预算财政拨款支出增加</w:t>
      </w:r>
      <w:r>
        <w:rPr>
          <w:rFonts w:ascii="仿宋_GB2312" w:eastAsia="仿宋_GB2312" w:cs="仿宋_GB2312"/>
          <w:color w:val="auto"/>
          <w:kern w:val="2"/>
          <w:sz w:val="32"/>
          <w:szCs w:val="32"/>
          <w:highlight w:val="none"/>
          <w:lang w:val="en-US" w:eastAsia="zh-CN" w:bidi="ar-SA"/>
        </w:rPr>
        <w:t>80.45</w:t>
      </w:r>
      <w:r>
        <w:rPr>
          <w:rFonts w:hint="eastAsia" w:ascii="仿宋_GB2312" w:eastAsia="仿宋_GB2312" w:cs="仿宋_GB2312"/>
          <w:color w:val="auto"/>
          <w:kern w:val="2"/>
          <w:sz w:val="32"/>
          <w:szCs w:val="32"/>
          <w:highlight w:val="none"/>
          <w:lang w:val="en-US" w:eastAsia="zh-CN" w:bidi="ar-SA"/>
        </w:rPr>
        <w:t>万元，增长</w:t>
      </w:r>
      <w:r>
        <w:rPr>
          <w:rFonts w:ascii="仿宋_GB2312" w:eastAsia="仿宋_GB2312" w:cs="仿宋_GB2312"/>
          <w:color w:val="auto"/>
          <w:kern w:val="2"/>
          <w:sz w:val="32"/>
          <w:szCs w:val="32"/>
          <w:highlight w:val="none"/>
          <w:lang w:val="en-US" w:eastAsia="zh-CN" w:bidi="ar-SA"/>
        </w:rPr>
        <w:t>4.2</w:t>
      </w:r>
      <w:r>
        <w:rPr>
          <w:rFonts w:hint="eastAsia" w:ascii="仿宋_GB2312" w:eastAsia="仿宋_GB2312" w:cs="仿宋_GB2312"/>
          <w:color w:val="auto"/>
          <w:kern w:val="2"/>
          <w:sz w:val="32"/>
          <w:szCs w:val="32"/>
          <w:highlight w:val="none"/>
          <w:lang w:val="en-US" w:eastAsia="zh-CN" w:bidi="ar-SA"/>
        </w:rPr>
        <w:t>%。主要变动原因是</w:t>
      </w:r>
      <w:r>
        <w:rPr>
          <w:rFonts w:ascii="Times New Roman" w:hAnsi="Times New Roman" w:eastAsia="仿宋_GB2312" w:cs="仿宋_GB2312"/>
          <w:color w:val="auto"/>
          <w:kern w:val="2"/>
          <w:sz w:val="32"/>
          <w:szCs w:val="32"/>
          <w:highlight w:val="none"/>
          <w:lang w:val="en-US" w:eastAsia="zh-CN" w:bidi="ar-SA"/>
        </w:rPr>
        <w:t>项目增加。</w:t>
      </w:r>
    </w:p>
    <w:p w14:paraId="592CCB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24A537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E798E67">
      <w:pPr>
        <w:pStyle w:val="15"/>
        <w:rPr>
          <w:rFonts w:hint="eastAsia" w:ascii="Times New Roman" w:hAnsi="Times New Roman" w:eastAsia="仿宋_GB2312" w:cs="仿宋_GB2312"/>
          <w:color w:val="auto"/>
          <w:kern w:val="2"/>
          <w:sz w:val="32"/>
          <w:szCs w:val="32"/>
          <w:highlight w:val="none"/>
          <w:lang w:val="en-US" w:eastAsia="zh-CN" w:bidi="ar-SA"/>
        </w:rPr>
      </w:pPr>
    </w:p>
    <w:p w14:paraId="38F2B092">
      <w:pPr>
        <w:pStyle w:val="9"/>
        <w:rPr>
          <w:rFonts w:hint="eastAsia"/>
          <w:lang w:val="en-US" w:eastAsia="zh-CN"/>
        </w:rPr>
      </w:pPr>
      <w:r>
        <w:object>
          <v:shape id="_x0000_i1026" o:spt="75" alt="4.emf" type="#_x0000_t75" style="height:269.95pt;width:313.5pt;" o:ole="t" filled="f" o:preferrelative="t" stroked="f" coordsize="21600,21600">
            <v:path/>
            <v:fill on="f" focussize="0,0"/>
            <v:stroke on="f"/>
            <v:imagedata r:id="rId17" o:title=""/>
            <o:lock v:ext="edit" aspectratio="t"/>
            <w10:wrap type="none"/>
            <w10:anchorlock/>
          </v:shape>
          <o:OLEObject Type="Embed" ProgID="Excel.Chart.8" ShapeID="_x0000_i1026" DrawAspect="Content" ObjectID="_1468075729" r:id="rId16">
            <o:LockedField>false</o:LockedField>
          </o:OLEObject>
        </w:object>
      </w:r>
    </w:p>
    <w:p w14:paraId="75E5BE9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67CC6A7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eastAsia="仿宋_GB2312" w:cs="仿宋_GB2312"/>
          <w:sz w:val="32"/>
          <w:szCs w:val="32"/>
        </w:rPr>
        <w:t>1978.36</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1552.24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78.46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217.32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10.98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86.2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4.36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122.6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ADA86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4C502C88">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6DFEE4C8">
      <w:pPr>
        <w:pStyle w:val="15"/>
        <w:rPr>
          <w:rFonts w:hint="eastAsia"/>
          <w:lang w:val="en-US" w:eastAsia="zh-CN"/>
        </w:rPr>
      </w:pPr>
    </w:p>
    <w:p w14:paraId="6604B39B">
      <w:pPr>
        <w:pStyle w:val="9"/>
        <w:rPr>
          <w:rFonts w:hint="eastAsia"/>
          <w:lang w:val="en-US" w:eastAsia="zh-CN"/>
        </w:rPr>
      </w:pPr>
      <w:r>
        <w:object>
          <v:shape id="_x0000_i1027" o:spt="75" alt="1.emf" type="#_x0000_t75" style="height:222.75pt;width:366.75pt;" o:ole="t" filled="f" o:preferrelative="t" stroked="f" coordsize="21600,21600">
            <v:path/>
            <v:fill on="f" focussize="0,0"/>
            <v:stroke on="f"/>
            <v:imagedata r:id="rId19" o:title=""/>
            <o:lock v:ext="edit" aspectratio="t"/>
            <v:shadow on="t" obscured="f" color="#808080" opacity="65536f" offset="1pt,0pt" offset2="-2pt,-4pt" origin="0f,0f" matrix="65536f,0f,0f,65536f,0,0"/>
            <w10:wrap type="none"/>
            <w10:anchorlock/>
          </v:shape>
          <o:OLEObject Type="Embed" ProgID="Excel.Chart.8" ShapeID="_x0000_i1027" DrawAspect="Content" ObjectID="_1468075730" r:id="rId18">
            <o:LockedField>false</o:LockedField>
          </o:OLEObject>
        </w:object>
      </w:r>
    </w:p>
    <w:p w14:paraId="244ECC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3ED73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8460"/>
      <w:bookmarkStart w:id="36" w:name="_Toc15377444"/>
      <w:bookmarkStart w:id="37" w:name="_Toc15377213"/>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eastAsia="仿宋_GB2312" w:cs="仿宋_GB2312"/>
          <w:sz w:val="32"/>
          <w:szCs w:val="32"/>
        </w:rPr>
        <w:t>1978.36</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4FADCD64">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w:t>
      </w:r>
      <w:r>
        <w:rPr>
          <w:rFonts w:hint="eastAsia" w:ascii="Times New Roman" w:hAnsi="Times New Roman" w:eastAsia="仿宋_GB2312" w:cs="仿宋_GB2312"/>
          <w:color w:val="auto"/>
          <w:kern w:val="2"/>
          <w:sz w:val="32"/>
          <w:szCs w:val="32"/>
          <w:highlight w:val="none"/>
          <w:lang w:val="en-US" w:eastAsia="zh-CN" w:bidi="ar-SA"/>
        </w:rPr>
        <w:t>育支出（类）普通教育</w:t>
      </w:r>
      <w:r>
        <w:rPr>
          <w:rFonts w:hint="eastAsia" w:ascii="Times New Roman" w:hAnsi="Times New Roman" w:eastAsia="仿宋_GB2312" w:cs="仿宋_GB2312"/>
          <w:color w:val="auto"/>
          <w:kern w:val="2"/>
          <w:sz w:val="32"/>
          <w:szCs w:val="32"/>
          <w:highlight w:val="none"/>
          <w:lang w:val="en-US" w:eastAsia="zh-CN" w:bidi="ar-SA"/>
        </w:rPr>
        <w:t>（款）小学教育</w:t>
      </w:r>
      <w:r>
        <w:rPr>
          <w:rFonts w:hint="eastAsia" w:ascii="Times New Roman" w:hAnsi="Times New Roman" w:eastAsia="仿宋_GB2312" w:cs="仿宋_GB2312"/>
          <w:color w:val="auto"/>
          <w:kern w:val="2"/>
          <w:sz w:val="32"/>
          <w:szCs w:val="32"/>
          <w:highlight w:val="none"/>
          <w:lang w:val="en-US" w:eastAsia="zh-CN" w:bidi="ar-SA"/>
        </w:rPr>
        <w:t>（项）: 支出决算为1432.36</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t>%，决算数等于预算数。</w:t>
      </w:r>
    </w:p>
    <w:p w14:paraId="706A3923">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w:t>
      </w:r>
      <w:r>
        <w:rPr>
          <w:rFonts w:hint="eastAsia" w:ascii="Times New Roman" w:hAnsi="Times New Roman" w:eastAsia="仿宋_GB2312" w:cs="仿宋_GB2312"/>
          <w:color w:val="auto"/>
          <w:kern w:val="2"/>
          <w:sz w:val="32"/>
          <w:szCs w:val="32"/>
          <w:highlight w:val="none"/>
          <w:lang w:val="en-US" w:eastAsia="zh-CN" w:bidi="ar-SA"/>
        </w:rPr>
        <w:t>育支出（类）普通教育（款）</w:t>
      </w:r>
      <w:r>
        <w:rPr>
          <w:rFonts w:hint="eastAsia" w:eastAsia="仿宋_GB2312" w:cs="仿宋_GB2312"/>
          <w:color w:val="auto"/>
          <w:kern w:val="2"/>
          <w:sz w:val="32"/>
          <w:szCs w:val="32"/>
          <w:highlight w:val="none"/>
          <w:lang w:val="en-US" w:eastAsia="zh-CN" w:bidi="ar-SA"/>
        </w:rPr>
        <w:t>其他普通教育支出</w:t>
      </w:r>
      <w:r>
        <w:rPr>
          <w:rFonts w:hint="eastAsia" w:ascii="Times New Roman" w:hAnsi="Times New Roman" w:eastAsia="仿宋_GB2312" w:cs="仿宋_GB2312"/>
          <w:color w:val="auto"/>
          <w:kern w:val="2"/>
          <w:sz w:val="32"/>
          <w:szCs w:val="32"/>
          <w:highlight w:val="none"/>
          <w:lang w:val="en-US" w:eastAsia="zh-CN" w:bidi="ar-SA"/>
        </w:rPr>
        <w:t>（项）: 支出决算为</w:t>
      </w:r>
      <w:r>
        <w:rPr>
          <w:rFonts w:hint="eastAsia" w:eastAsia="仿宋_GB2312" w:cs="仿宋_GB2312"/>
          <w:color w:val="auto"/>
          <w:kern w:val="2"/>
          <w:sz w:val="32"/>
          <w:szCs w:val="32"/>
          <w:highlight w:val="none"/>
          <w:lang w:val="en-US" w:eastAsia="zh-CN" w:bidi="ar-SA"/>
        </w:rPr>
        <w:t>119.88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657CCD5B">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144.88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3A3B18B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72.44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7E21D1B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63.36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BF34264">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w:t>
      </w:r>
      <w:r>
        <w:rPr>
          <w:rFonts w:hint="eastAsia" w:eastAsia="仿宋_GB2312" w:cs="仿宋_GB2312"/>
          <w:color w:val="auto"/>
          <w:kern w:val="2"/>
          <w:sz w:val="32"/>
          <w:szCs w:val="32"/>
          <w:highlight w:val="none"/>
          <w:lang w:val="en-US" w:eastAsia="zh-CN" w:bidi="ar-SA"/>
        </w:rPr>
        <w:t>其他行政</w:t>
      </w:r>
      <w:r>
        <w:rPr>
          <w:rFonts w:hint="eastAsia" w:ascii="Times New Roman" w:hAnsi="Times New Roman" w:eastAsia="仿宋_GB2312" w:cs="仿宋_GB2312"/>
          <w:color w:val="auto"/>
          <w:kern w:val="2"/>
          <w:sz w:val="32"/>
          <w:szCs w:val="32"/>
          <w:highlight w:val="none"/>
          <w:lang w:val="en-US" w:eastAsia="zh-CN" w:bidi="ar-SA"/>
        </w:rPr>
        <w:t>事业单位医疗支出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支出决算为22.83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0BF4A30">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住房保障支出（类）住房改革支出（款）住房公积金（项）：支出决算为:</w:t>
      </w:r>
      <w:r>
        <w:rPr>
          <w:rFonts w:hint="eastAsia" w:eastAsia="仿宋_GB2312" w:cs="仿宋_GB2312"/>
          <w:color w:val="auto"/>
          <w:kern w:val="2"/>
          <w:sz w:val="32"/>
          <w:szCs w:val="32"/>
          <w:highlight w:val="none"/>
          <w:lang w:val="en-US" w:eastAsia="zh-CN" w:bidi="ar-SA"/>
        </w:rPr>
        <w:t>121.4</w:t>
      </w:r>
      <w:r>
        <w:rPr>
          <w:rFonts w:hint="eastAsia" w:ascii="Times New Roman" w:hAnsi="Times New Roman" w:eastAsia="仿宋_GB2312" w:cs="仿宋_GB2312"/>
          <w:color w:val="auto"/>
          <w:kern w:val="2"/>
          <w:sz w:val="32"/>
          <w:szCs w:val="32"/>
          <w:highlight w:val="none"/>
          <w:lang w:val="en-US" w:eastAsia="zh-CN" w:bidi="ar-SA"/>
        </w:rPr>
        <w:t>万元，完成预算100%，决算数与预算数持平。</w:t>
      </w:r>
    </w:p>
    <w:p w14:paraId="198EEBB5">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住房保障支出（类）住房改革支出（款）购房补贴（项）：支出决算为:</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万元，完成预算100%，决算数与预算数持平。</w:t>
      </w:r>
    </w:p>
    <w:p w14:paraId="212ACE20">
      <w:pPr>
        <w:tabs>
          <w:tab w:val="right" w:pos="8306"/>
        </w:tabs>
        <w:spacing w:line="600" w:lineRule="exact"/>
        <w:ind w:firstLine="640" w:firstLineChars="0"/>
        <w:outlineLvl w:val="1"/>
        <w:rPr>
          <w:rStyle w:val="22"/>
          <w:rFonts w:ascii="Times New Roman" w:hAnsi="Times New Roman"/>
          <w:color w:val="auto"/>
          <w:highlight w:val="none"/>
        </w:rPr>
      </w:pPr>
      <w:bookmarkStart w:id="38" w:name="_Toc15396608"/>
      <w:bookmarkStart w:id="3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2"/>
          <w:rFonts w:hint="eastAsia" w:ascii="Times New Roman" w:hAnsi="Times New Roman" w:eastAsia="黑体"/>
          <w:b w:val="0"/>
          <w:color w:val="auto"/>
          <w:highlight w:val="none"/>
        </w:rPr>
        <w:t>般公共预算财政拨款基本支出决算情况说明</w:t>
      </w:r>
      <w:bookmarkEnd w:id="38"/>
      <w:bookmarkEnd w:id="39"/>
      <w:r>
        <w:rPr>
          <w:rStyle w:val="22"/>
          <w:rFonts w:ascii="Times New Roman" w:hAnsi="Times New Roman" w:eastAsia="黑体"/>
          <w:b w:val="0"/>
          <w:color w:val="auto"/>
          <w:highlight w:val="none"/>
        </w:rPr>
        <w:tab/>
      </w:r>
    </w:p>
    <w:p w14:paraId="427312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eastAsia="仿宋_GB2312" w:cs="仿宋_GB2312"/>
          <w:sz w:val="32"/>
          <w:szCs w:val="32"/>
        </w:rPr>
        <w:t>1762.02</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46FA5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eastAsia="仿宋_GB2312" w:cs="仿宋_GB2312"/>
          <w:sz w:val="32"/>
          <w:szCs w:val="32"/>
        </w:rPr>
        <w:t>1641.62</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元，主要包括：基本工资、津贴补贴、奖金、伙食补助费、绩效工资、机关事业单位基本养老保险缴费、职业年金缴费、其他社会保障缴费、抚恤金、生活补助、医疗费补助、奖励金、住房公积金。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eastAsia="仿宋_GB2312" w:cs="仿宋_GB2312"/>
          <w:sz w:val="32"/>
          <w:szCs w:val="32"/>
        </w:rPr>
        <w:t>120.4</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元，主要包括：办公费、印刷费、手续费、水费、电费、邮电费、物业管理费、差旅费、维修（护）费、培训费、劳务费、福利费、公务用车运行维护费、其他交通费。</w:t>
      </w:r>
    </w:p>
    <w:p w14:paraId="5514E368">
      <w:pPr>
        <w:spacing w:line="600" w:lineRule="exact"/>
        <w:ind w:firstLine="640" w:firstLineChars="0"/>
        <w:outlineLvl w:val="1"/>
        <w:rPr>
          <w:rStyle w:val="22"/>
          <w:rFonts w:ascii="Times New Roman" w:hAnsi="Times New Roman" w:eastAsia="黑体"/>
          <w:b w:val="0"/>
          <w:color w:val="auto"/>
          <w:highlight w:val="none"/>
        </w:rPr>
      </w:pPr>
      <w:bookmarkStart w:id="40" w:name="_Toc15377215"/>
      <w:bookmarkStart w:id="41" w:name="_Toc15396609"/>
      <w:r>
        <w:rPr>
          <w:rFonts w:hint="eastAsia" w:ascii="Times New Roman" w:hAnsi="Times New Roman" w:eastAsia="黑体"/>
          <w:color w:val="auto"/>
          <w:sz w:val="32"/>
          <w:szCs w:val="32"/>
          <w:highlight w:val="none"/>
        </w:rPr>
        <w:t>七、</w:t>
      </w:r>
      <w:r>
        <w:rPr>
          <w:rStyle w:val="22"/>
          <w:rFonts w:hint="eastAsia" w:ascii="Times New Roman" w:hAnsi="Times New Roman" w:eastAsia="黑体"/>
          <w:b w:val="0"/>
          <w:color w:val="auto"/>
          <w:highlight w:val="none"/>
        </w:rPr>
        <w:t>财政拨款</w:t>
      </w:r>
      <w:r>
        <w:rPr>
          <w:rStyle w:val="22"/>
          <w:rFonts w:hint="eastAsia" w:ascii="Times New Roman" w:hAnsi="Times New Roman" w:eastAsia="黑体"/>
          <w:color w:val="auto"/>
          <w:highlight w:val="none"/>
        </w:rPr>
        <w:t>“</w:t>
      </w:r>
      <w:r>
        <w:rPr>
          <w:rStyle w:val="22"/>
          <w:rFonts w:hint="eastAsia" w:ascii="Times New Roman" w:hAnsi="Times New Roman" w:eastAsia="黑体"/>
          <w:b w:val="0"/>
          <w:color w:val="auto"/>
          <w:highlight w:val="none"/>
        </w:rPr>
        <w:t>三公”经费支出决算情况说明</w:t>
      </w:r>
      <w:bookmarkEnd w:id="40"/>
      <w:bookmarkEnd w:id="41"/>
    </w:p>
    <w:p w14:paraId="23CEA08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2"/>
    </w:p>
    <w:p w14:paraId="18A1EB4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ascii="仿宋_GB2312" w:eastAsia="仿宋_GB2312" w:cs="仿宋_GB2312"/>
          <w:sz w:val="32"/>
          <w:szCs w:val="32"/>
        </w:rPr>
        <w:t>4.91</w:t>
      </w:r>
      <w:r>
        <w:rPr>
          <w:rFonts w:hint="eastAsia" w:ascii="仿宋_GB2312" w:eastAsia="仿宋_GB2312" w:cs="仿宋_GB2312"/>
          <w:color w:val="auto"/>
          <w:kern w:val="2"/>
          <w:sz w:val="32"/>
          <w:szCs w:val="32"/>
          <w:highlight w:val="none"/>
          <w:lang w:val="en-US" w:eastAsia="zh-CN" w:bidi="ar-SA"/>
        </w:rPr>
        <w:t>万元，完成预算</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ascii="Times New Roman" w:hAnsi="Times New Roman" w:eastAsia="仿宋_GB2312" w:cs="仿宋_GB2312"/>
          <w:color w:val="auto"/>
          <w:kern w:val="2"/>
          <w:sz w:val="32"/>
          <w:szCs w:val="32"/>
          <w:highlight w:val="none"/>
          <w:lang w:val="en-US" w:eastAsia="zh-CN" w:bidi="ar-SA"/>
        </w:rPr>
        <w:t>0.12</w:t>
      </w:r>
      <w:r>
        <w:rPr>
          <w:rFonts w:hint="eastAsia" w:ascii="Times New Roman" w:hAnsi="Times New Roman" w:eastAsia="仿宋_GB2312" w:cs="仿宋_GB2312"/>
          <w:color w:val="auto"/>
          <w:kern w:val="2"/>
          <w:sz w:val="32"/>
          <w:szCs w:val="32"/>
          <w:highlight w:val="none"/>
          <w:lang w:val="en-US" w:eastAsia="zh-CN" w:bidi="ar-SA"/>
        </w:rPr>
        <w:t>万元，下降</w:t>
      </w:r>
      <w:r>
        <w:rPr>
          <w:rFonts w:ascii="Times New Roman" w:hAnsi="Times New Roman"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%。决算数与预算数</w:t>
      </w:r>
      <w:r>
        <w:rPr>
          <w:rFonts w:hint="eastAsia" w:eastAsia="仿宋_GB2312" w:cs="仿宋_GB2312"/>
          <w:color w:val="auto"/>
          <w:kern w:val="2"/>
          <w:sz w:val="32"/>
          <w:szCs w:val="32"/>
          <w:highlight w:val="none"/>
          <w:lang w:val="en-US" w:eastAsia="zh-CN" w:bidi="ar-SA"/>
        </w:rPr>
        <w:t>持平</w:t>
      </w:r>
      <w:r>
        <w:rPr>
          <w:rFonts w:ascii="Times New Roman" w:hAnsi="Times New Roman" w:eastAsia="仿宋_GB2312" w:cs="仿宋_GB2312"/>
          <w:color w:val="auto"/>
          <w:kern w:val="2"/>
          <w:sz w:val="32"/>
          <w:szCs w:val="32"/>
          <w:highlight w:val="none"/>
          <w:lang w:val="en-US" w:eastAsia="zh-CN" w:bidi="ar-SA"/>
        </w:rPr>
        <w:t>。</w:t>
      </w:r>
    </w:p>
    <w:p w14:paraId="5509996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3"/>
    </w:p>
    <w:p w14:paraId="59B25F6D">
      <w:pPr>
        <w:spacing w:line="600" w:lineRule="exact"/>
        <w:ind w:firstLine="64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2024年度“三公”经费财政拨款支出决算中，公务用车购置及运行维护费支出决算</w:t>
      </w:r>
      <w:r>
        <w:rPr>
          <w:rFonts w:hint="eastAsia" w:ascii="仿宋_GB2312" w:eastAsia="仿宋_GB2312" w:cs="仿宋_GB2312"/>
          <w:sz w:val="32"/>
          <w:szCs w:val="32"/>
        </w:rPr>
        <w:t>4.91</w:t>
      </w:r>
      <w:r>
        <w:rPr>
          <w:rFonts w:hint="eastAsia" w:ascii="仿宋_GB2312" w:eastAsia="仿宋_GB2312" w:cs="仿宋_GB2312"/>
          <w:color w:val="auto"/>
          <w:kern w:val="2"/>
          <w:sz w:val="32"/>
          <w:szCs w:val="32"/>
          <w:highlight w:val="none"/>
          <w:lang w:val="en-US" w:eastAsia="zh-CN" w:bidi="ar-SA"/>
        </w:rPr>
        <w:t>万元，占</w:t>
      </w:r>
      <w:r>
        <w:rPr>
          <w:rFonts w:ascii="仿宋_GB2312" w:eastAsia="仿宋_GB2312" w:cs="仿宋_GB2312"/>
          <w:color w:val="auto"/>
          <w:kern w:val="2"/>
          <w:sz w:val="32"/>
          <w:szCs w:val="32"/>
          <w:highlight w:val="none"/>
          <w:lang w:val="en-US" w:eastAsia="zh-CN" w:bidi="ar-SA"/>
        </w:rPr>
        <w:t>100</w:t>
      </w:r>
      <w:r>
        <w:rPr>
          <w:rFonts w:hint="eastAsia" w:ascii="仿宋_GB2312" w:eastAsia="仿宋_GB2312" w:cs="仿宋_GB2312"/>
          <w:color w:val="auto"/>
          <w:kern w:val="2"/>
          <w:sz w:val="32"/>
          <w:szCs w:val="32"/>
          <w:highlight w:val="none"/>
          <w:lang w:val="en-US" w:eastAsia="zh-CN" w:bidi="ar-SA"/>
        </w:rPr>
        <w:t>%。具体情况如下：</w:t>
      </w:r>
    </w:p>
    <w:p w14:paraId="1F5EAB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w:t>
      </w:r>
    </w:p>
    <w:p w14:paraId="59147314">
      <w:pPr>
        <w:pStyle w:val="2"/>
        <w:outlineLvl w:val="9"/>
        <w:rPr>
          <w:rFonts w:hint="eastAsia"/>
          <w:lang w:val="en-US" w:eastAsia="zh-CN"/>
        </w:rPr>
      </w:pPr>
      <w:r>
        <w:drawing>
          <wp:inline distT="0" distB="0" distL="114300" distR="114300">
            <wp:extent cx="4587240" cy="2757805"/>
            <wp:effectExtent l="0" t="0" r="3810" b="4445"/>
            <wp:docPr id="1" name="图片 4"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5.png"/>
                    <pic:cNvPicPr>
                      <a:picLocks noChangeAspect="1"/>
                    </pic:cNvPicPr>
                  </pic:nvPicPr>
                  <pic:blipFill>
                    <a:blip r:embed="rId20"/>
                    <a:stretch>
                      <a:fillRect/>
                    </a:stretch>
                  </pic:blipFill>
                  <pic:spPr>
                    <a:xfrm>
                      <a:off x="0" y="0"/>
                      <a:ext cx="4587240" cy="2757805"/>
                    </a:xfrm>
                    <a:prstGeom prst="rect">
                      <a:avLst/>
                    </a:prstGeom>
                    <a:noFill/>
                    <a:ln>
                      <a:noFill/>
                    </a:ln>
                  </pic:spPr>
                </pic:pic>
              </a:graphicData>
            </a:graphic>
          </wp:inline>
        </w:drawing>
      </w:r>
    </w:p>
    <w:p w14:paraId="2621BE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ascii="Times New Roman" w:hAnsi="Times New Roman"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与2023年持平</w:t>
      </w:r>
      <w:r>
        <w:rPr>
          <w:rFonts w:hint="eastAsia" w:ascii="仿宋_GB2312" w:eastAsia="仿宋_GB2312"/>
          <w:color w:val="auto"/>
          <w:sz w:val="32"/>
          <w:szCs w:val="32"/>
          <w:highlight w:val="none"/>
        </w:rPr>
        <w:t>。</w:t>
      </w:r>
    </w:p>
    <w:p w14:paraId="4F93F35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cs="仿宋_GB2312"/>
          <w:b/>
          <w:bCs/>
          <w:color w:val="auto"/>
          <w:kern w:val="2"/>
          <w:sz w:val="32"/>
          <w:szCs w:val="32"/>
          <w:highlight w:val="none"/>
          <w:lang w:val="en-US" w:eastAsia="zh-CN" w:bidi="ar-SA"/>
        </w:rPr>
        <w:t>4.91万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ascii="Times New Roman" w:hAnsi="Times New Roman"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公务用车购置及运行维护费支出决算比2023年度减少</w:t>
      </w:r>
      <w:r>
        <w:rPr>
          <w:rFonts w:ascii="Times New Roman" w:hAnsi="Times New Roman" w:eastAsia="仿宋_GB2312" w:cs="仿宋_GB2312"/>
          <w:color w:val="auto"/>
          <w:kern w:val="2"/>
          <w:sz w:val="32"/>
          <w:szCs w:val="32"/>
          <w:highlight w:val="none"/>
          <w:lang w:val="en-US" w:eastAsia="zh-CN" w:bidi="ar-SA"/>
        </w:rPr>
        <w:t>0.12</w:t>
      </w:r>
      <w:r>
        <w:rPr>
          <w:rFonts w:hint="eastAsia" w:ascii="Times New Roman" w:hAnsi="Times New Roman" w:eastAsia="仿宋_GB2312" w:cs="仿宋_GB2312"/>
          <w:color w:val="auto"/>
          <w:kern w:val="2"/>
          <w:sz w:val="32"/>
          <w:szCs w:val="32"/>
          <w:highlight w:val="none"/>
          <w:lang w:val="en-US" w:eastAsia="zh-CN" w:bidi="ar-SA"/>
        </w:rPr>
        <w:t>万元，下降</w:t>
      </w:r>
      <w:r>
        <w:rPr>
          <w:rFonts w:ascii="Times New Roman" w:hAnsi="Times New Roman"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出差减少。</w:t>
      </w:r>
    </w:p>
    <w:p w14:paraId="2107F8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辆。截至2024年12月31日，单位共有公务用车</w:t>
      </w:r>
      <w:r>
        <w:rPr>
          <w:rFonts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18AE3A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rPr>
        <w:t>4.91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eastAsia="zh-CN"/>
        </w:rPr>
        <w:t>单位教师出差所需的</w:t>
      </w:r>
      <w:r>
        <w:rPr>
          <w:rFonts w:hint="eastAsia" w:ascii="仿宋_GB2312" w:eastAsia="仿宋_GB2312"/>
          <w:color w:val="auto"/>
          <w:sz w:val="32"/>
          <w:szCs w:val="32"/>
          <w:highlight w:val="none"/>
        </w:rPr>
        <w:t>公务用车燃料费、维修费、过路过桥费、保险费等支出。</w:t>
      </w:r>
    </w:p>
    <w:p w14:paraId="56BA39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公务接待费支出决算比2023年度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。其中：</w:t>
      </w:r>
    </w:p>
    <w:p w14:paraId="3A6C92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eastAsia="仿宋_GB2312" w:cs="仿宋_GB2312"/>
          <w:color w:val="auto"/>
          <w:kern w:val="2"/>
          <w:sz w:val="32"/>
          <w:szCs w:val="32"/>
          <w:highlight w:val="none"/>
          <w:lang w:val="en-US" w:eastAsia="zh-CN" w:bidi="ar-SA"/>
        </w:rPr>
        <w:t>待</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批次，</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FD655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eastAsia="仿宋_GB2312" w:cs="仿宋_GB2312"/>
          <w:color w:val="auto"/>
          <w:kern w:val="2"/>
          <w:sz w:val="32"/>
          <w:szCs w:val="32"/>
          <w:highlight w:val="none"/>
          <w:lang w:val="en-US" w:eastAsia="zh-CN" w:bidi="ar-SA"/>
        </w:rPr>
        <w:t>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万元。外事接待</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批次，</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人次（不包括陪同人员）</w:t>
      </w:r>
      <w:r>
        <w:rPr>
          <w:rFonts w:hint="eastAsia" w:ascii="Times New Roman" w:hAnsi="Times New Roman" w:eastAsia="仿宋_GB2312" w:cs="仿宋_GB2312"/>
          <w:color w:val="auto"/>
          <w:kern w:val="2"/>
          <w:sz w:val="32"/>
          <w:szCs w:val="32"/>
          <w:highlight w:val="none"/>
          <w:lang w:val="en-US" w:eastAsia="zh-CN" w:bidi="ar-SA"/>
        </w:rPr>
        <w:t>。</w:t>
      </w:r>
    </w:p>
    <w:p w14:paraId="432CAA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77218"/>
      <w:bookmarkStart w:id="45" w:name="_Toc15396610"/>
    </w:p>
    <w:p w14:paraId="5A7E56BB">
      <w:pPr>
        <w:spacing w:line="600" w:lineRule="exact"/>
        <w:ind w:firstLine="640" w:firstLineChars="0"/>
        <w:outlineLvl w:val="1"/>
        <w:rPr>
          <w:rStyle w:val="2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2"/>
          <w:rFonts w:hint="eastAsia" w:ascii="Times New Roman" w:hAnsi="Times New Roman" w:eastAsia="黑体"/>
          <w:b w:val="0"/>
          <w:color w:val="auto"/>
          <w:highlight w:val="none"/>
        </w:rPr>
        <w:t>政府性基金预算支出决算情况说明</w:t>
      </w:r>
      <w:bookmarkEnd w:id="44"/>
      <w:bookmarkEnd w:id="45"/>
    </w:p>
    <w:p w14:paraId="0C0EA6D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2024年度政府性基金预算财政拨款支出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w:t>
      </w:r>
      <w:r>
        <w:rPr>
          <w:rFonts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w:t>
      </w:r>
      <w:r>
        <w:rPr>
          <w:rFonts w:ascii="Times New Roman" w:hAnsi="Times New Roman" w:eastAsia="仿宋_GB2312" w:cs="仿宋_GB2312"/>
          <w:color w:val="auto"/>
          <w:kern w:val="2"/>
          <w:sz w:val="32"/>
          <w:szCs w:val="32"/>
          <w:highlight w:val="none"/>
          <w:lang w:val="en-US" w:eastAsia="zh-CN" w:bidi="ar-SA"/>
        </w:rPr>
        <w:t>持平。</w:t>
      </w:r>
    </w:p>
    <w:p w14:paraId="0BEBA3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8AA12D9">
      <w:pPr>
        <w:spacing w:line="600" w:lineRule="exact"/>
        <w:ind w:left="630" w:leftChars="0"/>
        <w:outlineLvl w:val="1"/>
        <w:rPr>
          <w:rStyle w:val="22"/>
          <w:rFonts w:ascii="Times New Roman" w:hAnsi="Times New Roman" w:eastAsia="黑体"/>
          <w:b w:val="0"/>
          <w:color w:val="auto"/>
          <w:highlight w:val="none"/>
        </w:rPr>
      </w:pPr>
      <w:bookmarkStart w:id="46" w:name="_Toc15377219"/>
      <w:bookmarkStart w:id="47" w:name="_Toc15396611"/>
      <w:r>
        <w:rPr>
          <w:rStyle w:val="22"/>
          <w:rFonts w:hint="eastAsia" w:ascii="Times New Roman" w:hAnsi="Times New Roman" w:eastAsia="黑体"/>
          <w:b w:val="0"/>
          <w:color w:val="auto"/>
          <w:highlight w:val="none"/>
          <w:lang w:eastAsia="zh-CN"/>
        </w:rPr>
        <w:t>九、</w:t>
      </w:r>
      <w:r>
        <w:rPr>
          <w:rStyle w:val="22"/>
          <w:rFonts w:hint="eastAsia" w:ascii="Times New Roman" w:hAnsi="Times New Roman" w:eastAsia="黑体"/>
          <w:b w:val="0"/>
          <w:color w:val="auto"/>
          <w:highlight w:val="none"/>
        </w:rPr>
        <w:t>国有资本经营预算支出决算情况说明</w:t>
      </w:r>
      <w:bookmarkEnd w:id="46"/>
      <w:bookmarkEnd w:id="47"/>
    </w:p>
    <w:p w14:paraId="6E1F2D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与2023年度</w:t>
      </w:r>
      <w:r>
        <w:rPr>
          <w:rFonts w:ascii="Times New Roman" w:hAnsi="Times New Roman" w:eastAsia="仿宋_GB2312" w:cs="仿宋_GB2312"/>
          <w:color w:val="auto"/>
          <w:kern w:val="2"/>
          <w:sz w:val="32"/>
          <w:szCs w:val="32"/>
          <w:highlight w:val="none"/>
          <w:lang w:val="en-US" w:eastAsia="zh-CN" w:bidi="ar-SA"/>
        </w:rPr>
        <w:t>持平。</w:t>
      </w:r>
    </w:p>
    <w:p w14:paraId="4DAF40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09A0D0">
      <w:pPr>
        <w:spacing w:line="600" w:lineRule="exact"/>
        <w:ind w:left="630" w:leftChars="0"/>
        <w:outlineLvl w:val="1"/>
        <w:rPr>
          <w:rStyle w:val="22"/>
          <w:rFonts w:hint="eastAsia" w:ascii="Times New Roman" w:hAnsi="Times New Roman" w:eastAsia="黑体"/>
          <w:b w:val="0"/>
          <w:color w:val="auto"/>
          <w:highlight w:val="none"/>
        </w:rPr>
      </w:pPr>
      <w:bookmarkStart w:id="48" w:name="_Toc15396612"/>
      <w:bookmarkStart w:id="49" w:name="_Toc15377221"/>
      <w:r>
        <w:rPr>
          <w:rStyle w:val="22"/>
          <w:rFonts w:hint="eastAsia" w:ascii="Times New Roman" w:hAnsi="Times New Roman" w:eastAsia="黑体"/>
          <w:b w:val="0"/>
          <w:color w:val="auto"/>
          <w:highlight w:val="none"/>
          <w:lang w:eastAsia="zh-CN"/>
        </w:rPr>
        <w:t>十、</w:t>
      </w:r>
      <w:r>
        <w:rPr>
          <w:rStyle w:val="22"/>
          <w:rFonts w:hint="eastAsia" w:ascii="Times New Roman" w:hAnsi="Times New Roman" w:eastAsia="黑体"/>
          <w:b w:val="0"/>
          <w:color w:val="auto"/>
          <w:highlight w:val="none"/>
        </w:rPr>
        <w:t>其他重要事项的情况说明</w:t>
      </w:r>
      <w:bookmarkEnd w:id="48"/>
      <w:bookmarkEnd w:id="49"/>
    </w:p>
    <w:p w14:paraId="73CD97C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5E118D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四川省威州民族师范学校附属小学校</w:t>
      </w:r>
      <w:r>
        <w:rPr>
          <w:rFonts w:hint="eastAsia" w:ascii="仿宋_GB2312" w:eastAsia="仿宋_GB2312" w:cs="仿宋_GB2312"/>
          <w:color w:val="auto"/>
          <w:kern w:val="2"/>
          <w:sz w:val="32"/>
          <w:szCs w:val="32"/>
          <w:highlight w:val="none"/>
          <w:lang w:val="en-US" w:eastAsia="zh-CN" w:bidi="ar-SA"/>
        </w:rPr>
        <w:t>机关运行经费支出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与2023年度决算数持平。</w:t>
      </w:r>
    </w:p>
    <w:p w14:paraId="600770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502F9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3D930132">
      <w:pPr>
        <w:spacing w:line="600" w:lineRule="exact"/>
        <w:ind w:firstLine="64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2024年度，</w:t>
      </w:r>
      <w:r>
        <w:rPr>
          <w:rFonts w:hint="eastAsia" w:ascii="仿宋_GB2312" w:eastAsia="仿宋_GB2312" w:cs="仿宋_GB2312"/>
          <w:sz w:val="32"/>
          <w:szCs w:val="32"/>
        </w:rPr>
        <w:t>四川省威州民族师范学校附属小学校</w:t>
      </w:r>
      <w:r>
        <w:rPr>
          <w:rFonts w:hint="eastAsia" w:ascii="仿宋_GB2312" w:eastAsia="仿宋_GB2312" w:cs="仿宋_GB2312"/>
          <w:color w:val="auto"/>
          <w:kern w:val="2"/>
          <w:sz w:val="32"/>
          <w:szCs w:val="32"/>
          <w:highlight w:val="none"/>
          <w:lang w:val="en-US" w:eastAsia="zh-CN" w:bidi="ar-SA"/>
        </w:rPr>
        <w:t>政府采购支出总额</w:t>
      </w:r>
      <w:r>
        <w:rPr>
          <w:rFonts w:hint="eastAsia" w:ascii="仿宋_GB2312" w:eastAsia="仿宋_GB2312" w:cs="仿宋_GB2312"/>
          <w:sz w:val="32"/>
          <w:szCs w:val="32"/>
        </w:rPr>
        <w:t>73.88</w:t>
      </w:r>
      <w:r>
        <w:rPr>
          <w:rFonts w:hint="eastAsia" w:ascii="仿宋_GB2312" w:eastAsia="仿宋_GB2312" w:cs="仿宋_GB2312"/>
          <w:color w:val="auto"/>
          <w:kern w:val="2"/>
          <w:sz w:val="32"/>
          <w:szCs w:val="32"/>
          <w:highlight w:val="none"/>
          <w:lang w:val="en-US" w:eastAsia="zh-CN" w:bidi="ar-SA"/>
        </w:rPr>
        <w:t>万元，其中：政府采购货物支出</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万元、政府采购工程支出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万元、政府采购服务支出</w:t>
      </w:r>
      <w:r>
        <w:rPr>
          <w:rFonts w:hint="eastAsia" w:ascii="仿宋_GB2312" w:eastAsia="仿宋_GB2312" w:cs="仿宋_GB2312"/>
          <w:sz w:val="32"/>
          <w:szCs w:val="32"/>
          <w:lang w:val="en-US" w:eastAsia="zh-CN"/>
        </w:rPr>
        <w:t>73.88</w:t>
      </w:r>
      <w:r>
        <w:rPr>
          <w:rFonts w:hint="eastAsia" w:ascii="仿宋_GB2312"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rPr>
        <w:t>学校食堂保洁等临聘人员劳务费</w:t>
      </w:r>
      <w:r>
        <w:rPr>
          <w:rFonts w:hint="eastAsia" w:ascii="仿宋_GB2312" w:eastAsia="仿宋_GB2312" w:cs="仿宋_GB2312"/>
          <w:color w:val="auto"/>
          <w:kern w:val="2"/>
          <w:sz w:val="32"/>
          <w:szCs w:val="32"/>
          <w:highlight w:val="none"/>
          <w:lang w:val="en-US" w:eastAsia="zh-CN" w:bidi="ar-SA"/>
        </w:rPr>
        <w:t>。授予中小企业合同金额</w:t>
      </w:r>
      <w:r>
        <w:rPr>
          <w:rFonts w:hint="eastAsia" w:ascii="仿宋_GB2312" w:eastAsia="仿宋_GB2312" w:cs="仿宋_GB2312"/>
          <w:sz w:val="32"/>
          <w:szCs w:val="32"/>
        </w:rPr>
        <w:t>73.88</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%，其中：授予小微企业合同金额</w:t>
      </w:r>
      <w:r>
        <w:rPr>
          <w:rFonts w:hint="eastAsia" w:ascii="仿宋_GB2312" w:eastAsia="仿宋_GB2312" w:cs="仿宋_GB2312"/>
          <w:sz w:val="32"/>
          <w:szCs w:val="32"/>
        </w:rPr>
        <w:t>73.88</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w:t>
      </w:r>
    </w:p>
    <w:p w14:paraId="0BDDDD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154F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2DA3E9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截至2024年12月31日，</w:t>
      </w:r>
      <w:r>
        <w:rPr>
          <w:rFonts w:hint="eastAsia" w:ascii="仿宋_GB2312" w:eastAsia="仿宋_GB2312" w:cs="仿宋_GB2312"/>
          <w:sz w:val="32"/>
          <w:szCs w:val="32"/>
        </w:rPr>
        <w:t>四川省威州民族师范学校附属小学校</w:t>
      </w:r>
      <w:r>
        <w:rPr>
          <w:rFonts w:hint="eastAsia" w:ascii="仿宋_GB2312" w:eastAsia="仿宋_GB2312" w:cs="仿宋_GB2312"/>
          <w:color w:val="auto"/>
          <w:kern w:val="2"/>
          <w:sz w:val="32"/>
          <w:szCs w:val="32"/>
          <w:highlight w:val="none"/>
          <w:lang w:val="en-US" w:eastAsia="zh-CN" w:bidi="ar-SA"/>
        </w:rPr>
        <w:t>共有车辆</w:t>
      </w:r>
      <w:r>
        <w:rPr>
          <w:rFonts w:hint="eastAsia" w:ascii="仿宋_GB2312" w:eastAsia="仿宋_GB2312" w:cs="仿宋_GB2312"/>
          <w:sz w:val="32"/>
          <w:szCs w:val="32"/>
        </w:rPr>
        <w:t>1</w:t>
      </w:r>
      <w:r>
        <w:rPr>
          <w:rFonts w:hint="eastAsia" w:ascii="仿宋_GB2312" w:eastAsia="仿宋_GB2312" w:cs="仿宋_GB2312"/>
          <w:color w:val="auto"/>
          <w:kern w:val="2"/>
          <w:sz w:val="32"/>
          <w:szCs w:val="32"/>
          <w:highlight w:val="none"/>
          <w:lang w:val="en-US" w:eastAsia="zh-CN" w:bidi="ar-SA"/>
        </w:rPr>
        <w:t>辆，其中：主要负责人用车</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辆、机要通信用车</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辆、应急保障用车</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辆、其他用车</w:t>
      </w:r>
      <w:r>
        <w:rPr>
          <w:rFonts w:hint="eastAsia" w:ascii="仿宋_GB2312" w:eastAsia="仿宋_GB2312" w:cs="仿宋_GB2312"/>
          <w:sz w:val="32"/>
          <w:szCs w:val="32"/>
        </w:rPr>
        <w:t>1</w:t>
      </w:r>
      <w:r>
        <w:rPr>
          <w:rFonts w:hint="eastAsia" w:asci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开展远程项目工作、信息化教学相关工作、实验教学管理、教育技术装备督导等工作</w:t>
      </w:r>
      <w:r>
        <w:rPr>
          <w:rFonts w:hint="eastAsia" w:ascii="仿宋_GB2312" w:eastAsia="仿宋_GB2312" w:cs="仿宋_GB2312"/>
          <w:color w:val="auto"/>
          <w:kern w:val="2"/>
          <w:sz w:val="32"/>
          <w:szCs w:val="32"/>
          <w:highlight w:val="none"/>
          <w:lang w:val="en-US" w:eastAsia="zh-CN" w:bidi="ar-SA"/>
        </w:rPr>
        <w:t>。单价100万元（含）以上设备（不含车辆）</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8FD79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89255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FACB6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ascii="Times New Roman" w:hAnsi="Times New Roman" w:eastAsia="仿宋_GB2312" w:cs="仿宋_GB2312"/>
          <w:color w:val="auto"/>
          <w:kern w:val="2"/>
          <w:sz w:val="32"/>
          <w:szCs w:val="32"/>
          <w:highlight w:val="none"/>
          <w:lang w:val="en-US" w:eastAsia="zh-CN" w:bidi="ar-SA"/>
        </w:rPr>
        <w:t>威师附小</w:t>
      </w:r>
      <w:r>
        <w:rPr>
          <w:rFonts w:hint="eastAsia" w:ascii="Times New Roman" w:hAnsi="Times New Roman" w:eastAsia="仿宋_GB2312" w:cs="仿宋_GB2312"/>
          <w:color w:val="auto"/>
          <w:kern w:val="2"/>
          <w:sz w:val="32"/>
          <w:szCs w:val="32"/>
          <w:highlight w:val="none"/>
          <w:lang w:val="en-US" w:eastAsia="zh-CN" w:bidi="ar-SA"/>
        </w:rPr>
        <w:t>在2024年度预算编制阶段，组织对</w:t>
      </w:r>
      <w:r>
        <w:rPr>
          <w:rFonts w:hint="eastAsia" w:ascii="仿宋_GB2312" w:eastAsia="仿宋_GB2312" w:cs="Times New Roman"/>
          <w:color w:val="auto"/>
          <w:sz w:val="32"/>
          <w:szCs w:val="32"/>
          <w:highlight w:val="none"/>
          <w:lang w:eastAsia="zh-CN" w:bidi="ar-SA"/>
        </w:rPr>
        <w:t>中小学临聘人员劳务费、生均公用、取暖费</w:t>
      </w:r>
      <w:r>
        <w:rPr>
          <w:rFonts w:ascii="仿宋_GB2312" w:eastAsia="仿宋_GB2312" w:cs="Times New Roman"/>
          <w:color w:val="auto"/>
          <w:sz w:val="32"/>
          <w:szCs w:val="32"/>
          <w:highlight w:val="none"/>
          <w:lang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0D32E9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组织对2024年度一般公共预算、政府性基金预算、国有资本经营预算、社会保险基金预算以及资本资产、债券资金等全面开展绩效自评，形成</w:t>
      </w:r>
      <w:r>
        <w:rPr>
          <w:rFonts w:ascii="Times New Roman" w:hAnsi="Times New Roman" w:eastAsia="仿宋_GB2312" w:cs="仿宋_GB2312"/>
          <w:color w:val="auto"/>
          <w:kern w:val="2"/>
          <w:sz w:val="32"/>
          <w:szCs w:val="32"/>
          <w:highlight w:val="none"/>
          <w:lang w:val="en-US" w:eastAsia="zh-CN" w:bidi="ar-SA"/>
        </w:rPr>
        <w:t>威师附小</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整体（含</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预算项目）绩效自评报告，其中，</w:t>
      </w:r>
      <w:r>
        <w:rPr>
          <w:rFonts w:hint="eastAsia" w:eastAsia="仿宋_GB2312" w:cs="仿宋_GB2312"/>
          <w:color w:val="auto"/>
          <w:kern w:val="2"/>
          <w:sz w:val="32"/>
          <w:szCs w:val="32"/>
          <w:highlight w:val="none"/>
          <w:lang w:val="en-US" w:eastAsia="zh-CN" w:bidi="ar-SA"/>
        </w:rPr>
        <w:t>威师附小</w:t>
      </w:r>
      <w:r>
        <w:rPr>
          <w:rFonts w:hint="eastAsia" w:ascii="Times New Roman" w:hAnsi="Times New Roman" w:eastAsia="仿宋_GB2312" w:cs="仿宋_GB2312"/>
          <w:color w:val="auto"/>
          <w:kern w:val="2"/>
          <w:sz w:val="32"/>
          <w:szCs w:val="32"/>
          <w:highlight w:val="none"/>
          <w:lang w:val="en-US" w:eastAsia="zh-CN" w:bidi="ar-SA"/>
        </w:rPr>
        <w:t>整体（含</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预算项目）绩效自评得分为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分，绩效自评综述2024年单位预算编制基础数据真实可靠中,按照年度工作计划和支出标准合理编制预算方案，预算数据按要求及时报送。基本支出按时间进度支付，达到执行进度，年终无结余。严格执行“三公经费”预算，严格审批，无超预算、无预算执行的情况。</w:t>
      </w:r>
    </w:p>
    <w:p w14:paraId="5B8022EC">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4C442F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506F19">
      <w:pPr>
        <w:spacing w:line="600" w:lineRule="exact"/>
        <w:jc w:val="center"/>
        <w:outlineLvl w:val="0"/>
        <w:rPr>
          <w:rFonts w:hint="eastAsia" w:ascii="Times New Roman" w:hAnsi="Times New Roman" w:eastAsia="黑体"/>
          <w:color w:val="auto"/>
          <w:sz w:val="44"/>
          <w:szCs w:val="44"/>
          <w:highlight w:val="none"/>
        </w:rPr>
      </w:pPr>
      <w:bookmarkStart w:id="53" w:name="_Toc15396613"/>
      <w:bookmarkStart w:id="5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14:paraId="124BD640">
      <w:pPr>
        <w:spacing w:line="600" w:lineRule="exact"/>
        <w:jc w:val="left"/>
        <w:rPr>
          <w:rFonts w:ascii="Times New Roman" w:hAnsi="Times New Roman"/>
          <w:b/>
          <w:color w:val="auto"/>
          <w:sz w:val="44"/>
          <w:szCs w:val="44"/>
          <w:highlight w:val="none"/>
        </w:rPr>
      </w:pPr>
    </w:p>
    <w:p w14:paraId="5950B7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32925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5E104D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7B31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E5497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28CF5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345D949">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w:t>
      </w:r>
      <w:r>
        <w:rPr>
          <w:rFonts w:hint="eastAsia" w:ascii="Times New Roman" w:hAnsi="Times New Roman" w:eastAsia="仿宋_GB2312" w:cs="仿宋_GB2312"/>
          <w:color w:val="auto"/>
          <w:kern w:val="2"/>
          <w:sz w:val="32"/>
          <w:szCs w:val="32"/>
          <w:highlight w:val="none"/>
          <w:lang w:val="en-US" w:eastAsia="zh-CN" w:bidi="ar-SA"/>
        </w:rPr>
        <w:t>育支出（类）普通教育（款）小学教育（项）: 指单位举办的小学教育支出。</w:t>
      </w:r>
    </w:p>
    <w:p w14:paraId="099207C7">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教</w:t>
      </w:r>
      <w:r>
        <w:rPr>
          <w:rFonts w:hint="eastAsia" w:ascii="Times New Roman" w:hAnsi="Times New Roman" w:eastAsia="仿宋_GB2312" w:cs="仿宋_GB2312"/>
          <w:color w:val="auto"/>
          <w:kern w:val="2"/>
          <w:sz w:val="32"/>
          <w:szCs w:val="32"/>
          <w:highlight w:val="none"/>
          <w:lang w:val="en-US" w:eastAsia="zh-CN" w:bidi="ar-SA"/>
        </w:rPr>
        <w:t>育支出（类）普通教育（款）</w:t>
      </w:r>
      <w:r>
        <w:rPr>
          <w:rFonts w:hint="eastAsia" w:eastAsia="仿宋_GB2312" w:cs="仿宋_GB2312"/>
          <w:color w:val="auto"/>
          <w:kern w:val="2"/>
          <w:sz w:val="32"/>
          <w:szCs w:val="32"/>
          <w:highlight w:val="none"/>
          <w:lang w:val="en-US" w:eastAsia="zh-CN" w:bidi="ar-SA"/>
        </w:rPr>
        <w:t>其他普通教育支出</w:t>
      </w:r>
      <w:r>
        <w:rPr>
          <w:rFonts w:hint="eastAsia" w:ascii="Times New Roman" w:hAnsi="Times New Roman" w:eastAsia="仿宋_GB2312" w:cs="仿宋_GB2312"/>
          <w:color w:val="auto"/>
          <w:kern w:val="2"/>
          <w:sz w:val="32"/>
          <w:szCs w:val="32"/>
          <w:highlight w:val="none"/>
          <w:lang w:val="en-US" w:eastAsia="zh-CN" w:bidi="ar-SA"/>
        </w:rPr>
        <w:t>（项）: 指除小学教育支出以外用于普通教育支出。</w:t>
      </w:r>
    </w:p>
    <w:p w14:paraId="780DD3B1">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w:t>
      </w:r>
      <w:r>
        <w:rPr>
          <w:rFonts w:hint="eastAsia" w:ascii="仿宋_GB2312" w:eastAsia="仿宋_GB2312"/>
          <w:color w:val="000000"/>
          <w:sz w:val="32"/>
          <w:szCs w:val="32"/>
        </w:rPr>
        <w:t>实施养老保险制度由单位缴纳的养老保险费的支出</w:t>
      </w:r>
      <w:r>
        <w:rPr>
          <w:rFonts w:hint="eastAsia" w:ascii="Times New Roman" w:hAnsi="Times New Roman" w:eastAsia="仿宋_GB2312" w:cs="仿宋_GB2312"/>
          <w:color w:val="auto"/>
          <w:kern w:val="2"/>
          <w:sz w:val="32"/>
          <w:szCs w:val="32"/>
          <w:highlight w:val="none"/>
          <w:lang w:val="en-US" w:eastAsia="zh-CN" w:bidi="ar-SA"/>
        </w:rPr>
        <w:t>。</w:t>
      </w:r>
    </w:p>
    <w:p w14:paraId="55489FAF">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w:t>
      </w:r>
      <w:r>
        <w:rPr>
          <w:rFonts w:hint="eastAsia" w:ascii="仿宋_GB2312" w:eastAsia="仿宋_GB2312"/>
          <w:color w:val="000000"/>
          <w:sz w:val="32"/>
          <w:szCs w:val="32"/>
        </w:rPr>
        <w:t>实施养老保险制度由单位缴纳的职业年金的支出</w:t>
      </w:r>
      <w:r>
        <w:rPr>
          <w:rFonts w:hint="eastAsia" w:ascii="Times New Roman" w:hAnsi="Times New Roman" w:eastAsia="仿宋_GB2312" w:cs="仿宋_GB2312"/>
          <w:color w:val="auto"/>
          <w:kern w:val="2"/>
          <w:sz w:val="32"/>
          <w:szCs w:val="32"/>
          <w:highlight w:val="none"/>
          <w:lang w:val="en-US" w:eastAsia="zh-CN" w:bidi="ar-SA"/>
        </w:rPr>
        <w:t>。</w:t>
      </w:r>
    </w:p>
    <w:p w14:paraId="062B2CE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rPr>
        <w:t>指行政事业单位用于缴纳单位基本医疗保险支出</w:t>
      </w:r>
      <w:r>
        <w:rPr>
          <w:rFonts w:hint="eastAsia" w:ascii="Times New Roman" w:hAnsi="Times New Roman" w:eastAsia="仿宋_GB2312" w:cs="仿宋_GB2312"/>
          <w:color w:val="auto"/>
          <w:kern w:val="2"/>
          <w:sz w:val="32"/>
          <w:szCs w:val="32"/>
          <w:highlight w:val="none"/>
          <w:lang w:val="en-US" w:eastAsia="zh-CN" w:bidi="ar-SA"/>
        </w:rPr>
        <w:t>。</w:t>
      </w:r>
    </w:p>
    <w:p w14:paraId="3F5883A3">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w:t>
      </w:r>
      <w:r>
        <w:rPr>
          <w:rFonts w:hint="eastAsia" w:eastAsia="仿宋_GB2312" w:cs="仿宋_GB2312"/>
          <w:color w:val="auto"/>
          <w:kern w:val="2"/>
          <w:sz w:val="32"/>
          <w:szCs w:val="32"/>
          <w:highlight w:val="none"/>
          <w:lang w:val="en-US" w:eastAsia="zh-CN" w:bidi="ar-SA"/>
        </w:rPr>
        <w:t>其他行政</w:t>
      </w:r>
      <w:r>
        <w:rPr>
          <w:rFonts w:hint="eastAsia" w:ascii="Times New Roman" w:hAnsi="Times New Roman" w:eastAsia="仿宋_GB2312" w:cs="仿宋_GB2312"/>
          <w:color w:val="auto"/>
          <w:kern w:val="2"/>
          <w:sz w:val="32"/>
          <w:szCs w:val="32"/>
          <w:highlight w:val="none"/>
          <w:lang w:val="en-US" w:eastAsia="zh-CN" w:bidi="ar-SA"/>
        </w:rPr>
        <w:t>事</w:t>
      </w:r>
      <w:r>
        <w:rPr>
          <w:rFonts w:hint="eastAsia" w:ascii="Times New Roman" w:hAnsi="Times New Roman" w:eastAsia="仿宋_GB2312" w:cs="仿宋_GB2312"/>
          <w:color w:val="auto"/>
          <w:kern w:val="2"/>
          <w:sz w:val="32"/>
          <w:szCs w:val="32"/>
          <w:highlight w:val="none"/>
          <w:lang w:val="en-US" w:eastAsia="zh-CN" w:bidi="ar-SA"/>
        </w:rPr>
        <w:t>业单位医疗支出（项）：指除上述事业单位医疗支出以外用于行政事业单位医疗方面的支出。</w:t>
      </w:r>
    </w:p>
    <w:p w14:paraId="2068C504">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w:t>
      </w:r>
      <w:r>
        <w:rPr>
          <w:rFonts w:hint="eastAsia" w:ascii="仿宋_GB2312" w:eastAsia="仿宋_GB2312"/>
          <w:color w:val="000000"/>
          <w:sz w:val="32"/>
          <w:szCs w:val="32"/>
        </w:rPr>
        <w:t>反映行政事业单位按规定为职工缴纳的住房公积金</w:t>
      </w:r>
      <w:r>
        <w:rPr>
          <w:rFonts w:hint="eastAsia" w:ascii="仿宋_GB2312" w:eastAsia="仿宋_GB2312"/>
          <w:color w:val="000000"/>
          <w:sz w:val="32"/>
          <w:szCs w:val="32"/>
          <w:lang w:eastAsia="zh-CN"/>
        </w:rPr>
        <w:t>。</w:t>
      </w:r>
    </w:p>
    <w:p w14:paraId="23E98487">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住房保障支出（类）住房改革支出（款）购房补贴（项）：</w:t>
      </w:r>
      <w:r>
        <w:rPr>
          <w:rFonts w:hint="eastAsia" w:ascii="仿宋_GB2312" w:eastAsia="仿宋_GB2312"/>
          <w:color w:val="000000"/>
          <w:sz w:val="32"/>
          <w:szCs w:val="32"/>
        </w:rPr>
        <w:t>指根据房改政策规定的标准，向符合条件职工发放的用于购买住房的补贴</w:t>
      </w:r>
      <w:r>
        <w:rPr>
          <w:rFonts w:hint="eastAsia" w:ascii="Times New Roman" w:hAnsi="Times New Roman" w:eastAsia="仿宋_GB2312" w:cs="仿宋_GB2312"/>
          <w:color w:val="auto"/>
          <w:kern w:val="2"/>
          <w:sz w:val="32"/>
          <w:szCs w:val="32"/>
          <w:highlight w:val="none"/>
          <w:lang w:val="en-US" w:eastAsia="zh-CN" w:bidi="ar-SA"/>
        </w:rPr>
        <w:t>。</w:t>
      </w:r>
    </w:p>
    <w:p w14:paraId="17D87D1E">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8EDB929">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0581AAF">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55EFC02">
      <w:pPr>
        <w:spacing w:line="600" w:lineRule="exact"/>
        <w:jc w:val="center"/>
        <w:outlineLvl w:val="0"/>
        <w:rPr>
          <w:rStyle w:val="21"/>
          <w:rFonts w:hint="eastAsia" w:ascii="Times New Roman" w:hAnsi="Times New Roman" w:eastAsia="黑体"/>
          <w:b w:val="0"/>
          <w:color w:val="auto"/>
          <w:highlight w:val="none"/>
          <w:lang w:eastAsia="zh-CN"/>
        </w:rPr>
      </w:pPr>
      <w:bookmarkStart w:id="5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6"/>
    </w:p>
    <w:p w14:paraId="3B093A25">
      <w:pPr>
        <w:keepNext w:val="0"/>
        <w:keepLines w:val="0"/>
        <w:pageBreakBefore w:val="0"/>
        <w:widowControl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6A8EAB29">
      <w:pPr>
        <w:keepNext w:val="0"/>
        <w:keepLines w:val="0"/>
        <w:pageBreakBefore w:val="0"/>
        <w:widowControl w:val="0"/>
        <w:kinsoku/>
        <w:wordWrap/>
        <w:overflowPunct/>
        <w:topLinePunct w:val="0"/>
        <w:autoSpaceDE/>
        <w:autoSpaceDN/>
        <w:bidi w:val="0"/>
        <w:spacing w:line="572" w:lineRule="exact"/>
        <w:jc w:val="left"/>
        <w:textAlignment w:val="auto"/>
        <w:outlineLvl w:val="1"/>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DA72C4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p>
    <w:p w14:paraId="1A05147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威师附小</w:t>
      </w:r>
      <w:r>
        <w:rPr>
          <w:rFonts w:ascii="Times New Roman" w:hAnsi="Times New Roman" w:eastAsia="方正小标宋简体" w:cs="Times New Roman"/>
          <w:b w:val="0"/>
          <w:bCs/>
          <w:sz w:val="44"/>
          <w:szCs w:val="44"/>
          <w:highlight w:val="none"/>
          <w:shd w:val="clear" w:color="auto" w:fill="FFFFFF"/>
          <w:lang w:eastAsia="zh-CN"/>
        </w:rPr>
        <w:t>预算</w:t>
      </w:r>
      <w:r>
        <w:rPr>
          <w:rFonts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ascii="Times New Roman" w:hAnsi="Times New Roman" w:eastAsia="方正小标宋简体" w:cs="Times New Roman"/>
          <w:b w:val="0"/>
          <w:bCs/>
          <w:sz w:val="44"/>
          <w:szCs w:val="44"/>
          <w:highlight w:val="none"/>
          <w:shd w:val="clear" w:color="auto" w:fill="FFFFFF"/>
        </w:rPr>
        <w:t>报告</w:t>
      </w:r>
    </w:p>
    <w:p w14:paraId="183B22F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仿宋_GB2312" w:cs="Times New Roman"/>
          <w:sz w:val="32"/>
          <w:szCs w:val="32"/>
          <w:highlight w:val="none"/>
          <w:shd w:val="clear" w:color="auto" w:fill="FFFFFF"/>
        </w:rPr>
      </w:pPr>
    </w:p>
    <w:p w14:paraId="0D62EE1B">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14:paraId="47421A14">
      <w:pPr>
        <w:keepNext w:val="0"/>
        <w:keepLines w:val="0"/>
        <w:pageBreakBefore w:val="0"/>
        <w:widowControl/>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1"/>
        <w:rPr>
          <w:rFonts w:ascii="Times New Roman" w:hAnsi="Times New Roman" w:eastAsia="仿宋_GB2312" w:cs="Times New Roman"/>
          <w:sz w:val="32"/>
          <w:szCs w:val="32"/>
        </w:rPr>
      </w:pPr>
      <w:r>
        <w:rPr>
          <w:rFonts w:ascii="Times New Roman" w:hAnsi="Times New Roman" w:eastAsia="黑体" w:cs="Times New Roman"/>
          <w:color w:val="000000"/>
          <w:kern w:val="0"/>
          <w:sz w:val="32"/>
          <w:szCs w:val="32"/>
          <w:highlight w:val="none"/>
          <w:shd w:val="clear" w:color="auto" w:fill="FFFFFF"/>
          <w:lang w:val="zh-CN"/>
        </w:rPr>
        <w:t>一、部门（单位）基本情况</w:t>
      </w:r>
    </w:p>
    <w:p w14:paraId="745F72A5">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eastAsia="仿宋_GB2312" w:cs="Times New Roman"/>
          <w:sz w:val="32"/>
          <w:szCs w:val="32"/>
        </w:rPr>
      </w:pPr>
      <w:r>
        <w:rPr>
          <w:rFonts w:ascii="Times New Roman" w:hAnsi="Times New Roman" w:eastAsia="楷体_GB2312" w:cs="Times New Roman"/>
          <w:b/>
          <w:bCs/>
          <w:color w:val="000000"/>
          <w:kern w:val="0"/>
          <w:sz w:val="32"/>
          <w:szCs w:val="32"/>
          <w:highlight w:val="none"/>
          <w:shd w:val="clear" w:color="auto" w:fill="FFFFFF"/>
          <w:lang w:val="zh-CN"/>
        </w:rPr>
        <w:t>（一）机构组成。</w:t>
      </w:r>
      <w:r>
        <w:rPr>
          <w:rFonts w:hint="eastAsia" w:ascii="仿宋_GB2312" w:hAnsi="Times New Roman" w:eastAsia="仿宋_GB2312" w:cs="Times New Roman"/>
          <w:color w:val="000000"/>
          <w:kern w:val="0"/>
          <w:sz w:val="32"/>
          <w:szCs w:val="32"/>
          <w:shd w:val="clear" w:color="auto" w:fill="FFFFFF"/>
          <w:lang w:val="zh-CN"/>
        </w:rPr>
        <w:t>我单位为州级直属单位，是独立法人，无下属机构，截止202</w:t>
      </w:r>
      <w:r>
        <w:rPr>
          <w:rFonts w:ascii="仿宋_GB2312" w:hAnsi="Times New Roman" w:eastAsia="仿宋_GB2312" w:cs="Times New Roman"/>
          <w:color w:val="000000"/>
          <w:kern w:val="0"/>
          <w:sz w:val="32"/>
          <w:szCs w:val="32"/>
          <w:shd w:val="clear" w:color="auto" w:fill="FFFFFF"/>
          <w:lang w:val="zh-CN"/>
        </w:rPr>
        <w:t>4</w:t>
      </w:r>
      <w:r>
        <w:rPr>
          <w:rFonts w:hint="eastAsia" w:ascii="仿宋_GB2312" w:hAnsi="Times New Roman" w:eastAsia="仿宋_GB2312" w:cs="Times New Roman"/>
          <w:color w:val="000000"/>
          <w:kern w:val="0"/>
          <w:sz w:val="32"/>
          <w:szCs w:val="32"/>
          <w:shd w:val="clear" w:color="auto" w:fill="FFFFFF"/>
          <w:lang w:val="zh-CN"/>
        </w:rPr>
        <w:t>年12 月31 日，单位共有科室4 个，分别为行政服务中心，学生成长中心，教师发展中心，综合保障中心。</w:t>
      </w:r>
    </w:p>
    <w:p w14:paraId="08B1429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ascii="Times New Roman" w:hAnsi="Times New Roman" w:eastAsia="仿宋_GB2312" w:cs="Times New Roman"/>
          <w:sz w:val="32"/>
          <w:szCs w:val="32"/>
          <w:lang w:val="en-US" w:eastAsia="zh-CN"/>
        </w:rPr>
        <w:t>在州教育单位的领导下，实施初级义务教育，促进基础教育发展。</w:t>
      </w:r>
    </w:p>
    <w:p w14:paraId="5EED558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eastAsia="仿宋_GB2312" w:cs="Times New Roman"/>
          <w:sz w:val="32"/>
          <w:szCs w:val="32"/>
        </w:rPr>
      </w:pPr>
      <w:r>
        <w:rPr>
          <w:rFonts w:ascii="Times New Roman" w:hAnsi="Times New Roman" w:eastAsia="楷体_GB2312" w:cs="Times New Roman"/>
          <w:b/>
          <w:bCs/>
          <w:color w:val="000000"/>
          <w:kern w:val="0"/>
          <w:sz w:val="32"/>
          <w:szCs w:val="32"/>
          <w:highlight w:val="none"/>
          <w:shd w:val="clear" w:color="auto" w:fill="FFFFFF"/>
          <w:lang w:val="zh-CN"/>
        </w:rPr>
        <w:t>（三）人员概况。</w:t>
      </w:r>
      <w:r>
        <w:rPr>
          <w:rFonts w:ascii="Times New Roman" w:hAnsi="Times New Roman" w:eastAsia="仿宋_GB2312" w:cs="Times New Roman"/>
          <w:sz w:val="32"/>
          <w:szCs w:val="32"/>
        </w:rPr>
        <w:t>截至202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年末，</w:t>
      </w:r>
      <w:r>
        <w:rPr>
          <w:rFonts w:ascii="Times New Roman" w:hAnsi="Times New Roman" w:eastAsia="仿宋_GB2312" w:cs="Times New Roman"/>
          <w:sz w:val="32"/>
          <w:szCs w:val="32"/>
          <w:lang w:val="en-US" w:eastAsia="zh-CN"/>
        </w:rPr>
        <w:t>威师附小</w:t>
      </w:r>
      <w:r>
        <w:rPr>
          <w:rFonts w:ascii="Times New Roman" w:hAnsi="Times New Roman" w:eastAsia="仿宋_GB2312" w:cs="Times New Roman"/>
          <w:sz w:val="32"/>
          <w:szCs w:val="32"/>
        </w:rPr>
        <w:t>事业专业技术人员编制67 人，工勤人员编制3 人。截止年底，在职人员62 人，退休人员43人。</w:t>
      </w:r>
    </w:p>
    <w:p w14:paraId="66840FF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二、</w:t>
      </w:r>
      <w:r>
        <w:rPr>
          <w:rFonts w:ascii="Times New Roman" w:hAnsi="Times New Roman" w:eastAsia="黑体" w:cs="Times New Roman"/>
          <w:color w:val="000000"/>
          <w:kern w:val="0"/>
          <w:sz w:val="32"/>
          <w:szCs w:val="32"/>
          <w:highlight w:val="none"/>
          <w:shd w:val="clear" w:color="auto" w:fill="FFFFFF"/>
          <w:lang w:eastAsia="zh-CN"/>
        </w:rPr>
        <w:t>部门</w:t>
      </w:r>
      <w:r>
        <w:rPr>
          <w:rFonts w:ascii="Times New Roman" w:hAnsi="Times New Roman" w:eastAsia="黑体" w:cs="Times New Roman"/>
          <w:color w:val="000000"/>
          <w:kern w:val="0"/>
          <w:sz w:val="32"/>
          <w:szCs w:val="32"/>
          <w:highlight w:val="none"/>
          <w:shd w:val="clear" w:color="auto" w:fill="FFFFFF"/>
        </w:rPr>
        <w:t>资金收支情况</w:t>
      </w:r>
    </w:p>
    <w:p w14:paraId="34629D4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en-US"/>
        </w:rPr>
      </w:pPr>
      <w:r>
        <w:rPr>
          <w:rFonts w:ascii="Times New Roman" w:hAnsi="Times New Roman" w:eastAsia="楷体_GB2312" w:cs="Times New Roman"/>
          <w:b/>
          <w:bCs/>
          <w:color w:val="000000"/>
          <w:kern w:val="0"/>
          <w:sz w:val="32"/>
          <w:szCs w:val="32"/>
          <w:highlight w:val="none"/>
          <w:shd w:val="clear" w:color="auto" w:fill="FFFFFF"/>
          <w:lang w:val="zh-CN"/>
        </w:rPr>
        <w:t>（一）收入情况。</w:t>
      </w:r>
      <w:r>
        <w:rPr>
          <w:rFonts w:ascii="Times New Roman" w:hAnsi="Times New Roman" w:eastAsia="仿宋_GB2312" w:cs="Times New Roman"/>
          <w:sz w:val="32"/>
          <w:szCs w:val="32"/>
          <w:lang w:val="en-US" w:eastAsia="zh-CN"/>
        </w:rPr>
        <w:t>威师附小202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en-US" w:eastAsia="zh-CN"/>
        </w:rPr>
        <w:t>年年初预算收入1781.18万元、决算报表收入2268.32万元。</w:t>
      </w:r>
    </w:p>
    <w:p w14:paraId="1904010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（二）支出情况。</w:t>
      </w:r>
      <w:r>
        <w:rPr>
          <w:rFonts w:ascii="Times New Roman" w:hAnsi="Times New Roman" w:eastAsia="仿宋_GB2312" w:cs="Times New Roman"/>
          <w:sz w:val="32"/>
          <w:szCs w:val="32"/>
          <w:lang w:val="en-US" w:eastAsia="zh-CN"/>
        </w:rPr>
        <w:t>威师附小202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en-US" w:eastAsia="zh-CN"/>
        </w:rPr>
        <w:t>年年初预算支出1781.18万元、决算报表支出2232.84万元</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lang w:val="en-US" w:eastAsia="zh-CN"/>
        </w:rPr>
        <w:t>其中：基本支出：1762.02万元，项目支出470.82万元。</w:t>
      </w:r>
    </w:p>
    <w:p w14:paraId="2571DE8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b w:val="0"/>
          <w:bCs w:val="0"/>
          <w:color w:val="000000"/>
          <w:kern w:val="0"/>
          <w:sz w:val="32"/>
          <w:szCs w:val="32"/>
          <w:highlight w:val="none"/>
          <w:shd w:val="clear" w:color="auto" w:fill="FFFFFF"/>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sz w:val="32"/>
          <w:szCs w:val="32"/>
        </w:rPr>
        <w:t>结余分配和结转结余情况</w:t>
      </w:r>
      <w:r>
        <w:rPr>
          <w:rFonts w:ascii="Times New Roman" w:hAnsi="Times New Roman" w:eastAsia="楷体_GB2312" w:cs="Times New Roman"/>
          <w:b/>
          <w:sz w:val="32"/>
          <w:szCs w:val="32"/>
          <w:lang w:eastAsia="zh-CN"/>
        </w:rPr>
        <w:t>。</w:t>
      </w:r>
      <w:r>
        <w:rPr>
          <w:rFonts w:ascii="Times New Roman" w:hAnsi="Times New Roman" w:eastAsia="仿宋_GB2312" w:cs="Times New Roman"/>
          <w:sz w:val="32"/>
          <w:szCs w:val="32"/>
          <w:lang w:val="en-US" w:eastAsia="zh-CN"/>
        </w:rPr>
        <w:t>威师附小202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en-US" w:eastAsia="zh-CN"/>
        </w:rPr>
        <w:t>年决算报表</w:t>
      </w:r>
      <w:r>
        <w:rPr>
          <w:rFonts w:ascii="Times New Roman" w:hAnsi="Times New Roman" w:eastAsia="仿宋_GB2312" w:cs="Times New Roman"/>
          <w:b w:val="0"/>
          <w:bCs w:val="0"/>
          <w:color w:val="000000"/>
          <w:kern w:val="0"/>
          <w:sz w:val="32"/>
          <w:szCs w:val="32"/>
          <w:highlight w:val="none"/>
          <w:shd w:val="clear" w:color="auto" w:fill="FFFFFF"/>
          <w:lang w:val="en-US" w:eastAsia="zh-CN"/>
        </w:rPr>
        <w:t>结转35.48万元，为非同级财政拨款结转。</w:t>
      </w:r>
    </w:p>
    <w:p w14:paraId="6C150CA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w:t>
      </w:r>
      <w:r>
        <w:rPr>
          <w:rFonts w:ascii="Times New Roman" w:hAnsi="Times New Roman" w:eastAsia="黑体" w:cs="Times New Roman"/>
          <w:color w:val="000000"/>
          <w:kern w:val="0"/>
          <w:sz w:val="32"/>
          <w:szCs w:val="32"/>
          <w:highlight w:val="none"/>
          <w:u w:val="none"/>
          <w:shd w:val="clear" w:color="auto" w:fill="FFFFFF"/>
        </w:rPr>
        <w:t>部门</w:t>
      </w:r>
      <w:r>
        <w:rPr>
          <w:rFonts w:ascii="Times New Roman" w:hAnsi="Times New Roman" w:eastAsia="黑体" w:cs="Times New Roman"/>
          <w:color w:val="000000"/>
          <w:kern w:val="0"/>
          <w:sz w:val="32"/>
          <w:szCs w:val="32"/>
          <w:highlight w:val="none"/>
          <w:u w:val="none"/>
          <w:shd w:val="clear" w:color="auto" w:fill="FFFFFF"/>
          <w:lang w:eastAsia="zh-CN"/>
        </w:rPr>
        <w:t>预算</w:t>
      </w:r>
      <w:r>
        <w:rPr>
          <w:rFonts w:ascii="Times New Roman" w:hAnsi="Times New Roman" w:eastAsia="黑体" w:cs="Times New Roman"/>
          <w:color w:val="000000"/>
          <w:kern w:val="0"/>
          <w:sz w:val="32"/>
          <w:szCs w:val="32"/>
          <w:highlight w:val="none"/>
          <w:u w:val="none"/>
          <w:shd w:val="clear" w:color="auto" w:fill="FFFFFF"/>
        </w:rPr>
        <w:t>绩效</w:t>
      </w:r>
      <w:r>
        <w:rPr>
          <w:rFonts w:ascii="Times New Roman" w:hAnsi="Times New Roman" w:eastAsia="黑体" w:cs="Times New Roman"/>
          <w:color w:val="000000"/>
          <w:kern w:val="0"/>
          <w:sz w:val="32"/>
          <w:szCs w:val="32"/>
          <w:highlight w:val="none"/>
          <w:u w:val="none"/>
          <w:shd w:val="clear" w:color="auto" w:fill="FFFFFF"/>
          <w:lang w:eastAsia="zh-CN"/>
        </w:rPr>
        <w:t>分析</w:t>
      </w:r>
    </w:p>
    <w:p w14:paraId="4ED44DA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2"/>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6936CFA9">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1.</w:t>
      </w:r>
      <w:r>
        <w:rPr>
          <w:rFonts w:ascii="Times New Roman" w:hAnsi="Times New Roman" w:eastAsia="楷体_GB2312" w:cs="Times New Roman"/>
          <w:color w:val="000000"/>
          <w:kern w:val="0"/>
          <w:sz w:val="32"/>
          <w:szCs w:val="32"/>
          <w:highlight w:val="none"/>
          <w:shd w:val="clear" w:color="auto" w:fill="FFFFFF"/>
          <w:lang w:val="zh-CN"/>
        </w:rPr>
        <w:t>履职效能。</w:t>
      </w:r>
    </w:p>
    <w:p w14:paraId="4C5D354C">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hint="eastAsia" w:ascii="仿宋_GB2312" w:hAnsi="Times New Roman" w:eastAsia="仿宋_GB2312" w:cs="仿宋_GB2312"/>
          <w:color w:val="000000"/>
          <w:kern w:val="0"/>
          <w:sz w:val="32"/>
          <w:szCs w:val="32"/>
          <w:shd w:val="clear" w:color="auto" w:fill="FFFFFF"/>
          <w:lang w:val="zh-CN"/>
        </w:rPr>
      </w:pPr>
      <w:r>
        <w:rPr>
          <w:rFonts w:hint="eastAsia" w:ascii="仿宋_GB2312" w:hAnsi="Times New Roman" w:eastAsia="仿宋_GB2312" w:cs="仿宋_GB2312"/>
          <w:color w:val="000000"/>
          <w:kern w:val="0"/>
          <w:sz w:val="32"/>
          <w:szCs w:val="32"/>
          <w:shd w:val="clear" w:color="auto" w:fill="FFFFFF"/>
          <w:lang w:val="zh-CN"/>
        </w:rPr>
        <w:t>202</w:t>
      </w:r>
      <w:r>
        <w:rPr>
          <w:rFonts w:ascii="仿宋_GB2312" w:hAnsi="Times New Roman" w:eastAsia="仿宋_GB2312" w:cs="仿宋_GB2312"/>
          <w:color w:val="000000"/>
          <w:kern w:val="0"/>
          <w:sz w:val="32"/>
          <w:szCs w:val="32"/>
          <w:shd w:val="clear" w:color="auto" w:fill="FFFFFF"/>
          <w:lang w:val="en-US" w:eastAsia="zh-CN"/>
        </w:rPr>
        <w:t>4</w:t>
      </w:r>
      <w:r>
        <w:rPr>
          <w:rFonts w:hint="eastAsia" w:ascii="仿宋_GB2312" w:hAnsi="Times New Roman" w:eastAsia="仿宋_GB2312" w:cs="仿宋_GB2312"/>
          <w:color w:val="000000"/>
          <w:kern w:val="0"/>
          <w:sz w:val="32"/>
          <w:szCs w:val="32"/>
          <w:shd w:val="clear" w:color="auto" w:fill="FFFFFF"/>
          <w:lang w:val="zh-CN"/>
        </w:rPr>
        <w:t>年我单位在全体</w:t>
      </w:r>
      <w:r>
        <w:rPr>
          <w:rFonts w:ascii="仿宋_GB2312" w:hAnsi="Times New Roman" w:eastAsia="仿宋_GB2312" w:cs="仿宋_GB2312"/>
          <w:color w:val="000000"/>
          <w:kern w:val="0"/>
          <w:sz w:val="32"/>
          <w:szCs w:val="32"/>
          <w:shd w:val="clear" w:color="auto" w:fill="FFFFFF"/>
          <w:lang w:val="zh-CN"/>
        </w:rPr>
        <w:t>教</w:t>
      </w:r>
      <w:r>
        <w:rPr>
          <w:rFonts w:hint="eastAsia" w:ascii="仿宋_GB2312" w:hAnsi="Times New Roman" w:eastAsia="仿宋_GB2312" w:cs="仿宋_GB2312"/>
          <w:color w:val="000000"/>
          <w:kern w:val="0"/>
          <w:sz w:val="32"/>
          <w:szCs w:val="32"/>
          <w:shd w:val="clear" w:color="auto" w:fill="FFFFFF"/>
          <w:lang w:val="zh-CN"/>
        </w:rPr>
        <w:t>职工的共同努力下基本完成了各项工作目标和任务，职责履行得1</w:t>
      </w:r>
      <w:r>
        <w:rPr>
          <w:rFonts w:hint="eastAsia" w:ascii="仿宋_GB2312" w:hAnsi="Times New Roman" w:eastAsia="仿宋_GB2312" w:cs="仿宋_GB2312"/>
          <w:color w:val="000000"/>
          <w:kern w:val="0"/>
          <w:sz w:val="32"/>
          <w:szCs w:val="32"/>
          <w:shd w:val="clear" w:color="auto" w:fill="FFFFFF"/>
          <w:lang w:val="zh-CN" w:eastAsia="zh-CN"/>
        </w:rPr>
        <w:t>5</w:t>
      </w:r>
      <w:r>
        <w:rPr>
          <w:rFonts w:hint="eastAsia" w:ascii="仿宋_GB2312" w:hAnsi="Times New Roman" w:eastAsia="仿宋_GB2312" w:cs="仿宋_GB2312"/>
          <w:color w:val="000000"/>
          <w:kern w:val="0"/>
          <w:sz w:val="32"/>
          <w:szCs w:val="32"/>
          <w:shd w:val="clear" w:color="auto" w:fill="FFFFFF"/>
          <w:lang w:val="zh-CN"/>
        </w:rPr>
        <w:t>分。</w:t>
      </w:r>
    </w:p>
    <w:p w14:paraId="6C549491">
      <w:pPr>
        <w:keepNext w:val="0"/>
        <w:keepLines w:val="0"/>
        <w:pageBreakBefore w:val="0"/>
        <w:widowControl w:val="0"/>
        <w:kinsoku/>
        <w:wordWrap/>
        <w:overflowPunct/>
        <w:topLinePunct w:val="0"/>
        <w:autoSpaceDE/>
        <w:autoSpaceDN/>
        <w:adjustRightInd w:val="0"/>
        <w:snapToGrid w:val="0"/>
        <w:spacing w:line="578" w:lineRule="exact"/>
        <w:ind w:firstLine="643" w:firstLineChars="200"/>
        <w:contextualSpacing/>
        <w:jc w:val="left"/>
        <w:rPr>
          <w:rFonts w:hint="eastAsia" w:ascii="Times New Roman" w:hAnsi="Times New Roman" w:eastAsia="仿宋_GB2312" w:cs="仿宋_GB2312"/>
          <w:color w:val="000000"/>
          <w:kern w:val="0"/>
          <w:sz w:val="32"/>
          <w:szCs w:val="32"/>
          <w:shd w:val="clear" w:color="auto" w:fill="FFFFFF"/>
          <w:lang w:val="zh-CN"/>
        </w:rPr>
      </w:pPr>
      <w:r>
        <w:rPr>
          <w:rFonts w:hint="eastAsia" w:ascii="仿宋_GB2312" w:hAnsi="Times New Roman" w:eastAsia="仿宋_GB2312" w:cs="仿宋_GB2312"/>
          <w:b/>
          <w:bCs/>
          <w:color w:val="000000"/>
          <w:kern w:val="0"/>
          <w:sz w:val="32"/>
          <w:szCs w:val="32"/>
          <w:shd w:val="clear" w:color="auto" w:fill="FFFFFF"/>
          <w:lang w:val="zh-CN"/>
        </w:rPr>
        <w:t>一是</w:t>
      </w:r>
      <w:r>
        <w:rPr>
          <w:rFonts w:hint="eastAsia" w:ascii="仿宋_GB2312" w:hAnsi="Times New Roman" w:eastAsia="仿宋_GB2312" w:cs="仿宋_GB2312"/>
          <w:color w:val="000000"/>
          <w:kern w:val="0"/>
          <w:sz w:val="32"/>
          <w:szCs w:val="32"/>
          <w:shd w:val="clear" w:color="auto" w:fill="FFFFFF"/>
          <w:lang w:val="zh-CN"/>
        </w:rPr>
        <w:t>维持</w:t>
      </w:r>
      <w:r>
        <w:rPr>
          <w:rFonts w:ascii="仿宋_GB2312" w:hAnsi="Times New Roman" w:eastAsia="仿宋_GB2312" w:cs="仿宋_GB2312"/>
          <w:color w:val="000000"/>
          <w:kern w:val="0"/>
          <w:sz w:val="32"/>
          <w:szCs w:val="32"/>
          <w:shd w:val="clear" w:color="auto" w:fill="FFFFFF"/>
          <w:lang w:val="zh-CN"/>
        </w:rPr>
        <w:t>学校</w:t>
      </w:r>
      <w:r>
        <w:rPr>
          <w:rFonts w:hint="eastAsia" w:ascii="仿宋_GB2312" w:hAnsi="Times New Roman" w:eastAsia="仿宋_GB2312" w:cs="仿宋_GB2312"/>
          <w:color w:val="000000"/>
          <w:kern w:val="0"/>
          <w:sz w:val="32"/>
          <w:szCs w:val="32"/>
          <w:shd w:val="clear" w:color="auto" w:fill="FFFFFF"/>
          <w:lang w:val="zh-CN"/>
        </w:rPr>
        <w:t>正常运转所需费用，包括工资和补贴、五险一金等人员经费，及</w:t>
      </w:r>
      <w:r>
        <w:rPr>
          <w:rFonts w:ascii="Times New Roman" w:hAnsi="Times New Roman" w:eastAsia="仿宋_GB2312" w:cs="Times New Roman"/>
          <w:color w:val="000000"/>
          <w:kern w:val="0"/>
          <w:sz w:val="32"/>
          <w:szCs w:val="32"/>
          <w:shd w:val="clear" w:color="auto" w:fill="FFFFFF"/>
        </w:rPr>
        <w:t>日常对设备、设施的管理，维修维护</w:t>
      </w:r>
      <w:r>
        <w:rPr>
          <w:rFonts w:hint="eastAsia" w:ascii="仿宋_GB2312" w:hAnsi="Times New Roman" w:eastAsia="仿宋_GB2312" w:cs="仿宋_GB2312"/>
          <w:color w:val="000000"/>
          <w:kern w:val="0"/>
          <w:sz w:val="32"/>
          <w:szCs w:val="32"/>
          <w:shd w:val="clear" w:color="auto" w:fill="FFFFFF"/>
          <w:lang w:val="zh-CN"/>
        </w:rPr>
        <w:t>等日常公用经费</w:t>
      </w:r>
      <w:r>
        <w:rPr>
          <w:rFonts w:ascii="仿宋_GB2312" w:hAnsi="Times New Roman" w:eastAsia="仿宋_GB2312" w:cs="仿宋_GB2312"/>
          <w:color w:val="000000"/>
          <w:kern w:val="0"/>
          <w:sz w:val="32"/>
          <w:szCs w:val="32"/>
          <w:shd w:val="clear" w:color="auto" w:fill="FFFFFF"/>
          <w:lang w:val="zh-CN"/>
        </w:rPr>
        <w:t>；</w:t>
      </w:r>
      <w:r>
        <w:rPr>
          <w:rFonts w:hint="eastAsia" w:ascii="仿宋_GB2312" w:hAnsi="Times New Roman" w:eastAsia="仿宋_GB2312" w:cs="仿宋_GB2312"/>
          <w:b/>
          <w:bCs/>
          <w:color w:val="000000"/>
          <w:kern w:val="0"/>
          <w:sz w:val="32"/>
          <w:szCs w:val="32"/>
          <w:shd w:val="clear" w:color="auto" w:fill="FFFFFF"/>
          <w:lang w:val="zh-CN"/>
        </w:rPr>
        <w:t>二是</w:t>
      </w:r>
      <w:r>
        <w:rPr>
          <w:rFonts w:ascii="Times New Roman" w:hAnsi="Times New Roman" w:eastAsia="仿宋_GB2312" w:cs="仿宋_GB2312"/>
          <w:color w:val="000000"/>
          <w:kern w:val="0"/>
          <w:sz w:val="32"/>
          <w:szCs w:val="32"/>
          <w:shd w:val="clear" w:color="auto" w:fill="FFFFFF"/>
          <w:lang w:val="zh-CN"/>
        </w:rPr>
        <w:t>加强</w:t>
      </w:r>
      <w:r>
        <w:rPr>
          <w:rFonts w:hint="eastAsia" w:ascii="Times New Roman" w:hAnsi="Times New Roman" w:eastAsia="仿宋_GB2312" w:cs="仿宋_GB2312"/>
          <w:bCs/>
          <w:color w:val="000000"/>
          <w:kern w:val="0"/>
          <w:sz w:val="32"/>
          <w:szCs w:val="32"/>
          <w:shd w:val="clear" w:color="auto" w:fill="FFFFFF"/>
        </w:rPr>
        <w:t>教学教研工作</w:t>
      </w:r>
      <w:r>
        <w:rPr>
          <w:rFonts w:ascii="Times New Roman" w:hAnsi="Times New Roman" w:eastAsia="仿宋_GB2312" w:cs="仿宋_GB2312"/>
          <w:bCs/>
          <w:color w:val="000000"/>
          <w:kern w:val="0"/>
          <w:sz w:val="32"/>
          <w:szCs w:val="32"/>
          <w:shd w:val="clear" w:color="auto" w:fill="FFFFFF"/>
        </w:rPr>
        <w:t>；</w:t>
      </w:r>
      <w:r>
        <w:rPr>
          <w:rFonts w:hint="eastAsia" w:ascii="仿宋_GB2312" w:hAnsi="Times New Roman" w:eastAsia="仿宋_GB2312" w:cs="仿宋_GB2312"/>
          <w:b/>
          <w:bCs/>
          <w:color w:val="000000"/>
          <w:kern w:val="0"/>
          <w:sz w:val="32"/>
          <w:szCs w:val="32"/>
          <w:shd w:val="clear" w:color="auto" w:fill="FFFFFF"/>
          <w:lang w:val="zh-CN"/>
        </w:rPr>
        <w:t>三是</w:t>
      </w:r>
      <w:r>
        <w:rPr>
          <w:rFonts w:ascii="Times New Roman" w:hAnsi="Times New Roman" w:eastAsia="仿宋_GB2312" w:cs="仿宋_GB2312"/>
          <w:bCs/>
          <w:color w:val="000000"/>
          <w:kern w:val="0"/>
          <w:sz w:val="32"/>
          <w:szCs w:val="32"/>
          <w:shd w:val="clear" w:color="auto" w:fill="FFFFFF"/>
        </w:rPr>
        <w:t>加强</w:t>
      </w:r>
      <w:r>
        <w:rPr>
          <w:rFonts w:hint="eastAsia" w:ascii="Times New Roman" w:hAnsi="Times New Roman" w:eastAsia="仿宋_GB2312" w:cs="仿宋_GB2312"/>
          <w:bCs/>
          <w:color w:val="000000"/>
          <w:kern w:val="0"/>
          <w:sz w:val="32"/>
          <w:szCs w:val="32"/>
          <w:shd w:val="clear" w:color="auto" w:fill="FFFFFF"/>
        </w:rPr>
        <w:t>德育</w:t>
      </w:r>
      <w:r>
        <w:rPr>
          <w:rFonts w:ascii="Times New Roman" w:hAnsi="Times New Roman" w:eastAsia="仿宋_GB2312" w:cs="仿宋_GB2312"/>
          <w:bCs/>
          <w:color w:val="000000"/>
          <w:kern w:val="0"/>
          <w:sz w:val="32"/>
          <w:szCs w:val="32"/>
          <w:shd w:val="clear" w:color="auto" w:fill="FFFFFF"/>
        </w:rPr>
        <w:t>、安全</w:t>
      </w:r>
      <w:r>
        <w:rPr>
          <w:rFonts w:hint="eastAsia" w:ascii="Times New Roman" w:hAnsi="Times New Roman" w:eastAsia="仿宋_GB2312" w:cs="仿宋_GB2312"/>
          <w:bCs/>
          <w:color w:val="000000"/>
          <w:kern w:val="0"/>
          <w:sz w:val="32"/>
          <w:szCs w:val="32"/>
          <w:shd w:val="clear" w:color="auto" w:fill="FFFFFF"/>
        </w:rPr>
        <w:t>工作</w:t>
      </w:r>
      <w:r>
        <w:rPr>
          <w:rFonts w:ascii="Times New Roman" w:hAnsi="Times New Roman" w:eastAsia="仿宋_GB2312" w:cs="仿宋_GB2312"/>
          <w:bCs/>
          <w:color w:val="000000"/>
          <w:kern w:val="0"/>
          <w:sz w:val="32"/>
          <w:szCs w:val="32"/>
          <w:shd w:val="clear" w:color="auto" w:fill="FFFFFF"/>
        </w:rPr>
        <w:t>。</w:t>
      </w:r>
    </w:p>
    <w:p w14:paraId="089F22F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2.</w:t>
      </w:r>
      <w:r>
        <w:rPr>
          <w:rFonts w:ascii="Times New Roman" w:hAnsi="Times New Roman" w:eastAsia="楷体_GB2312" w:cs="Times New Roman"/>
          <w:color w:val="000000"/>
          <w:kern w:val="0"/>
          <w:sz w:val="32"/>
          <w:szCs w:val="32"/>
          <w:highlight w:val="none"/>
          <w:shd w:val="clear" w:color="auto" w:fill="FFFFFF"/>
          <w:lang w:val="zh-CN"/>
        </w:rPr>
        <w:t>预算管理。</w:t>
      </w:r>
    </w:p>
    <w:p w14:paraId="632A632A">
      <w:pPr>
        <w:adjustRightInd w:val="0"/>
        <w:snapToGrid w:val="0"/>
        <w:spacing w:line="578" w:lineRule="exact"/>
        <w:ind w:firstLine="640" w:firstLineChars="200"/>
        <w:contextualSpacing/>
        <w:jc w:val="left"/>
        <w:rPr>
          <w:rFonts w:hint="eastAsia" w:ascii="仿宋_GB2312" w:hAnsi="Times New Roman" w:eastAsia="仿宋_GB2312" w:cs="仿宋_GB2312"/>
          <w:color w:val="000000"/>
          <w:kern w:val="0"/>
          <w:sz w:val="32"/>
          <w:szCs w:val="32"/>
          <w:shd w:val="clear" w:color="auto" w:fill="FFFFFF"/>
          <w:lang w:val="zh-CN"/>
        </w:rPr>
      </w:pPr>
      <w:r>
        <w:rPr>
          <w:rFonts w:hint="eastAsia" w:ascii="仿宋_GB2312" w:hAnsi="Times New Roman" w:eastAsia="仿宋_GB2312" w:cs="仿宋_GB2312"/>
          <w:color w:val="000000"/>
          <w:kern w:val="0"/>
          <w:sz w:val="32"/>
          <w:szCs w:val="32"/>
          <w:shd w:val="clear" w:color="auto" w:fill="FFFFFF"/>
          <w:lang w:val="zh-CN"/>
        </w:rPr>
        <w:t>（</w:t>
      </w:r>
      <w:r>
        <w:rPr>
          <w:rFonts w:hint="eastAsia" w:ascii="仿宋_GB2312" w:hAnsi="Times New Roman" w:eastAsia="仿宋_GB2312" w:cs="仿宋_GB2312"/>
          <w:color w:val="000000"/>
          <w:kern w:val="0"/>
          <w:sz w:val="32"/>
          <w:szCs w:val="32"/>
          <w:shd w:val="clear" w:color="auto" w:fill="FFFFFF"/>
          <w:lang w:val="en-US" w:eastAsia="zh-CN"/>
        </w:rPr>
        <w:t>1</w:t>
      </w:r>
      <w:r>
        <w:rPr>
          <w:rFonts w:hint="eastAsia" w:ascii="仿宋_GB2312" w:hAnsi="Times New Roman" w:eastAsia="仿宋_GB2312" w:cs="仿宋_GB2312"/>
          <w:color w:val="000000"/>
          <w:kern w:val="0"/>
          <w:sz w:val="32"/>
          <w:szCs w:val="32"/>
          <w:shd w:val="clear" w:color="auto" w:fill="FFFFFF"/>
          <w:lang w:val="zh-CN"/>
        </w:rPr>
        <w:t>）根据我单位实际情况，我单位</w:t>
      </w:r>
      <w:r>
        <w:rPr>
          <w:rFonts w:hint="eastAsia" w:ascii="仿宋_GB2312" w:hAnsi="Times New Roman" w:eastAsia="仿宋_GB2312" w:cs="仿宋_GB2312"/>
          <w:color w:val="000000"/>
          <w:kern w:val="0"/>
          <w:sz w:val="32"/>
          <w:szCs w:val="32"/>
          <w:shd w:val="clear" w:color="auto" w:fill="FFFFFF"/>
          <w:lang w:val="en-US" w:eastAsia="zh-CN"/>
        </w:rPr>
        <w:t>202</w:t>
      </w:r>
      <w:r>
        <w:rPr>
          <w:rFonts w:ascii="仿宋_GB2312" w:hAnsi="Times New Roman" w:eastAsia="仿宋_GB2312" w:cs="仿宋_GB2312"/>
          <w:color w:val="000000"/>
          <w:kern w:val="0"/>
          <w:sz w:val="32"/>
          <w:szCs w:val="32"/>
          <w:shd w:val="clear" w:color="auto" w:fill="FFFFFF"/>
          <w:lang w:val="en-US" w:eastAsia="zh-CN"/>
        </w:rPr>
        <w:t>4</w:t>
      </w:r>
      <w:r>
        <w:rPr>
          <w:rFonts w:hint="eastAsia" w:ascii="仿宋_GB2312" w:hAnsi="Times New Roman" w:eastAsia="仿宋_GB2312" w:cs="仿宋_GB2312"/>
          <w:color w:val="000000"/>
          <w:kern w:val="0"/>
          <w:sz w:val="32"/>
          <w:szCs w:val="32"/>
          <w:shd w:val="clear" w:color="auto" w:fill="FFFFFF"/>
          <w:lang w:val="en-US" w:eastAsia="zh-CN"/>
        </w:rPr>
        <w:t>年度财政拨款预算偏离度</w:t>
      </w:r>
      <w:r>
        <w:rPr>
          <w:rFonts w:ascii="仿宋_GB2312" w:hAnsi="Times New Roman" w:eastAsia="仿宋_GB2312" w:cs="仿宋_GB2312"/>
          <w:color w:val="000000"/>
          <w:kern w:val="0"/>
          <w:sz w:val="32"/>
          <w:szCs w:val="32"/>
          <w:shd w:val="clear" w:color="auto" w:fill="FFFFFF"/>
          <w:lang w:val="en-US" w:eastAsia="zh-CN"/>
        </w:rPr>
        <w:t>0.25</w:t>
      </w:r>
      <w:r>
        <w:rPr>
          <w:rFonts w:hint="eastAsia" w:ascii="仿宋_GB2312" w:hAnsi="Times New Roman" w:eastAsia="仿宋_GB2312" w:cs="仿宋_GB2312"/>
          <w:color w:val="000000"/>
          <w:kern w:val="0"/>
          <w:sz w:val="32"/>
          <w:szCs w:val="32"/>
          <w:shd w:val="clear" w:color="auto" w:fill="FFFFFF"/>
          <w:lang w:val="en-US" w:eastAsia="zh-CN"/>
        </w:rPr>
        <w:t>、政府采购预算偏离度及资产配置预算偏离度为1，</w:t>
      </w:r>
      <w:r>
        <w:rPr>
          <w:rFonts w:hint="eastAsia" w:ascii="仿宋_GB2312" w:hAnsi="Times New Roman" w:eastAsia="仿宋_GB2312" w:cs="仿宋_GB2312"/>
          <w:color w:val="000000"/>
          <w:kern w:val="0"/>
          <w:sz w:val="32"/>
          <w:szCs w:val="32"/>
          <w:shd w:val="clear" w:color="auto" w:fill="FFFFFF"/>
          <w:lang w:val="zh-CN"/>
        </w:rPr>
        <w:t>预算编制质量方面得</w:t>
      </w:r>
      <w:r>
        <w:rPr>
          <w:rFonts w:ascii="仿宋_GB2312" w:hAnsi="Times New Roman" w:eastAsia="仿宋_GB2312" w:cs="仿宋_GB2312"/>
          <w:color w:val="000000"/>
          <w:kern w:val="0"/>
          <w:sz w:val="32"/>
          <w:szCs w:val="32"/>
          <w:shd w:val="clear" w:color="auto" w:fill="FFFFFF"/>
          <w:lang w:val="en-US" w:eastAsia="zh-CN"/>
        </w:rPr>
        <w:t>7</w:t>
      </w:r>
      <w:r>
        <w:rPr>
          <w:rFonts w:hint="eastAsia" w:ascii="仿宋_GB2312" w:hAnsi="Times New Roman" w:eastAsia="仿宋_GB2312" w:cs="仿宋_GB2312"/>
          <w:color w:val="000000"/>
          <w:kern w:val="0"/>
          <w:sz w:val="32"/>
          <w:szCs w:val="32"/>
          <w:shd w:val="clear" w:color="auto" w:fill="FFFFFF"/>
          <w:lang w:val="en-US" w:eastAsia="zh-CN"/>
        </w:rPr>
        <w:t>分</w:t>
      </w:r>
      <w:r>
        <w:rPr>
          <w:rFonts w:hint="eastAsia" w:ascii="仿宋_GB2312" w:hAnsi="Times New Roman" w:eastAsia="仿宋_GB2312" w:cs="仿宋_GB2312"/>
          <w:color w:val="000000"/>
          <w:kern w:val="0"/>
          <w:sz w:val="32"/>
          <w:szCs w:val="32"/>
          <w:shd w:val="clear" w:color="auto" w:fill="FFFFFF"/>
          <w:lang w:val="zh-CN"/>
        </w:rPr>
        <w:t>。</w:t>
      </w:r>
    </w:p>
    <w:p w14:paraId="0B0B2D01">
      <w:pPr>
        <w:adjustRightInd w:val="0"/>
        <w:snapToGrid w:val="0"/>
        <w:spacing w:line="578" w:lineRule="exact"/>
        <w:ind w:firstLine="640" w:firstLineChars="200"/>
        <w:contextualSpacing/>
        <w:jc w:val="left"/>
        <w:rPr>
          <w:rFonts w:hint="eastAsia" w:ascii="仿宋_GB2312" w:hAnsi="Times New Roman" w:eastAsia="仿宋_GB2312" w:cs="仿宋_GB2312"/>
          <w:color w:val="000000"/>
          <w:kern w:val="0"/>
          <w:sz w:val="32"/>
          <w:szCs w:val="32"/>
          <w:shd w:val="clear" w:color="auto" w:fill="FFFFFF"/>
          <w:lang w:val="en-US" w:eastAsia="zh-CN"/>
        </w:rPr>
      </w:pPr>
      <w:r>
        <w:rPr>
          <w:rFonts w:hint="eastAsia" w:ascii="仿宋_GB2312" w:hAnsi="Times New Roman" w:eastAsia="仿宋_GB2312" w:cs="仿宋_GB2312"/>
          <w:color w:val="000000"/>
          <w:kern w:val="0"/>
          <w:sz w:val="32"/>
          <w:szCs w:val="32"/>
          <w:shd w:val="clear" w:color="auto" w:fill="FFFFFF"/>
          <w:lang w:val="zh-CN"/>
        </w:rPr>
        <w:t>（</w:t>
      </w:r>
      <w:r>
        <w:rPr>
          <w:rFonts w:hint="eastAsia" w:ascii="仿宋_GB2312" w:hAnsi="Times New Roman" w:eastAsia="仿宋_GB2312" w:cs="仿宋_GB2312"/>
          <w:color w:val="000000"/>
          <w:kern w:val="0"/>
          <w:sz w:val="32"/>
          <w:szCs w:val="32"/>
          <w:shd w:val="clear" w:color="auto" w:fill="FFFFFF"/>
          <w:lang w:val="en-US" w:eastAsia="zh-CN"/>
        </w:rPr>
        <w:t>2</w:t>
      </w:r>
      <w:r>
        <w:rPr>
          <w:rFonts w:hint="eastAsia" w:ascii="仿宋_GB2312" w:hAnsi="Times New Roman" w:eastAsia="仿宋_GB2312" w:cs="仿宋_GB2312"/>
          <w:color w:val="000000"/>
          <w:kern w:val="0"/>
          <w:sz w:val="32"/>
          <w:szCs w:val="32"/>
          <w:shd w:val="clear" w:color="auto" w:fill="FFFFFF"/>
          <w:lang w:val="zh-CN"/>
        </w:rPr>
        <w:t>）</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我</w:t>
      </w:r>
      <w:r>
        <w:rPr>
          <w:rFonts w:ascii="Times New Roman" w:hAnsi="Times New Roman" w:eastAsia="仿宋_GB2312" w:cs="Times New Roman"/>
          <w:b w:val="0"/>
          <w:color w:val="000000"/>
          <w:kern w:val="0"/>
          <w:sz w:val="32"/>
          <w:szCs w:val="32"/>
          <w:highlight w:val="none"/>
          <w:shd w:val="clear" w:color="auto" w:fill="FFFFFF"/>
          <w:lang w:val="en-US" w:eastAsia="zh-CN" w:bidi="ar-SA"/>
        </w:rPr>
        <w:t>单位</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属于财政全额拨款性质单位，除单位基本账户产生的利息收入外无其他收入，利息收入每年均已转入财政账户</w:t>
      </w:r>
      <w:r>
        <w:rPr>
          <w:rFonts w:hint="eastAsia" w:ascii="仿宋_GB2312" w:hAnsi="Times New Roman" w:eastAsia="仿宋_GB2312" w:cs="仿宋_GB2312"/>
          <w:color w:val="000000"/>
          <w:kern w:val="0"/>
          <w:sz w:val="32"/>
          <w:szCs w:val="32"/>
          <w:shd w:val="clear" w:color="auto" w:fill="FFFFFF"/>
          <w:lang w:val="zh-CN"/>
        </w:rPr>
        <w:t>，单位收入统筹方面得</w:t>
      </w:r>
      <w:r>
        <w:rPr>
          <w:rFonts w:hint="eastAsia" w:ascii="仿宋_GB2312" w:hAnsi="Times New Roman" w:eastAsia="仿宋_GB2312" w:cs="仿宋_GB2312"/>
          <w:color w:val="000000"/>
          <w:kern w:val="0"/>
          <w:sz w:val="32"/>
          <w:szCs w:val="32"/>
          <w:shd w:val="clear" w:color="auto" w:fill="FFFFFF"/>
          <w:lang w:val="en-US" w:eastAsia="zh-CN"/>
        </w:rPr>
        <w:t>4分</w:t>
      </w:r>
    </w:p>
    <w:p w14:paraId="46D5E4AE">
      <w:pPr>
        <w:adjustRightInd w:val="0"/>
        <w:snapToGrid w:val="0"/>
        <w:spacing w:line="578" w:lineRule="exact"/>
        <w:ind w:firstLine="640" w:firstLineChars="200"/>
        <w:contextualSpacing/>
        <w:jc w:val="left"/>
        <w:rPr>
          <w:rFonts w:hint="eastAsia" w:ascii="仿宋_GB2312" w:hAnsi="Times New Roman" w:eastAsia="仿宋_GB2312" w:cs="仿宋_GB2312"/>
          <w:color w:val="000000"/>
          <w:kern w:val="0"/>
          <w:sz w:val="32"/>
          <w:szCs w:val="32"/>
          <w:shd w:val="clear" w:color="auto" w:fill="FFFFFF"/>
          <w:lang w:val="zh-CN"/>
        </w:rPr>
      </w:pPr>
      <w:r>
        <w:rPr>
          <w:rFonts w:hint="eastAsia" w:ascii="仿宋_GB2312" w:hAnsi="Times New Roman" w:eastAsia="仿宋_GB2312" w:cs="仿宋_GB2312"/>
          <w:color w:val="000000"/>
          <w:kern w:val="0"/>
          <w:sz w:val="32"/>
          <w:szCs w:val="32"/>
          <w:shd w:val="clear" w:color="auto" w:fill="FFFFFF"/>
          <w:lang w:val="zh-CN"/>
        </w:rPr>
        <w:t>（</w:t>
      </w:r>
      <w:r>
        <w:rPr>
          <w:rFonts w:hint="eastAsia" w:ascii="仿宋_GB2312" w:hAnsi="Times New Roman" w:eastAsia="仿宋_GB2312" w:cs="仿宋_GB2312"/>
          <w:color w:val="000000"/>
          <w:kern w:val="0"/>
          <w:sz w:val="32"/>
          <w:szCs w:val="32"/>
          <w:shd w:val="clear" w:color="auto" w:fill="FFFFFF"/>
          <w:lang w:val="en-US" w:eastAsia="zh-CN"/>
        </w:rPr>
        <w:t>3</w:t>
      </w:r>
      <w:r>
        <w:rPr>
          <w:rFonts w:hint="eastAsia" w:ascii="仿宋_GB2312" w:hAnsi="Times New Roman" w:eastAsia="仿宋_GB2312" w:cs="仿宋_GB2312"/>
          <w:color w:val="000000"/>
          <w:kern w:val="0"/>
          <w:sz w:val="32"/>
          <w:szCs w:val="32"/>
          <w:shd w:val="clear" w:color="auto" w:fill="FFFFFF"/>
          <w:lang w:val="zh-CN"/>
        </w:rPr>
        <w:t>）我单位</w:t>
      </w:r>
      <w:r>
        <w:rPr>
          <w:rFonts w:hint="eastAsia" w:ascii="仿宋_GB2312" w:hAnsi="Times New Roman" w:eastAsia="仿宋_GB2312" w:cs="仿宋_GB2312"/>
          <w:color w:val="000000"/>
          <w:kern w:val="0"/>
          <w:sz w:val="32"/>
          <w:szCs w:val="32"/>
          <w:shd w:val="clear" w:color="auto" w:fill="FFFFFF"/>
          <w:lang w:val="en-US" w:eastAsia="zh-CN"/>
        </w:rPr>
        <w:t>202</w:t>
      </w:r>
      <w:r>
        <w:rPr>
          <w:rFonts w:ascii="仿宋_GB2312" w:hAnsi="Times New Roman" w:eastAsia="仿宋_GB2312" w:cs="仿宋_GB2312"/>
          <w:color w:val="000000"/>
          <w:kern w:val="0"/>
          <w:sz w:val="32"/>
          <w:szCs w:val="32"/>
          <w:shd w:val="clear" w:color="auto" w:fill="FFFFFF"/>
          <w:lang w:val="en-US" w:eastAsia="zh-CN"/>
        </w:rPr>
        <w:t>4</w:t>
      </w:r>
      <w:r>
        <w:rPr>
          <w:rFonts w:hint="eastAsia" w:ascii="仿宋_GB2312" w:hAnsi="Times New Roman" w:eastAsia="仿宋_GB2312" w:cs="仿宋_GB2312"/>
          <w:color w:val="000000"/>
          <w:kern w:val="0"/>
          <w:sz w:val="32"/>
          <w:szCs w:val="32"/>
          <w:shd w:val="clear" w:color="auto" w:fill="FFFFFF"/>
          <w:lang w:val="en-US" w:eastAsia="zh-CN"/>
        </w:rPr>
        <w:t>年度1-6月资金支付率</w:t>
      </w:r>
      <w:r>
        <w:rPr>
          <w:rFonts w:ascii="仿宋_GB2312" w:hAnsi="Times New Roman" w:eastAsia="仿宋_GB2312" w:cs="仿宋_GB2312"/>
          <w:color w:val="000000"/>
          <w:kern w:val="0"/>
          <w:sz w:val="32"/>
          <w:szCs w:val="32"/>
          <w:shd w:val="clear" w:color="auto" w:fill="FFFFFF"/>
          <w:lang w:val="en-US" w:eastAsia="zh-CN"/>
        </w:rPr>
        <w:t>55.64</w:t>
      </w:r>
      <w:r>
        <w:rPr>
          <w:rFonts w:hint="eastAsia" w:ascii="仿宋_GB2312" w:hAnsi="Times New Roman" w:eastAsia="仿宋_GB2312" w:cs="仿宋_GB2312"/>
          <w:color w:val="000000"/>
          <w:kern w:val="0"/>
          <w:sz w:val="32"/>
          <w:szCs w:val="32"/>
          <w:shd w:val="clear" w:color="auto" w:fill="FFFFFF"/>
          <w:lang w:val="en-US" w:eastAsia="zh-CN"/>
        </w:rPr>
        <w:t>%；1-10月资金支付率</w:t>
      </w:r>
      <w:r>
        <w:rPr>
          <w:rFonts w:ascii="仿宋_GB2312" w:hAnsi="Times New Roman" w:eastAsia="仿宋_GB2312" w:cs="仿宋_GB2312"/>
          <w:color w:val="000000"/>
          <w:kern w:val="0"/>
          <w:sz w:val="32"/>
          <w:szCs w:val="32"/>
          <w:shd w:val="clear" w:color="auto" w:fill="FFFFFF"/>
          <w:lang w:val="en-US" w:eastAsia="zh-CN"/>
        </w:rPr>
        <w:t>85.54</w:t>
      </w:r>
      <w:r>
        <w:rPr>
          <w:rFonts w:hint="eastAsia" w:ascii="仿宋_GB2312" w:hAnsi="Times New Roman" w:eastAsia="仿宋_GB2312" w:cs="仿宋_GB2312"/>
          <w:color w:val="000000"/>
          <w:kern w:val="0"/>
          <w:sz w:val="32"/>
          <w:szCs w:val="32"/>
          <w:shd w:val="clear" w:color="auto" w:fill="FFFFFF"/>
          <w:lang w:val="en-US" w:eastAsia="zh-CN"/>
        </w:rPr>
        <w:t>%，</w:t>
      </w:r>
      <w:r>
        <w:rPr>
          <w:rFonts w:hint="eastAsia" w:ascii="仿宋_GB2312" w:hAnsi="Times New Roman" w:eastAsia="仿宋_GB2312" w:cs="仿宋_GB2312"/>
          <w:color w:val="000000"/>
          <w:kern w:val="0"/>
          <w:sz w:val="32"/>
          <w:szCs w:val="32"/>
          <w:shd w:val="clear" w:color="auto" w:fill="FFFFFF"/>
          <w:lang w:val="zh-CN"/>
        </w:rPr>
        <w:t>支出执行进度方面得6分。</w:t>
      </w:r>
    </w:p>
    <w:p w14:paraId="6324068E">
      <w:pPr>
        <w:adjustRightInd w:val="0"/>
        <w:snapToGrid w:val="0"/>
        <w:spacing w:line="578" w:lineRule="exact"/>
        <w:ind w:firstLine="640" w:firstLineChars="200"/>
        <w:contextualSpacing/>
        <w:jc w:val="left"/>
        <w:outlineLvl w:val="4"/>
        <w:rPr>
          <w:rFonts w:hint="eastAsia" w:ascii="仿宋_GB2312" w:hAnsi="Times New Roman" w:eastAsia="仿宋_GB2312" w:cs="仿宋_GB2312"/>
          <w:color w:val="000000"/>
          <w:kern w:val="0"/>
          <w:sz w:val="32"/>
          <w:szCs w:val="32"/>
          <w:shd w:val="clear" w:color="auto" w:fill="FFFFFF"/>
          <w:lang w:val="zh-CN"/>
        </w:rPr>
      </w:pPr>
      <w:r>
        <w:rPr>
          <w:rFonts w:hint="eastAsia" w:ascii="仿宋_GB2312" w:hAnsi="Times New Roman" w:eastAsia="仿宋_GB2312" w:cs="仿宋_GB2312"/>
          <w:color w:val="000000"/>
          <w:kern w:val="0"/>
          <w:sz w:val="32"/>
          <w:szCs w:val="32"/>
          <w:shd w:val="clear" w:color="auto" w:fill="FFFFFF"/>
          <w:lang w:val="zh-CN"/>
        </w:rPr>
        <w:t>（</w:t>
      </w:r>
      <w:r>
        <w:rPr>
          <w:rFonts w:hint="eastAsia" w:ascii="仿宋_GB2312" w:hAnsi="Times New Roman" w:eastAsia="仿宋_GB2312" w:cs="仿宋_GB2312"/>
          <w:color w:val="000000"/>
          <w:kern w:val="0"/>
          <w:sz w:val="32"/>
          <w:szCs w:val="32"/>
          <w:shd w:val="clear" w:color="auto" w:fill="FFFFFF"/>
          <w:lang w:val="en-US" w:eastAsia="zh-CN"/>
        </w:rPr>
        <w:t>4</w:t>
      </w:r>
      <w:r>
        <w:rPr>
          <w:rFonts w:hint="eastAsia" w:ascii="仿宋_GB2312" w:hAnsi="Times New Roman" w:eastAsia="仿宋_GB2312" w:cs="仿宋_GB2312"/>
          <w:color w:val="000000"/>
          <w:kern w:val="0"/>
          <w:sz w:val="32"/>
          <w:szCs w:val="32"/>
          <w:shd w:val="clear" w:color="auto" w:fill="FFFFFF"/>
          <w:lang w:val="zh-CN"/>
        </w:rPr>
        <w:t>）我单位</w:t>
      </w:r>
      <w:r>
        <w:rPr>
          <w:rFonts w:hint="eastAsia" w:ascii="仿宋_GB2312" w:hAnsi="Times New Roman" w:eastAsia="仿宋_GB2312" w:cs="仿宋_GB2312"/>
          <w:color w:val="000000"/>
          <w:kern w:val="0"/>
          <w:sz w:val="32"/>
          <w:szCs w:val="32"/>
          <w:shd w:val="clear" w:color="auto" w:fill="FFFFFF"/>
          <w:lang w:val="en-US" w:eastAsia="zh-CN"/>
        </w:rPr>
        <w:t>202</w:t>
      </w:r>
      <w:r>
        <w:rPr>
          <w:rFonts w:ascii="仿宋_GB2312" w:hAnsi="Times New Roman" w:eastAsia="仿宋_GB2312" w:cs="仿宋_GB2312"/>
          <w:color w:val="000000"/>
          <w:kern w:val="0"/>
          <w:sz w:val="32"/>
          <w:szCs w:val="32"/>
          <w:shd w:val="clear" w:color="auto" w:fill="FFFFFF"/>
          <w:lang w:val="en-US" w:eastAsia="zh-CN"/>
        </w:rPr>
        <w:t>4</w:t>
      </w:r>
      <w:r>
        <w:rPr>
          <w:rFonts w:hint="eastAsia" w:ascii="仿宋_GB2312" w:hAnsi="Times New Roman" w:eastAsia="仿宋_GB2312" w:cs="仿宋_GB2312"/>
          <w:color w:val="000000"/>
          <w:kern w:val="0"/>
          <w:sz w:val="32"/>
          <w:szCs w:val="32"/>
          <w:shd w:val="clear" w:color="auto" w:fill="FFFFFF"/>
          <w:lang w:val="en-US" w:eastAsia="zh-CN"/>
        </w:rPr>
        <w:t>年度</w:t>
      </w:r>
      <w:r>
        <w:rPr>
          <w:rFonts w:hint="eastAsia" w:ascii="仿宋_GB2312" w:hAnsi="Times New Roman" w:eastAsia="仿宋_GB2312" w:cs="仿宋_GB2312"/>
          <w:color w:val="000000"/>
          <w:kern w:val="0"/>
          <w:sz w:val="32"/>
          <w:szCs w:val="32"/>
          <w:shd w:val="clear" w:color="auto" w:fill="FFFFFF"/>
          <w:lang w:val="zh-CN"/>
        </w:rPr>
        <w:t>年终无结余，该项得</w:t>
      </w:r>
      <w:r>
        <w:rPr>
          <w:rFonts w:ascii="仿宋_GB2312" w:hAnsi="Times New Roman" w:eastAsia="仿宋_GB2312" w:cs="仿宋_GB2312"/>
          <w:color w:val="000000"/>
          <w:kern w:val="0"/>
          <w:sz w:val="32"/>
          <w:szCs w:val="32"/>
          <w:shd w:val="clear" w:color="auto" w:fill="FFFFFF"/>
          <w:lang w:val="zh-CN"/>
        </w:rPr>
        <w:t>2</w:t>
      </w:r>
      <w:r>
        <w:rPr>
          <w:rFonts w:hint="eastAsia" w:ascii="仿宋_GB2312" w:hAnsi="Times New Roman" w:eastAsia="仿宋_GB2312" w:cs="仿宋_GB2312"/>
          <w:color w:val="000000"/>
          <w:kern w:val="0"/>
          <w:sz w:val="32"/>
          <w:szCs w:val="32"/>
          <w:shd w:val="clear" w:color="auto" w:fill="FFFFFF"/>
          <w:lang w:val="zh-CN"/>
        </w:rPr>
        <w:t>分。</w:t>
      </w:r>
    </w:p>
    <w:p w14:paraId="3BBF168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仿宋_GB2312" w:hAnsi="Times New Roman" w:eastAsia="仿宋_GB2312" w:cs="仿宋_GB2312"/>
          <w:color w:val="000000"/>
          <w:kern w:val="0"/>
          <w:sz w:val="32"/>
          <w:szCs w:val="32"/>
          <w:shd w:val="clear" w:color="auto" w:fill="FFFFFF"/>
          <w:lang w:val="zh-CN"/>
        </w:rPr>
        <w:t>（</w:t>
      </w:r>
      <w:r>
        <w:rPr>
          <w:rFonts w:hint="eastAsia" w:ascii="仿宋_GB2312" w:hAnsi="Times New Roman" w:eastAsia="仿宋_GB2312" w:cs="仿宋_GB2312"/>
          <w:color w:val="000000"/>
          <w:kern w:val="0"/>
          <w:sz w:val="32"/>
          <w:szCs w:val="32"/>
          <w:shd w:val="clear" w:color="auto" w:fill="FFFFFF"/>
          <w:lang w:val="en-US" w:eastAsia="zh-CN"/>
        </w:rPr>
        <w:t>5</w:t>
      </w:r>
      <w:r>
        <w:rPr>
          <w:rFonts w:hint="eastAsia" w:ascii="仿宋_GB2312" w:hAnsi="Times New Roman" w:eastAsia="仿宋_GB2312" w:cs="仿宋_GB2312"/>
          <w:color w:val="000000"/>
          <w:kern w:val="0"/>
          <w:sz w:val="32"/>
          <w:szCs w:val="32"/>
          <w:shd w:val="clear" w:color="auto" w:fill="FFFFFF"/>
          <w:lang w:val="zh-CN"/>
        </w:rPr>
        <w:t>）我单位严控“三公”经费、培训</w:t>
      </w:r>
      <w:r>
        <w:rPr>
          <w:rFonts w:ascii="仿宋_GB2312" w:hAnsi="Times New Roman" w:eastAsia="仿宋_GB2312" w:cs="仿宋_GB2312"/>
          <w:color w:val="000000"/>
          <w:kern w:val="0"/>
          <w:sz w:val="32"/>
          <w:szCs w:val="32"/>
          <w:shd w:val="clear" w:color="auto" w:fill="FFFFFF"/>
          <w:lang w:val="zh-CN"/>
        </w:rPr>
        <w:t>费</w:t>
      </w:r>
      <w:r>
        <w:rPr>
          <w:rFonts w:hint="eastAsia" w:ascii="仿宋_GB2312" w:hAnsi="Times New Roman" w:eastAsia="仿宋_GB2312" w:cs="仿宋_GB2312"/>
          <w:color w:val="000000"/>
          <w:kern w:val="0"/>
          <w:sz w:val="32"/>
          <w:szCs w:val="32"/>
          <w:shd w:val="clear" w:color="auto" w:fill="FFFFFF"/>
          <w:lang w:val="zh-CN"/>
        </w:rPr>
        <w:t>、办公费等支出，严控一般性支出方面得</w:t>
      </w:r>
      <w:r>
        <w:rPr>
          <w:rFonts w:hint="eastAsia" w:ascii="仿宋_GB2312" w:hAnsi="Times New Roman" w:eastAsia="仿宋_GB2312" w:cs="仿宋_GB2312"/>
          <w:color w:val="000000"/>
          <w:kern w:val="0"/>
          <w:sz w:val="32"/>
          <w:szCs w:val="32"/>
          <w:shd w:val="clear" w:color="auto" w:fill="FFFFFF"/>
          <w:lang w:val="en-US" w:eastAsia="zh-CN"/>
        </w:rPr>
        <w:t>5分</w:t>
      </w:r>
      <w:r>
        <w:rPr>
          <w:rFonts w:hint="eastAsia" w:ascii="Times New Roman" w:hAnsi="Times New Roman" w:eastAsia="仿宋_GB2312" w:cs="Times New Roman"/>
          <w:color w:val="000000"/>
          <w:kern w:val="0"/>
          <w:sz w:val="32"/>
          <w:szCs w:val="32"/>
          <w:shd w:val="clear" w:color="auto" w:fill="FFFFFF"/>
          <w:lang w:val="zh-CN"/>
        </w:rPr>
        <w:t>。</w:t>
      </w:r>
    </w:p>
    <w:p w14:paraId="7F90B4A6">
      <w:pPr>
        <w:adjustRightInd w:val="0"/>
        <w:snapToGrid w:val="0"/>
        <w:spacing w:line="578" w:lineRule="exact"/>
        <w:ind w:firstLine="640" w:firstLineChars="200"/>
        <w:contextualSpacing/>
        <w:jc w:val="left"/>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3.</w:t>
      </w:r>
      <w:r>
        <w:rPr>
          <w:rFonts w:ascii="Times New Roman" w:hAnsi="Times New Roman" w:eastAsia="楷体_GB2312" w:cs="Times New Roman"/>
          <w:color w:val="000000"/>
          <w:kern w:val="0"/>
          <w:sz w:val="32"/>
          <w:szCs w:val="32"/>
          <w:highlight w:val="none"/>
          <w:shd w:val="clear" w:color="auto" w:fill="FFFFFF"/>
          <w:lang w:val="zh-CN"/>
        </w:rPr>
        <w:t>财务管理。</w:t>
      </w:r>
    </w:p>
    <w:p w14:paraId="2681D153">
      <w:pPr>
        <w:adjustRightInd w:val="0"/>
        <w:snapToGrid w:val="0"/>
        <w:spacing w:line="578" w:lineRule="exact"/>
        <w:ind w:firstLine="640" w:firstLineChars="200"/>
        <w:contextualSpacing/>
        <w:jc w:val="left"/>
        <w:rPr>
          <w:rFonts w:ascii="楷体_GB2312" w:hAnsi="Times New Roman" w:eastAsia="楷体_GB2312" w:cs="楷体_GB2312"/>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我</w:t>
      </w:r>
      <w:r>
        <w:rPr>
          <w:rFonts w:ascii="Times New Roman" w:hAnsi="Times New Roman" w:eastAsia="仿宋_GB2312" w:cs="Times New Roman"/>
          <w:color w:val="000000"/>
          <w:kern w:val="0"/>
          <w:sz w:val="32"/>
          <w:szCs w:val="32"/>
          <w:shd w:val="clear" w:color="auto" w:fill="FFFFFF"/>
          <w:lang w:val="zh-CN"/>
        </w:rPr>
        <w:t>单位</w:t>
      </w:r>
      <w:r>
        <w:rPr>
          <w:rFonts w:hint="eastAsia" w:ascii="Times New Roman" w:hAnsi="Times New Roman" w:eastAsia="仿宋_GB2312" w:cs="Times New Roman"/>
          <w:color w:val="000000"/>
          <w:kern w:val="0"/>
          <w:sz w:val="32"/>
          <w:szCs w:val="32"/>
          <w:shd w:val="clear" w:color="auto" w:fill="FFFFFF"/>
          <w:lang w:val="zh-CN"/>
        </w:rPr>
        <w:t>严格执行《会计法》、《预算法》、《行政</w:t>
      </w:r>
      <w:r>
        <w:rPr>
          <w:rFonts w:ascii="Times New Roman" w:hAnsi="Times New Roman" w:eastAsia="仿宋_GB2312" w:cs="Times New Roman"/>
          <w:color w:val="000000"/>
          <w:kern w:val="0"/>
          <w:sz w:val="32"/>
          <w:szCs w:val="32"/>
          <w:shd w:val="clear" w:color="auto" w:fill="FFFFFF"/>
          <w:lang w:val="zh-CN"/>
        </w:rPr>
        <w:t>事业</w:t>
      </w:r>
      <w:r>
        <w:rPr>
          <w:rFonts w:hint="eastAsia" w:ascii="Times New Roman" w:hAnsi="Times New Roman" w:eastAsia="仿宋_GB2312" w:cs="Times New Roman"/>
          <w:color w:val="000000"/>
          <w:kern w:val="0"/>
          <w:sz w:val="32"/>
          <w:szCs w:val="32"/>
          <w:shd w:val="clear" w:color="auto" w:fill="FFFFFF"/>
          <w:lang w:val="zh-CN"/>
        </w:rPr>
        <w:t>单位会计制度》等法律法规，</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我</w:t>
      </w:r>
      <w:r>
        <w:rPr>
          <w:rFonts w:ascii="Times New Roman" w:hAnsi="Times New Roman" w:eastAsia="仿宋_GB2312" w:cs="Times New Roman"/>
          <w:b w:val="0"/>
          <w:color w:val="000000"/>
          <w:kern w:val="0"/>
          <w:sz w:val="32"/>
          <w:szCs w:val="32"/>
          <w:highlight w:val="none"/>
          <w:shd w:val="clear" w:color="auto" w:fill="FFFFFF"/>
          <w:lang w:val="en-US" w:eastAsia="zh-CN" w:bidi="ar-SA"/>
        </w:rPr>
        <w:t>单位</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财务岗位设有出纳和会计，</w:t>
      </w:r>
      <w:r>
        <w:rPr>
          <w:rFonts w:ascii="Times New Roman" w:hAnsi="Times New Roman" w:eastAsia="仿宋_GB2312" w:cs="Times New Roman"/>
          <w:b w:val="0"/>
          <w:color w:val="000000"/>
          <w:kern w:val="0"/>
          <w:sz w:val="32"/>
          <w:szCs w:val="32"/>
          <w:highlight w:val="none"/>
          <w:shd w:val="clear" w:color="auto" w:fill="FFFFFF"/>
          <w:lang w:val="en-US" w:eastAsia="zh-CN" w:bidi="ar-SA"/>
        </w:rPr>
        <w:t>严格执行不相容岗位相分离</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，建立了财务室工作职责、财务管理制度，资金的管理及使用方面，均严格按照财经制度执行</w:t>
      </w:r>
      <w:r>
        <w:rPr>
          <w:rFonts w:ascii="Times New Roman" w:hAnsi="Times New Roman" w:eastAsia="仿宋_GB2312" w:cs="Times New Roman"/>
          <w:b w:val="0"/>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shd w:val="clear" w:color="auto" w:fill="FFFFFF"/>
          <w:lang w:val="zh-CN"/>
        </w:rPr>
        <w:t>资金使用合规，制度执行较为有效，财务管理方面得</w:t>
      </w:r>
      <w:r>
        <w:rPr>
          <w:rFonts w:hint="eastAsia" w:ascii="Times New Roman" w:hAnsi="Times New Roman" w:eastAsia="仿宋_GB2312" w:cs="Times New Roman"/>
          <w:color w:val="000000"/>
          <w:kern w:val="0"/>
          <w:sz w:val="32"/>
          <w:szCs w:val="32"/>
          <w:shd w:val="clear" w:color="auto" w:fill="FFFFFF"/>
          <w:lang w:val="en-US" w:eastAsia="zh-CN"/>
        </w:rPr>
        <w:t>10</w:t>
      </w:r>
      <w:r>
        <w:rPr>
          <w:rFonts w:hint="eastAsia" w:ascii="Times New Roman" w:hAnsi="Times New Roman" w:eastAsia="仿宋_GB2312" w:cs="Times New Roman"/>
          <w:color w:val="000000"/>
          <w:kern w:val="0"/>
          <w:sz w:val="32"/>
          <w:szCs w:val="32"/>
          <w:shd w:val="clear" w:color="auto" w:fill="FFFFFF"/>
          <w:lang w:val="zh-CN"/>
        </w:rPr>
        <w:t>分。</w:t>
      </w:r>
    </w:p>
    <w:p w14:paraId="34BF787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4.</w:t>
      </w:r>
      <w:r>
        <w:rPr>
          <w:rFonts w:ascii="Times New Roman" w:hAnsi="Times New Roman" w:eastAsia="楷体_GB2312" w:cs="Times New Roman"/>
          <w:color w:val="000000"/>
          <w:kern w:val="0"/>
          <w:sz w:val="32"/>
          <w:szCs w:val="32"/>
          <w:highlight w:val="none"/>
          <w:shd w:val="clear" w:color="auto" w:fill="FFFFFF"/>
          <w:lang w:val="zh-CN"/>
        </w:rPr>
        <w:t>资产管理。</w:t>
      </w:r>
    </w:p>
    <w:p w14:paraId="7136A91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截至202</w:t>
      </w:r>
      <w:r>
        <w:rPr>
          <w:rFonts w:ascii="Times New Roman" w:hAnsi="Times New Roman" w:eastAsia="仿宋_GB2312" w:cs="Times New Roman"/>
          <w:b w:val="0"/>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年末，我</w:t>
      </w:r>
      <w:r>
        <w:rPr>
          <w:rFonts w:ascii="Times New Roman" w:hAnsi="Times New Roman" w:eastAsia="仿宋_GB2312" w:cs="Times New Roman"/>
          <w:b w:val="0"/>
          <w:color w:val="000000"/>
          <w:kern w:val="0"/>
          <w:sz w:val="32"/>
          <w:szCs w:val="32"/>
          <w:highlight w:val="none"/>
          <w:shd w:val="clear" w:color="auto" w:fill="FFFFFF"/>
          <w:lang w:val="en-US" w:eastAsia="zh-CN" w:bidi="ar-SA"/>
        </w:rPr>
        <w:t>校</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固定资产总额为</w:t>
      </w:r>
      <w:r>
        <w:rPr>
          <w:rFonts w:ascii="Times New Roman" w:hAnsi="Times New Roman" w:eastAsia="仿宋_GB2312" w:cs="Times New Roman"/>
          <w:b w:val="0"/>
          <w:color w:val="000000"/>
          <w:kern w:val="0"/>
          <w:sz w:val="32"/>
          <w:szCs w:val="32"/>
          <w:highlight w:val="none"/>
          <w:shd w:val="clear" w:color="auto" w:fill="FFFFFF"/>
          <w:lang w:val="en-US" w:eastAsia="zh-CN" w:bidi="ar-SA"/>
        </w:rPr>
        <w:t>1323.03</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万元，主要为房屋构筑物、设备、</w:t>
      </w:r>
      <w:r>
        <w:rPr>
          <w:rFonts w:ascii="Times New Roman" w:hAnsi="Times New Roman" w:eastAsia="仿宋_GB2312" w:cs="Times New Roman"/>
          <w:b w:val="0"/>
          <w:color w:val="000000"/>
          <w:kern w:val="0"/>
          <w:sz w:val="32"/>
          <w:szCs w:val="32"/>
          <w:highlight w:val="none"/>
          <w:shd w:val="clear" w:color="auto" w:fill="FFFFFF"/>
          <w:lang w:val="en-US" w:eastAsia="zh-CN" w:bidi="ar-SA"/>
        </w:rPr>
        <w:t>家具</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等，房屋构筑物占总资产的</w:t>
      </w:r>
      <w:r>
        <w:rPr>
          <w:rFonts w:ascii="Times New Roman" w:hAnsi="Times New Roman" w:eastAsia="仿宋_GB2312" w:cs="Times New Roman"/>
          <w:b w:val="0"/>
          <w:color w:val="000000"/>
          <w:kern w:val="0"/>
          <w:sz w:val="32"/>
          <w:szCs w:val="32"/>
          <w:highlight w:val="none"/>
          <w:shd w:val="clear" w:color="auto" w:fill="FFFFFF"/>
          <w:lang w:val="en-US" w:eastAsia="zh-CN" w:bidi="ar-SA"/>
        </w:rPr>
        <w:t>25.77</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 设备占</w:t>
      </w:r>
      <w:r>
        <w:rPr>
          <w:rFonts w:ascii="Times New Roman" w:hAnsi="Times New Roman" w:eastAsia="仿宋_GB2312" w:cs="Times New Roman"/>
          <w:b w:val="0"/>
          <w:color w:val="000000"/>
          <w:kern w:val="0"/>
          <w:sz w:val="32"/>
          <w:szCs w:val="32"/>
          <w:highlight w:val="none"/>
          <w:shd w:val="clear" w:color="auto" w:fill="FFFFFF"/>
          <w:lang w:val="en-US" w:eastAsia="zh-CN" w:bidi="ar-SA"/>
        </w:rPr>
        <w:t>55.03</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%，家具用具和图书占</w:t>
      </w:r>
      <w:r>
        <w:rPr>
          <w:rFonts w:ascii="Times New Roman" w:hAnsi="Times New Roman" w:eastAsia="仿宋_GB2312" w:cs="Times New Roman"/>
          <w:b w:val="0"/>
          <w:color w:val="000000"/>
          <w:kern w:val="0"/>
          <w:sz w:val="32"/>
          <w:szCs w:val="32"/>
          <w:highlight w:val="none"/>
          <w:shd w:val="clear" w:color="auto" w:fill="FFFFFF"/>
          <w:lang w:val="en-US" w:eastAsia="zh-CN" w:bidi="ar-SA"/>
        </w:rPr>
        <w:t>19.20</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r>
        <w:rPr>
          <w:rFonts w:ascii="Times New Roman" w:hAnsi="Times New Roman" w:eastAsia="仿宋_GB2312" w:cs="Times New Roman"/>
          <w:b w:val="0"/>
          <w:color w:val="000000"/>
          <w:kern w:val="0"/>
          <w:sz w:val="32"/>
          <w:szCs w:val="32"/>
          <w:highlight w:val="none"/>
          <w:shd w:val="clear" w:color="auto" w:fill="FFFFFF"/>
          <w:lang w:val="en-US" w:eastAsia="zh-CN" w:bidi="ar-SA"/>
        </w:rPr>
        <w:t>资产利用率高，无闲置资产，资产管理方面得9分。</w:t>
      </w:r>
    </w:p>
    <w:p w14:paraId="7739CDB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5.</w:t>
      </w:r>
      <w:r>
        <w:rPr>
          <w:rFonts w:ascii="Times New Roman" w:hAnsi="Times New Roman" w:eastAsia="楷体_GB2312" w:cs="Times New Roman"/>
          <w:color w:val="000000"/>
          <w:kern w:val="0"/>
          <w:sz w:val="32"/>
          <w:szCs w:val="32"/>
          <w:highlight w:val="none"/>
          <w:shd w:val="clear" w:color="auto" w:fill="FFFFFF"/>
          <w:lang w:val="zh-CN"/>
        </w:rPr>
        <w:t>采购管理。</w:t>
      </w:r>
    </w:p>
    <w:p w14:paraId="0DCCC428">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kern w:val="0"/>
          <w:sz w:val="32"/>
          <w:szCs w:val="32"/>
          <w:highlight w:val="none"/>
          <w:shd w:val="clear" w:color="auto" w:fill="FFFFFF"/>
          <w:lang w:val="zh-CN"/>
        </w:rPr>
      </w:pPr>
      <w:r>
        <w:rPr>
          <w:rFonts w:hint="eastAsia" w:ascii="Times New Roman" w:hAnsi="Times New Roman" w:eastAsia="仿宋_GB2312" w:cs="Times New Roman"/>
          <w:b w:val="0"/>
          <w:kern w:val="0"/>
          <w:sz w:val="32"/>
          <w:szCs w:val="32"/>
          <w:highlight w:val="none"/>
          <w:shd w:val="clear" w:color="auto" w:fill="FFFFFF"/>
          <w:lang w:val="en-US" w:eastAsia="zh-CN" w:bidi="ar-SA"/>
        </w:rPr>
        <w:t>我</w:t>
      </w:r>
      <w:r>
        <w:rPr>
          <w:rFonts w:ascii="Times New Roman" w:hAnsi="Times New Roman" w:eastAsia="仿宋_GB2312" w:cs="Times New Roman"/>
          <w:b w:val="0"/>
          <w:kern w:val="0"/>
          <w:sz w:val="32"/>
          <w:szCs w:val="32"/>
          <w:highlight w:val="none"/>
          <w:shd w:val="clear" w:color="auto" w:fill="FFFFFF"/>
          <w:lang w:val="en-US" w:eastAsia="zh-CN" w:bidi="ar-SA"/>
        </w:rPr>
        <w:t>校</w:t>
      </w:r>
      <w:r>
        <w:rPr>
          <w:rFonts w:hint="eastAsia" w:ascii="Times New Roman" w:hAnsi="Times New Roman" w:eastAsia="仿宋_GB2312" w:cs="Times New Roman"/>
          <w:b w:val="0"/>
          <w:kern w:val="0"/>
          <w:sz w:val="32"/>
          <w:szCs w:val="32"/>
          <w:highlight w:val="none"/>
          <w:shd w:val="clear" w:color="auto" w:fill="FFFFFF"/>
          <w:lang w:val="en-US" w:eastAsia="zh-CN" w:bidi="ar-SA"/>
        </w:rPr>
        <w:t>202</w:t>
      </w:r>
      <w:r>
        <w:rPr>
          <w:rFonts w:ascii="Times New Roman" w:hAnsi="Times New Roman" w:eastAsia="仿宋_GB2312" w:cs="Times New Roman"/>
          <w:b w:val="0"/>
          <w:kern w:val="0"/>
          <w:sz w:val="32"/>
          <w:szCs w:val="32"/>
          <w:highlight w:val="none"/>
          <w:shd w:val="clear" w:color="auto" w:fill="FFFFFF"/>
          <w:lang w:val="en-US" w:eastAsia="zh-CN" w:bidi="ar-SA"/>
        </w:rPr>
        <w:t>4</w:t>
      </w:r>
      <w:r>
        <w:rPr>
          <w:rFonts w:hint="eastAsia" w:ascii="Times New Roman" w:hAnsi="Times New Roman" w:eastAsia="仿宋_GB2312" w:cs="Times New Roman"/>
          <w:b w:val="0"/>
          <w:kern w:val="0"/>
          <w:sz w:val="32"/>
          <w:szCs w:val="32"/>
          <w:highlight w:val="none"/>
          <w:shd w:val="clear" w:color="auto" w:fill="FFFFFF"/>
          <w:lang w:val="en-US" w:eastAsia="zh-CN" w:bidi="ar-SA"/>
        </w:rPr>
        <w:t>年度政府采购项目为“</w:t>
      </w:r>
      <w:r>
        <w:rPr>
          <w:rFonts w:ascii="Times New Roman" w:hAnsi="Times New Roman" w:eastAsia="仿宋_GB2312" w:cs="Times New Roman"/>
          <w:sz w:val="32"/>
        </w:rPr>
        <w:t>办公设备一体机采购</w:t>
      </w:r>
      <w:r>
        <w:rPr>
          <w:rFonts w:hint="eastAsia" w:ascii="Times New Roman" w:hAnsi="Times New Roman" w:eastAsia="仿宋_GB2312" w:cs="Times New Roman"/>
          <w:b w:val="0"/>
          <w:kern w:val="0"/>
          <w:sz w:val="32"/>
          <w:szCs w:val="32"/>
          <w:highlight w:val="none"/>
          <w:shd w:val="clear" w:color="auto" w:fill="FFFFFF"/>
          <w:lang w:val="en-US" w:eastAsia="zh-CN" w:bidi="ar-SA"/>
        </w:rPr>
        <w:t>”</w:t>
      </w:r>
      <w:r>
        <w:rPr>
          <w:rFonts w:ascii="Times New Roman" w:hAnsi="Times New Roman" w:eastAsia="仿宋_GB2312" w:cs="Times New Roman"/>
          <w:b w:val="0"/>
          <w:kern w:val="0"/>
          <w:sz w:val="32"/>
          <w:szCs w:val="32"/>
          <w:highlight w:val="none"/>
          <w:shd w:val="clear" w:color="auto" w:fill="FFFFFF"/>
          <w:lang w:val="en-US" w:eastAsia="zh-CN" w:bidi="ar-SA"/>
        </w:rPr>
        <w:t>和</w:t>
      </w:r>
      <w:r>
        <w:rPr>
          <w:rFonts w:hint="eastAsia" w:ascii="Times New Roman" w:hAnsi="Times New Roman" w:eastAsia="仿宋_GB2312" w:cs="Times New Roman"/>
          <w:b w:val="0"/>
          <w:kern w:val="0"/>
          <w:sz w:val="32"/>
          <w:szCs w:val="32"/>
          <w:highlight w:val="none"/>
          <w:shd w:val="clear" w:color="auto" w:fill="FFFFFF"/>
          <w:lang w:val="en-US" w:eastAsia="zh-CN" w:bidi="ar-SA"/>
        </w:rPr>
        <w:t>“</w:t>
      </w:r>
      <w:r>
        <w:rPr>
          <w:rFonts w:ascii="Times New Roman" w:hAnsi="Times New Roman" w:eastAsia="仿宋_GB2312" w:cs="Times New Roman"/>
          <w:b w:val="0"/>
          <w:kern w:val="0"/>
          <w:sz w:val="32"/>
          <w:szCs w:val="32"/>
          <w:highlight w:val="none"/>
          <w:shd w:val="clear" w:color="auto" w:fill="FFFFFF"/>
          <w:lang w:val="en-US" w:eastAsia="zh-CN" w:bidi="ar-SA"/>
        </w:rPr>
        <w:t>多功能午休桌椅采购</w:t>
      </w:r>
      <w:r>
        <w:rPr>
          <w:rFonts w:hint="eastAsia" w:ascii="Times New Roman" w:hAnsi="Times New Roman" w:eastAsia="仿宋_GB2312" w:cs="Times New Roman"/>
          <w:b w:val="0"/>
          <w:kern w:val="0"/>
          <w:sz w:val="32"/>
          <w:szCs w:val="32"/>
          <w:highlight w:val="none"/>
          <w:shd w:val="clear" w:color="auto" w:fill="FFFFFF"/>
          <w:lang w:val="en-US" w:eastAsia="zh-CN" w:bidi="ar-SA"/>
        </w:rPr>
        <w:t>”</w:t>
      </w:r>
      <w:r>
        <w:rPr>
          <w:rFonts w:ascii="Times New Roman" w:hAnsi="Times New Roman" w:eastAsia="仿宋_GB2312" w:cs="Times New Roman"/>
          <w:b w:val="0"/>
          <w:kern w:val="0"/>
          <w:sz w:val="32"/>
          <w:szCs w:val="32"/>
          <w:highlight w:val="none"/>
          <w:shd w:val="clear" w:color="auto" w:fill="FFFFFF"/>
          <w:lang w:val="en-US" w:eastAsia="zh-CN" w:bidi="ar-SA"/>
        </w:rPr>
        <w:t>，</w:t>
      </w:r>
      <w:r>
        <w:rPr>
          <w:rFonts w:hint="eastAsia" w:ascii="Times New Roman" w:hAnsi="Times New Roman" w:eastAsia="仿宋_GB2312" w:cs="Times New Roman"/>
          <w:b w:val="0"/>
          <w:kern w:val="0"/>
          <w:sz w:val="32"/>
          <w:szCs w:val="32"/>
          <w:highlight w:val="none"/>
          <w:shd w:val="clear" w:color="auto" w:fill="FFFFFF"/>
          <w:lang w:val="en-US" w:eastAsia="zh-CN" w:bidi="ar-SA"/>
        </w:rPr>
        <w:t>在项目的实施采购过程中严格执行政府采购促进中小企业发展相关管理办法，全部面向中小企业实施，预算执行率为</w:t>
      </w:r>
      <w:r>
        <w:rPr>
          <w:rFonts w:ascii="Times New Roman" w:hAnsi="Times New Roman" w:eastAsia="仿宋_GB2312" w:cs="Times New Roman"/>
          <w:sz w:val="32"/>
        </w:rPr>
        <w:t>95.60</w:t>
      </w:r>
      <w:r>
        <w:rPr>
          <w:rFonts w:hint="eastAsia" w:ascii="Times New Roman" w:hAnsi="Times New Roman" w:eastAsia="仿宋_GB2312" w:cs="Times New Roman"/>
          <w:b w:val="0"/>
          <w:kern w:val="0"/>
          <w:sz w:val="32"/>
          <w:szCs w:val="32"/>
          <w:highlight w:val="none"/>
          <w:shd w:val="clear" w:color="auto" w:fill="FFFFFF"/>
          <w:lang w:val="en-US" w:eastAsia="zh-CN" w:bidi="ar-SA"/>
        </w:rPr>
        <w:t>%。</w:t>
      </w:r>
    </w:p>
    <w:p w14:paraId="179D1D3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2"/>
        <w:rPr>
          <w:rFonts w:ascii="Times New Roman" w:hAnsi="Times New Roman" w:eastAsia="仿宋_GB2312" w:cs="Times New Roman"/>
          <w:color w:val="000000"/>
          <w:kern w:val="0"/>
          <w:sz w:val="32"/>
          <w:szCs w:val="32"/>
          <w:highlight w:val="none"/>
          <w:shd w:val="clear" w:color="auto" w:fill="FFFFFF"/>
          <w:lang w:val="en-US" w:eastAsia="zh-CN"/>
        </w:rPr>
      </w:pPr>
      <w:r>
        <w:rPr>
          <w:rFonts w:ascii="Times New Roman" w:hAnsi="Times New Roman" w:eastAsia="楷体_GB2312" w:cs="Times New Roman"/>
          <w:b/>
          <w:bCs/>
          <w:kern w:val="0"/>
          <w:sz w:val="32"/>
          <w:szCs w:val="32"/>
          <w:highlight w:val="none"/>
          <w:shd w:val="clear" w:color="auto" w:fill="FFFFFF"/>
          <w:lang w:val="zh-CN"/>
        </w:rPr>
        <w:t>（二）部门预算项目绩</w:t>
      </w:r>
      <w:r>
        <w:rPr>
          <w:rFonts w:ascii="Times New Roman" w:hAnsi="Times New Roman" w:eastAsia="楷体_GB2312" w:cs="Times New Roman"/>
          <w:b/>
          <w:bCs/>
          <w:color w:val="000000"/>
          <w:kern w:val="0"/>
          <w:sz w:val="32"/>
          <w:szCs w:val="32"/>
          <w:highlight w:val="none"/>
          <w:shd w:val="clear" w:color="auto" w:fill="FFFFFF"/>
          <w:lang w:val="zh-CN"/>
        </w:rPr>
        <w:t>效分析。</w:t>
      </w:r>
    </w:p>
    <w:p w14:paraId="6F62493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rPr>
      </w:pPr>
      <w:r>
        <w:rPr>
          <w:rFonts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ascii="Times New Roman" w:hAnsi="Times New Roman" w:eastAsia="仿宋_GB2312" w:cs="Times New Roman"/>
          <w:color w:val="000000"/>
          <w:kern w:val="0"/>
          <w:sz w:val="32"/>
          <w:szCs w:val="32"/>
          <w:highlight w:val="none"/>
          <w:shd w:val="clear" w:color="auto" w:fill="FFFFFF"/>
          <w:lang w:val="zh-CN" w:eastAsia="zh-CN"/>
        </w:rPr>
        <w:t>该类项目总数</w:t>
      </w:r>
      <w:r>
        <w:rPr>
          <w:rFonts w:ascii="Times New Roman" w:hAnsi="Times New Roman" w:eastAsia="仿宋_GB2312" w:cs="Times New Roman"/>
          <w:color w:val="000000"/>
          <w:kern w:val="0"/>
          <w:sz w:val="32"/>
          <w:szCs w:val="32"/>
          <w:highlight w:val="none"/>
          <w:shd w:val="clear" w:color="auto" w:fill="FFFFFF"/>
          <w:lang w:val="en-US" w:eastAsia="zh-CN"/>
        </w:rPr>
        <w:t>3</w:t>
      </w:r>
      <w:r>
        <w:rPr>
          <w:rFonts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ascii="Times New Roman" w:hAnsi="Times New Roman" w:eastAsia="仿宋_GB2312" w:cs="Times New Roman"/>
          <w:color w:val="000000"/>
          <w:kern w:val="0"/>
          <w:sz w:val="32"/>
          <w:szCs w:val="32"/>
          <w:highlight w:val="none"/>
          <w:shd w:val="clear" w:color="auto" w:fill="FFFFFF"/>
          <w:lang w:val="en-US" w:eastAsia="zh-CN"/>
        </w:rPr>
        <w:t xml:space="preserve">   96.94</w:t>
      </w:r>
      <w:r>
        <w:rPr>
          <w:rFonts w:ascii="Times New Roman" w:hAnsi="Times New Roman" w:eastAsia="仿宋_GB2312" w:cs="Times New Roman"/>
          <w:color w:val="000000"/>
          <w:kern w:val="0"/>
          <w:sz w:val="32"/>
          <w:szCs w:val="32"/>
          <w:highlight w:val="none"/>
          <w:shd w:val="clear" w:color="auto" w:fill="FFFFFF"/>
          <w:lang w:val="zh-CN" w:eastAsia="zh-CN"/>
        </w:rPr>
        <w:t>万元，</w:t>
      </w:r>
      <w:r>
        <w:rPr>
          <w:rFonts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ascii="Times New Roman" w:hAnsi="Times New Roman" w:eastAsia="仿宋_GB2312" w:cs="Times New Roman"/>
          <w:color w:val="000000"/>
          <w:kern w:val="0"/>
          <w:sz w:val="32"/>
          <w:szCs w:val="32"/>
          <w:highlight w:val="none"/>
          <w:shd w:val="clear" w:color="auto" w:fill="FFFFFF"/>
          <w:lang w:val="zh-CN"/>
        </w:rPr>
        <w:t>1</w:t>
      </w:r>
      <w:r>
        <w:rPr>
          <w:rFonts w:ascii="Times New Roman" w:hAnsi="Times New Roman" w:eastAsia="仿宋_GB2312" w:cs="Times New Roman"/>
          <w:color w:val="000000"/>
          <w:kern w:val="0"/>
          <w:sz w:val="32"/>
          <w:szCs w:val="32"/>
          <w:highlight w:val="none"/>
          <w:shd w:val="clear" w:color="auto" w:fill="FFFFFF"/>
          <w:lang w:val="en-US" w:eastAsia="zh-CN"/>
        </w:rPr>
        <w:t>2</w:t>
      </w:r>
      <w:r>
        <w:rPr>
          <w:rFonts w:ascii="Times New Roman" w:hAnsi="Times New Roman" w:eastAsia="仿宋_GB2312" w:cs="Times New Roman"/>
          <w:color w:val="000000"/>
          <w:kern w:val="0"/>
          <w:sz w:val="32"/>
          <w:szCs w:val="32"/>
          <w:highlight w:val="none"/>
          <w:shd w:val="clear" w:color="auto" w:fill="FFFFFF"/>
          <w:lang w:val="zh-CN"/>
        </w:rPr>
        <w:t>月预算执行总体进度为</w:t>
      </w:r>
      <w:r>
        <w:rPr>
          <w:rFonts w:ascii="Times New Roman" w:hAnsi="Times New Roman" w:eastAsia="仿宋_GB2312" w:cs="Times New Roman"/>
          <w:color w:val="000000"/>
          <w:kern w:val="0"/>
          <w:sz w:val="32"/>
          <w:szCs w:val="32"/>
          <w:highlight w:val="none"/>
          <w:shd w:val="clear" w:color="auto" w:fill="FFFFFF"/>
          <w:lang w:val="en-US" w:eastAsia="zh-CN"/>
        </w:rPr>
        <w:t>100</w:t>
      </w:r>
      <w:r>
        <w:rPr>
          <w:rFonts w:ascii="Times New Roman" w:hAnsi="Times New Roman" w:eastAsia="仿宋_GB2312" w:cs="Times New Roman"/>
          <w:color w:val="000000"/>
          <w:kern w:val="0"/>
          <w:sz w:val="32"/>
          <w:szCs w:val="32"/>
          <w:highlight w:val="none"/>
          <w:shd w:val="clear" w:color="auto" w:fill="FFFFFF"/>
          <w:lang w:val="zh-CN"/>
        </w:rPr>
        <w:t>%，其中：</w:t>
      </w:r>
      <w:r>
        <w:rPr>
          <w:rFonts w:ascii="Times New Roman" w:hAnsi="Times New Roman" w:eastAsia="仿宋_GB2312" w:cs="Times New Roman"/>
          <w:color w:val="000000"/>
          <w:kern w:val="0"/>
          <w:sz w:val="32"/>
          <w:szCs w:val="32"/>
          <w:highlight w:val="none"/>
          <w:shd w:val="clear" w:color="auto" w:fill="FFFFFF"/>
          <w:lang w:val="zh-CN" w:eastAsia="zh-CN"/>
        </w:rPr>
        <w:t>预算结余率大于</w:t>
      </w:r>
      <w:r>
        <w:rPr>
          <w:rFonts w:ascii="Times New Roman" w:hAnsi="Times New Roman" w:eastAsia="仿宋_GB2312" w:cs="Times New Roman"/>
          <w:color w:val="000000"/>
          <w:kern w:val="0"/>
          <w:sz w:val="32"/>
          <w:szCs w:val="32"/>
          <w:highlight w:val="none"/>
          <w:shd w:val="clear" w:color="auto" w:fill="FFFFFF"/>
          <w:lang w:val="en-US" w:eastAsia="zh-CN"/>
        </w:rPr>
        <w:t>10%</w:t>
      </w:r>
      <w:r>
        <w:rPr>
          <w:rFonts w:ascii="Times New Roman" w:hAnsi="Times New Roman" w:eastAsia="仿宋_GB2312" w:cs="Times New Roman"/>
          <w:color w:val="000000"/>
          <w:kern w:val="0"/>
          <w:sz w:val="32"/>
          <w:szCs w:val="32"/>
          <w:highlight w:val="none"/>
          <w:shd w:val="clear" w:color="auto" w:fill="FFFFFF"/>
          <w:lang w:val="zh-CN" w:eastAsia="zh-CN"/>
        </w:rPr>
        <w:t>的项目共计</w:t>
      </w:r>
      <w:r>
        <w:rPr>
          <w:rFonts w:ascii="Times New Roman" w:hAnsi="Times New Roman" w:eastAsia="仿宋_GB2312" w:cs="Times New Roman"/>
          <w:color w:val="000000"/>
          <w:kern w:val="0"/>
          <w:sz w:val="32"/>
          <w:szCs w:val="32"/>
          <w:highlight w:val="none"/>
          <w:shd w:val="clear" w:color="auto" w:fill="FFFFFF"/>
          <w:lang w:val="en-US" w:eastAsia="zh-CN"/>
        </w:rPr>
        <w:t>0</w:t>
      </w:r>
      <w:r>
        <w:rPr>
          <w:rFonts w:ascii="Times New Roman" w:hAnsi="Times New Roman" w:eastAsia="仿宋_GB2312" w:cs="Times New Roman"/>
          <w:color w:val="000000"/>
          <w:kern w:val="0"/>
          <w:sz w:val="32"/>
          <w:szCs w:val="32"/>
          <w:highlight w:val="none"/>
          <w:shd w:val="clear" w:color="auto" w:fill="FFFFFF"/>
          <w:lang w:val="zh-CN" w:eastAsia="zh-CN"/>
        </w:rPr>
        <w:t>个。</w:t>
      </w:r>
    </w:p>
    <w:p w14:paraId="64E2A88D">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shd w:val="clear" w:color="auto" w:fill="FFFFFF"/>
          <w:lang w:val="zh-CN" w:eastAsia="zh-CN"/>
        </w:rPr>
      </w:pPr>
      <w:r>
        <w:rPr>
          <w:rFonts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ascii="Times New Roman" w:hAnsi="Times New Roman" w:eastAsia="仿宋_GB2312" w:cs="Times New Roman"/>
          <w:color w:val="000000"/>
          <w:kern w:val="0"/>
          <w:sz w:val="32"/>
          <w:szCs w:val="32"/>
          <w:highlight w:val="none"/>
          <w:shd w:val="clear" w:color="auto" w:fill="FFFFFF"/>
          <w:lang w:val="zh-CN" w:eastAsia="zh-CN"/>
        </w:rPr>
        <w:t>该类项目总数</w:t>
      </w:r>
      <w:r>
        <w:rPr>
          <w:rFonts w:ascii="Times New Roman" w:hAnsi="Times New Roman" w:eastAsia="仿宋_GB2312" w:cs="Times New Roman"/>
          <w:color w:val="000000"/>
          <w:kern w:val="0"/>
          <w:sz w:val="32"/>
          <w:szCs w:val="32"/>
          <w:highlight w:val="none"/>
          <w:shd w:val="clear" w:color="auto" w:fill="FFFFFF"/>
          <w:lang w:val="en-US" w:eastAsia="zh-CN"/>
        </w:rPr>
        <w:t>6</w:t>
      </w:r>
      <w:r>
        <w:rPr>
          <w:rFonts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ascii="Times New Roman" w:hAnsi="Times New Roman" w:eastAsia="仿宋_GB2312" w:cs="Times New Roman"/>
          <w:color w:val="000000"/>
          <w:kern w:val="0"/>
          <w:sz w:val="32"/>
          <w:szCs w:val="32"/>
          <w:highlight w:val="none"/>
          <w:shd w:val="clear" w:color="auto" w:fill="FFFFFF"/>
          <w:lang w:val="en-US" w:eastAsia="zh-CN"/>
        </w:rPr>
        <w:t>126.24</w:t>
      </w:r>
      <w:r>
        <w:rPr>
          <w:rFonts w:ascii="Times New Roman" w:hAnsi="Times New Roman" w:eastAsia="仿宋_GB2312" w:cs="Times New Roman"/>
          <w:color w:val="000000"/>
          <w:kern w:val="0"/>
          <w:sz w:val="32"/>
          <w:szCs w:val="32"/>
          <w:highlight w:val="none"/>
          <w:shd w:val="clear" w:color="auto" w:fill="FFFFFF"/>
          <w:lang w:val="zh-CN" w:eastAsia="zh-CN"/>
        </w:rPr>
        <w:t>万元，</w:t>
      </w:r>
      <w:r>
        <w:rPr>
          <w:rFonts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ascii="Times New Roman" w:hAnsi="Times New Roman" w:eastAsia="仿宋_GB2312" w:cs="Times New Roman"/>
          <w:color w:val="000000"/>
          <w:kern w:val="0"/>
          <w:sz w:val="32"/>
          <w:szCs w:val="32"/>
          <w:highlight w:val="none"/>
          <w:shd w:val="clear" w:color="auto" w:fill="FFFFFF"/>
          <w:lang w:val="zh-CN"/>
        </w:rPr>
        <w:t>1</w:t>
      </w:r>
      <w:r>
        <w:rPr>
          <w:rFonts w:ascii="Times New Roman" w:hAnsi="Times New Roman" w:eastAsia="仿宋_GB2312" w:cs="Times New Roman"/>
          <w:color w:val="000000"/>
          <w:kern w:val="0"/>
          <w:sz w:val="32"/>
          <w:szCs w:val="32"/>
          <w:highlight w:val="none"/>
          <w:shd w:val="clear" w:color="auto" w:fill="FFFFFF"/>
          <w:lang w:val="en-US" w:eastAsia="zh-CN"/>
        </w:rPr>
        <w:t>2</w:t>
      </w:r>
      <w:r>
        <w:rPr>
          <w:rFonts w:ascii="Times New Roman" w:hAnsi="Times New Roman" w:eastAsia="仿宋_GB2312" w:cs="Times New Roman"/>
          <w:color w:val="000000"/>
          <w:kern w:val="0"/>
          <w:sz w:val="32"/>
          <w:szCs w:val="32"/>
          <w:highlight w:val="none"/>
          <w:shd w:val="clear" w:color="auto" w:fill="FFFFFF"/>
          <w:lang w:val="zh-CN"/>
        </w:rPr>
        <w:t>月预算执行总体进度为</w:t>
      </w:r>
      <w:r>
        <w:rPr>
          <w:rFonts w:ascii="Times New Roman" w:hAnsi="Times New Roman" w:eastAsia="仿宋_GB2312" w:cs="Times New Roman"/>
          <w:color w:val="000000"/>
          <w:kern w:val="0"/>
          <w:sz w:val="32"/>
          <w:szCs w:val="32"/>
          <w:highlight w:val="none"/>
          <w:shd w:val="clear" w:color="auto" w:fill="FFFFFF"/>
          <w:lang w:val="en-US" w:eastAsia="zh-CN"/>
        </w:rPr>
        <w:t>99.65</w:t>
      </w:r>
      <w:r>
        <w:rPr>
          <w:rFonts w:ascii="Times New Roman" w:hAnsi="Times New Roman" w:eastAsia="仿宋_GB2312" w:cs="Times New Roman"/>
          <w:color w:val="000000"/>
          <w:kern w:val="0"/>
          <w:sz w:val="32"/>
          <w:szCs w:val="32"/>
          <w:highlight w:val="none"/>
          <w:shd w:val="clear" w:color="auto" w:fill="FFFFFF"/>
          <w:lang w:val="zh-CN"/>
        </w:rPr>
        <w:t>%，其中：</w:t>
      </w:r>
      <w:r>
        <w:rPr>
          <w:rFonts w:ascii="Times New Roman" w:hAnsi="Times New Roman" w:eastAsia="仿宋_GB2312" w:cs="Times New Roman"/>
          <w:color w:val="000000"/>
          <w:kern w:val="0"/>
          <w:sz w:val="32"/>
          <w:szCs w:val="32"/>
          <w:highlight w:val="none"/>
          <w:shd w:val="clear" w:color="auto" w:fill="FFFFFF"/>
          <w:lang w:val="zh-CN" w:eastAsia="zh-CN"/>
        </w:rPr>
        <w:t>预算结余率大于</w:t>
      </w:r>
      <w:r>
        <w:rPr>
          <w:rFonts w:ascii="Times New Roman" w:hAnsi="Times New Roman" w:eastAsia="仿宋_GB2312" w:cs="Times New Roman"/>
          <w:color w:val="000000"/>
          <w:kern w:val="0"/>
          <w:sz w:val="32"/>
          <w:szCs w:val="32"/>
          <w:highlight w:val="none"/>
          <w:shd w:val="clear" w:color="auto" w:fill="FFFFFF"/>
          <w:lang w:val="en-US" w:eastAsia="zh-CN"/>
        </w:rPr>
        <w:t>10%</w:t>
      </w:r>
      <w:r>
        <w:rPr>
          <w:rFonts w:ascii="Times New Roman" w:hAnsi="Times New Roman" w:eastAsia="仿宋_GB2312" w:cs="Times New Roman"/>
          <w:color w:val="000000"/>
          <w:kern w:val="0"/>
          <w:sz w:val="32"/>
          <w:szCs w:val="32"/>
          <w:highlight w:val="none"/>
          <w:shd w:val="clear" w:color="auto" w:fill="FFFFFF"/>
          <w:lang w:val="zh-CN" w:eastAsia="zh-CN"/>
        </w:rPr>
        <w:t>的项目共计</w:t>
      </w:r>
      <w:r>
        <w:rPr>
          <w:rFonts w:ascii="Times New Roman" w:hAnsi="Times New Roman" w:eastAsia="仿宋_GB2312" w:cs="Times New Roman"/>
          <w:color w:val="000000"/>
          <w:kern w:val="0"/>
          <w:sz w:val="32"/>
          <w:szCs w:val="32"/>
          <w:highlight w:val="none"/>
          <w:shd w:val="clear" w:color="auto" w:fill="FFFFFF"/>
          <w:lang w:val="en-US" w:eastAsia="zh-CN"/>
        </w:rPr>
        <w:t>0</w:t>
      </w:r>
      <w:r>
        <w:rPr>
          <w:rFonts w:ascii="Times New Roman" w:hAnsi="Times New Roman" w:eastAsia="仿宋_GB2312" w:cs="Times New Roman"/>
          <w:color w:val="000000"/>
          <w:kern w:val="0"/>
          <w:sz w:val="32"/>
          <w:szCs w:val="32"/>
          <w:highlight w:val="none"/>
          <w:shd w:val="clear" w:color="auto" w:fill="FFFFFF"/>
          <w:lang w:val="zh-CN" w:eastAsia="zh-CN"/>
        </w:rPr>
        <w:t>个。</w:t>
      </w:r>
    </w:p>
    <w:p w14:paraId="4386B3E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1.</w:t>
      </w:r>
      <w:r>
        <w:rPr>
          <w:rFonts w:ascii="Times New Roman" w:hAnsi="Times New Roman" w:eastAsia="楷体_GB2312" w:cs="Times New Roman"/>
          <w:color w:val="000000"/>
          <w:kern w:val="0"/>
          <w:sz w:val="32"/>
          <w:szCs w:val="32"/>
          <w:highlight w:val="none"/>
          <w:shd w:val="clear" w:color="auto" w:fill="FFFFFF"/>
          <w:lang w:val="zh-CN"/>
        </w:rPr>
        <w:t>项目决策。</w:t>
      </w:r>
    </w:p>
    <w:p w14:paraId="0ACB42ED">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在编制预算前，单位领导层召开会议进行讨论商议，基于单位职能职责、实际需求对项目背景进行分析，包括项目的目标和范围，项目的重要性和紧迫性，可能面临的风险和挑战，以及预期的成果，通过一系列分析，清楚认识到项目的可行性，按规定履行评估论证、申报程序。项目绩效目标与计划期内的任务量、预算安排的资金量相匹配，绩效目标设置科学合理、量化、细化到具体的三级指标。</w:t>
      </w:r>
    </w:p>
    <w:p w14:paraId="5AAA93E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2.项目执行</w:t>
      </w:r>
      <w:r>
        <w:rPr>
          <w:rFonts w:ascii="Times New Roman" w:hAnsi="Times New Roman" w:eastAsia="楷体_GB2312" w:cs="Times New Roman"/>
          <w:color w:val="000000"/>
          <w:kern w:val="0"/>
          <w:sz w:val="32"/>
          <w:szCs w:val="32"/>
          <w:highlight w:val="none"/>
          <w:shd w:val="clear" w:color="auto" w:fill="FFFFFF"/>
          <w:lang w:val="zh-CN"/>
        </w:rPr>
        <w:t>。</w:t>
      </w:r>
    </w:p>
    <w:p w14:paraId="550A0453">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各项目资金的列支内容与绩效目标设置均一致，预算项目均按照预算编制内容目标进行使用，未进行项目调整。常年项目总数</w:t>
      </w:r>
      <w:r>
        <w:rPr>
          <w:rFonts w:ascii="Times New Roman" w:hAnsi="Times New Roman" w:eastAsia="仿宋_GB2312" w:cs="Times New Roman"/>
          <w:b w:val="0"/>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个</w:t>
      </w:r>
      <w:r>
        <w:rPr>
          <w:rFonts w:ascii="Times New Roman" w:hAnsi="Times New Roman" w:eastAsia="仿宋_GB2312" w:cs="Times New Roman"/>
          <w:b w:val="0"/>
          <w:color w:val="000000"/>
          <w:kern w:val="0"/>
          <w:sz w:val="32"/>
          <w:szCs w:val="32"/>
          <w:highlight w:val="none"/>
          <w:shd w:val="clear" w:color="auto" w:fill="FFFFFF"/>
          <w:lang w:val="en-US" w:eastAsia="zh-CN" w:bidi="ar-SA"/>
        </w:rPr>
        <w:t>。</w:t>
      </w:r>
    </w:p>
    <w:p w14:paraId="124449C9">
      <w:pPr>
        <w:pageBreakBefore w:val="0"/>
        <w:widowControl w:val="0"/>
        <w:kinsoku/>
        <w:wordWrap/>
        <w:overflowPunct/>
        <w:topLinePunct w:val="0"/>
        <w:autoSpaceDE/>
        <w:autoSpaceDN/>
        <w:bidi w:val="0"/>
        <w:adjustRightInd/>
        <w:snapToGrid/>
        <w:spacing w:line="578" w:lineRule="exact"/>
        <w:ind w:firstLine="640" w:firstLineChars="200"/>
        <w:textAlignment w:val="auto"/>
        <w:outlineLvl w:val="3"/>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3.</w:t>
      </w:r>
      <w:r>
        <w:rPr>
          <w:rFonts w:ascii="Times New Roman" w:hAnsi="Times New Roman" w:eastAsia="楷体_GB2312" w:cs="Times New Roman"/>
          <w:color w:val="000000"/>
          <w:kern w:val="0"/>
          <w:sz w:val="32"/>
          <w:szCs w:val="32"/>
          <w:highlight w:val="none"/>
          <w:shd w:val="clear" w:color="auto" w:fill="FFFFFF"/>
          <w:lang w:val="zh-CN"/>
        </w:rPr>
        <w:t>目标实现。</w:t>
      </w:r>
    </w:p>
    <w:p w14:paraId="70D04BC9">
      <w:pPr>
        <w:pageBreakBefore w:val="0"/>
        <w:widowControl w:val="0"/>
        <w:kinsoku/>
        <w:wordWrap/>
        <w:overflowPunct/>
        <w:topLinePunct w:val="0"/>
        <w:autoSpaceDE/>
        <w:autoSpaceDN/>
        <w:bidi w:val="0"/>
        <w:adjustRightInd/>
        <w:snapToGrid/>
        <w:spacing w:line="578" w:lineRule="exact"/>
        <w:ind w:firstLine="640" w:firstLineChars="200"/>
        <w:textAlignment w:val="auto"/>
        <w:rPr>
          <w:rFonts w:ascii="Times New Roman" w:hAnsi="Times New Roman" w:eastAsia="仿宋_GB2312" w:cs="Times New Roman"/>
          <w:sz w:val="32"/>
          <w:szCs w:val="32"/>
          <w:u w:val="none"/>
          <w:lang w:val="en-US" w:eastAsia="zh-CN"/>
        </w:rPr>
      </w:pP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本年度绩效目标已全部实现；年</w:t>
      </w:r>
      <w:r>
        <w:rPr>
          <w:rFonts w:hint="eastAsia" w:ascii="Times New Roman" w:hAnsi="Times New Roman" w:eastAsia="仿宋_GB2312" w:cs="Times New Roman"/>
          <w:b w:val="0"/>
          <w:kern w:val="0"/>
          <w:sz w:val="32"/>
          <w:szCs w:val="32"/>
          <w:highlight w:val="none"/>
          <w:shd w:val="clear" w:color="auto" w:fill="FFFFFF"/>
          <w:lang w:val="en-US" w:eastAsia="zh-CN" w:bidi="ar-SA"/>
        </w:rPr>
        <w:t>底前完成</w:t>
      </w:r>
      <w:r>
        <w:rPr>
          <w:rFonts w:ascii="Times New Roman" w:hAnsi="Times New Roman" w:eastAsia="仿宋_GB2312" w:cs="Times New Roman"/>
          <w:b w:val="0"/>
          <w:kern w:val="0"/>
          <w:sz w:val="32"/>
          <w:szCs w:val="32"/>
          <w:highlight w:val="none"/>
          <w:shd w:val="clear" w:color="auto" w:fill="FFFFFF"/>
          <w:lang w:val="en-US" w:eastAsia="zh-CN" w:bidi="ar-SA"/>
        </w:rPr>
        <w:t>多功能午休桌椅</w:t>
      </w:r>
      <w:r>
        <w:rPr>
          <w:rFonts w:hint="eastAsia" w:ascii="Times New Roman" w:hAnsi="Times New Roman" w:eastAsia="仿宋_GB2312" w:cs="Times New Roman"/>
          <w:b w:val="0"/>
          <w:kern w:val="0"/>
          <w:sz w:val="32"/>
          <w:szCs w:val="32"/>
          <w:highlight w:val="none"/>
          <w:shd w:val="clear" w:color="auto" w:fill="FFFFFF"/>
          <w:lang w:val="en-US" w:eastAsia="zh-CN" w:bidi="ar-SA"/>
        </w:rPr>
        <w:t>项目的采购工作，并及时完成资金支付。数量</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指标实现程度与预期目标基本吻合。</w:t>
      </w:r>
      <w:r>
        <w:rPr>
          <w:rFonts w:ascii="Times New Roman" w:hAnsi="Times New Roman" w:eastAsia="仿宋_GB2312" w:cs="Times New Roman"/>
          <w:b w:val="0"/>
          <w:color w:val="000000"/>
          <w:kern w:val="0"/>
          <w:sz w:val="32"/>
          <w:szCs w:val="32"/>
          <w:highlight w:val="none"/>
          <w:shd w:val="clear" w:color="auto" w:fill="FFFFFF"/>
          <w:lang w:val="en-US" w:eastAsia="zh-CN" w:bidi="ar-SA"/>
        </w:rPr>
        <w:t>年底前完成了中小学临聘人员劳务费全年的支付。</w:t>
      </w:r>
    </w:p>
    <w:p w14:paraId="3A2B79FA">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outlineLvl w:val="2"/>
        <w:rPr>
          <w:rFonts w:ascii="Times New Roman" w:hAnsi="Times New Roman" w:eastAsia="楷体_GB2312" w:cs="Times New Roman"/>
          <w:b/>
          <w:bCs/>
          <w:sz w:val="32"/>
          <w:szCs w:val="32"/>
          <w:lang w:val="zh-CN"/>
        </w:rPr>
      </w:pPr>
      <w:r>
        <w:rPr>
          <w:rFonts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sz w:val="32"/>
          <w:szCs w:val="32"/>
          <w:lang w:val="zh-CN"/>
        </w:rPr>
        <w:t>绩效结果应用情况。</w:t>
      </w:r>
    </w:p>
    <w:p w14:paraId="0C3B3BD4">
      <w:pPr>
        <w:widowControl/>
        <w:adjustRightInd w:val="0"/>
        <w:snapToGrid w:val="0"/>
        <w:spacing w:line="580" w:lineRule="exact"/>
        <w:ind w:firstLine="640" w:firstLineChars="200"/>
        <w:contextualSpacing/>
        <w:jc w:val="left"/>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1.严格执行财务管理制度。严格执行财经纪律相关规定，严控"三公经费"、培训费、差旅费等支出。严格报账程序，严把票据审核关。认真做好会计核算，做到账账相符、账实相符。强化内控建设，防范防控岗位风险,确保各项工作有序运转。</w:t>
      </w:r>
    </w:p>
    <w:p w14:paraId="0820CE91">
      <w:pPr>
        <w:widowControl/>
        <w:adjustRightInd w:val="0"/>
        <w:snapToGrid w:val="0"/>
        <w:spacing w:line="580" w:lineRule="exact"/>
        <w:ind w:firstLine="640" w:firstLineChars="200"/>
        <w:contextualSpacing/>
        <w:jc w:val="left"/>
        <w:rPr>
          <w:rFonts w:hint="eastAsia" w:ascii="仿宋_GB2312" w:hAnsi="Times New Roman" w:eastAsia="仿宋_GB2312" w:cs="宋体"/>
          <w:color w:val="000000"/>
          <w:kern w:val="0"/>
          <w:sz w:val="32"/>
          <w:szCs w:val="32"/>
          <w:shd w:val="clear" w:color="auto" w:fill="FFFFFF"/>
          <w:lang w:val="zh-CN"/>
        </w:rPr>
      </w:pPr>
      <w:r>
        <w:rPr>
          <w:rFonts w:hint="eastAsia" w:ascii="仿宋_GB2312" w:hAnsi="Times New Roman" w:eastAsia="仿宋_GB2312" w:cs="宋体"/>
          <w:color w:val="000000"/>
          <w:kern w:val="0"/>
          <w:sz w:val="32"/>
          <w:szCs w:val="32"/>
          <w:shd w:val="clear" w:color="auto" w:fill="FFFFFF"/>
          <w:lang w:val="zh-CN"/>
        </w:rPr>
        <w:t>2.加强政府采购管理。严格按照《政府采购法》和《政府采购法实施条例》等相关管理规定，根据省采购目录和财政部门预算管理要求，编制政府采购计划。采购前,各股室与县财政等相关单位做好事前沟通,做好采购政策咨询，了解相关业务规范；采购中,合理选择采购方式，确保采购流程合理合规，做好采购项目信息的公开公示工作；采购后,抓好采购项目的监管工作，严把质量关力求实效。</w:t>
      </w:r>
    </w:p>
    <w:p w14:paraId="4E304696">
      <w:pPr>
        <w:widowControl/>
        <w:adjustRightInd w:val="0"/>
        <w:snapToGrid w:val="0"/>
        <w:spacing w:line="580" w:lineRule="exact"/>
        <w:ind w:firstLine="640" w:firstLineChars="200"/>
        <w:contextualSpacing/>
        <w:jc w:val="left"/>
        <w:rPr>
          <w:rFonts w:ascii="Times New Roman" w:hAnsi="Times New Roman" w:eastAsia="仿宋_GB2312" w:cs="Times New Roman"/>
          <w:b/>
          <w:bCs w:val="0"/>
          <w:sz w:val="32"/>
          <w:szCs w:val="32"/>
        </w:rPr>
      </w:pPr>
      <w:r>
        <w:rPr>
          <w:rFonts w:hint="eastAsia" w:ascii="仿宋_GB2312" w:hAnsi="Times New Roman" w:eastAsia="仿宋_GB2312" w:cs="宋体"/>
          <w:color w:val="000000"/>
          <w:kern w:val="0"/>
          <w:sz w:val="32"/>
          <w:szCs w:val="32"/>
          <w:shd w:val="clear" w:color="auto" w:fill="FFFFFF"/>
          <w:lang w:val="zh-CN"/>
        </w:rPr>
        <w:t>3.加强政府信息公开。</w:t>
      </w:r>
      <w:r>
        <w:rPr>
          <w:rFonts w:hint="eastAsia" w:ascii="仿宋_GB2312" w:hAnsi="Times New Roman" w:eastAsia="仿宋_GB2312" w:cs="宋体"/>
          <w:color w:val="000000"/>
          <w:kern w:val="0"/>
          <w:sz w:val="32"/>
          <w:szCs w:val="32"/>
          <w:highlight w:val="none"/>
          <w:shd w:val="clear" w:color="auto" w:fill="FFFFFF"/>
          <w:lang w:val="zh-CN" w:eastAsia="zh-CN" w:bidi="ar-SA"/>
        </w:rPr>
        <w:t>每年预算编制情况均按照财政要求及时填报预算公开相关报表及说明，上交主管部门阿坝州教育局，并在州教育局官网及时进行公开</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p>
    <w:p w14:paraId="77C05A5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lang w:eastAsia="zh-CN"/>
        </w:rPr>
        <w:t>四、</w:t>
      </w:r>
      <w:r>
        <w:rPr>
          <w:rFonts w:ascii="Times New Roman" w:hAnsi="Times New Roman" w:eastAsia="黑体" w:cs="Times New Roman"/>
          <w:color w:val="000000"/>
          <w:kern w:val="0"/>
          <w:sz w:val="32"/>
          <w:szCs w:val="32"/>
          <w:highlight w:val="none"/>
          <w:shd w:val="clear" w:color="auto" w:fill="FFFFFF"/>
        </w:rPr>
        <w:t>评价结论及建议</w:t>
      </w:r>
    </w:p>
    <w:p w14:paraId="76CB717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en-US"/>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仿宋_GB2312" w:eastAsia="楷体_GB2312" w:cs="仿宋_GB2312"/>
          <w:kern w:val="0"/>
          <w:sz w:val="32"/>
          <w:szCs w:val="32"/>
          <w:lang w:val="en-US" w:eastAsia="zh-CN"/>
        </w:rPr>
        <w:t>202</w:t>
      </w:r>
      <w:r>
        <w:rPr>
          <w:rFonts w:ascii="仿宋_GB2312" w:hAnsi="仿宋_GB2312" w:eastAsia="楷体_GB2312" w:cs="仿宋_GB2312"/>
          <w:kern w:val="0"/>
          <w:sz w:val="32"/>
          <w:szCs w:val="32"/>
          <w:lang w:val="en-US" w:eastAsia="zh-CN"/>
        </w:rPr>
        <w:t>4</w:t>
      </w:r>
      <w:r>
        <w:rPr>
          <w:rFonts w:hint="eastAsia" w:ascii="仿宋_GB2312" w:hAnsi="Times New Roman" w:eastAsia="仿宋_GB2312" w:cs="仿宋_GB2312"/>
          <w:kern w:val="0"/>
          <w:sz w:val="32"/>
          <w:szCs w:val="32"/>
        </w:rPr>
        <w:t>年</w:t>
      </w:r>
      <w:r>
        <w:rPr>
          <w:rFonts w:ascii="仿宋_GB2312" w:hAnsi="Times New Roman" w:eastAsia="仿宋_GB2312" w:cs="仿宋_GB2312"/>
          <w:kern w:val="0"/>
          <w:sz w:val="32"/>
          <w:szCs w:val="32"/>
        </w:rPr>
        <w:t>单位</w:t>
      </w:r>
      <w:r>
        <w:rPr>
          <w:rFonts w:hint="eastAsia" w:ascii="仿宋_GB2312" w:hAnsi="Times New Roman" w:eastAsia="仿宋_GB2312" w:cs="仿宋_GB2312"/>
          <w:kern w:val="0"/>
          <w:sz w:val="32"/>
          <w:szCs w:val="32"/>
        </w:rPr>
        <w:t>预算编制基础数据真实可靠中,按照年度工作计划和支出标准合理编制预算方案，预算数据按要求及时报送。基本支出按时间进度支付，达到执行进度，年终无结余。严格执行“三公经费”预算，严格审批，无超预算</w:t>
      </w: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rPr>
        <w:t>无预算执行的情况。</w:t>
      </w:r>
      <w:r>
        <w:rPr>
          <w:rFonts w:hint="eastAsia" w:ascii="仿宋_GB2312" w:hAnsi="Times New Roman" w:eastAsia="仿宋_GB2312" w:cs="仿宋_GB2312"/>
          <w:kern w:val="0"/>
          <w:sz w:val="32"/>
          <w:szCs w:val="32"/>
          <w:lang w:eastAsia="zh-CN"/>
        </w:rPr>
        <w:t>自评得分</w:t>
      </w:r>
      <w:r>
        <w:rPr>
          <w:rFonts w:ascii="仿宋_GB2312" w:hAnsi="Times New Roman" w:eastAsia="仿宋_GB2312" w:cs="仿宋_GB2312"/>
          <w:kern w:val="0"/>
          <w:sz w:val="32"/>
          <w:szCs w:val="32"/>
          <w:lang w:val="en-US" w:eastAsia="zh-CN"/>
        </w:rPr>
        <w:t>99</w:t>
      </w:r>
      <w:r>
        <w:rPr>
          <w:rFonts w:hint="eastAsia" w:ascii="仿宋_GB2312" w:hAnsi="Times New Roman" w:eastAsia="仿宋_GB2312" w:cs="仿宋_GB2312"/>
          <w:kern w:val="0"/>
          <w:sz w:val="32"/>
          <w:szCs w:val="32"/>
          <w:lang w:val="en-US" w:eastAsia="zh-CN"/>
        </w:rPr>
        <w:t>分。</w:t>
      </w:r>
    </w:p>
    <w:p w14:paraId="1CDA4F5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2"/>
        <w:rPr>
          <w:rFonts w:ascii="Times New Roman" w:hAnsi="Times New Roman" w:eastAsia="楷体_GB2312" w:cs="Times New Roman"/>
          <w:b/>
          <w:bCs/>
          <w:color w:val="000000"/>
          <w:kern w:val="0"/>
          <w:sz w:val="32"/>
          <w:szCs w:val="32"/>
          <w:highlight w:val="none"/>
          <w:shd w:val="clear" w:color="auto" w:fill="FFFFFF"/>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hAnsi="Times New Roman" w:eastAsia="仿宋_GB2312" w:cs="仿宋_GB2312"/>
          <w:b/>
          <w:bCs/>
          <w:kern w:val="0"/>
          <w:sz w:val="32"/>
          <w:szCs w:val="32"/>
          <w:highlight w:val="none"/>
          <w:lang w:val="zh-CN"/>
        </w:rPr>
        <w:t>。</w:t>
      </w:r>
      <w:r>
        <w:rPr>
          <w:rFonts w:hint="eastAsia" w:ascii="仿宋_GB2312" w:hAnsi="Times New Roman" w:eastAsia="仿宋_GB2312" w:cs="仿宋_GB2312"/>
          <w:bCs/>
          <w:kern w:val="0"/>
          <w:sz w:val="32"/>
          <w:szCs w:val="32"/>
          <w:highlight w:val="none"/>
          <w:lang w:val="zh-CN"/>
        </w:rPr>
        <w:t>进一步加快资金支付进度</w:t>
      </w:r>
      <w:r>
        <w:rPr>
          <w:rFonts w:hint="eastAsia" w:ascii="仿宋_GB2312" w:hAnsi="Times New Roman" w:eastAsia="仿宋_GB2312" w:cs="仿宋_GB2312"/>
          <w:kern w:val="0"/>
          <w:sz w:val="32"/>
          <w:szCs w:val="32"/>
          <w:highlight w:val="none"/>
          <w:lang w:val="en-US" w:eastAsia="zh-CN" w:bidi="ar-SA"/>
        </w:rPr>
        <w:t>。</w:t>
      </w:r>
    </w:p>
    <w:p w14:paraId="2A5EC14C">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b w:val="0"/>
          <w:bCs w:val="0"/>
          <w:kern w:val="0"/>
          <w:position w:val="0"/>
          <w:sz w:val="32"/>
          <w:szCs w:val="32"/>
          <w:highlight w:val="none"/>
          <w:lang w:eastAsia="zh-CN" w:bidi="ar-SA"/>
        </w:rPr>
      </w:pPr>
      <w:r>
        <w:rPr>
          <w:rFonts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7" w:name="_Hlk110546638"/>
      <w:r>
        <w:rPr>
          <w:rFonts w:hint="eastAsia" w:ascii="仿宋_GB2312" w:hAnsi="Times New Roman" w:eastAsia="仿宋_GB2312" w:cs="仿宋_GB2312"/>
          <w:kern w:val="0"/>
          <w:sz w:val="32"/>
          <w:szCs w:val="32"/>
        </w:rPr>
        <w:t>深入学习贯彻《预算法》等相关法律、法规，进一步增强预算意识, 始终坚持先有预算、后有支出，没有预算不得支出的原则。科学合理编制部门预算，推进预算编制科学化、准确化。年度预算编制后，根据实际情况，定期做好预算执行分析，适时掌握预算执行进度，及时找出预算实际执行情况与预算目标之间存在的差距，进一步加快预算</w:t>
      </w:r>
      <w:r>
        <w:rPr>
          <w:rFonts w:hint="eastAsia" w:ascii="仿宋_GB2312" w:hAnsi="Times New Roman" w:eastAsia="仿宋_GB2312" w:cs="仿宋_GB2312"/>
          <w:kern w:val="0"/>
          <w:sz w:val="32"/>
          <w:szCs w:val="32"/>
          <w:lang w:eastAsia="zh-CN"/>
        </w:rPr>
        <w:t>。</w:t>
      </w:r>
    </w:p>
    <w:bookmarkEnd w:id="57"/>
    <w:p w14:paraId="658F0764">
      <w:pPr>
        <w:pStyle w:val="9"/>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Times New Roman" w:hAnsi="Times New Roman" w:eastAsia="仿宋_GB2312" w:cs="Times New Roman"/>
          <w:kern w:val="2"/>
          <w:sz w:val="32"/>
          <w:szCs w:val="32"/>
          <w:u w:val="none"/>
          <w:lang w:val="zh-CN" w:eastAsia="zh-CN"/>
        </w:rPr>
      </w:pPr>
    </w:p>
    <w:p w14:paraId="0DD1DF3D">
      <w:pPr>
        <w:pStyle w:val="9"/>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outlineLvl w:val="9"/>
        <w:rPr>
          <w:rFonts w:hint="eastAsia" w:ascii="Times New Roman" w:hAnsi="Times New Roman" w:eastAsia="仿宋_GB2312" w:cs="Times New Roman"/>
          <w:kern w:val="2"/>
          <w:sz w:val="32"/>
          <w:szCs w:val="32"/>
          <w:u w:val="none"/>
          <w:lang w:val="zh-CN" w:eastAsia="zh-CN"/>
        </w:rPr>
      </w:pPr>
      <w:r>
        <w:rPr>
          <w:rFonts w:hint="eastAsia" w:ascii="Times New Roman" w:hAnsi="Times New Roman" w:eastAsia="仿宋_GB2312" w:cs="Times New Roman"/>
          <w:kern w:val="2"/>
          <w:sz w:val="32"/>
          <w:szCs w:val="32"/>
          <w:u w:val="none"/>
          <w:lang w:val="zh-CN" w:eastAsia="zh-CN"/>
        </w:rPr>
        <w:t>附表：</w:t>
      </w:r>
      <w:r>
        <w:rPr>
          <w:rFonts w:hint="eastAsia" w:ascii="Times New Roman" w:hAnsi="Times New Roman" w:eastAsia="仿宋_GB2312" w:cs="Times New Roman"/>
          <w:kern w:val="2"/>
          <w:sz w:val="32"/>
          <w:szCs w:val="32"/>
          <w:u w:val="none"/>
          <w:lang w:val="en-US" w:eastAsia="zh-CN"/>
        </w:rPr>
        <w:t>部门预算项目支出绩效自评表（2024年度）</w:t>
      </w:r>
    </w:p>
    <w:p w14:paraId="3B55AFEF">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ascii="Times New Roman" w:hAnsi="Times New Roman" w:eastAsia="方正小标宋简体" w:cs="Times New Roman"/>
          <w:i w:val="0"/>
          <w:color w:val="000000"/>
          <w:kern w:val="0"/>
          <w:sz w:val="44"/>
          <w:szCs w:val="44"/>
          <w:u w:val="none"/>
          <w:lang w:val="en-US" w:eastAsia="zh-CN"/>
        </w:rPr>
      </w:pPr>
      <w:r>
        <w:rPr>
          <w:rFonts w:hint="eastAsia"/>
        </w:rPr>
        <w:drawing>
          <wp:anchor distT="0" distB="0" distL="85090" distR="85090" simplePos="0" relativeHeight="251659264" behindDoc="0" locked="0" layoutInCell="1" allowOverlap="1">
            <wp:simplePos x="0" y="0"/>
            <wp:positionH relativeFrom="column">
              <wp:posOffset>18415</wp:posOffset>
            </wp:positionH>
            <wp:positionV relativeFrom="paragraph">
              <wp:posOffset>767080</wp:posOffset>
            </wp:positionV>
            <wp:extent cx="5819140" cy="5499100"/>
            <wp:effectExtent l="0" t="0" r="10160" b="6350"/>
            <wp:wrapSquare wrapText="bothSides"/>
            <wp:docPr id="4"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pic:cNvPicPr>
                      <a:picLocks noChangeAspect="1"/>
                    </pic:cNvPicPr>
                  </pic:nvPicPr>
                  <pic:blipFill>
                    <a:blip r:embed="rId21"/>
                    <a:stretch>
                      <a:fillRect/>
                    </a:stretch>
                  </pic:blipFill>
                  <pic:spPr>
                    <a:xfrm>
                      <a:off x="0" y="0"/>
                      <a:ext cx="5819342" cy="5499011"/>
                    </a:xfrm>
                    <a:prstGeom prst="rect">
                      <a:avLst/>
                    </a:prstGeom>
                    <a:noFill/>
                    <a:ln w="9525" cap="flat" cmpd="sng">
                      <a:noFill/>
                      <a:prstDash val="solid"/>
                      <a:miter/>
                    </a:ln>
                  </pic:spPr>
                </pic:pic>
              </a:graphicData>
            </a:graphic>
          </wp:anchor>
        </w:drawing>
      </w:r>
      <w:r>
        <w:rPr>
          <w:rFonts w:ascii="Times New Roman" w:hAnsi="Times New Roman" w:eastAsia="方正小标宋简体" w:cs="Times New Roman"/>
          <w:i w:val="0"/>
          <w:color w:val="000000"/>
          <w:kern w:val="0"/>
          <w:sz w:val="44"/>
          <w:szCs w:val="44"/>
          <w:u w:val="none"/>
          <w:lang w:val="en-US" w:eastAsia="zh-CN"/>
        </w:rPr>
        <w:t>部门预算项目支出绩效评价表</w:t>
      </w:r>
    </w:p>
    <w:p w14:paraId="65F4A2FA">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ascii="Times New Roman" w:hAnsi="Times New Roman" w:eastAsia="方正小标宋简体" w:cs="Times New Roman"/>
          <w:i w:val="0"/>
          <w:color w:val="000000"/>
          <w:kern w:val="0"/>
          <w:sz w:val="32"/>
          <w:szCs w:val="32"/>
          <w:u w:val="none"/>
          <w:lang w:val="en-US" w:eastAsia="zh-CN"/>
        </w:rPr>
      </w:pPr>
      <w:r>
        <w:rPr>
          <w:rFonts w:ascii="Times New Roman" w:hAnsi="Times New Roman" w:eastAsia="方正小标宋简体" w:cs="Times New Roman"/>
          <w:i w:val="0"/>
          <w:color w:val="000000"/>
          <w:kern w:val="0"/>
          <w:sz w:val="32"/>
          <w:szCs w:val="32"/>
          <w:u w:val="none"/>
          <w:lang w:val="en-US" w:eastAsia="zh-CN"/>
        </w:rPr>
        <w:t>（2024年度）</w:t>
      </w:r>
    </w:p>
    <w:p w14:paraId="3310CCE9">
      <w:pPr>
        <w:pStyle w:val="2"/>
        <w:keepNext/>
        <w:keepLines/>
        <w:pageBreakBefore w:val="0"/>
        <w:widowControl w:val="0"/>
        <w:kinsoku/>
        <w:wordWrap/>
        <w:overflowPunct/>
        <w:topLinePunct w:val="0"/>
        <w:autoSpaceDE/>
        <w:autoSpaceDN/>
        <w:adjustRightInd/>
        <w:snapToGrid/>
        <w:spacing w:before="0" w:after="0" w:line="578" w:lineRule="exact"/>
        <w:ind w:left="0"/>
        <w:outlineLvl w:val="9"/>
        <w:rPr>
          <w:rFonts w:ascii="Times New Roman" w:hAnsi="Times New Roman" w:eastAsia="仿宋_GB2312"/>
          <w:b w:val="0"/>
          <w:color w:val="000000"/>
          <w:kern w:val="0"/>
          <w:sz w:val="32"/>
          <w:szCs w:val="32"/>
          <w:shd w:val="clear" w:color="auto" w:fill="FFFFFF"/>
        </w:rPr>
      </w:pPr>
    </w:p>
    <w:p w14:paraId="1FC83FFC">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p>
    <w:p w14:paraId="158F4F93">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hint="eastAsia" w:ascii="Times New Roman" w:hAnsi="Times New Roman" w:eastAsia="仿宋_GB2312"/>
          <w:b w:val="0"/>
          <w:color w:val="000000"/>
          <w:kern w:val="0"/>
          <w:sz w:val="32"/>
          <w:szCs w:val="32"/>
          <w:shd w:val="clear" w:color="auto" w:fill="FFFFFF"/>
        </w:rPr>
        <w:drawing>
          <wp:inline distT="0" distB="0" distL="85090" distR="85090">
            <wp:extent cx="6183630" cy="5452110"/>
            <wp:effectExtent l="0" t="0" r="7620" b="15240"/>
            <wp:docPr id="7"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pic:cNvPicPr>
                      <a:picLocks noChangeAspect="1"/>
                    </pic:cNvPicPr>
                  </pic:nvPicPr>
                  <pic:blipFill>
                    <a:blip r:embed="rId22"/>
                    <a:stretch>
                      <a:fillRect/>
                    </a:stretch>
                  </pic:blipFill>
                  <pic:spPr>
                    <a:xfrm>
                      <a:off x="0" y="0"/>
                      <a:ext cx="6183895" cy="5452119"/>
                    </a:xfrm>
                    <a:prstGeom prst="rect">
                      <a:avLst/>
                    </a:prstGeom>
                    <a:noFill/>
                    <a:ln w="9525" cap="flat" cmpd="sng">
                      <a:noFill/>
                      <a:prstDash val="solid"/>
                      <a:miter/>
                    </a:ln>
                  </pic:spPr>
                </pic:pic>
              </a:graphicData>
            </a:graphic>
          </wp:inline>
        </w:drawing>
      </w:r>
    </w:p>
    <w:p w14:paraId="3C9CFBCA">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p>
    <w:p w14:paraId="0A8C93AC">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hint="eastAsia" w:ascii="Times New Roman" w:hAnsi="Times New Roman" w:eastAsia="仿宋_GB2312"/>
          <w:b w:val="0"/>
          <w:color w:val="000000"/>
          <w:kern w:val="0"/>
          <w:sz w:val="32"/>
          <w:szCs w:val="32"/>
          <w:shd w:val="clear" w:color="auto" w:fill="FFFFFF"/>
        </w:rPr>
        <w:drawing>
          <wp:inline distT="0" distB="0" distL="85090" distR="85090">
            <wp:extent cx="6026150" cy="5364480"/>
            <wp:effectExtent l="0" t="0" r="12700" b="7620"/>
            <wp:docPr id="10"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pic:cNvPicPr>
                      <a:picLocks noChangeAspect="1"/>
                    </pic:cNvPicPr>
                  </pic:nvPicPr>
                  <pic:blipFill>
                    <a:blip r:embed="rId23"/>
                    <a:stretch>
                      <a:fillRect/>
                    </a:stretch>
                  </pic:blipFill>
                  <pic:spPr>
                    <a:xfrm>
                      <a:off x="0" y="0"/>
                      <a:ext cx="6026704" cy="5364949"/>
                    </a:xfrm>
                    <a:prstGeom prst="rect">
                      <a:avLst/>
                    </a:prstGeom>
                    <a:noFill/>
                    <a:ln w="9525" cap="flat" cmpd="sng">
                      <a:noFill/>
                      <a:prstDash val="solid"/>
                      <a:miter/>
                    </a:ln>
                  </pic:spPr>
                </pic:pic>
              </a:graphicData>
            </a:graphic>
          </wp:inline>
        </w:drawing>
      </w:r>
    </w:p>
    <w:p w14:paraId="3845645D">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r>
        <w:rPr>
          <w:rFonts w:ascii="Times New Roman" w:hAnsi="Times New Roman" w:eastAsia="仿宋_GB2312"/>
          <w:b w:val="0"/>
          <w:color w:val="000000"/>
          <w:kern w:val="0"/>
          <w:sz w:val="32"/>
          <w:szCs w:val="32"/>
          <w:shd w:val="clear" w:color="auto" w:fill="FFFFFF"/>
        </w:rPr>
        <w:drawing>
          <wp:inline distT="0" distB="0" distL="85090" distR="85090">
            <wp:extent cx="6221095" cy="4848860"/>
            <wp:effectExtent l="0" t="0" r="8255" b="8890"/>
            <wp:docPr id="13"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pic:cNvPicPr>
                      <a:picLocks noChangeAspect="1"/>
                    </pic:cNvPicPr>
                  </pic:nvPicPr>
                  <pic:blipFill>
                    <a:blip r:embed="rId24"/>
                    <a:stretch>
                      <a:fillRect/>
                    </a:stretch>
                  </pic:blipFill>
                  <pic:spPr>
                    <a:xfrm>
                      <a:off x="0" y="0"/>
                      <a:ext cx="6221594" cy="4848945"/>
                    </a:xfrm>
                    <a:prstGeom prst="rect">
                      <a:avLst/>
                    </a:prstGeom>
                    <a:noFill/>
                    <a:ln w="9525" cap="flat" cmpd="sng">
                      <a:noFill/>
                      <a:prstDash val="solid"/>
                      <a:miter/>
                    </a:ln>
                  </pic:spPr>
                </pic:pic>
              </a:graphicData>
            </a:graphic>
          </wp:inline>
        </w:drawing>
      </w:r>
    </w:p>
    <w:p w14:paraId="5A9E63EF">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r>
        <w:rPr>
          <w:rFonts w:ascii="Times New Roman" w:hAnsi="Times New Roman" w:eastAsia="仿宋_GB2312"/>
          <w:b w:val="0"/>
          <w:color w:val="000000"/>
          <w:kern w:val="0"/>
          <w:sz w:val="32"/>
          <w:szCs w:val="32"/>
          <w:shd w:val="clear" w:color="auto" w:fill="FFFFFF"/>
        </w:rPr>
        <w:drawing>
          <wp:inline distT="0" distB="0" distL="85090" distR="85090">
            <wp:extent cx="5968365" cy="5110480"/>
            <wp:effectExtent l="0" t="0" r="13335" b="13970"/>
            <wp:docPr id="16"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pic:cNvPicPr>
                      <a:picLocks noChangeAspect="1"/>
                    </pic:cNvPicPr>
                  </pic:nvPicPr>
                  <pic:blipFill>
                    <a:blip r:embed="rId25"/>
                    <a:stretch>
                      <a:fillRect/>
                    </a:stretch>
                  </pic:blipFill>
                  <pic:spPr>
                    <a:xfrm>
                      <a:off x="0" y="0"/>
                      <a:ext cx="5968428" cy="5110913"/>
                    </a:xfrm>
                    <a:prstGeom prst="rect">
                      <a:avLst/>
                    </a:prstGeom>
                    <a:noFill/>
                    <a:ln w="9525" cap="flat" cmpd="sng">
                      <a:noFill/>
                      <a:prstDash val="solid"/>
                      <a:miter/>
                    </a:ln>
                  </pic:spPr>
                </pic:pic>
              </a:graphicData>
            </a:graphic>
          </wp:inline>
        </w:drawing>
      </w:r>
    </w:p>
    <w:p w14:paraId="53CC7630">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r>
        <w:rPr>
          <w:rFonts w:ascii="Times New Roman" w:hAnsi="Times New Roman" w:eastAsia="仿宋_GB2312"/>
          <w:b w:val="0"/>
          <w:color w:val="000000"/>
          <w:kern w:val="0"/>
          <w:sz w:val="32"/>
          <w:szCs w:val="32"/>
          <w:shd w:val="clear" w:color="auto" w:fill="FFFFFF"/>
        </w:rPr>
        <w:drawing>
          <wp:inline distT="0" distB="0" distL="85090" distR="85090">
            <wp:extent cx="6144895" cy="6026150"/>
            <wp:effectExtent l="0" t="0" r="8255" b="12700"/>
            <wp:docPr id="19"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pic:cNvPicPr>
                      <a:picLocks noChangeAspect="1"/>
                    </pic:cNvPicPr>
                  </pic:nvPicPr>
                  <pic:blipFill>
                    <a:blip r:embed="rId26"/>
                    <a:stretch>
                      <a:fillRect/>
                    </a:stretch>
                  </pic:blipFill>
                  <pic:spPr>
                    <a:xfrm>
                      <a:off x="0" y="0"/>
                      <a:ext cx="6145092" cy="6026751"/>
                    </a:xfrm>
                    <a:prstGeom prst="rect">
                      <a:avLst/>
                    </a:prstGeom>
                    <a:noFill/>
                    <a:ln w="9525" cap="flat" cmpd="sng">
                      <a:noFill/>
                      <a:prstDash val="solid"/>
                      <a:miter/>
                    </a:ln>
                  </pic:spPr>
                </pic:pic>
              </a:graphicData>
            </a:graphic>
          </wp:inline>
        </w:drawing>
      </w:r>
    </w:p>
    <w:p w14:paraId="61C1ACED">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p>
    <w:p w14:paraId="1687256F">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hint="eastAsia" w:ascii="Times New Roman" w:hAnsi="Times New Roman" w:eastAsia="仿宋_GB2312"/>
          <w:b w:val="0"/>
          <w:color w:val="000000"/>
          <w:kern w:val="0"/>
          <w:sz w:val="32"/>
          <w:szCs w:val="32"/>
          <w:shd w:val="clear" w:color="auto" w:fill="FFFFFF"/>
        </w:rPr>
        <w:drawing>
          <wp:inline distT="0" distB="0" distL="85090" distR="85090">
            <wp:extent cx="6054090" cy="5280660"/>
            <wp:effectExtent l="0" t="0" r="3810" b="15240"/>
            <wp:docPr id="22"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pic:cNvPicPr>
                      <a:picLocks noChangeAspect="1"/>
                    </pic:cNvPicPr>
                  </pic:nvPicPr>
                  <pic:blipFill>
                    <a:blip r:embed="rId27"/>
                    <a:stretch>
                      <a:fillRect/>
                    </a:stretch>
                  </pic:blipFill>
                  <pic:spPr>
                    <a:xfrm>
                      <a:off x="0" y="0"/>
                      <a:ext cx="6054194" cy="5280696"/>
                    </a:xfrm>
                    <a:prstGeom prst="rect">
                      <a:avLst/>
                    </a:prstGeom>
                    <a:noFill/>
                    <a:ln w="9525" cap="flat" cmpd="sng">
                      <a:noFill/>
                      <a:prstDash val="solid"/>
                      <a:miter/>
                    </a:ln>
                  </pic:spPr>
                </pic:pic>
              </a:graphicData>
            </a:graphic>
          </wp:inline>
        </w:drawing>
      </w:r>
    </w:p>
    <w:p w14:paraId="2DF079FF">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p>
    <w:p w14:paraId="47221795">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hint="eastAsia" w:ascii="Times New Roman" w:hAnsi="Times New Roman" w:eastAsia="仿宋_GB2312"/>
          <w:b w:val="0"/>
          <w:color w:val="000000"/>
          <w:kern w:val="0"/>
          <w:sz w:val="32"/>
          <w:szCs w:val="32"/>
          <w:shd w:val="clear" w:color="auto" w:fill="FFFFFF"/>
        </w:rPr>
        <w:drawing>
          <wp:inline distT="0" distB="0" distL="85090" distR="85090">
            <wp:extent cx="6136005" cy="5326380"/>
            <wp:effectExtent l="0" t="0" r="17145" b="7620"/>
            <wp:docPr id="25"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pic:cNvPicPr>
                      <a:picLocks noChangeAspect="1"/>
                    </pic:cNvPicPr>
                  </pic:nvPicPr>
                  <pic:blipFill>
                    <a:blip r:embed="rId28"/>
                    <a:stretch>
                      <a:fillRect/>
                    </a:stretch>
                  </pic:blipFill>
                  <pic:spPr>
                    <a:xfrm>
                      <a:off x="0" y="0"/>
                      <a:ext cx="6136146" cy="5326808"/>
                    </a:xfrm>
                    <a:prstGeom prst="rect">
                      <a:avLst/>
                    </a:prstGeom>
                    <a:noFill/>
                    <a:ln w="9525" cap="flat" cmpd="sng">
                      <a:noFill/>
                      <a:prstDash val="solid"/>
                      <a:miter/>
                    </a:ln>
                  </pic:spPr>
                </pic:pic>
              </a:graphicData>
            </a:graphic>
          </wp:inline>
        </w:drawing>
      </w:r>
    </w:p>
    <w:p w14:paraId="711DF277">
      <w:pPr>
        <w:keepNext w:val="0"/>
        <w:keepLines w:val="0"/>
        <w:pageBreakBefore w:val="0"/>
        <w:widowControl w:val="0"/>
        <w:suppressLineNumbers w:val="0"/>
        <w:suppressAutoHyphens w:val="0"/>
        <w:rPr>
          <w:rFonts w:ascii="Times New Roman" w:hAnsi="Times New Roman" w:eastAsia="仿宋_GB2312"/>
          <w:b w:val="0"/>
          <w:color w:val="000000"/>
          <w:kern w:val="0"/>
          <w:sz w:val="32"/>
          <w:szCs w:val="32"/>
          <w:shd w:val="clear" w:color="auto" w:fill="FFFFFF"/>
        </w:rPr>
      </w:pPr>
      <w:r>
        <w:rPr>
          <w:rFonts w:ascii="Times New Roman" w:hAnsi="Times New Roman" w:eastAsia="仿宋_GB2312"/>
          <w:b w:val="0"/>
          <w:color w:val="000000"/>
          <w:kern w:val="0"/>
          <w:sz w:val="32"/>
          <w:szCs w:val="32"/>
          <w:shd w:val="clear" w:color="auto" w:fill="FFFFFF"/>
        </w:rPr>
        <w:br w:type="page"/>
      </w:r>
      <w:r>
        <w:rPr>
          <w:rFonts w:ascii="Times New Roman" w:hAnsi="Times New Roman" w:eastAsia="仿宋_GB2312"/>
          <w:b w:val="0"/>
          <w:color w:val="000000"/>
          <w:kern w:val="0"/>
          <w:sz w:val="32"/>
          <w:szCs w:val="32"/>
          <w:shd w:val="clear" w:color="auto" w:fill="FFFFFF"/>
        </w:rPr>
        <w:drawing>
          <wp:inline distT="0" distB="0" distL="85090" distR="85090">
            <wp:extent cx="6113145" cy="5845175"/>
            <wp:effectExtent l="0" t="0" r="1905" b="3175"/>
            <wp:docPr id="28"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pic:cNvPicPr>
                      <a:picLocks noChangeAspect="1"/>
                    </pic:cNvPicPr>
                  </pic:nvPicPr>
                  <pic:blipFill>
                    <a:blip r:embed="rId29"/>
                    <a:stretch>
                      <a:fillRect/>
                    </a:stretch>
                  </pic:blipFill>
                  <pic:spPr>
                    <a:xfrm>
                      <a:off x="0" y="0"/>
                      <a:ext cx="6113261" cy="5845713"/>
                    </a:xfrm>
                    <a:prstGeom prst="rect">
                      <a:avLst/>
                    </a:prstGeom>
                    <a:noFill/>
                    <a:ln w="9525" cap="flat" cmpd="sng">
                      <a:noFill/>
                      <a:prstDash val="solid"/>
                      <a:miter/>
                    </a:ln>
                  </pic:spPr>
                </pic:pic>
              </a:graphicData>
            </a:graphic>
          </wp:inline>
        </w:drawing>
      </w:r>
    </w:p>
    <w:p w14:paraId="3A4C64B2">
      <w:pPr>
        <w:keepNext w:val="0"/>
        <w:keepLines w:val="0"/>
        <w:pageBreakBefore w:val="0"/>
        <w:widowControl w:val="0"/>
        <w:suppressLineNumbers w:val="0"/>
        <w:suppressAutoHyphens w:val="0"/>
        <w:rPr>
          <w:rFonts w:hint="eastAsia" w:ascii="Times New Roman" w:hAnsi="Times New Roman" w:eastAsia="仿宋_GB2312"/>
          <w:b w:val="0"/>
          <w:color w:val="000000"/>
          <w:kern w:val="0"/>
          <w:sz w:val="32"/>
          <w:szCs w:val="32"/>
          <w:shd w:val="clear" w:color="auto" w:fill="FFFFFF"/>
        </w:rPr>
      </w:pPr>
    </w:p>
    <w:p w14:paraId="7B66ED9E">
      <w:pPr>
        <w:pStyle w:val="9"/>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085754D2">
      <w:pPr>
        <w:pStyle w:val="9"/>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66E53E3C">
      <w:pPr>
        <w:pStyle w:val="7"/>
        <w:rPr>
          <w:rFonts w:hint="eastAsia" w:ascii="Times New Roman" w:hAnsi="Times New Roman" w:cs="宋体"/>
          <w:color w:val="FF0000"/>
          <w:kern w:val="0"/>
          <w:sz w:val="32"/>
          <w:szCs w:val="32"/>
          <w:highlight w:val="yellow"/>
          <w:shd w:val="clear" w:color="auto" w:fill="FFFFFF"/>
          <w:lang w:val="zh-CN"/>
        </w:rPr>
      </w:pPr>
    </w:p>
    <w:p w14:paraId="5B10037A">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1BAB1B5">
      <w:pPr>
        <w:widowControl/>
        <w:jc w:val="center"/>
        <w:outlineLvl w:val="0"/>
        <w:rPr>
          <w:rFonts w:hint="eastAsia" w:ascii="Times New Roman" w:hAnsi="Times New Roman" w:eastAsia="仿宋"/>
          <w:b w:val="0"/>
          <w:color w:val="auto"/>
          <w:highlight w:val="none"/>
        </w:rPr>
      </w:pPr>
      <w:bookmarkStart w:id="58" w:name="_Toc15396618"/>
      <w:r>
        <w:rPr>
          <w:rFonts w:hint="eastAsia" w:ascii="Times New Roman" w:hAnsi="Times New Roman" w:eastAsia="黑体"/>
          <w:color w:val="auto"/>
          <w:sz w:val="44"/>
          <w:szCs w:val="44"/>
          <w:highlight w:val="none"/>
        </w:rPr>
        <w:t>第</w:t>
      </w:r>
      <w:r>
        <w:rPr>
          <w:rStyle w:val="21"/>
          <w:rFonts w:hint="eastAsia" w:ascii="Times New Roman" w:hAnsi="Times New Roman" w:eastAsia="黑体"/>
          <w:b w:val="0"/>
          <w:color w:val="auto"/>
          <w:highlight w:val="none"/>
        </w:rPr>
        <w:t>五部分 附表</w:t>
      </w:r>
      <w:bookmarkEnd w:id="55"/>
      <w:bookmarkEnd w:id="58"/>
      <w:bookmarkStart w:id="59" w:name="_Toc15396619"/>
    </w:p>
    <w:p w14:paraId="5014EBB4">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32A71A5">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9"/>
    </w:p>
    <w:p w14:paraId="6F4D13CD">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0"/>
      <w:r>
        <w:rPr>
          <w:rFonts w:hint="eastAsia" w:ascii="Times New Roman" w:hAnsi="Times New Roman" w:eastAsia="仿宋_GB2312" w:cs="仿宋_GB2312"/>
          <w:color w:val="auto"/>
          <w:sz w:val="32"/>
          <w:szCs w:val="32"/>
          <w:highlight w:val="none"/>
        </w:rPr>
        <w:t>二、收入决算表</w:t>
      </w:r>
      <w:bookmarkEnd w:id="60"/>
    </w:p>
    <w:p w14:paraId="32056A3B">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1"/>
      <w:r>
        <w:rPr>
          <w:rFonts w:hint="eastAsia" w:ascii="Times New Roman" w:hAnsi="Times New Roman" w:eastAsia="仿宋_GB2312" w:cs="仿宋_GB2312"/>
          <w:color w:val="auto"/>
          <w:sz w:val="32"/>
          <w:szCs w:val="32"/>
          <w:highlight w:val="none"/>
        </w:rPr>
        <w:t>三、支出决算表</w:t>
      </w:r>
      <w:bookmarkEnd w:id="61"/>
    </w:p>
    <w:p w14:paraId="6E22A501">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2"/>
      <w:r>
        <w:rPr>
          <w:rFonts w:hint="eastAsia" w:ascii="Times New Roman" w:hAnsi="Times New Roman" w:eastAsia="仿宋_GB2312" w:cs="仿宋_GB2312"/>
          <w:color w:val="auto"/>
          <w:sz w:val="32"/>
          <w:szCs w:val="32"/>
          <w:highlight w:val="none"/>
        </w:rPr>
        <w:t>四、财政拨款收入支出决算总表</w:t>
      </w:r>
      <w:bookmarkEnd w:id="62"/>
    </w:p>
    <w:p w14:paraId="6E9A6748">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3"/>
      <w:r>
        <w:rPr>
          <w:rFonts w:hint="eastAsia" w:ascii="Times New Roman" w:hAnsi="Times New Roman" w:eastAsia="仿宋_GB2312" w:cs="仿宋_GB2312"/>
          <w:color w:val="auto"/>
          <w:sz w:val="32"/>
          <w:szCs w:val="32"/>
          <w:highlight w:val="none"/>
        </w:rPr>
        <w:t>五、财政拨款支出决算明细表</w:t>
      </w:r>
      <w:bookmarkEnd w:id="63"/>
      <w:bookmarkStart w:id="64" w:name="_Toc15396624"/>
    </w:p>
    <w:p w14:paraId="1C80B909">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4"/>
    </w:p>
    <w:p w14:paraId="0512B89F">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5"/>
      <w:r>
        <w:rPr>
          <w:rFonts w:hint="eastAsia" w:ascii="Times New Roman" w:hAnsi="Times New Roman" w:eastAsia="仿宋_GB2312" w:cs="仿宋_GB2312"/>
          <w:color w:val="auto"/>
          <w:sz w:val="32"/>
          <w:szCs w:val="32"/>
          <w:highlight w:val="none"/>
        </w:rPr>
        <w:t>七、一般公共预算财政拨款支出决算明细表</w:t>
      </w:r>
      <w:bookmarkEnd w:id="65"/>
    </w:p>
    <w:p w14:paraId="0C022A38">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6"/>
      <w:r>
        <w:rPr>
          <w:rFonts w:hint="eastAsia" w:ascii="Times New Roman" w:hAnsi="Times New Roman" w:eastAsia="仿宋_GB2312" w:cs="仿宋_GB2312"/>
          <w:color w:val="auto"/>
          <w:sz w:val="32"/>
          <w:szCs w:val="32"/>
          <w:highlight w:val="none"/>
        </w:rPr>
        <w:t>八、一般公共预算财政拨款基本支出决算表</w:t>
      </w:r>
      <w:bookmarkEnd w:id="66"/>
    </w:p>
    <w:p w14:paraId="55BA376D">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7"/>
      <w:r>
        <w:rPr>
          <w:rFonts w:hint="eastAsia" w:ascii="Times New Roman" w:hAnsi="Times New Roman" w:eastAsia="仿宋_GB2312" w:cs="仿宋_GB2312"/>
          <w:color w:val="auto"/>
          <w:sz w:val="32"/>
          <w:szCs w:val="32"/>
          <w:highlight w:val="none"/>
        </w:rPr>
        <w:t>九、一般公共预算财政拨款项目支出决算表</w:t>
      </w:r>
      <w:bookmarkEnd w:id="67"/>
    </w:p>
    <w:p w14:paraId="30D06E91">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8"/>
      <w:r>
        <w:rPr>
          <w:rFonts w:hint="eastAsia" w:ascii="Times New Roman" w:hAnsi="Times New Roman" w:eastAsia="仿宋_GB2312" w:cs="仿宋_GB2312"/>
          <w:color w:val="auto"/>
          <w:sz w:val="32"/>
          <w:szCs w:val="32"/>
          <w:highlight w:val="none"/>
        </w:rPr>
        <w:t>十、</w:t>
      </w:r>
      <w:bookmarkEnd w:id="68"/>
      <w:r>
        <w:rPr>
          <w:rFonts w:hint="eastAsia" w:ascii="Times New Roman" w:hAnsi="Times New Roman" w:eastAsia="仿宋_GB2312" w:cs="仿宋_GB2312"/>
          <w:color w:val="auto"/>
          <w:sz w:val="32"/>
          <w:szCs w:val="32"/>
          <w:highlight w:val="none"/>
        </w:rPr>
        <w:t>政府性基金预算财政拨款收入支出决算表</w:t>
      </w:r>
    </w:p>
    <w:p w14:paraId="5B0AF7CE">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9"/>
      <w:r>
        <w:rPr>
          <w:rFonts w:hint="eastAsia" w:ascii="Times New Roman" w:hAnsi="Times New Roman" w:eastAsia="仿宋_GB2312" w:cs="仿宋_GB2312"/>
          <w:color w:val="auto"/>
          <w:sz w:val="32"/>
          <w:szCs w:val="32"/>
          <w:highlight w:val="none"/>
        </w:rPr>
        <w:t>十一、</w:t>
      </w:r>
      <w:bookmarkEnd w:id="6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2D2831D">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30"/>
      <w:r>
        <w:rPr>
          <w:rFonts w:hint="eastAsia" w:ascii="Times New Roman" w:hAnsi="Times New Roman" w:eastAsia="仿宋_GB2312" w:cs="仿宋_GB2312"/>
          <w:color w:val="auto"/>
          <w:sz w:val="32"/>
          <w:szCs w:val="32"/>
          <w:highlight w:val="none"/>
        </w:rPr>
        <w:t>十二、</w:t>
      </w:r>
      <w:bookmarkEnd w:id="70"/>
      <w:r>
        <w:rPr>
          <w:rFonts w:hint="eastAsia" w:ascii="Times New Roman" w:hAnsi="Times New Roman" w:eastAsia="仿宋_GB2312" w:cs="仿宋_GB2312"/>
          <w:color w:val="auto"/>
          <w:sz w:val="32"/>
          <w:szCs w:val="32"/>
          <w:highlight w:val="none"/>
          <w:lang w:eastAsia="zh-CN"/>
        </w:rPr>
        <w:t>国有资本经营预算财政拨款支出决算表</w:t>
      </w:r>
    </w:p>
    <w:p w14:paraId="48F279BC">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1" w:name="_Toc15396631"/>
      <w:r>
        <w:rPr>
          <w:rFonts w:hint="eastAsia" w:ascii="Times New Roman" w:hAnsi="Times New Roman" w:eastAsia="仿宋_GB2312" w:cs="仿宋_GB2312"/>
          <w:color w:val="auto"/>
          <w:sz w:val="32"/>
          <w:szCs w:val="32"/>
          <w:highlight w:val="none"/>
        </w:rPr>
        <w:t>十三、</w:t>
      </w:r>
      <w:bookmarkEnd w:id="71"/>
      <w:r>
        <w:rPr>
          <w:rFonts w:hint="eastAsia" w:ascii="Times New Roman" w:hAnsi="Times New Roman" w:eastAsia="仿宋_GB2312" w:cs="仿宋_GB2312"/>
          <w:color w:val="auto"/>
          <w:sz w:val="32"/>
          <w:szCs w:val="32"/>
          <w:highlight w:val="none"/>
          <w:lang w:eastAsia="zh-CN"/>
        </w:rPr>
        <w:t>财政拨款“三公”经费支出决算表</w:t>
      </w:r>
    </w:p>
    <w:p w14:paraId="1C43D20A">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1D104">
    <w:pPr>
      <w:pStyle w:val="12"/>
      <w:jc w:val="center"/>
    </w:pPr>
  </w:p>
  <w:p w14:paraId="4496ACF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D7175">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3B172">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B93B172">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52F40570">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AD0D5">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45B63">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7F45B63">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86F2A">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FF644"/>
    <w:multiLevelType w:val="singleLevel"/>
    <w:tmpl w:val="F01FF644"/>
    <w:lvl w:ilvl="0" w:tentative="0">
      <w:start w:val="1"/>
      <w:numFmt w:val="decimal"/>
      <w:suff w:val="nothing"/>
      <w:lvlText w:val="%1."/>
      <w:lvlJc w:val="left"/>
      <w:pPr/>
    </w:lvl>
  </w:abstractNum>
  <w:abstractNum w:abstractNumId="1">
    <w:nsid w:val="2481520A"/>
    <w:multiLevelType w:val="multilevel"/>
    <w:tmpl w:val="2481520A"/>
    <w:lvl w:ilvl="0" w:tentative="0">
      <w:start w:val="1"/>
      <w:numFmt w:val="chineseCountingThousand"/>
      <w:lvlText w:val="%1、"/>
      <w:lvlJc w:val="left"/>
      <w:pPr>
        <w:ind w:left="640" w:hanging="640"/>
      </w:pPr>
      <w:rPr>
        <w:rFonts w:hint="eastAsia" w:eastAsia="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9FA55C7"/>
    <w:rsid w:val="160A2171"/>
    <w:rsid w:val="293E0261"/>
    <w:rsid w:val="2AD215C5"/>
    <w:rsid w:val="3B765F9D"/>
    <w:rsid w:val="558570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2"/>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8">
    <w:name w:val="Default Paragraph Fon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680"/>
    </w:pPr>
  </w:style>
  <w:style w:type="paragraph" w:styleId="7">
    <w:name w:val="Body Text"/>
    <w:basedOn w:val="1"/>
    <w:qFormat/>
    <w:uiPriority w:val="0"/>
    <w:pPr>
      <w:spacing w:before="30"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uiPriority w:val="0"/>
    <w:pPr>
      <w:ind w:firstLine="200" w:firstLineChars="200"/>
    </w:p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footnote text"/>
    <w:basedOn w:val="1"/>
    <w:next w:val="9"/>
    <w:qFormat/>
    <w:uiPriority w:val="0"/>
    <w:pPr>
      <w:snapToGrid w:val="0"/>
      <w:jc w:val="left"/>
    </w:pPr>
    <w:rPr>
      <w:sz w:val="18"/>
      <w:szCs w:val="18"/>
    </w:rPr>
  </w:style>
  <w:style w:type="paragraph" w:styleId="16">
    <w:name w:val="toc 2"/>
    <w:basedOn w:val="1"/>
    <w:next w:val="1"/>
    <w:qFormat/>
    <w:uiPriority w:val="0"/>
    <w:pPr>
      <w:tabs>
        <w:tab w:val="right" w:leader="dot" w:pos="8296"/>
      </w:tabs>
      <w:ind w:left="200" w:leftChars="200"/>
    </w:pPr>
  </w:style>
  <w:style w:type="character" w:styleId="19">
    <w:name w:val="Strong"/>
    <w:basedOn w:val="18"/>
    <w:qFormat/>
    <w:uiPriority w:val="0"/>
    <w:rPr>
      <w:b/>
    </w:rPr>
  </w:style>
  <w:style w:type="character" w:styleId="20">
    <w:name w:val="Hyperlink"/>
    <w:basedOn w:val="18"/>
    <w:uiPriority w:val="0"/>
    <w:rPr>
      <w:color w:val="0000FF"/>
      <w:u w:val="single"/>
    </w:rPr>
  </w:style>
  <w:style w:type="character" w:customStyle="1" w:styleId="21">
    <w:name w:val="heading 1 Char"/>
    <w:basedOn w:val="18"/>
    <w:link w:val="3"/>
    <w:qFormat/>
    <w:uiPriority w:val="0"/>
    <w:rPr>
      <w:rFonts w:ascii="Times New Roman" w:hAnsi="Times New Roman" w:eastAsia="宋体" w:cs="Times New Roman"/>
      <w:b/>
      <w:bCs/>
      <w:kern w:val="44"/>
      <w:sz w:val="44"/>
      <w:szCs w:val="44"/>
      <w:lang w:val="en-US" w:eastAsia="zh-CN" w:bidi="ar-SA"/>
    </w:rPr>
  </w:style>
  <w:style w:type="character" w:customStyle="1" w:styleId="22">
    <w:name w:val="heading 2 Char"/>
    <w:basedOn w:val="18"/>
    <w:link w:val="4"/>
    <w:qFormat/>
    <w:uiPriority w:val="0"/>
    <w:rPr>
      <w:rFonts w:ascii="Cambria" w:hAnsi="Cambria" w:eastAsia="宋体" w:cs="Times New Roman"/>
      <w:b/>
      <w:bCs/>
      <w:kern w:val="2"/>
      <w:sz w:val="32"/>
      <w:szCs w:val="32"/>
      <w:lang w:val="en-US" w:eastAsia="zh-CN" w:bidi="ar-SA"/>
    </w:rPr>
  </w:style>
  <w:style w:type="character" w:customStyle="1" w:styleId="23">
    <w:name w:val="Header Char"/>
    <w:basedOn w:val="18"/>
    <w:qFormat/>
    <w:uiPriority w:val="0"/>
    <w:rPr>
      <w:rFonts w:ascii="Times New Roman" w:hAnsi="Times New Roman"/>
      <w:sz w:val="18"/>
      <w:szCs w:val="18"/>
    </w:rPr>
  </w:style>
  <w:style w:type="character" w:customStyle="1" w:styleId="24">
    <w:name w:val="Footer Char"/>
    <w:basedOn w:val="18"/>
    <w:qFormat/>
    <w:uiPriority w:val="0"/>
    <w:rPr>
      <w:rFonts w:ascii="Times New Roman" w:hAnsi="Times New Roman"/>
      <w:sz w:val="18"/>
      <w:szCs w:val="18"/>
    </w:rPr>
  </w:style>
  <w:style w:type="character" w:customStyle="1" w:styleId="25">
    <w:name w:val="Body Text Char"/>
    <w:basedOn w:val="18"/>
    <w:qFormat/>
    <w:uiPriority w:val="0"/>
    <w:rPr>
      <w:rFonts w:ascii="Times New Roman" w:hAnsi="Times New Roman"/>
      <w:szCs w:val="24"/>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qFormat/>
    <w:uiPriority w:val="0"/>
    <w:pPr>
      <w:ind w:firstLine="200" w:firstLineChars="200"/>
    </w:pPr>
  </w:style>
  <w:style w:type="paragraph" w:customStyle="1" w:styleId="28">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TOC Heading"/>
    <w:basedOn w:val="3"/>
    <w:next w:val="1"/>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0">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32</Pages>
  <Words>7173</Words>
  <Characters>7685</Characters>
  <Lines>440</Lines>
  <Paragraphs>219</Paragraphs>
  <TotalTime>16</TotalTime>
  <ScaleCrop>false</ScaleCrop>
  <LinksUpToDate>false</LinksUpToDate>
  <CharactersWithSpaces>7712</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若、</cp:lastModifiedBy>
  <cp:lastPrinted>2025-08-06T17:34:00Z</cp:lastPrinted>
  <dcterms:modified xsi:type="dcterms:W3CDTF">2025-09-10T02:43:43Z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04787F2533EB45DC91BCDE4AB213247F</vt:lpwstr>
  </property>
  <property fmtid="{D5CDD505-2E9C-101B-9397-08002B2CF9AE}" pid="4" name="KSOTemplateDocerSaveRecord">
    <vt:lpwstr>eyJoZGlkIjoiMzg2MmJkYmUwMmY5Y2MzNWQwOGIxZjA5Mzc1Zjc4MGEiLCJ1c2VySWQiOiIyNzg4NjIxMzcifQ==</vt:lpwstr>
  </property>
</Properties>
</file>