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FA5F0B">
      <w:pPr>
        <w:rPr>
          <w:rFonts w:ascii="仿宋_GB2312" w:eastAsia="仿宋_GB2312"/>
          <w:sz w:val="32"/>
          <w:szCs w:val="32"/>
        </w:rPr>
      </w:pPr>
      <w:bookmarkStart w:id="0" w:name="_Toc15306267"/>
      <w:r>
        <w:rPr>
          <w:rFonts w:hint="eastAsia" w:ascii="仿宋_GB2312" w:eastAsia="仿宋_GB2312"/>
          <w:sz w:val="32"/>
          <w:szCs w:val="32"/>
        </w:rPr>
        <w:t>附件3</w:t>
      </w:r>
    </w:p>
    <w:p w14:paraId="6636D424">
      <w:pPr>
        <w:spacing w:line="600" w:lineRule="exact"/>
        <w:jc w:val="center"/>
        <w:outlineLvl w:val="0"/>
        <w:rPr>
          <w:rFonts w:ascii="方正小标宋简体" w:eastAsia="方正小标宋简体"/>
          <w:sz w:val="72"/>
          <w:szCs w:val="72"/>
        </w:rPr>
      </w:pPr>
      <w:bookmarkStart w:id="67" w:name="_GoBack"/>
      <w:bookmarkEnd w:id="67"/>
    </w:p>
    <w:p w14:paraId="346217A3">
      <w:pPr>
        <w:adjustRightInd w:val="0"/>
        <w:snapToGrid w:val="0"/>
        <w:spacing w:line="360" w:lineRule="auto"/>
        <w:jc w:val="center"/>
        <w:outlineLvl w:val="0"/>
        <w:rPr>
          <w:rFonts w:hint="eastAsia" w:ascii="方正小标宋简体" w:eastAsia="方正小标宋简体" w:cs="方正小标宋简体"/>
          <w:sz w:val="72"/>
          <w:szCs w:val="72"/>
          <w:lang w:val="en-US" w:eastAsia="zh-CN"/>
        </w:rPr>
      </w:pPr>
      <w:bookmarkStart w:id="1" w:name="_Toc15396475"/>
      <w:bookmarkStart w:id="2" w:name="_Toc15377425"/>
      <w:bookmarkStart w:id="3" w:name="_Toc15396597"/>
      <w:bookmarkStart w:id="4" w:name="_Toc15377193"/>
      <w:bookmarkStart w:id="5" w:name="_Toc15378441"/>
      <w:r>
        <w:rPr>
          <w:rFonts w:hint="eastAsia" w:ascii="方正小标宋简体" w:eastAsia="方正小标宋简体" w:cs="方正小标宋简体"/>
          <w:sz w:val="72"/>
          <w:szCs w:val="72"/>
        </w:rPr>
        <w:t>202</w:t>
      </w:r>
      <w:r>
        <w:rPr>
          <w:rFonts w:hint="eastAsia" w:ascii="方正小标宋简体" w:eastAsia="方正小标宋简体" w:cs="方正小标宋简体"/>
          <w:sz w:val="72"/>
          <w:szCs w:val="72"/>
          <w:lang w:val="en-US" w:eastAsia="zh-CN"/>
        </w:rPr>
        <w:t>4</w:t>
      </w:r>
      <w:r>
        <w:rPr>
          <w:rFonts w:hint="eastAsia" w:ascii="方正小标宋简体" w:eastAsia="方正小标宋简体" w:cs="方正小标宋简体"/>
          <w:sz w:val="72"/>
          <w:szCs w:val="72"/>
        </w:rPr>
        <w:t>年度</w:t>
      </w:r>
      <w:bookmarkEnd w:id="1"/>
      <w:bookmarkEnd w:id="2"/>
      <w:bookmarkEnd w:id="3"/>
      <w:bookmarkEnd w:id="4"/>
      <w:bookmarkEnd w:id="5"/>
      <w:r>
        <w:rPr>
          <w:rFonts w:hint="eastAsia" w:ascii="方正小标宋简体" w:eastAsia="方正小标宋简体" w:cs="方正小标宋简体"/>
          <w:sz w:val="72"/>
          <w:szCs w:val="72"/>
          <w:lang w:val="en-US" w:eastAsia="zh-CN"/>
        </w:rPr>
        <w:t xml:space="preserve"> </w:t>
      </w:r>
    </w:p>
    <w:p w14:paraId="4EF468F6">
      <w:pPr>
        <w:adjustRightInd w:val="0"/>
        <w:snapToGrid w:val="0"/>
        <w:spacing w:line="360" w:lineRule="auto"/>
        <w:jc w:val="center"/>
        <w:outlineLvl w:val="0"/>
        <w:rPr>
          <w:rFonts w:ascii="方正小标宋简体" w:eastAsia="方正小标宋简体" w:cs="方正小标宋简体"/>
          <w:sz w:val="60"/>
          <w:szCs w:val="60"/>
        </w:rPr>
      </w:pPr>
      <w:bookmarkStart w:id="6" w:name="_Toc15377194"/>
      <w:bookmarkStart w:id="7" w:name="_Toc15396476"/>
      <w:bookmarkStart w:id="8" w:name="_Toc15377426"/>
      <w:bookmarkStart w:id="9" w:name="_Toc15378442"/>
      <w:bookmarkStart w:id="10" w:name="_Toc15396598"/>
      <w:r>
        <w:rPr>
          <w:rFonts w:ascii="方正小标宋简体" w:eastAsia="方正小标宋简体" w:cs="方正小标宋简体"/>
          <w:sz w:val="60"/>
          <w:szCs w:val="60"/>
        </w:rPr>
        <w:t>阿坝</w:t>
      </w:r>
      <w:bookmarkEnd w:id="0"/>
      <w:bookmarkStart w:id="11" w:name="_Toc15306268"/>
      <w:r>
        <w:rPr>
          <w:rFonts w:hint="eastAsia" w:ascii="方正小标宋简体" w:eastAsia="方正小标宋简体" w:cs="方正小标宋简体"/>
          <w:sz w:val="60"/>
          <w:szCs w:val="60"/>
        </w:rPr>
        <w:t>藏族羌族自治州州级机关幼儿园决算</w:t>
      </w:r>
      <w:bookmarkEnd w:id="6"/>
      <w:bookmarkEnd w:id="7"/>
      <w:bookmarkEnd w:id="8"/>
      <w:bookmarkEnd w:id="9"/>
      <w:bookmarkEnd w:id="10"/>
      <w:bookmarkEnd w:id="11"/>
      <w:r>
        <w:rPr>
          <w:rFonts w:hint="eastAsia" w:ascii="方正小标宋简体" w:eastAsia="方正小标宋简体" w:cs="方正小标宋简体"/>
          <w:sz w:val="60"/>
          <w:szCs w:val="60"/>
        </w:rPr>
        <w:t>公开</w:t>
      </w:r>
    </w:p>
    <w:p w14:paraId="6CBD669C">
      <w:pPr>
        <w:adjustRightInd w:val="0"/>
        <w:snapToGrid w:val="0"/>
        <w:spacing w:line="360" w:lineRule="auto"/>
        <w:jc w:val="center"/>
        <w:outlineLvl w:val="0"/>
      </w:pPr>
      <w:r>
        <w:rPr>
          <w:rFonts w:hint="eastAsia" w:ascii="方正小标宋简体" w:eastAsia="方正小标宋简体"/>
          <w:sz w:val="52"/>
          <w:szCs w:val="52"/>
        </w:rPr>
        <w:t>(单位公开范本)</w:t>
      </w:r>
    </w:p>
    <w:p w14:paraId="46A92261">
      <w:pPr>
        <w:pStyle w:val="6"/>
        <w:spacing w:before="93"/>
      </w:pPr>
    </w:p>
    <w:p w14:paraId="4E354693">
      <w:pPr>
        <w:pStyle w:val="6"/>
        <w:spacing w:before="93"/>
      </w:pPr>
    </w:p>
    <w:p w14:paraId="206301FF">
      <w:pPr>
        <w:pStyle w:val="6"/>
        <w:spacing w:before="93"/>
        <w:jc w:val="center"/>
      </w:pPr>
      <w:bookmarkStart w:id="12" w:name="_Hlk113547609"/>
      <w:r>
        <w:rPr>
          <w:rFonts w:hint="eastAsia" w:cs="仿宋_GB2312"/>
          <w:sz w:val="32"/>
          <w:szCs w:val="32"/>
        </w:rPr>
        <w:t>已经保密审查、内容审定，同意对外公开</w:t>
      </w:r>
      <w:bookmarkEnd w:id="12"/>
    </w:p>
    <w:p w14:paraId="58175F0C">
      <w:pPr>
        <w:widowControl/>
        <w:jc w:val="center"/>
        <w:rPr>
          <w:rFonts w:hint="eastAsia" w:ascii="黑体" w:eastAsia="黑体"/>
          <w:sz w:val="48"/>
          <w:szCs w:val="48"/>
        </w:rPr>
      </w:pPr>
    </w:p>
    <w:p w14:paraId="53D3D6DC">
      <w:pPr>
        <w:pStyle w:val="2"/>
        <w:rPr>
          <w:rFonts w:hint="eastAsia" w:ascii="黑体" w:eastAsia="黑体"/>
          <w:sz w:val="48"/>
          <w:szCs w:val="48"/>
        </w:rPr>
        <w:sectPr>
          <w:headerReference r:id="rId3" w:type="default"/>
          <w:footerReference r:id="rId4" w:type="default"/>
          <w:pgSz w:w="16838" w:h="11906" w:orient="landscape"/>
          <w:pgMar w:top="1800" w:right="1440" w:bottom="1800" w:left="1440" w:header="851" w:footer="992" w:gutter="0"/>
          <w:pgNumType w:start="1"/>
          <w:cols w:space="720" w:num="1"/>
          <w:titlePg/>
          <w:docGrid w:type="lines" w:linePitch="312" w:charSpace="0"/>
        </w:sectPr>
      </w:pPr>
    </w:p>
    <w:p w14:paraId="48525C46">
      <w:pPr>
        <w:widowControl/>
        <w:jc w:val="center"/>
        <w:rPr>
          <w:rFonts w:eastAsia="黑体"/>
          <w:sz w:val="48"/>
          <w:szCs w:val="48"/>
        </w:rPr>
      </w:pPr>
      <w:bookmarkStart w:id="13" w:name="_Toc15396599"/>
      <w:bookmarkStart w:id="14" w:name="_Toc15377196"/>
      <w:r>
        <w:rPr>
          <w:rFonts w:hint="eastAsia" w:eastAsia="黑体"/>
          <w:sz w:val="48"/>
          <w:szCs w:val="48"/>
        </w:rPr>
        <w:t>目</w:t>
      </w:r>
      <w:r>
        <w:rPr>
          <w:rFonts w:hint="eastAsia" w:eastAsia="黑体"/>
          <w:sz w:val="48"/>
          <w:szCs w:val="48"/>
          <w:lang w:val="en-US" w:eastAsia="zh-CN"/>
        </w:rPr>
        <w:t xml:space="preserve">  </w:t>
      </w:r>
      <w:r>
        <w:rPr>
          <w:rFonts w:hint="eastAsia" w:eastAsia="黑体"/>
          <w:sz w:val="48"/>
          <w:szCs w:val="48"/>
        </w:rPr>
        <w:t>录</w:t>
      </w:r>
    </w:p>
    <w:p w14:paraId="3A675FA4">
      <w:pPr>
        <w:widowControl/>
        <w:jc w:val="center"/>
        <w:rPr>
          <w:rFonts w:eastAsia="黑体" w:cstheme="minorBidi"/>
          <w:sz w:val="28"/>
          <w:szCs w:val="28"/>
        </w:rPr>
      </w:pPr>
    </w:p>
    <w:p w14:paraId="3AB94423">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公开时间：2024年</w:t>
      </w:r>
      <w:r>
        <w:rPr>
          <w:rFonts w:hint="eastAsia" w:ascii="Times New Roman" w:eastAsia="仿宋_GB2312" w:cs="仿宋_GB2312"/>
          <w:sz w:val="32"/>
          <w:szCs w:val="32"/>
          <w:lang w:val="en-US" w:eastAsia="zh-CN"/>
        </w:rPr>
        <w:t xml:space="preserve"> 9</w:t>
      </w:r>
      <w:r>
        <w:rPr>
          <w:rFonts w:hint="eastAsia" w:ascii="Times New Roman" w:hAnsi="Times New Roman" w:eastAsia="仿宋_GB2312" w:cs="仿宋_GB2312"/>
          <w:sz w:val="32"/>
          <w:szCs w:val="32"/>
        </w:rPr>
        <w:t xml:space="preserve"> 月 </w:t>
      </w:r>
      <w:r>
        <w:rPr>
          <w:rFonts w:hint="eastAsia" w:ascii="Times New Roman" w:eastAsia="仿宋_GB2312" w:cs="仿宋_GB2312"/>
          <w:sz w:val="32"/>
          <w:szCs w:val="32"/>
          <w:lang w:val="en-US" w:eastAsia="zh-CN"/>
        </w:rPr>
        <w:t>4</w:t>
      </w:r>
      <w:r>
        <w:rPr>
          <w:rFonts w:hint="eastAsia" w:ascii="Times New Roman" w:hAnsi="Times New Roman" w:eastAsia="仿宋_GB2312" w:cs="仿宋_GB2312"/>
          <w:sz w:val="32"/>
          <w:szCs w:val="32"/>
        </w:rPr>
        <w:t>日</w:t>
      </w:r>
    </w:p>
    <w:p w14:paraId="63C0BCB0"/>
    <w:p w14:paraId="162A9EE7">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07155AE4">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14:paraId="4FBD899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5D6095BD">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2024年度部门决算情况说明</w:t>
      </w:r>
    </w:p>
    <w:p w14:paraId="5155C649">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4FCE229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033A218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2FE2F279">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05A94E15">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56D489FE">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5E00F471">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3B729C15">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1FFEFCF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23B50E32">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0D792C5F">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5BA7B373">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0F0A60EC">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25B9FD90">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6D72D4A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7004AF0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694E3723">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77CDBED6">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2DA8883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25B469D2">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3BD6C084">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524B9B3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7477C8A1">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7EEFC5DB">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7074236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3B3F2705">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5AD2E822">
      <w:pPr>
        <w:pStyle w:val="15"/>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1848713F">
      <w:pPr>
        <w:widowControl/>
        <w:spacing w:line="560" w:lineRule="exact"/>
        <w:jc w:val="left"/>
        <w:rPr>
          <w:rFonts w:eastAsia="仿宋_GB2312" w:cs="仿宋_GB2312"/>
          <w:bCs/>
          <w:kern w:val="44"/>
          <w:sz w:val="32"/>
          <w:szCs w:val="32"/>
        </w:rPr>
      </w:pPr>
      <w:r>
        <w:rPr>
          <w:rFonts w:hint="eastAsia" w:eastAsia="仿宋_GB2312" w:cs="仿宋_GB2312"/>
          <w:b/>
          <w:sz w:val="32"/>
          <w:szCs w:val="32"/>
        </w:rPr>
        <w:br w:type="page"/>
      </w:r>
    </w:p>
    <w:p w14:paraId="6AE988B5">
      <w:pPr>
        <w:pStyle w:val="3"/>
        <w:jc w:val="center"/>
        <w:rPr>
          <w:rStyle w:val="21"/>
          <w:rFonts w:ascii="黑体" w:eastAsia="黑体"/>
          <w:b/>
          <w:bCs w:val="0"/>
        </w:rPr>
      </w:pPr>
      <w:r>
        <w:rPr>
          <w:rFonts w:hint="eastAsia" w:ascii="黑体" w:eastAsia="黑体"/>
          <w:b w:val="0"/>
        </w:rPr>
        <w:t>第一部分 单位</w:t>
      </w:r>
      <w:r>
        <w:rPr>
          <w:rStyle w:val="21"/>
          <w:rFonts w:hint="eastAsia" w:ascii="黑体" w:eastAsia="黑体"/>
          <w:b w:val="0"/>
          <w:bCs w:val="0"/>
        </w:rPr>
        <w:t>概况</w:t>
      </w:r>
      <w:bookmarkEnd w:id="13"/>
      <w:bookmarkEnd w:id="14"/>
    </w:p>
    <w:p w14:paraId="37C66B40">
      <w:pPr>
        <w:widowControl/>
        <w:jc w:val="left"/>
        <w:rPr>
          <w:rFonts w:ascii="黑体" w:eastAsia="黑体"/>
          <w:sz w:val="32"/>
          <w:szCs w:val="32"/>
        </w:rPr>
      </w:pPr>
    </w:p>
    <w:p w14:paraId="00506214">
      <w:pPr>
        <w:pStyle w:val="4"/>
        <w:numPr>
          <w:ilvl w:val="0"/>
          <w:numId w:val="1"/>
        </w:numPr>
        <w:rPr>
          <w:rStyle w:val="22"/>
          <w:rFonts w:ascii="黑体" w:eastAsia="黑体"/>
          <w:b w:val="0"/>
          <w:bCs w:val="0"/>
        </w:rPr>
      </w:pPr>
      <w:bookmarkStart w:id="15" w:name="_Toc15377197"/>
      <w:bookmarkStart w:id="16" w:name="_Toc15396600"/>
      <w:r>
        <w:rPr>
          <w:rStyle w:val="22"/>
          <w:rFonts w:hint="eastAsia" w:ascii="黑体" w:eastAsia="黑体"/>
          <w:b w:val="0"/>
          <w:bCs w:val="0"/>
        </w:rPr>
        <w:t>主要职责</w:t>
      </w:r>
    </w:p>
    <w:p w14:paraId="3889BC30">
      <w:pPr>
        <w:ind w:firstLine="640" w:firstLineChars="200"/>
      </w:pPr>
      <w:r>
        <w:rPr>
          <w:rFonts w:hint="eastAsia" w:ascii="仿宋" w:hAnsi="仿宋" w:eastAsia="仿宋" w:cs="Calibri"/>
          <w:kern w:val="0"/>
          <w:sz w:val="32"/>
          <w:szCs w:val="32"/>
        </w:rPr>
        <w:t>阿坝藏族羌族自治州州级机关幼儿园为学龄前儿童提供保育教育服务</w:t>
      </w:r>
      <w:r>
        <w:rPr>
          <w:rFonts w:ascii="宋体" w:hAnsi="宋体" w:cs="宋体"/>
          <w:sz w:val="24"/>
        </w:rPr>
        <w:t>。</w:t>
      </w:r>
      <w:r>
        <w:rPr>
          <w:rFonts w:hint="eastAsia" w:ascii="仿宋" w:hAnsi="仿宋" w:eastAsia="仿宋" w:cs="Calibri"/>
          <w:kern w:val="0"/>
          <w:sz w:val="32"/>
          <w:szCs w:val="32"/>
        </w:rPr>
        <w:t>实行保育和教育相结合的原则，对幼儿实施体、智、德、美诸方面全面发展的教育，促进其身心和谐发展，同时为家长工作、学习提供便利条件。幼儿园管理人员和有关幼教人员遵照一定的教育方针和保教工作的客观规律，采用科学的工作方法和管理手段，将人、财、物等各因素合理组织起来，调动各方面的积极性，优质高效的实现国家所规定的培养目标和幼儿园工作任务所进行和各种一般职能活动</w:t>
      </w:r>
    </w:p>
    <w:bookmarkEnd w:id="15"/>
    <w:bookmarkEnd w:id="16"/>
    <w:p w14:paraId="7533A24B">
      <w:pPr>
        <w:pStyle w:val="3"/>
        <w:ind w:right="440"/>
        <w:jc w:val="center"/>
        <w:rPr>
          <w:rFonts w:hint="eastAsia" w:ascii="黑体" w:eastAsia="黑体"/>
          <w:b w:val="0"/>
        </w:rPr>
      </w:pPr>
      <w:bookmarkStart w:id="17" w:name="_Toc15377204"/>
      <w:bookmarkStart w:id="18" w:name="_Toc15396602"/>
    </w:p>
    <w:p w14:paraId="45F3BB72">
      <w:pPr>
        <w:pStyle w:val="3"/>
        <w:ind w:right="440"/>
        <w:jc w:val="center"/>
        <w:rPr>
          <w:rStyle w:val="21"/>
          <w:rFonts w:ascii="黑体" w:eastAsia="黑体"/>
          <w:b w:val="0"/>
          <w:bCs/>
        </w:rPr>
      </w:pPr>
      <w:r>
        <w:rPr>
          <w:rFonts w:hint="eastAsia" w:ascii="黑体" w:eastAsia="黑体"/>
          <w:b w:val="0"/>
        </w:rPr>
        <w:t>第二部分 202</w:t>
      </w:r>
      <w:r>
        <w:rPr>
          <w:rFonts w:hint="eastAsia" w:ascii="黑体" w:eastAsia="黑体"/>
          <w:b w:val="0"/>
          <w:lang w:val="en-US" w:eastAsia="zh-CN"/>
        </w:rPr>
        <w:t>4</w:t>
      </w:r>
      <w:r>
        <w:rPr>
          <w:rFonts w:hint="eastAsia" w:ascii="黑体" w:eastAsia="黑体"/>
          <w:b w:val="0"/>
        </w:rPr>
        <w:t>年度</w:t>
      </w:r>
      <w:r>
        <w:rPr>
          <w:rStyle w:val="21"/>
          <w:rFonts w:hint="eastAsia" w:ascii="黑体" w:eastAsia="黑体"/>
          <w:b w:val="0"/>
          <w:bCs/>
        </w:rPr>
        <w:t>单位决算情况说明</w:t>
      </w:r>
      <w:bookmarkEnd w:id="17"/>
      <w:bookmarkEnd w:id="18"/>
    </w:p>
    <w:p w14:paraId="01A9182D">
      <w:pPr>
        <w:pStyle w:val="12"/>
      </w:pPr>
    </w:p>
    <w:p w14:paraId="6223DDFD">
      <w:pPr>
        <w:pStyle w:val="27"/>
        <w:numPr>
          <w:ilvl w:val="0"/>
          <w:numId w:val="2"/>
        </w:numPr>
        <w:spacing w:line="600" w:lineRule="exact"/>
        <w:ind w:firstLineChars="0"/>
        <w:outlineLvl w:val="1"/>
        <w:rPr>
          <w:rStyle w:val="22"/>
          <w:rFonts w:ascii="黑体" w:eastAsia="黑体"/>
          <w:b w:val="0"/>
        </w:rPr>
      </w:pPr>
      <w:bookmarkStart w:id="19" w:name="_Toc15377205"/>
      <w:bookmarkStart w:id="20" w:name="_Toc15396603"/>
      <w:r>
        <w:rPr>
          <w:rFonts w:hint="eastAsia" w:ascii="黑体" w:eastAsia="黑体"/>
          <w:sz w:val="32"/>
          <w:szCs w:val="32"/>
        </w:rPr>
        <w:t>收</w:t>
      </w:r>
      <w:r>
        <w:rPr>
          <w:rStyle w:val="22"/>
          <w:rFonts w:hint="eastAsia" w:ascii="黑体" w:eastAsia="黑体"/>
          <w:b w:val="0"/>
        </w:rPr>
        <w:t>入支出决算总体情况说明</w:t>
      </w:r>
      <w:bookmarkEnd w:id="19"/>
      <w:bookmarkEnd w:id="20"/>
    </w:p>
    <w:p w14:paraId="3E66F6F5">
      <w:pPr>
        <w:ind w:firstLine="640" w:firstLineChars="200"/>
        <w:rPr>
          <w:rFonts w:ascii="仿宋" w:eastAsia="仿宋"/>
          <w:sz w:val="32"/>
          <w:szCs w:val="32"/>
        </w:rPr>
      </w:pPr>
      <w:r>
        <w:rPr>
          <w:rFonts w:hint="eastAsia" w:ascii="仿宋" w:eastAsia="仿宋"/>
          <w:sz w:val="32"/>
          <w:szCs w:val="32"/>
        </w:rPr>
        <w:t>202</w:t>
      </w:r>
      <w:r>
        <w:rPr>
          <w:rFonts w:hint="eastAsia" w:ascii="仿宋" w:eastAsia="仿宋"/>
          <w:sz w:val="32"/>
          <w:szCs w:val="32"/>
          <w:lang w:val="en-US" w:eastAsia="zh-CN"/>
        </w:rPr>
        <w:t>4</w:t>
      </w:r>
      <w:r>
        <w:rPr>
          <w:rFonts w:hint="eastAsia" w:ascii="仿宋" w:eastAsia="仿宋"/>
          <w:sz w:val="32"/>
          <w:szCs w:val="32"/>
        </w:rPr>
        <w:t>年度收入总计</w:t>
      </w:r>
      <w:r>
        <w:rPr>
          <w:rFonts w:hint="eastAsia" w:ascii="仿宋" w:hAnsi="仿宋" w:eastAsia="仿宋"/>
          <w:sz w:val="32"/>
          <w:szCs w:val="32"/>
          <w:lang w:val="en-US" w:eastAsia="zh-CN"/>
        </w:rPr>
        <w:t>2528.67</w:t>
      </w:r>
      <w:r>
        <w:rPr>
          <w:rFonts w:hint="eastAsia" w:ascii="仿宋" w:eastAsia="仿宋"/>
          <w:sz w:val="32"/>
          <w:szCs w:val="32"/>
        </w:rPr>
        <w:t>万元、支出总计</w:t>
      </w:r>
      <w:r>
        <w:rPr>
          <w:rFonts w:hint="eastAsia" w:ascii="仿宋" w:hAnsi="仿宋" w:eastAsia="仿宋" w:cs="Arial"/>
          <w:kern w:val="0"/>
          <w:sz w:val="32"/>
          <w:szCs w:val="32"/>
          <w:lang w:val="en-US" w:eastAsia="zh-CN"/>
        </w:rPr>
        <w:t>2639.08</w:t>
      </w:r>
      <w:r>
        <w:rPr>
          <w:rFonts w:hint="eastAsia" w:ascii="仿宋" w:eastAsia="仿宋"/>
          <w:sz w:val="32"/>
          <w:szCs w:val="32"/>
        </w:rPr>
        <w:t>万元。与202</w:t>
      </w:r>
      <w:r>
        <w:rPr>
          <w:rFonts w:hint="eastAsia" w:ascii="仿宋" w:eastAsia="仿宋"/>
          <w:sz w:val="32"/>
          <w:szCs w:val="32"/>
          <w:lang w:val="en-US" w:eastAsia="zh-CN"/>
        </w:rPr>
        <w:t>4</w:t>
      </w:r>
      <w:r>
        <w:rPr>
          <w:rFonts w:hint="eastAsia" w:ascii="仿宋" w:eastAsia="仿宋"/>
          <w:sz w:val="32"/>
          <w:szCs w:val="32"/>
        </w:rPr>
        <w:t>年相比，收入</w:t>
      </w:r>
      <w:r>
        <w:rPr>
          <w:rFonts w:hint="eastAsia" w:ascii="仿宋" w:hAnsi="仿宋" w:eastAsia="仿宋"/>
          <w:sz w:val="32"/>
          <w:szCs w:val="32"/>
          <w:lang w:val="en-US" w:eastAsia="zh-CN"/>
        </w:rPr>
        <w:t>2016.59</w:t>
      </w:r>
      <w:r>
        <w:rPr>
          <w:rFonts w:hint="eastAsia" w:ascii="仿宋" w:eastAsia="仿宋"/>
          <w:sz w:val="32"/>
          <w:szCs w:val="32"/>
        </w:rPr>
        <w:t>万元，总计增加</w:t>
      </w:r>
      <w:r>
        <w:rPr>
          <w:rFonts w:hint="eastAsia" w:ascii="仿宋" w:eastAsia="仿宋"/>
          <w:sz w:val="32"/>
          <w:szCs w:val="32"/>
          <w:lang w:val="en-US" w:eastAsia="zh-CN"/>
        </w:rPr>
        <w:t>512.08</w:t>
      </w:r>
      <w:r>
        <w:rPr>
          <w:rFonts w:hint="eastAsia" w:ascii="仿宋" w:eastAsia="仿宋"/>
          <w:sz w:val="32"/>
          <w:szCs w:val="32"/>
        </w:rPr>
        <w:t>万元，上升</w:t>
      </w:r>
      <w:r>
        <w:rPr>
          <w:rFonts w:hint="eastAsia" w:ascii="仿宋" w:eastAsia="仿宋"/>
          <w:sz w:val="32"/>
          <w:szCs w:val="32"/>
          <w:lang w:val="en-US" w:eastAsia="zh-CN"/>
        </w:rPr>
        <w:t>25.39</w:t>
      </w:r>
      <w:r>
        <w:rPr>
          <w:rFonts w:ascii="仿宋" w:eastAsia="仿宋"/>
          <w:sz w:val="32"/>
          <w:szCs w:val="32"/>
        </w:rPr>
        <w:t>%</w:t>
      </w:r>
      <w:r>
        <w:rPr>
          <w:rFonts w:hint="eastAsia" w:ascii="仿宋" w:eastAsia="仿宋"/>
          <w:sz w:val="32"/>
          <w:szCs w:val="32"/>
        </w:rPr>
        <w:t>。</w:t>
      </w:r>
      <w:r>
        <w:rPr>
          <w:rStyle w:val="19"/>
          <w:rFonts w:hint="eastAsia" w:ascii="仿宋" w:hAnsi="仿宋" w:eastAsia="仿宋"/>
          <w:b w:val="0"/>
          <w:sz w:val="32"/>
          <w:szCs w:val="32"/>
        </w:rPr>
        <w:t>主要原因为阿州财教{2023}25号-2022年民族地区教育发展、部分教育补助资金</w:t>
      </w:r>
      <w:r>
        <w:rPr>
          <w:rStyle w:val="19"/>
          <w:rFonts w:hint="eastAsia" w:ascii="仿宋" w:hAnsi="仿宋" w:eastAsia="仿宋"/>
          <w:b w:val="0"/>
          <w:sz w:val="32"/>
          <w:szCs w:val="32"/>
          <w:lang w:eastAsia="zh-CN"/>
        </w:rPr>
        <w:t>、</w:t>
      </w:r>
      <w:r>
        <w:rPr>
          <w:rStyle w:val="19"/>
          <w:rFonts w:hint="eastAsia" w:ascii="仿宋" w:hAnsi="仿宋" w:eastAsia="仿宋"/>
          <w:b w:val="0"/>
          <w:sz w:val="32"/>
          <w:szCs w:val="32"/>
          <w:lang w:val="en-US" w:eastAsia="zh-CN"/>
        </w:rPr>
        <w:t>2024支持学前教育发展补助资金</w:t>
      </w:r>
      <w:r>
        <w:rPr>
          <w:rStyle w:val="19"/>
          <w:rFonts w:hint="eastAsia" w:ascii="仿宋" w:hAnsi="仿宋" w:eastAsia="仿宋"/>
          <w:b w:val="0"/>
          <w:sz w:val="32"/>
          <w:szCs w:val="32"/>
        </w:rPr>
        <w:t>直接上指标，202</w:t>
      </w:r>
      <w:r>
        <w:rPr>
          <w:rStyle w:val="19"/>
          <w:rFonts w:hint="eastAsia" w:ascii="仿宋" w:hAnsi="仿宋" w:eastAsia="仿宋"/>
          <w:b w:val="0"/>
          <w:sz w:val="32"/>
          <w:szCs w:val="32"/>
          <w:lang w:val="en-US" w:eastAsia="zh-CN"/>
        </w:rPr>
        <w:t>4</w:t>
      </w:r>
      <w:r>
        <w:rPr>
          <w:rStyle w:val="19"/>
          <w:rFonts w:hint="eastAsia" w:ascii="仿宋" w:hAnsi="仿宋" w:eastAsia="仿宋"/>
          <w:b w:val="0"/>
          <w:sz w:val="32"/>
          <w:szCs w:val="32"/>
        </w:rPr>
        <w:t>年增加多名新进人员</w:t>
      </w:r>
      <w:r>
        <w:rPr>
          <w:rStyle w:val="19"/>
          <w:rFonts w:hint="eastAsia" w:ascii="仿宋" w:hAnsi="仿宋" w:eastAsia="仿宋"/>
          <w:b w:val="0"/>
          <w:sz w:val="32"/>
          <w:szCs w:val="32"/>
          <w:lang w:eastAsia="zh-CN"/>
        </w:rPr>
        <w:t>，决算口径纳入代管资金收入</w:t>
      </w:r>
      <w:r>
        <w:rPr>
          <w:rFonts w:hint="eastAsia"/>
          <w:sz w:val="30"/>
          <w:szCs w:val="30"/>
        </w:rPr>
        <w:t>；</w:t>
      </w:r>
      <w:r>
        <w:rPr>
          <w:rFonts w:hint="eastAsia" w:ascii="仿宋" w:eastAsia="仿宋"/>
          <w:sz w:val="32"/>
          <w:szCs w:val="32"/>
        </w:rPr>
        <w:t>与202</w:t>
      </w:r>
      <w:r>
        <w:rPr>
          <w:rFonts w:hint="eastAsia" w:ascii="仿宋" w:eastAsia="仿宋"/>
          <w:sz w:val="32"/>
          <w:szCs w:val="32"/>
          <w:lang w:val="en-US" w:eastAsia="zh-CN"/>
        </w:rPr>
        <w:t>3</w:t>
      </w:r>
      <w:r>
        <w:rPr>
          <w:rFonts w:hint="eastAsia" w:ascii="仿宋" w:eastAsia="仿宋"/>
          <w:sz w:val="32"/>
          <w:szCs w:val="32"/>
        </w:rPr>
        <w:t>年相比，支出</w:t>
      </w:r>
      <w:r>
        <w:rPr>
          <w:rFonts w:hint="eastAsia" w:ascii="仿宋" w:eastAsia="仿宋"/>
          <w:sz w:val="32"/>
          <w:szCs w:val="32"/>
          <w:lang w:val="en-US" w:eastAsia="zh-CN"/>
        </w:rPr>
        <w:t>2016.59</w:t>
      </w:r>
      <w:r>
        <w:rPr>
          <w:rFonts w:hint="eastAsia" w:ascii="仿宋" w:eastAsia="仿宋"/>
          <w:sz w:val="32"/>
          <w:szCs w:val="32"/>
        </w:rPr>
        <w:t>万元，总计</w:t>
      </w:r>
      <w:r>
        <w:rPr>
          <w:rFonts w:hint="eastAsia" w:ascii="仿宋" w:eastAsia="仿宋"/>
          <w:sz w:val="32"/>
          <w:szCs w:val="32"/>
          <w:lang w:eastAsia="zh-CN"/>
        </w:rPr>
        <w:t>增加</w:t>
      </w:r>
      <w:r>
        <w:rPr>
          <w:rFonts w:hint="eastAsia" w:ascii="仿宋" w:eastAsia="仿宋"/>
          <w:sz w:val="32"/>
          <w:szCs w:val="32"/>
          <w:lang w:val="en-US" w:eastAsia="zh-CN"/>
        </w:rPr>
        <w:t>622.49</w:t>
      </w:r>
      <w:r>
        <w:rPr>
          <w:rFonts w:hint="eastAsia" w:ascii="仿宋" w:eastAsia="仿宋"/>
          <w:sz w:val="32"/>
          <w:szCs w:val="32"/>
        </w:rPr>
        <w:t>万元，</w:t>
      </w:r>
      <w:r>
        <w:rPr>
          <w:rFonts w:hint="eastAsia" w:ascii="仿宋" w:eastAsia="仿宋"/>
          <w:sz w:val="32"/>
          <w:szCs w:val="32"/>
          <w:lang w:eastAsia="zh-CN"/>
        </w:rPr>
        <w:t>增加</w:t>
      </w:r>
      <w:r>
        <w:rPr>
          <w:rFonts w:hint="eastAsia" w:ascii="仿宋" w:eastAsia="仿宋"/>
          <w:sz w:val="32"/>
          <w:szCs w:val="32"/>
          <w:lang w:val="en-US" w:eastAsia="zh-CN"/>
        </w:rPr>
        <w:t>30.87</w:t>
      </w:r>
      <w:r>
        <w:rPr>
          <w:rFonts w:ascii="仿宋" w:eastAsia="仿宋"/>
          <w:sz w:val="32"/>
          <w:szCs w:val="32"/>
        </w:rPr>
        <w:t>%</w:t>
      </w:r>
      <w:r>
        <w:rPr>
          <w:rFonts w:hint="eastAsia" w:ascii="仿宋" w:eastAsia="仿宋"/>
          <w:sz w:val="32"/>
          <w:szCs w:val="32"/>
        </w:rPr>
        <w:t>。主要变动原因是202</w:t>
      </w:r>
      <w:r>
        <w:rPr>
          <w:rFonts w:hint="eastAsia" w:ascii="仿宋" w:eastAsia="仿宋"/>
          <w:sz w:val="32"/>
          <w:szCs w:val="32"/>
          <w:lang w:val="en-US" w:eastAsia="zh-CN"/>
        </w:rPr>
        <w:t>4</w:t>
      </w:r>
      <w:r>
        <w:rPr>
          <w:rFonts w:hint="eastAsia" w:ascii="仿宋" w:eastAsia="仿宋"/>
          <w:sz w:val="32"/>
          <w:szCs w:val="32"/>
        </w:rPr>
        <w:t>年将代管资金纳入决算</w:t>
      </w:r>
      <w:r>
        <w:rPr>
          <w:rFonts w:hint="eastAsia" w:ascii="仿宋" w:eastAsia="仿宋"/>
          <w:sz w:val="32"/>
          <w:szCs w:val="32"/>
          <w:lang w:eastAsia="zh-CN"/>
        </w:rPr>
        <w:t>口径以及项目支出较多</w:t>
      </w:r>
      <w:r>
        <w:rPr>
          <w:rFonts w:hint="eastAsia" w:ascii="仿宋" w:eastAsia="仿宋"/>
          <w:sz w:val="32"/>
          <w:szCs w:val="32"/>
        </w:rPr>
        <w:t>。</w:t>
      </w:r>
    </w:p>
    <w:p w14:paraId="2A0BC213">
      <w:pPr>
        <w:spacing w:line="600" w:lineRule="exact"/>
        <w:ind w:firstLine="640" w:firstLineChars="200"/>
        <w:rPr>
          <w:rFonts w:ascii="仿宋" w:eastAsia="仿宋"/>
          <w:sz w:val="32"/>
          <w:szCs w:val="32"/>
        </w:rPr>
      </w:pPr>
      <w:r>
        <w:rPr>
          <w:rFonts w:hint="eastAsia" w:ascii="仿宋" w:eastAsia="仿宋"/>
          <w:sz w:val="32"/>
          <w:szCs w:val="32"/>
        </w:rPr>
        <w:t>（图</w:t>
      </w:r>
      <w:r>
        <w:rPr>
          <w:rFonts w:ascii="仿宋" w:eastAsia="仿宋"/>
          <w:sz w:val="32"/>
          <w:szCs w:val="32"/>
        </w:rPr>
        <w:t>1</w:t>
      </w:r>
      <w:r>
        <w:rPr>
          <w:rFonts w:hint="eastAsia" w:ascii="仿宋" w:eastAsia="仿宋"/>
          <w:sz w:val="32"/>
          <w:szCs w:val="32"/>
        </w:rPr>
        <w:t>：收、支决算总计变动情况图）（柱状图）</w:t>
      </w:r>
    </w:p>
    <w:p w14:paraId="6BE28B58">
      <w:pPr>
        <w:spacing w:line="600" w:lineRule="exact"/>
        <w:ind w:firstLine="640" w:firstLineChars="200"/>
        <w:jc w:val="left"/>
        <w:rPr>
          <w:rFonts w:ascii="仿宋_GB2312" w:eastAsia="仿宋_GB2312"/>
          <w:sz w:val="32"/>
          <w:szCs w:val="32"/>
        </w:rPr>
      </w:pPr>
    </w:p>
    <w:p w14:paraId="1EEA3F29">
      <w:pPr>
        <w:pStyle w:val="6"/>
        <w:spacing w:before="93"/>
        <w:rPr>
          <w:sz w:val="32"/>
          <w:szCs w:val="32"/>
        </w:rPr>
      </w:pPr>
    </w:p>
    <w:p w14:paraId="3E3BA6A1">
      <w:pPr>
        <w:pStyle w:val="6"/>
        <w:spacing w:before="93"/>
        <w:rPr>
          <w:sz w:val="32"/>
          <w:szCs w:val="32"/>
        </w:rPr>
      </w:pPr>
    </w:p>
    <w:p w14:paraId="04D5F771">
      <w:pPr>
        <w:pStyle w:val="6"/>
        <w:spacing w:before="93"/>
        <w:rPr>
          <w:sz w:val="32"/>
          <w:szCs w:val="32"/>
        </w:rPr>
      </w:pPr>
    </w:p>
    <w:p w14:paraId="6CEEF567">
      <w:pPr>
        <w:pStyle w:val="6"/>
        <w:spacing w:before="93"/>
        <w:rPr>
          <w:sz w:val="32"/>
          <w:szCs w:val="32"/>
        </w:rPr>
      </w:pPr>
      <w:r>
        <w:rPr>
          <w:rFonts w:hint="eastAsia"/>
          <w:sz w:val="32"/>
          <w:szCs w:val="32"/>
        </w:rPr>
        <w:drawing>
          <wp:inline distT="0" distB="0" distL="114300" distR="114300">
            <wp:extent cx="5080000" cy="3810000"/>
            <wp:effectExtent l="4445" t="4445" r="8255" b="825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80B369C">
      <w:pPr>
        <w:pStyle w:val="27"/>
        <w:numPr>
          <w:ilvl w:val="0"/>
          <w:numId w:val="2"/>
        </w:numPr>
        <w:spacing w:line="600" w:lineRule="exact"/>
        <w:ind w:firstLineChars="0"/>
        <w:outlineLvl w:val="1"/>
        <w:rPr>
          <w:rStyle w:val="22"/>
          <w:rFonts w:ascii="黑体" w:eastAsia="黑体"/>
          <w:b w:val="0"/>
        </w:rPr>
      </w:pPr>
      <w:bookmarkStart w:id="21" w:name="_Toc15377206"/>
      <w:bookmarkStart w:id="22" w:name="_Toc15396604"/>
      <w:r>
        <w:rPr>
          <w:rFonts w:hint="eastAsia" w:ascii="黑体" w:eastAsia="黑体"/>
          <w:sz w:val="32"/>
          <w:szCs w:val="32"/>
        </w:rPr>
        <w:t>收</w:t>
      </w:r>
      <w:r>
        <w:rPr>
          <w:rStyle w:val="22"/>
          <w:rFonts w:hint="eastAsia" w:ascii="黑体" w:eastAsia="黑体"/>
          <w:b w:val="0"/>
        </w:rPr>
        <w:t>入决算情况说明</w:t>
      </w:r>
      <w:bookmarkEnd w:id="21"/>
      <w:bookmarkEnd w:id="22"/>
    </w:p>
    <w:p w14:paraId="07DE4855">
      <w:pPr>
        <w:spacing w:line="600" w:lineRule="exact"/>
        <w:ind w:firstLine="640" w:firstLineChars="200"/>
        <w:outlineLvl w:val="1"/>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4</w:t>
      </w:r>
      <w:r>
        <w:rPr>
          <w:rFonts w:hint="eastAsia" w:ascii="仿宋" w:eastAsia="仿宋"/>
          <w:sz w:val="32"/>
          <w:szCs w:val="32"/>
        </w:rPr>
        <w:t>年本年收入合计</w:t>
      </w:r>
      <w:r>
        <w:rPr>
          <w:rFonts w:hint="eastAsia" w:ascii="仿宋" w:hAnsi="仿宋" w:eastAsia="仿宋"/>
          <w:sz w:val="32"/>
          <w:szCs w:val="32"/>
          <w:lang w:val="en-US" w:eastAsia="zh-CN"/>
        </w:rPr>
        <w:t>2528.67</w:t>
      </w:r>
      <w:r>
        <w:rPr>
          <w:rFonts w:hint="eastAsia" w:ascii="仿宋" w:eastAsia="仿宋"/>
          <w:sz w:val="32"/>
          <w:szCs w:val="32"/>
        </w:rPr>
        <w:t>万元，其中：一般公共预算财政拨款收入</w:t>
      </w:r>
      <w:r>
        <w:rPr>
          <w:rFonts w:hint="eastAsia" w:ascii="仿宋" w:eastAsia="仿宋"/>
          <w:sz w:val="32"/>
          <w:szCs w:val="32"/>
          <w:lang w:val="en-US" w:eastAsia="zh-CN"/>
        </w:rPr>
        <w:t>2449.88</w:t>
      </w:r>
      <w:r>
        <w:rPr>
          <w:rFonts w:hint="eastAsia" w:ascii="仿宋" w:eastAsia="仿宋"/>
          <w:sz w:val="32"/>
          <w:szCs w:val="32"/>
        </w:rPr>
        <w:t>万元，占</w:t>
      </w:r>
      <w:r>
        <w:rPr>
          <w:rFonts w:hint="eastAsia" w:ascii="仿宋" w:eastAsia="仿宋"/>
          <w:sz w:val="32"/>
          <w:szCs w:val="32"/>
          <w:lang w:val="en-US" w:eastAsia="zh-CN"/>
        </w:rPr>
        <w:t>96.88</w:t>
      </w:r>
      <w:r>
        <w:rPr>
          <w:rFonts w:ascii="仿宋" w:eastAsia="仿宋"/>
          <w:sz w:val="32"/>
          <w:szCs w:val="32"/>
        </w:rPr>
        <w:t>%</w:t>
      </w:r>
      <w:r>
        <w:rPr>
          <w:rFonts w:hint="eastAsia" w:ascii="仿宋" w:eastAsia="仿宋"/>
          <w:sz w:val="32"/>
          <w:szCs w:val="32"/>
        </w:rPr>
        <w:t>；政府性基金预算财政拨款收入0万元，占0</w:t>
      </w:r>
      <w:r>
        <w:rPr>
          <w:rFonts w:ascii="仿宋" w:eastAsia="仿宋"/>
          <w:sz w:val="32"/>
          <w:szCs w:val="32"/>
        </w:rPr>
        <w:t>%</w:t>
      </w:r>
      <w:r>
        <w:rPr>
          <w:rFonts w:hint="eastAsia" w:ascii="仿宋" w:eastAsia="仿宋"/>
          <w:sz w:val="32"/>
          <w:szCs w:val="32"/>
        </w:rPr>
        <w:t>；国有资本经营预算财政拨款收入0万元，占0</w:t>
      </w:r>
      <w:r>
        <w:rPr>
          <w:rFonts w:ascii="仿宋" w:eastAsia="仿宋"/>
          <w:sz w:val="32"/>
          <w:szCs w:val="32"/>
        </w:rPr>
        <w:t>%</w:t>
      </w:r>
      <w:r>
        <w:rPr>
          <w:rFonts w:hint="eastAsia" w:ascii="仿宋" w:eastAsia="仿宋"/>
          <w:sz w:val="32"/>
          <w:szCs w:val="32"/>
        </w:rPr>
        <w:t>；上级补助收入0万元，占0</w:t>
      </w:r>
      <w:r>
        <w:rPr>
          <w:rFonts w:ascii="仿宋" w:eastAsia="仿宋"/>
          <w:sz w:val="32"/>
          <w:szCs w:val="32"/>
        </w:rPr>
        <w:t>%</w:t>
      </w:r>
      <w:r>
        <w:rPr>
          <w:rFonts w:hint="eastAsia" w:ascii="仿宋" w:eastAsia="仿宋"/>
          <w:sz w:val="32"/>
          <w:szCs w:val="32"/>
        </w:rPr>
        <w:t>；事业收入0万元，占0</w:t>
      </w:r>
      <w:r>
        <w:rPr>
          <w:rFonts w:ascii="仿宋" w:eastAsia="仿宋"/>
          <w:sz w:val="32"/>
          <w:szCs w:val="32"/>
        </w:rPr>
        <w:t>%</w:t>
      </w:r>
      <w:r>
        <w:rPr>
          <w:rFonts w:hint="eastAsia" w:ascii="仿宋" w:eastAsia="仿宋"/>
          <w:sz w:val="32"/>
          <w:szCs w:val="32"/>
        </w:rPr>
        <w:t>；经营收入0万元，占0</w:t>
      </w:r>
      <w:r>
        <w:rPr>
          <w:rFonts w:ascii="仿宋" w:eastAsia="仿宋"/>
          <w:sz w:val="32"/>
          <w:szCs w:val="32"/>
        </w:rPr>
        <w:t>%</w:t>
      </w:r>
      <w:r>
        <w:rPr>
          <w:rFonts w:hint="eastAsia" w:ascii="仿宋" w:eastAsia="仿宋"/>
          <w:sz w:val="32"/>
          <w:szCs w:val="32"/>
        </w:rPr>
        <w:t>；附属单位上缴收入0万元，占0</w:t>
      </w:r>
      <w:r>
        <w:rPr>
          <w:rFonts w:ascii="仿宋" w:eastAsia="仿宋"/>
          <w:sz w:val="32"/>
          <w:szCs w:val="32"/>
        </w:rPr>
        <w:t>%</w:t>
      </w:r>
      <w:r>
        <w:rPr>
          <w:rFonts w:hint="eastAsia" w:ascii="仿宋" w:eastAsia="仿宋"/>
          <w:sz w:val="32"/>
          <w:szCs w:val="32"/>
        </w:rPr>
        <w:t>；其他收入</w:t>
      </w:r>
      <w:r>
        <w:rPr>
          <w:rFonts w:hint="eastAsia" w:ascii="仿宋" w:eastAsia="仿宋"/>
          <w:sz w:val="32"/>
          <w:szCs w:val="32"/>
          <w:lang w:val="en-US" w:eastAsia="zh-CN"/>
        </w:rPr>
        <w:t>78.79</w:t>
      </w:r>
      <w:r>
        <w:rPr>
          <w:rFonts w:hint="eastAsia" w:ascii="仿宋" w:eastAsia="仿宋"/>
          <w:sz w:val="32"/>
          <w:szCs w:val="32"/>
        </w:rPr>
        <w:t>万元，占</w:t>
      </w:r>
      <w:r>
        <w:rPr>
          <w:rFonts w:hint="eastAsia" w:ascii="仿宋" w:eastAsia="仿宋"/>
          <w:sz w:val="32"/>
          <w:szCs w:val="32"/>
          <w:lang w:val="en-US" w:eastAsia="zh-CN"/>
        </w:rPr>
        <w:t>3.12</w:t>
      </w:r>
      <w:r>
        <w:rPr>
          <w:rFonts w:ascii="仿宋" w:eastAsia="仿宋"/>
          <w:sz w:val="32"/>
          <w:szCs w:val="32"/>
        </w:rPr>
        <w:t>%</w:t>
      </w:r>
      <w:r>
        <w:rPr>
          <w:rFonts w:hint="eastAsia" w:ascii="仿宋" w:eastAsia="仿宋"/>
          <w:sz w:val="32"/>
          <w:szCs w:val="32"/>
        </w:rPr>
        <w:t>。</w:t>
      </w:r>
    </w:p>
    <w:p w14:paraId="18102B81">
      <w:pPr>
        <w:spacing w:line="600" w:lineRule="exact"/>
        <w:ind w:firstLine="643" w:firstLineChars="200"/>
        <w:outlineLvl w:val="1"/>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01表</w:t>
      </w:r>
      <w:r>
        <w:rPr>
          <w:rFonts w:hint="eastAsia" w:ascii="仿宋" w:eastAsia="仿宋"/>
          <w:b/>
          <w:sz w:val="32"/>
          <w:szCs w:val="32"/>
        </w:rPr>
        <w:t>，仅罗列本单位涉及的收入。</w:t>
      </w:r>
      <w:r>
        <w:rPr>
          <w:rFonts w:ascii="仿宋" w:eastAsia="仿宋"/>
          <w:b/>
          <w:sz w:val="32"/>
          <w:szCs w:val="32"/>
        </w:rPr>
        <w:t>）</w:t>
      </w:r>
    </w:p>
    <w:p w14:paraId="766CDC78">
      <w:pPr>
        <w:spacing w:line="600" w:lineRule="exact"/>
        <w:ind w:firstLine="640" w:firstLineChars="200"/>
        <w:outlineLvl w:val="1"/>
        <w:rPr>
          <w:rFonts w:ascii="仿宋" w:eastAsia="仿宋"/>
          <w:sz w:val="32"/>
          <w:szCs w:val="32"/>
        </w:rPr>
      </w:pPr>
    </w:p>
    <w:p w14:paraId="283BBA86">
      <w:pPr>
        <w:spacing w:line="600" w:lineRule="exact"/>
        <w:ind w:firstLine="640" w:firstLineChars="200"/>
        <w:rPr>
          <w:rFonts w:ascii="仿宋" w:eastAsia="仿宋"/>
          <w:sz w:val="32"/>
          <w:szCs w:val="32"/>
        </w:rPr>
      </w:pPr>
      <w:r>
        <w:rPr>
          <w:rFonts w:hint="eastAsia" w:ascii="仿宋" w:eastAsia="仿宋"/>
          <w:sz w:val="32"/>
          <w:szCs w:val="32"/>
        </w:rPr>
        <w:t>（图2：收入决算结构图）（饼状图）</w:t>
      </w:r>
    </w:p>
    <w:p w14:paraId="1FBC167E">
      <w:pPr>
        <w:pStyle w:val="6"/>
        <w:spacing w:before="93"/>
        <w:rPr>
          <w:rFonts w:ascii="仿宋" w:eastAsia="仿宋"/>
          <w:sz w:val="32"/>
          <w:szCs w:val="32"/>
        </w:rPr>
      </w:pPr>
    </w:p>
    <w:p w14:paraId="72B96651">
      <w:pPr>
        <w:pStyle w:val="6"/>
        <w:spacing w:before="93"/>
        <w:rPr>
          <w:rFonts w:ascii="仿宋" w:eastAsia="仿宋"/>
          <w:sz w:val="32"/>
          <w:szCs w:val="32"/>
        </w:rPr>
      </w:pPr>
    </w:p>
    <w:p w14:paraId="1F4A7F7F">
      <w:pPr>
        <w:pStyle w:val="6"/>
        <w:spacing w:before="93"/>
        <w:rPr>
          <w:rFonts w:ascii="仿宋" w:eastAsia="仿宋"/>
          <w:sz w:val="32"/>
          <w:szCs w:val="32"/>
        </w:rPr>
      </w:pPr>
      <w:r>
        <w:rPr>
          <w:rFonts w:hint="eastAsia" w:ascii="仿宋" w:eastAsia="仿宋"/>
          <w:sz w:val="32"/>
          <w:szCs w:val="32"/>
        </w:rPr>
        <w:drawing>
          <wp:inline distT="0" distB="0" distL="114300" distR="114300">
            <wp:extent cx="5080000" cy="3810000"/>
            <wp:effectExtent l="4445" t="4445" r="8255" b="825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158BDB1">
      <w:pPr>
        <w:spacing w:line="600" w:lineRule="exact"/>
        <w:ind w:firstLine="640" w:firstLineChars="200"/>
        <w:rPr>
          <w:rFonts w:ascii="仿宋_GB2312" w:eastAsia="仿宋_GB2312"/>
          <w:sz w:val="32"/>
          <w:szCs w:val="32"/>
        </w:rPr>
      </w:pPr>
    </w:p>
    <w:p w14:paraId="3A8DED26">
      <w:pPr>
        <w:pStyle w:val="27"/>
        <w:numPr>
          <w:ilvl w:val="0"/>
          <w:numId w:val="2"/>
        </w:numPr>
        <w:spacing w:line="600" w:lineRule="exact"/>
        <w:ind w:firstLineChars="0"/>
        <w:outlineLvl w:val="1"/>
        <w:rPr>
          <w:rStyle w:val="22"/>
          <w:rFonts w:ascii="黑体" w:eastAsia="黑体"/>
          <w:b w:val="0"/>
        </w:rPr>
      </w:pPr>
      <w:bookmarkStart w:id="23" w:name="_Toc15377207"/>
      <w:bookmarkStart w:id="24" w:name="_Toc15396605"/>
      <w:r>
        <w:rPr>
          <w:rFonts w:hint="eastAsia" w:ascii="黑体" w:eastAsia="黑体"/>
          <w:sz w:val="32"/>
          <w:szCs w:val="32"/>
        </w:rPr>
        <w:t>支</w:t>
      </w:r>
      <w:r>
        <w:rPr>
          <w:rStyle w:val="22"/>
          <w:rFonts w:hint="eastAsia" w:ascii="黑体" w:eastAsia="黑体"/>
          <w:b w:val="0"/>
        </w:rPr>
        <w:t>出决算情况说明</w:t>
      </w:r>
      <w:bookmarkEnd w:id="23"/>
      <w:bookmarkEnd w:id="24"/>
    </w:p>
    <w:p w14:paraId="687E2AB4">
      <w:pPr>
        <w:spacing w:line="600" w:lineRule="exact"/>
        <w:ind w:firstLine="640" w:firstLineChars="200"/>
        <w:outlineLvl w:val="1"/>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4</w:t>
      </w:r>
      <w:r>
        <w:rPr>
          <w:rFonts w:hint="eastAsia" w:ascii="仿宋" w:eastAsia="仿宋"/>
          <w:sz w:val="32"/>
          <w:szCs w:val="32"/>
        </w:rPr>
        <w:t>年本年支出合计</w:t>
      </w:r>
      <w:r>
        <w:rPr>
          <w:rFonts w:hint="eastAsia" w:ascii="仿宋" w:eastAsia="仿宋"/>
          <w:sz w:val="32"/>
          <w:szCs w:val="32"/>
          <w:lang w:val="en-US" w:eastAsia="zh-CN"/>
        </w:rPr>
        <w:t>2588.94</w:t>
      </w:r>
      <w:r>
        <w:rPr>
          <w:rFonts w:hint="eastAsia" w:ascii="仿宋" w:eastAsia="仿宋"/>
          <w:sz w:val="32"/>
          <w:szCs w:val="32"/>
        </w:rPr>
        <w:t>万元，其中：基本支出</w:t>
      </w:r>
      <w:r>
        <w:rPr>
          <w:rFonts w:hint="eastAsia" w:ascii="仿宋" w:eastAsia="仿宋"/>
          <w:sz w:val="32"/>
          <w:szCs w:val="32"/>
          <w:lang w:val="en-US" w:eastAsia="zh-CN"/>
        </w:rPr>
        <w:t>1204.4</w:t>
      </w:r>
      <w:r>
        <w:rPr>
          <w:rFonts w:hint="eastAsia" w:ascii="仿宋" w:eastAsia="仿宋"/>
          <w:sz w:val="32"/>
          <w:szCs w:val="32"/>
        </w:rPr>
        <w:t>万元，占</w:t>
      </w:r>
      <w:r>
        <w:rPr>
          <w:rFonts w:hint="eastAsia" w:ascii="仿宋" w:eastAsia="仿宋"/>
          <w:sz w:val="32"/>
          <w:szCs w:val="32"/>
          <w:lang w:val="en-US" w:eastAsia="zh-CN"/>
        </w:rPr>
        <w:t>46.52</w:t>
      </w:r>
      <w:r>
        <w:rPr>
          <w:rFonts w:ascii="仿宋" w:eastAsia="仿宋"/>
          <w:sz w:val="32"/>
          <w:szCs w:val="32"/>
        </w:rPr>
        <w:t>%</w:t>
      </w:r>
      <w:r>
        <w:rPr>
          <w:rFonts w:hint="eastAsia" w:ascii="仿宋" w:eastAsia="仿宋"/>
          <w:sz w:val="32"/>
          <w:szCs w:val="32"/>
        </w:rPr>
        <w:t>；项目支出</w:t>
      </w:r>
      <w:r>
        <w:rPr>
          <w:rFonts w:hint="eastAsia" w:ascii="仿宋" w:eastAsia="仿宋"/>
          <w:sz w:val="32"/>
          <w:szCs w:val="32"/>
          <w:lang w:val="en-US" w:eastAsia="zh-CN"/>
        </w:rPr>
        <w:t>1384.54</w:t>
      </w:r>
      <w:r>
        <w:rPr>
          <w:rFonts w:hint="eastAsia" w:ascii="仿宋" w:eastAsia="仿宋"/>
          <w:sz w:val="32"/>
          <w:szCs w:val="32"/>
        </w:rPr>
        <w:t>万元，占</w:t>
      </w:r>
      <w:r>
        <w:rPr>
          <w:rFonts w:hint="eastAsia" w:ascii="仿宋" w:eastAsia="仿宋"/>
          <w:sz w:val="32"/>
          <w:szCs w:val="32"/>
          <w:lang w:val="en-US" w:eastAsia="zh-CN"/>
        </w:rPr>
        <w:t>53.48</w:t>
      </w:r>
      <w:r>
        <w:rPr>
          <w:rFonts w:ascii="仿宋" w:eastAsia="仿宋"/>
          <w:sz w:val="32"/>
          <w:szCs w:val="32"/>
        </w:rPr>
        <w:t>%</w:t>
      </w:r>
      <w:r>
        <w:rPr>
          <w:rFonts w:hint="eastAsia" w:ascii="仿宋" w:eastAsia="仿宋"/>
          <w:sz w:val="32"/>
          <w:szCs w:val="32"/>
        </w:rPr>
        <w:t>；上缴上级支出0万元，占0</w:t>
      </w:r>
      <w:r>
        <w:rPr>
          <w:rFonts w:ascii="仿宋" w:eastAsia="仿宋"/>
          <w:sz w:val="32"/>
          <w:szCs w:val="32"/>
        </w:rPr>
        <w:t>%</w:t>
      </w:r>
      <w:r>
        <w:rPr>
          <w:rFonts w:hint="eastAsia" w:ascii="仿宋" w:eastAsia="仿宋"/>
          <w:sz w:val="32"/>
          <w:szCs w:val="32"/>
        </w:rPr>
        <w:t>；经营支出0万元，占0</w:t>
      </w:r>
      <w:r>
        <w:rPr>
          <w:rFonts w:ascii="仿宋" w:eastAsia="仿宋"/>
          <w:sz w:val="32"/>
          <w:szCs w:val="32"/>
        </w:rPr>
        <w:t>%</w:t>
      </w:r>
      <w:r>
        <w:rPr>
          <w:rFonts w:hint="eastAsia" w:ascii="仿宋" w:eastAsia="仿宋"/>
          <w:sz w:val="32"/>
          <w:szCs w:val="32"/>
        </w:rPr>
        <w:t>；对附属单位补助支出0万元，占0</w:t>
      </w:r>
      <w:r>
        <w:rPr>
          <w:rFonts w:ascii="仿宋" w:eastAsia="仿宋"/>
          <w:sz w:val="32"/>
          <w:szCs w:val="32"/>
        </w:rPr>
        <w:t>%</w:t>
      </w:r>
      <w:r>
        <w:rPr>
          <w:rFonts w:hint="eastAsia" w:ascii="仿宋" w:eastAsia="仿宋"/>
          <w:sz w:val="32"/>
          <w:szCs w:val="32"/>
        </w:rPr>
        <w:t>。</w:t>
      </w:r>
    </w:p>
    <w:p w14:paraId="14857A7E">
      <w:pPr>
        <w:spacing w:line="600" w:lineRule="exact"/>
        <w:ind w:firstLine="643" w:firstLineChars="200"/>
        <w:outlineLvl w:val="1"/>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04</w:t>
      </w:r>
      <w:r>
        <w:rPr>
          <w:rFonts w:hint="eastAsia" w:ascii="仿宋" w:eastAsia="仿宋"/>
          <w:b/>
          <w:sz w:val="32"/>
          <w:szCs w:val="32"/>
        </w:rPr>
        <w:t>表，仅罗列本单位涉及的支出。）</w:t>
      </w:r>
    </w:p>
    <w:p w14:paraId="7A06A380">
      <w:pPr>
        <w:spacing w:line="600" w:lineRule="exact"/>
        <w:ind w:firstLine="640"/>
        <w:rPr>
          <w:rFonts w:ascii="仿宋" w:eastAsia="仿宋"/>
          <w:sz w:val="32"/>
          <w:szCs w:val="32"/>
          <w:shd w:val="pct10" w:color="auto" w:fill="FFFFFF"/>
        </w:rPr>
      </w:pPr>
    </w:p>
    <w:p w14:paraId="6AA2B85C">
      <w:pPr>
        <w:spacing w:line="600" w:lineRule="exact"/>
        <w:ind w:firstLine="640" w:firstLineChars="200"/>
        <w:rPr>
          <w:rFonts w:ascii="仿宋" w:eastAsia="仿宋"/>
          <w:sz w:val="32"/>
          <w:szCs w:val="32"/>
        </w:rPr>
      </w:pPr>
      <w:r>
        <w:rPr>
          <w:rFonts w:hint="eastAsia" w:ascii="仿宋" w:eastAsia="仿宋"/>
          <w:sz w:val="32"/>
          <w:szCs w:val="32"/>
        </w:rPr>
        <w:t>（图3：支出决算结构图）（饼状图）</w:t>
      </w:r>
    </w:p>
    <w:p w14:paraId="2C75F6FC">
      <w:pPr>
        <w:pStyle w:val="6"/>
        <w:spacing w:before="93"/>
        <w:rPr>
          <w:rFonts w:ascii="仿宋" w:eastAsia="仿宋"/>
          <w:sz w:val="32"/>
          <w:szCs w:val="32"/>
        </w:rPr>
      </w:pPr>
    </w:p>
    <w:p w14:paraId="5C03AD88">
      <w:pPr>
        <w:pStyle w:val="6"/>
        <w:spacing w:before="93"/>
        <w:rPr>
          <w:rFonts w:ascii="仿宋" w:eastAsia="仿宋"/>
          <w:sz w:val="32"/>
          <w:szCs w:val="32"/>
        </w:rPr>
      </w:pPr>
      <w:r>
        <w:rPr>
          <w:rFonts w:hint="eastAsia" w:ascii="仿宋" w:eastAsia="仿宋"/>
          <w:sz w:val="32"/>
          <w:szCs w:val="32"/>
        </w:rPr>
        <w:drawing>
          <wp:inline distT="0" distB="0" distL="114300" distR="114300">
            <wp:extent cx="5080000" cy="3810000"/>
            <wp:effectExtent l="4445" t="4445" r="20955" b="1460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FF70049">
      <w:pPr>
        <w:spacing w:line="600" w:lineRule="exact"/>
        <w:ind w:firstLine="640" w:firstLineChars="200"/>
        <w:rPr>
          <w:rFonts w:ascii="仿宋_GB2312" w:eastAsia="仿宋_GB2312"/>
          <w:sz w:val="32"/>
          <w:szCs w:val="32"/>
        </w:rPr>
      </w:pPr>
    </w:p>
    <w:p w14:paraId="4DA38039">
      <w:pPr>
        <w:spacing w:line="600" w:lineRule="exact"/>
        <w:ind w:firstLine="640" w:firstLineChars="200"/>
        <w:outlineLvl w:val="1"/>
        <w:rPr>
          <w:rStyle w:val="22"/>
          <w:rFonts w:ascii="黑体" w:eastAsia="黑体"/>
          <w:b w:val="0"/>
        </w:rPr>
      </w:pPr>
      <w:bookmarkStart w:id="25" w:name="_Toc15396606"/>
      <w:bookmarkStart w:id="26" w:name="_Toc15377208"/>
      <w:r>
        <w:rPr>
          <w:rFonts w:hint="eastAsia" w:ascii="黑体" w:eastAsia="黑体"/>
          <w:sz w:val="32"/>
          <w:szCs w:val="32"/>
        </w:rPr>
        <w:t>四、财</w:t>
      </w:r>
      <w:r>
        <w:rPr>
          <w:rStyle w:val="22"/>
          <w:rFonts w:hint="eastAsia" w:ascii="黑体" w:eastAsia="黑体"/>
          <w:b w:val="0"/>
        </w:rPr>
        <w:t>政拨款收入支出决算总体情况说明</w:t>
      </w:r>
      <w:bookmarkEnd w:id="25"/>
      <w:bookmarkEnd w:id="26"/>
    </w:p>
    <w:p w14:paraId="0DF4079F">
      <w:pPr>
        <w:spacing w:line="600" w:lineRule="exact"/>
        <w:ind w:firstLine="640" w:firstLineChars="200"/>
        <w:rPr>
          <w:rFonts w:ascii="仿宋" w:hAnsi="仿宋" w:eastAsia="仿宋"/>
          <w:bCs/>
          <w:sz w:val="32"/>
          <w:szCs w:val="32"/>
        </w:rPr>
      </w:pPr>
      <w:r>
        <w:rPr>
          <w:rFonts w:hint="eastAsia" w:ascii="仿宋" w:eastAsia="仿宋"/>
          <w:sz w:val="32"/>
          <w:szCs w:val="32"/>
        </w:rPr>
        <w:t>202</w:t>
      </w:r>
      <w:r>
        <w:rPr>
          <w:rFonts w:hint="eastAsia" w:ascii="仿宋" w:eastAsia="仿宋"/>
          <w:sz w:val="32"/>
          <w:szCs w:val="32"/>
          <w:lang w:val="en-US" w:eastAsia="zh-CN"/>
        </w:rPr>
        <w:t>4</w:t>
      </w:r>
      <w:r>
        <w:rPr>
          <w:rFonts w:hint="eastAsia" w:ascii="仿宋" w:eastAsia="仿宋"/>
          <w:sz w:val="32"/>
          <w:szCs w:val="32"/>
        </w:rPr>
        <w:t>年度收入总计</w:t>
      </w:r>
      <w:r>
        <w:rPr>
          <w:rFonts w:hint="eastAsia" w:ascii="仿宋" w:hAnsi="仿宋" w:eastAsia="仿宋"/>
          <w:sz w:val="32"/>
          <w:szCs w:val="32"/>
          <w:lang w:val="en-US" w:eastAsia="zh-CN"/>
        </w:rPr>
        <w:t>2528.67</w:t>
      </w:r>
      <w:r>
        <w:rPr>
          <w:rFonts w:hint="eastAsia" w:ascii="仿宋" w:eastAsia="仿宋"/>
          <w:sz w:val="32"/>
          <w:szCs w:val="32"/>
        </w:rPr>
        <w:t>万元、支出总计</w:t>
      </w:r>
      <w:r>
        <w:rPr>
          <w:rFonts w:hint="eastAsia" w:ascii="仿宋" w:eastAsia="仿宋"/>
          <w:sz w:val="32"/>
          <w:szCs w:val="32"/>
          <w:lang w:val="en-US" w:eastAsia="zh-CN"/>
        </w:rPr>
        <w:t>2588.94</w:t>
      </w:r>
      <w:r>
        <w:rPr>
          <w:rFonts w:hint="eastAsia" w:ascii="仿宋" w:eastAsia="仿宋"/>
          <w:sz w:val="32"/>
          <w:szCs w:val="32"/>
        </w:rPr>
        <w:t>万元。与202</w:t>
      </w:r>
      <w:r>
        <w:rPr>
          <w:rFonts w:hint="eastAsia" w:ascii="仿宋" w:eastAsia="仿宋"/>
          <w:sz w:val="32"/>
          <w:szCs w:val="32"/>
          <w:lang w:val="en-US" w:eastAsia="zh-CN"/>
        </w:rPr>
        <w:t>3</w:t>
      </w:r>
      <w:r>
        <w:rPr>
          <w:rFonts w:hint="eastAsia" w:ascii="仿宋" w:eastAsia="仿宋"/>
          <w:sz w:val="32"/>
          <w:szCs w:val="32"/>
        </w:rPr>
        <w:t>年相比，收入</w:t>
      </w:r>
      <w:r>
        <w:rPr>
          <w:rFonts w:hint="eastAsia" w:ascii="仿宋" w:eastAsia="仿宋"/>
          <w:sz w:val="32"/>
          <w:szCs w:val="32"/>
          <w:lang w:val="en-US" w:eastAsia="zh-CN"/>
        </w:rPr>
        <w:t>2016.59</w:t>
      </w:r>
      <w:r>
        <w:rPr>
          <w:rFonts w:hint="eastAsia" w:ascii="仿宋" w:eastAsia="仿宋"/>
          <w:sz w:val="32"/>
          <w:szCs w:val="32"/>
        </w:rPr>
        <w:t>万元，总计增加</w:t>
      </w:r>
      <w:r>
        <w:rPr>
          <w:rFonts w:hint="eastAsia" w:ascii="仿宋" w:eastAsia="仿宋"/>
          <w:sz w:val="32"/>
          <w:szCs w:val="32"/>
          <w:lang w:val="en-US" w:eastAsia="zh-CN"/>
        </w:rPr>
        <w:t>512.08</w:t>
      </w:r>
      <w:r>
        <w:rPr>
          <w:rFonts w:hint="eastAsia" w:ascii="仿宋" w:eastAsia="仿宋"/>
          <w:sz w:val="32"/>
          <w:szCs w:val="32"/>
        </w:rPr>
        <w:t>万元，上升</w:t>
      </w:r>
      <w:r>
        <w:rPr>
          <w:rFonts w:hint="eastAsia" w:ascii="仿宋" w:eastAsia="仿宋"/>
          <w:sz w:val="32"/>
          <w:szCs w:val="32"/>
          <w:lang w:val="en-US" w:eastAsia="zh-CN"/>
        </w:rPr>
        <w:t>25.39</w:t>
      </w:r>
      <w:r>
        <w:rPr>
          <w:rFonts w:ascii="仿宋" w:eastAsia="仿宋"/>
          <w:sz w:val="32"/>
          <w:szCs w:val="32"/>
        </w:rPr>
        <w:t>%</w:t>
      </w:r>
      <w:r>
        <w:rPr>
          <w:rFonts w:hint="eastAsia" w:ascii="仿宋" w:eastAsia="仿宋"/>
          <w:sz w:val="32"/>
          <w:szCs w:val="32"/>
        </w:rPr>
        <w:t>。</w:t>
      </w:r>
      <w:r>
        <w:rPr>
          <w:rStyle w:val="19"/>
          <w:rFonts w:hint="eastAsia" w:ascii="仿宋" w:hAnsi="仿宋" w:eastAsia="仿宋"/>
          <w:b w:val="0"/>
          <w:sz w:val="32"/>
          <w:szCs w:val="32"/>
        </w:rPr>
        <w:t>主要原因为阿州财教{2023}25号-2022年民族地区教育发展、部分教育补助资金</w:t>
      </w:r>
      <w:r>
        <w:rPr>
          <w:rStyle w:val="19"/>
          <w:rFonts w:hint="eastAsia" w:ascii="仿宋" w:hAnsi="仿宋" w:eastAsia="仿宋"/>
          <w:b w:val="0"/>
          <w:sz w:val="32"/>
          <w:szCs w:val="32"/>
          <w:lang w:eastAsia="zh-CN"/>
        </w:rPr>
        <w:t>、</w:t>
      </w:r>
      <w:r>
        <w:rPr>
          <w:rStyle w:val="19"/>
          <w:rFonts w:hint="eastAsia" w:ascii="仿宋" w:hAnsi="仿宋" w:eastAsia="仿宋"/>
          <w:b w:val="0"/>
          <w:sz w:val="32"/>
          <w:szCs w:val="32"/>
          <w:lang w:val="en-US" w:eastAsia="zh-CN"/>
        </w:rPr>
        <w:t>2024支持学前教育发展补助资金</w:t>
      </w:r>
      <w:r>
        <w:rPr>
          <w:rStyle w:val="19"/>
          <w:rFonts w:hint="eastAsia" w:ascii="仿宋" w:hAnsi="仿宋" w:eastAsia="仿宋"/>
          <w:b w:val="0"/>
          <w:sz w:val="32"/>
          <w:szCs w:val="32"/>
        </w:rPr>
        <w:t>直接上指标，202</w:t>
      </w:r>
      <w:r>
        <w:rPr>
          <w:rStyle w:val="19"/>
          <w:rFonts w:hint="eastAsia" w:ascii="仿宋" w:hAnsi="仿宋" w:eastAsia="仿宋"/>
          <w:b w:val="0"/>
          <w:sz w:val="32"/>
          <w:szCs w:val="32"/>
          <w:lang w:val="en-US" w:eastAsia="zh-CN"/>
        </w:rPr>
        <w:t>4</w:t>
      </w:r>
      <w:r>
        <w:rPr>
          <w:rStyle w:val="19"/>
          <w:rFonts w:hint="eastAsia" w:ascii="仿宋" w:hAnsi="仿宋" w:eastAsia="仿宋"/>
          <w:b w:val="0"/>
          <w:sz w:val="32"/>
          <w:szCs w:val="32"/>
        </w:rPr>
        <w:t>年增加多名新进人员</w:t>
      </w:r>
      <w:r>
        <w:rPr>
          <w:rStyle w:val="19"/>
          <w:rFonts w:hint="eastAsia" w:ascii="仿宋" w:hAnsi="仿宋" w:eastAsia="仿宋"/>
          <w:b w:val="0"/>
          <w:sz w:val="32"/>
          <w:szCs w:val="32"/>
          <w:lang w:eastAsia="zh-CN"/>
        </w:rPr>
        <w:t>，决算口径纳入代管资金收入</w:t>
      </w:r>
      <w:r>
        <w:rPr>
          <w:rFonts w:hint="eastAsia"/>
          <w:sz w:val="30"/>
          <w:szCs w:val="30"/>
        </w:rPr>
        <w:t>；</w:t>
      </w:r>
      <w:r>
        <w:rPr>
          <w:rFonts w:hint="eastAsia" w:ascii="仿宋" w:hAnsi="仿宋" w:eastAsia="仿宋"/>
          <w:bCs/>
          <w:sz w:val="32"/>
          <w:szCs w:val="32"/>
        </w:rPr>
        <w:t>。</w:t>
      </w:r>
    </w:p>
    <w:p w14:paraId="5545719C">
      <w:pPr>
        <w:spacing w:line="600" w:lineRule="exact"/>
        <w:ind w:firstLine="640" w:firstLineChars="200"/>
        <w:outlineLvl w:val="1"/>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4</w:t>
      </w:r>
      <w:r>
        <w:rPr>
          <w:rFonts w:hint="eastAsia" w:ascii="仿宋" w:eastAsia="仿宋"/>
          <w:sz w:val="32"/>
          <w:szCs w:val="32"/>
        </w:rPr>
        <w:t>年本年支出合计</w:t>
      </w:r>
      <w:r>
        <w:rPr>
          <w:rFonts w:hint="eastAsia" w:ascii="仿宋" w:eastAsia="仿宋"/>
          <w:sz w:val="32"/>
          <w:szCs w:val="32"/>
          <w:lang w:val="en-US" w:eastAsia="zh-CN"/>
        </w:rPr>
        <w:t>2588.94</w:t>
      </w:r>
      <w:r>
        <w:rPr>
          <w:rFonts w:hint="eastAsia" w:ascii="仿宋" w:eastAsia="仿宋"/>
          <w:sz w:val="32"/>
          <w:szCs w:val="32"/>
        </w:rPr>
        <w:t>万元，其中：基本支出</w:t>
      </w:r>
      <w:r>
        <w:rPr>
          <w:rFonts w:hint="eastAsia" w:ascii="仿宋" w:eastAsia="仿宋"/>
          <w:sz w:val="32"/>
          <w:szCs w:val="32"/>
          <w:lang w:val="en-US" w:eastAsia="zh-CN"/>
        </w:rPr>
        <w:t>1204.4</w:t>
      </w:r>
      <w:r>
        <w:rPr>
          <w:rFonts w:hint="eastAsia" w:ascii="仿宋" w:eastAsia="仿宋"/>
          <w:sz w:val="32"/>
          <w:szCs w:val="32"/>
        </w:rPr>
        <w:t>万元，占</w:t>
      </w:r>
      <w:r>
        <w:rPr>
          <w:rFonts w:hint="eastAsia" w:ascii="仿宋" w:eastAsia="仿宋"/>
          <w:sz w:val="32"/>
          <w:szCs w:val="32"/>
          <w:lang w:val="en-US" w:eastAsia="zh-CN"/>
        </w:rPr>
        <w:t>46.52</w:t>
      </w:r>
      <w:r>
        <w:rPr>
          <w:rFonts w:ascii="仿宋" w:eastAsia="仿宋"/>
          <w:sz w:val="32"/>
          <w:szCs w:val="32"/>
        </w:rPr>
        <w:t>%</w:t>
      </w:r>
      <w:r>
        <w:rPr>
          <w:rFonts w:hint="eastAsia" w:ascii="仿宋" w:eastAsia="仿宋"/>
          <w:sz w:val="32"/>
          <w:szCs w:val="32"/>
        </w:rPr>
        <w:t>；项目支出</w:t>
      </w:r>
      <w:r>
        <w:rPr>
          <w:rFonts w:hint="eastAsia" w:ascii="仿宋" w:eastAsia="仿宋"/>
          <w:sz w:val="32"/>
          <w:szCs w:val="32"/>
          <w:lang w:val="en-US" w:eastAsia="zh-CN"/>
        </w:rPr>
        <w:t>1384.54</w:t>
      </w:r>
      <w:r>
        <w:rPr>
          <w:rFonts w:hint="eastAsia" w:ascii="仿宋" w:eastAsia="仿宋"/>
          <w:sz w:val="32"/>
          <w:szCs w:val="32"/>
        </w:rPr>
        <w:t>万元，占</w:t>
      </w:r>
      <w:r>
        <w:rPr>
          <w:rFonts w:hint="eastAsia" w:ascii="仿宋" w:eastAsia="仿宋"/>
          <w:sz w:val="32"/>
          <w:szCs w:val="32"/>
          <w:lang w:val="en-US" w:eastAsia="zh-CN"/>
        </w:rPr>
        <w:t>53.48</w:t>
      </w:r>
      <w:r>
        <w:rPr>
          <w:rFonts w:ascii="仿宋" w:eastAsia="仿宋"/>
          <w:sz w:val="32"/>
          <w:szCs w:val="32"/>
        </w:rPr>
        <w:t>%</w:t>
      </w:r>
      <w:r>
        <w:rPr>
          <w:rFonts w:hint="eastAsia" w:ascii="仿宋" w:eastAsia="仿宋"/>
          <w:sz w:val="32"/>
          <w:szCs w:val="32"/>
        </w:rPr>
        <w:t>；上缴上级支出0万元，占0</w:t>
      </w:r>
      <w:r>
        <w:rPr>
          <w:rFonts w:ascii="仿宋" w:eastAsia="仿宋"/>
          <w:sz w:val="32"/>
          <w:szCs w:val="32"/>
        </w:rPr>
        <w:t>%</w:t>
      </w:r>
      <w:r>
        <w:rPr>
          <w:rFonts w:hint="eastAsia" w:ascii="仿宋" w:eastAsia="仿宋"/>
          <w:sz w:val="32"/>
          <w:szCs w:val="32"/>
        </w:rPr>
        <w:t>；经营支出0万元，占0</w:t>
      </w:r>
      <w:r>
        <w:rPr>
          <w:rFonts w:ascii="仿宋" w:eastAsia="仿宋"/>
          <w:sz w:val="32"/>
          <w:szCs w:val="32"/>
        </w:rPr>
        <w:t>%</w:t>
      </w:r>
      <w:r>
        <w:rPr>
          <w:rFonts w:hint="eastAsia" w:ascii="仿宋" w:eastAsia="仿宋"/>
          <w:sz w:val="32"/>
          <w:szCs w:val="32"/>
        </w:rPr>
        <w:t>；对附属单位补助支出0万元，占0</w:t>
      </w:r>
      <w:r>
        <w:rPr>
          <w:rFonts w:ascii="仿宋" w:eastAsia="仿宋"/>
          <w:sz w:val="32"/>
          <w:szCs w:val="32"/>
        </w:rPr>
        <w:t>%</w:t>
      </w:r>
      <w:r>
        <w:rPr>
          <w:rFonts w:hint="eastAsia" w:ascii="仿宋" w:eastAsia="仿宋"/>
          <w:sz w:val="32"/>
          <w:szCs w:val="32"/>
        </w:rPr>
        <w:t>。</w:t>
      </w:r>
    </w:p>
    <w:p w14:paraId="3FB4E24B">
      <w:pPr>
        <w:spacing w:line="600" w:lineRule="exact"/>
        <w:ind w:firstLine="640"/>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01-1</w:t>
      </w:r>
      <w:r>
        <w:rPr>
          <w:rFonts w:hint="eastAsia" w:ascii="仿宋" w:eastAsia="仿宋"/>
          <w:b/>
          <w:sz w:val="32"/>
          <w:szCs w:val="32"/>
        </w:rPr>
        <w:t>表</w:t>
      </w:r>
      <w:r>
        <w:rPr>
          <w:rFonts w:ascii="仿宋" w:eastAsia="仿宋"/>
          <w:b/>
          <w:sz w:val="32"/>
          <w:szCs w:val="32"/>
        </w:rPr>
        <w:t>）</w:t>
      </w:r>
    </w:p>
    <w:p w14:paraId="47662CEE">
      <w:pPr>
        <w:spacing w:line="600" w:lineRule="exact"/>
        <w:ind w:firstLine="640"/>
        <w:rPr>
          <w:rFonts w:ascii="仿宋" w:eastAsia="仿宋"/>
          <w:sz w:val="32"/>
          <w:szCs w:val="32"/>
        </w:rPr>
      </w:pPr>
      <w:r>
        <w:rPr>
          <w:rFonts w:hint="eastAsia" w:ascii="仿宋" w:eastAsia="仿宋"/>
          <w:sz w:val="32"/>
          <w:szCs w:val="32"/>
        </w:rPr>
        <w:t>（图4：财政拨款收、支决算总计变动情况）（柱状图）</w:t>
      </w:r>
    </w:p>
    <w:p w14:paraId="04C6566C">
      <w:pPr>
        <w:spacing w:line="600" w:lineRule="exact"/>
        <w:ind w:firstLine="640"/>
        <w:rPr>
          <w:rFonts w:ascii="仿宋" w:eastAsia="仿宋"/>
          <w:b/>
          <w:sz w:val="32"/>
          <w:szCs w:val="32"/>
        </w:rPr>
      </w:pPr>
    </w:p>
    <w:p w14:paraId="6ED9590D">
      <w:pPr>
        <w:pStyle w:val="6"/>
        <w:spacing w:before="93"/>
        <w:rPr>
          <w:rFonts w:ascii="仿宋" w:eastAsia="仿宋"/>
          <w:b/>
          <w:sz w:val="32"/>
          <w:szCs w:val="32"/>
        </w:rPr>
      </w:pPr>
    </w:p>
    <w:p w14:paraId="7757FDB9">
      <w:pPr>
        <w:pStyle w:val="6"/>
        <w:spacing w:before="93"/>
        <w:rPr>
          <w:rFonts w:ascii="仿宋" w:eastAsia="仿宋"/>
          <w:b/>
          <w:sz w:val="32"/>
          <w:szCs w:val="32"/>
        </w:rPr>
      </w:pPr>
    </w:p>
    <w:p w14:paraId="281EAF2E">
      <w:pPr>
        <w:pStyle w:val="6"/>
        <w:spacing w:before="93"/>
        <w:rPr>
          <w:rFonts w:ascii="仿宋" w:eastAsia="仿宋"/>
          <w:b/>
          <w:sz w:val="32"/>
          <w:szCs w:val="32"/>
        </w:rPr>
      </w:pPr>
      <w:r>
        <w:rPr>
          <w:rFonts w:hint="eastAsia" w:ascii="仿宋" w:eastAsia="仿宋"/>
          <w:b/>
          <w:sz w:val="32"/>
          <w:szCs w:val="32"/>
        </w:rPr>
        <w:drawing>
          <wp:inline distT="0" distB="0" distL="114300" distR="114300">
            <wp:extent cx="5080000" cy="3810000"/>
            <wp:effectExtent l="4445" t="4445" r="20955"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985E974">
      <w:pPr>
        <w:spacing w:line="600" w:lineRule="exact"/>
        <w:ind w:firstLine="640" w:firstLineChars="200"/>
        <w:outlineLvl w:val="1"/>
        <w:rPr>
          <w:rStyle w:val="22"/>
          <w:rFonts w:ascii="黑体" w:eastAsia="黑体"/>
          <w:b w:val="0"/>
        </w:rPr>
      </w:pPr>
      <w:bookmarkStart w:id="27" w:name="_Toc15396607"/>
      <w:bookmarkStart w:id="28" w:name="_Toc15377209"/>
      <w:r>
        <w:rPr>
          <w:rFonts w:hint="eastAsia" w:ascii="黑体" w:eastAsia="黑体"/>
          <w:sz w:val="32"/>
          <w:szCs w:val="32"/>
        </w:rPr>
        <w:t>五、</w:t>
      </w:r>
      <w:r>
        <w:rPr>
          <w:rFonts w:hint="eastAsia" w:ascii="黑体" w:eastAsia="黑体"/>
          <w:b/>
          <w:sz w:val="32"/>
          <w:szCs w:val="32"/>
        </w:rPr>
        <w:t>一</w:t>
      </w:r>
      <w:r>
        <w:rPr>
          <w:rStyle w:val="22"/>
          <w:rFonts w:hint="eastAsia" w:ascii="黑体" w:eastAsia="黑体"/>
          <w:b w:val="0"/>
        </w:rPr>
        <w:t>般公共预算财政拨款支出决算情况说明</w:t>
      </w:r>
      <w:bookmarkEnd w:id="27"/>
      <w:bookmarkEnd w:id="28"/>
    </w:p>
    <w:p w14:paraId="50E97BD1">
      <w:pPr>
        <w:spacing w:line="600" w:lineRule="exact"/>
        <w:ind w:firstLine="643" w:firstLineChars="200"/>
        <w:outlineLvl w:val="2"/>
        <w:rPr>
          <w:rFonts w:ascii="仿宋" w:eastAsia="仿宋"/>
          <w:b/>
          <w:sz w:val="32"/>
          <w:szCs w:val="32"/>
        </w:rPr>
      </w:pPr>
      <w:bookmarkStart w:id="29" w:name="_Toc15377210"/>
      <w:r>
        <w:rPr>
          <w:rFonts w:hint="eastAsia" w:ascii="仿宋" w:eastAsia="仿宋"/>
          <w:b/>
          <w:sz w:val="32"/>
          <w:szCs w:val="32"/>
        </w:rPr>
        <w:t>（一）一般公共预算财政拨款支出决算总体情况</w:t>
      </w:r>
      <w:bookmarkEnd w:id="29"/>
    </w:p>
    <w:p w14:paraId="59037CA7">
      <w:pPr>
        <w:spacing w:line="600" w:lineRule="exact"/>
        <w:ind w:firstLine="640" w:firstLineChars="200"/>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4</w:t>
      </w:r>
      <w:r>
        <w:rPr>
          <w:rFonts w:hint="eastAsia" w:ascii="仿宋" w:eastAsia="仿宋"/>
          <w:sz w:val="32"/>
          <w:szCs w:val="32"/>
        </w:rPr>
        <w:t>年一般公共预算财政拨款支出</w:t>
      </w:r>
      <w:r>
        <w:rPr>
          <w:rFonts w:hint="eastAsia" w:ascii="仿宋" w:eastAsia="仿宋"/>
          <w:sz w:val="32"/>
          <w:szCs w:val="32"/>
          <w:lang w:val="en-US" w:eastAsia="zh-CN"/>
        </w:rPr>
        <w:t>2449.88</w:t>
      </w:r>
      <w:r>
        <w:rPr>
          <w:rFonts w:hint="eastAsia" w:ascii="仿宋" w:eastAsia="仿宋"/>
          <w:sz w:val="32"/>
          <w:szCs w:val="32"/>
        </w:rPr>
        <w:t>万元，占本年支出合计的</w:t>
      </w:r>
      <w:r>
        <w:rPr>
          <w:rFonts w:hint="eastAsia" w:ascii="仿宋" w:eastAsia="仿宋"/>
          <w:sz w:val="32"/>
          <w:szCs w:val="32"/>
          <w:lang w:val="en-US" w:eastAsia="zh-CN"/>
        </w:rPr>
        <w:t>94.63</w:t>
      </w:r>
      <w:r>
        <w:rPr>
          <w:rFonts w:ascii="仿宋" w:eastAsia="仿宋"/>
          <w:sz w:val="32"/>
          <w:szCs w:val="32"/>
        </w:rPr>
        <w:t>%</w:t>
      </w:r>
      <w:r>
        <w:rPr>
          <w:rFonts w:hint="eastAsia" w:ascii="仿宋" w:eastAsia="仿宋"/>
          <w:sz w:val="32"/>
          <w:szCs w:val="32"/>
        </w:rPr>
        <w:t>。与</w:t>
      </w: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3</w:t>
      </w:r>
      <w:r>
        <w:rPr>
          <w:rFonts w:hint="eastAsia" w:ascii="仿宋" w:eastAsia="仿宋"/>
          <w:sz w:val="32"/>
          <w:szCs w:val="32"/>
        </w:rPr>
        <w:t>年相比，一般公共预算财政拨款支出</w:t>
      </w:r>
      <w:r>
        <w:rPr>
          <w:rFonts w:hint="eastAsia" w:ascii="仿宋" w:eastAsia="仿宋"/>
          <w:sz w:val="32"/>
          <w:szCs w:val="32"/>
          <w:lang w:val="en-US" w:eastAsia="zh-CN"/>
        </w:rPr>
        <w:t>2016.59</w:t>
      </w:r>
      <w:r>
        <w:rPr>
          <w:rFonts w:hint="eastAsia" w:ascii="仿宋" w:eastAsia="仿宋"/>
          <w:sz w:val="32"/>
          <w:szCs w:val="32"/>
        </w:rPr>
        <w:t>万元,</w:t>
      </w:r>
      <w:r>
        <w:rPr>
          <w:rFonts w:hint="eastAsia" w:ascii="仿宋" w:eastAsia="仿宋"/>
          <w:sz w:val="32"/>
          <w:szCs w:val="32"/>
          <w:lang w:eastAsia="zh-CN"/>
        </w:rPr>
        <w:t>增加</w:t>
      </w:r>
      <w:r>
        <w:rPr>
          <w:rFonts w:hint="eastAsia" w:ascii="仿宋" w:eastAsia="仿宋"/>
          <w:sz w:val="32"/>
          <w:szCs w:val="32"/>
          <w:lang w:val="en-US" w:eastAsia="zh-CN"/>
        </w:rPr>
        <w:t>433.29</w:t>
      </w:r>
      <w:r>
        <w:rPr>
          <w:rFonts w:hint="eastAsia" w:ascii="仿宋" w:eastAsia="仿宋"/>
          <w:sz w:val="32"/>
          <w:szCs w:val="32"/>
        </w:rPr>
        <w:t>万元，</w:t>
      </w:r>
      <w:r>
        <w:rPr>
          <w:rFonts w:hint="eastAsia" w:ascii="仿宋" w:eastAsia="仿宋"/>
          <w:sz w:val="32"/>
          <w:szCs w:val="32"/>
          <w:lang w:eastAsia="zh-CN"/>
        </w:rPr>
        <w:t>增加</w:t>
      </w:r>
      <w:r>
        <w:rPr>
          <w:rFonts w:hint="eastAsia" w:ascii="仿宋" w:eastAsia="仿宋"/>
          <w:sz w:val="32"/>
          <w:szCs w:val="32"/>
          <w:lang w:val="en-US" w:eastAsia="zh-CN"/>
        </w:rPr>
        <w:t>21.49</w:t>
      </w:r>
      <w:r>
        <w:rPr>
          <w:rFonts w:ascii="仿宋" w:eastAsia="仿宋"/>
          <w:sz w:val="32"/>
          <w:szCs w:val="32"/>
        </w:rPr>
        <w:t>%</w:t>
      </w:r>
      <w:r>
        <w:rPr>
          <w:rFonts w:hint="eastAsia" w:ascii="仿宋" w:eastAsia="仿宋"/>
          <w:sz w:val="32"/>
          <w:szCs w:val="32"/>
        </w:rPr>
        <w:t>。主要变动原因是</w:t>
      </w:r>
      <w:r>
        <w:rPr>
          <w:rFonts w:hint="eastAsia" w:ascii="仿宋" w:eastAsia="仿宋"/>
          <w:sz w:val="32"/>
          <w:szCs w:val="32"/>
          <w:lang w:val="en-US" w:eastAsia="zh-CN"/>
        </w:rPr>
        <w:t>2024年项目增加</w:t>
      </w:r>
      <w:r>
        <w:rPr>
          <w:rFonts w:hint="eastAsia" w:ascii="仿宋" w:eastAsia="仿宋"/>
          <w:sz w:val="32"/>
          <w:szCs w:val="32"/>
        </w:rPr>
        <w:t>。（图5：一般公共预算财政拨款支出决算变动情况）（柱状图）</w:t>
      </w:r>
    </w:p>
    <w:p w14:paraId="10B963B3">
      <w:pPr>
        <w:pStyle w:val="6"/>
        <w:spacing w:before="93"/>
        <w:rPr>
          <w:rFonts w:ascii="仿宋" w:eastAsia="仿宋"/>
          <w:sz w:val="32"/>
          <w:szCs w:val="32"/>
        </w:rPr>
      </w:pPr>
    </w:p>
    <w:p w14:paraId="67E08EE3">
      <w:pPr>
        <w:pStyle w:val="6"/>
        <w:spacing w:before="93"/>
        <w:rPr>
          <w:rFonts w:ascii="仿宋" w:eastAsia="仿宋"/>
          <w:sz w:val="32"/>
          <w:szCs w:val="32"/>
        </w:rPr>
      </w:pPr>
      <w:r>
        <w:rPr>
          <w:rFonts w:hint="eastAsia" w:ascii="仿宋" w:eastAsia="仿宋"/>
          <w:sz w:val="32"/>
          <w:szCs w:val="32"/>
        </w:rPr>
        <w:drawing>
          <wp:inline distT="0" distB="0" distL="114300" distR="114300">
            <wp:extent cx="5080000" cy="3810000"/>
            <wp:effectExtent l="4445" t="4445" r="8255" b="825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BC9A8A0">
      <w:pPr>
        <w:spacing w:line="600" w:lineRule="exact"/>
        <w:ind w:firstLine="640" w:firstLineChars="200"/>
        <w:rPr>
          <w:rFonts w:ascii="仿宋" w:eastAsia="仿宋"/>
          <w:sz w:val="32"/>
          <w:szCs w:val="32"/>
        </w:rPr>
      </w:pPr>
    </w:p>
    <w:p w14:paraId="1E581148">
      <w:pPr>
        <w:spacing w:line="600" w:lineRule="exact"/>
        <w:ind w:firstLine="643" w:firstLineChars="200"/>
        <w:outlineLvl w:val="2"/>
        <w:rPr>
          <w:rFonts w:ascii="仿宋" w:eastAsia="仿宋"/>
          <w:b/>
          <w:sz w:val="32"/>
          <w:szCs w:val="32"/>
        </w:rPr>
      </w:pPr>
      <w:bookmarkStart w:id="30" w:name="_Toc15377211"/>
      <w:r>
        <w:rPr>
          <w:rFonts w:hint="eastAsia" w:ascii="仿宋" w:eastAsia="仿宋"/>
          <w:b/>
          <w:sz w:val="32"/>
          <w:szCs w:val="32"/>
        </w:rPr>
        <w:t>（二）一般公共预算财政拨款支出决算结构情况</w:t>
      </w:r>
      <w:bookmarkEnd w:id="30"/>
    </w:p>
    <w:p w14:paraId="43836996">
      <w:pPr>
        <w:spacing w:line="600" w:lineRule="exact"/>
        <w:ind w:firstLine="640"/>
        <w:rPr>
          <w:rFonts w:ascii="仿宋" w:eastAsia="仿宋"/>
          <w:b/>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4</w:t>
      </w:r>
      <w:r>
        <w:rPr>
          <w:rFonts w:hint="eastAsia" w:ascii="仿宋" w:eastAsia="仿宋"/>
          <w:sz w:val="32"/>
          <w:szCs w:val="32"/>
        </w:rPr>
        <w:t>年一般公共预算财政拨款支出</w:t>
      </w:r>
      <w:r>
        <w:rPr>
          <w:rFonts w:hint="eastAsia" w:ascii="仿宋" w:eastAsia="仿宋"/>
          <w:sz w:val="32"/>
          <w:szCs w:val="32"/>
          <w:lang w:val="en-US" w:eastAsia="zh-CN"/>
        </w:rPr>
        <w:t>2449.88</w:t>
      </w:r>
      <w:r>
        <w:rPr>
          <w:rFonts w:hint="eastAsia" w:ascii="仿宋" w:eastAsia="仿宋"/>
          <w:sz w:val="32"/>
          <w:szCs w:val="32"/>
        </w:rPr>
        <w:t>万元，主要用于以下方面</w:t>
      </w:r>
      <w:r>
        <w:rPr>
          <w:rFonts w:ascii="仿宋" w:eastAsia="仿宋"/>
          <w:sz w:val="32"/>
          <w:szCs w:val="32"/>
        </w:rPr>
        <w:t>:</w:t>
      </w:r>
      <w:r>
        <w:rPr>
          <w:rFonts w:hint="eastAsia" w:ascii="仿宋" w:eastAsia="仿宋"/>
          <w:b/>
          <w:sz w:val="32"/>
          <w:szCs w:val="32"/>
        </w:rPr>
        <w:t>一般公共服务（类）</w:t>
      </w:r>
      <w:r>
        <w:rPr>
          <w:rFonts w:hint="eastAsia" w:ascii="仿宋" w:eastAsia="仿宋"/>
          <w:sz w:val="32"/>
          <w:szCs w:val="32"/>
        </w:rPr>
        <w:t>支出0万元，占0</w:t>
      </w:r>
      <w:r>
        <w:rPr>
          <w:rFonts w:ascii="仿宋" w:eastAsia="仿宋"/>
          <w:sz w:val="32"/>
          <w:szCs w:val="32"/>
        </w:rPr>
        <w:t>%</w:t>
      </w:r>
      <w:r>
        <w:rPr>
          <w:rFonts w:hint="eastAsia" w:ascii="仿宋" w:eastAsia="仿宋"/>
          <w:sz w:val="32"/>
          <w:szCs w:val="32"/>
        </w:rPr>
        <w:t>；</w:t>
      </w:r>
      <w:r>
        <w:rPr>
          <w:rFonts w:hint="eastAsia" w:ascii="仿宋" w:eastAsia="仿宋"/>
          <w:b/>
          <w:sz w:val="32"/>
          <w:szCs w:val="32"/>
        </w:rPr>
        <w:t>教育支出（类）</w:t>
      </w:r>
      <w:r>
        <w:rPr>
          <w:rFonts w:hint="eastAsia" w:ascii="仿宋" w:eastAsia="仿宋"/>
          <w:sz w:val="32"/>
          <w:szCs w:val="32"/>
          <w:lang w:val="en-US" w:eastAsia="zh-CN"/>
        </w:rPr>
        <w:t>2142.24</w:t>
      </w:r>
      <w:r>
        <w:rPr>
          <w:rFonts w:hint="eastAsia" w:ascii="仿宋" w:eastAsia="仿宋"/>
          <w:sz w:val="32"/>
          <w:szCs w:val="32"/>
        </w:rPr>
        <w:t>万元，占</w:t>
      </w:r>
      <w:r>
        <w:rPr>
          <w:rFonts w:hint="eastAsia" w:ascii="仿宋" w:eastAsia="仿宋"/>
          <w:sz w:val="32"/>
          <w:szCs w:val="32"/>
          <w:lang w:val="en-US" w:eastAsia="zh-CN"/>
        </w:rPr>
        <w:t>87.44</w:t>
      </w:r>
      <w:r>
        <w:rPr>
          <w:rFonts w:ascii="仿宋" w:eastAsia="仿宋"/>
          <w:sz w:val="32"/>
          <w:szCs w:val="32"/>
        </w:rPr>
        <w:t>%</w:t>
      </w:r>
      <w:r>
        <w:rPr>
          <w:rFonts w:hint="eastAsia" w:ascii="仿宋" w:eastAsia="仿宋"/>
          <w:sz w:val="32"/>
          <w:szCs w:val="32"/>
        </w:rPr>
        <w:t>；</w:t>
      </w:r>
      <w:r>
        <w:rPr>
          <w:rFonts w:hint="eastAsia" w:ascii="仿宋" w:eastAsia="仿宋"/>
          <w:b/>
          <w:sz w:val="32"/>
          <w:szCs w:val="32"/>
        </w:rPr>
        <w:t>科学技术（类）</w:t>
      </w:r>
      <w:r>
        <w:rPr>
          <w:rFonts w:hint="eastAsia" w:ascii="仿宋" w:eastAsia="仿宋"/>
          <w:sz w:val="32"/>
          <w:szCs w:val="32"/>
        </w:rPr>
        <w:t>支出0万元，占0</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文化旅游体育与传媒（类）支出0万元，占0</w:t>
      </w:r>
      <w:r>
        <w:rPr>
          <w:rFonts w:ascii="仿宋" w:eastAsia="仿宋"/>
          <w:b/>
          <w:bCs/>
          <w:sz w:val="32"/>
          <w:szCs w:val="32"/>
        </w:rPr>
        <w:t>%</w:t>
      </w:r>
      <w:r>
        <w:rPr>
          <w:rFonts w:hint="eastAsia" w:ascii="仿宋" w:eastAsia="仿宋"/>
          <w:sz w:val="32"/>
          <w:szCs w:val="32"/>
        </w:rPr>
        <w:t>；</w:t>
      </w:r>
      <w:r>
        <w:rPr>
          <w:rFonts w:hint="eastAsia" w:ascii="仿宋" w:eastAsia="仿宋"/>
          <w:b/>
          <w:sz w:val="32"/>
          <w:szCs w:val="32"/>
        </w:rPr>
        <w:t>社会保障和就业（类）</w:t>
      </w:r>
      <w:r>
        <w:rPr>
          <w:rFonts w:hint="eastAsia" w:ascii="仿宋" w:eastAsia="仿宋"/>
          <w:sz w:val="32"/>
          <w:szCs w:val="32"/>
        </w:rPr>
        <w:t>支出</w:t>
      </w:r>
      <w:r>
        <w:rPr>
          <w:rFonts w:hint="eastAsia" w:ascii="仿宋" w:eastAsia="仿宋"/>
          <w:sz w:val="32"/>
          <w:szCs w:val="32"/>
          <w:lang w:val="en-US" w:eastAsia="zh-CN"/>
        </w:rPr>
        <w:t>154.94</w:t>
      </w:r>
      <w:r>
        <w:rPr>
          <w:rFonts w:hint="eastAsia" w:ascii="仿宋" w:eastAsia="仿宋"/>
          <w:sz w:val="32"/>
          <w:szCs w:val="32"/>
        </w:rPr>
        <w:t>万元，占</w:t>
      </w:r>
      <w:r>
        <w:rPr>
          <w:rFonts w:hint="eastAsia" w:ascii="仿宋" w:eastAsia="仿宋"/>
          <w:sz w:val="32"/>
          <w:szCs w:val="32"/>
          <w:lang w:val="en-US" w:eastAsia="zh-CN"/>
        </w:rPr>
        <w:t>6.32</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卫生健康支出</w:t>
      </w:r>
      <w:r>
        <w:rPr>
          <w:rFonts w:hint="eastAsia" w:ascii="仿宋" w:eastAsia="仿宋"/>
          <w:sz w:val="32"/>
          <w:szCs w:val="32"/>
          <w:lang w:val="en-US" w:eastAsia="zh-CN"/>
        </w:rPr>
        <w:t>71.09</w:t>
      </w:r>
      <w:r>
        <w:rPr>
          <w:rFonts w:hint="eastAsia" w:ascii="仿宋" w:eastAsia="仿宋"/>
          <w:sz w:val="32"/>
          <w:szCs w:val="32"/>
        </w:rPr>
        <w:t>万元，占</w:t>
      </w:r>
      <w:r>
        <w:rPr>
          <w:rFonts w:hint="eastAsia" w:ascii="仿宋" w:eastAsia="仿宋"/>
          <w:sz w:val="32"/>
          <w:szCs w:val="32"/>
          <w:lang w:val="en-US" w:eastAsia="zh-CN"/>
        </w:rPr>
        <w:t>2.90</w:t>
      </w:r>
      <w:r>
        <w:rPr>
          <w:rFonts w:ascii="仿宋" w:eastAsia="仿宋"/>
          <w:sz w:val="32"/>
          <w:szCs w:val="32"/>
        </w:rPr>
        <w:t>%</w:t>
      </w:r>
      <w:r>
        <w:rPr>
          <w:rFonts w:hint="eastAsia" w:ascii="仿宋" w:eastAsia="仿宋"/>
          <w:sz w:val="32"/>
          <w:szCs w:val="32"/>
        </w:rPr>
        <w:t>；</w:t>
      </w:r>
      <w:r>
        <w:rPr>
          <w:rFonts w:hint="eastAsia" w:ascii="仿宋" w:eastAsia="仿宋"/>
          <w:b/>
          <w:sz w:val="32"/>
          <w:szCs w:val="32"/>
        </w:rPr>
        <w:t>住房保障支出</w:t>
      </w:r>
      <w:r>
        <w:rPr>
          <w:rFonts w:hint="eastAsia" w:ascii="仿宋" w:eastAsia="仿宋"/>
          <w:sz w:val="32"/>
          <w:szCs w:val="32"/>
          <w:lang w:val="en-US" w:eastAsia="zh-CN"/>
        </w:rPr>
        <w:t>81.61</w:t>
      </w:r>
      <w:r>
        <w:rPr>
          <w:rFonts w:hint="eastAsia" w:ascii="仿宋" w:eastAsia="仿宋"/>
          <w:sz w:val="32"/>
          <w:szCs w:val="32"/>
        </w:rPr>
        <w:t>万元，占</w:t>
      </w:r>
      <w:r>
        <w:rPr>
          <w:rFonts w:hint="eastAsia" w:ascii="仿宋" w:eastAsia="仿宋"/>
          <w:sz w:val="32"/>
          <w:szCs w:val="32"/>
          <w:lang w:val="en-US" w:eastAsia="zh-CN"/>
        </w:rPr>
        <w:t>3.34</w:t>
      </w:r>
      <w:r>
        <w:rPr>
          <w:rFonts w:ascii="仿宋" w:eastAsia="仿宋"/>
          <w:sz w:val="32"/>
          <w:szCs w:val="32"/>
        </w:rPr>
        <w:t>%</w:t>
      </w:r>
      <w:r>
        <w:rPr>
          <w:rFonts w:hint="eastAsia" w:ascii="仿宋" w:eastAsia="仿宋"/>
          <w:sz w:val="32"/>
          <w:szCs w:val="32"/>
        </w:rPr>
        <w:t>。</w:t>
      </w:r>
    </w:p>
    <w:p w14:paraId="17B5D933">
      <w:pPr>
        <w:spacing w:line="600" w:lineRule="exact"/>
        <w:ind w:firstLine="640"/>
        <w:rPr>
          <w:rFonts w:ascii="仿宋" w:eastAsia="仿宋"/>
          <w:b/>
          <w:sz w:val="32"/>
          <w:szCs w:val="32"/>
        </w:rPr>
      </w:pPr>
      <w:r>
        <w:rPr>
          <w:rFonts w:hint="eastAsia" w:ascii="仿宋" w:eastAsia="仿宋"/>
          <w:b/>
          <w:sz w:val="32"/>
          <w:szCs w:val="32"/>
        </w:rPr>
        <w:t>（注：数据来源于财决01-1表，仅罗列本单位涉及的全部功能分类科目，至类级。）</w:t>
      </w:r>
    </w:p>
    <w:p w14:paraId="0957E053">
      <w:pPr>
        <w:spacing w:line="600" w:lineRule="exact"/>
        <w:ind w:firstLine="640" w:firstLineChars="200"/>
        <w:rPr>
          <w:rFonts w:ascii="仿宋" w:eastAsia="仿宋"/>
          <w:sz w:val="32"/>
          <w:szCs w:val="32"/>
        </w:rPr>
      </w:pPr>
      <w:r>
        <w:rPr>
          <w:rFonts w:hint="eastAsia" w:ascii="仿宋" w:eastAsia="仿宋"/>
          <w:sz w:val="32"/>
          <w:szCs w:val="32"/>
        </w:rPr>
        <w:t>（图6：一般公共预算财政拨款支出决算结构）（饼状图）</w:t>
      </w:r>
    </w:p>
    <w:p w14:paraId="2832A077">
      <w:pPr>
        <w:pStyle w:val="6"/>
        <w:spacing w:before="93"/>
        <w:rPr>
          <w:rFonts w:ascii="仿宋" w:eastAsia="仿宋"/>
          <w:sz w:val="32"/>
          <w:szCs w:val="32"/>
        </w:rPr>
      </w:pPr>
    </w:p>
    <w:p w14:paraId="237B48A6">
      <w:pPr>
        <w:pStyle w:val="6"/>
        <w:spacing w:before="93"/>
        <w:rPr>
          <w:rFonts w:ascii="仿宋" w:eastAsia="仿宋"/>
          <w:sz w:val="32"/>
          <w:szCs w:val="32"/>
        </w:rPr>
      </w:pPr>
      <w:r>
        <w:rPr>
          <w:rFonts w:hint="eastAsia" w:ascii="仿宋" w:eastAsia="仿宋"/>
          <w:sz w:val="32"/>
          <w:szCs w:val="32"/>
        </w:rPr>
        <w:drawing>
          <wp:inline distT="0" distB="0" distL="114300" distR="114300">
            <wp:extent cx="5080000" cy="3810000"/>
            <wp:effectExtent l="4445" t="4445" r="8255" b="825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E814F35">
      <w:pPr>
        <w:spacing w:line="600" w:lineRule="exact"/>
        <w:ind w:firstLine="640" w:firstLineChars="200"/>
        <w:rPr>
          <w:rFonts w:ascii="仿宋" w:eastAsia="仿宋"/>
          <w:sz w:val="32"/>
          <w:szCs w:val="32"/>
        </w:rPr>
      </w:pPr>
    </w:p>
    <w:p w14:paraId="2B3B4A00">
      <w:pPr>
        <w:spacing w:line="600" w:lineRule="exact"/>
        <w:ind w:firstLine="643" w:firstLineChars="200"/>
        <w:outlineLvl w:val="2"/>
        <w:rPr>
          <w:rFonts w:ascii="仿宋" w:eastAsia="仿宋"/>
          <w:b/>
          <w:sz w:val="32"/>
          <w:szCs w:val="32"/>
        </w:rPr>
      </w:pPr>
      <w:bookmarkStart w:id="31" w:name="_Toc15377212"/>
      <w:r>
        <w:rPr>
          <w:rFonts w:hint="eastAsia" w:ascii="仿宋" w:eastAsia="仿宋"/>
          <w:b/>
          <w:sz w:val="32"/>
          <w:szCs w:val="32"/>
        </w:rPr>
        <w:t>（三）一般公共预算财政拨款支出决算具体情况</w:t>
      </w:r>
      <w:bookmarkEnd w:id="31"/>
    </w:p>
    <w:p w14:paraId="6A1877FE">
      <w:pPr>
        <w:spacing w:line="600" w:lineRule="exact"/>
        <w:ind w:firstLine="643" w:firstLineChars="200"/>
        <w:outlineLvl w:val="2"/>
        <w:rPr>
          <w:rFonts w:ascii="仿宋" w:eastAsia="仿宋"/>
          <w:sz w:val="32"/>
          <w:szCs w:val="32"/>
        </w:rPr>
      </w:pPr>
      <w:bookmarkStart w:id="32" w:name="_Toc15378460"/>
      <w:bookmarkStart w:id="33" w:name="_Toc15377444"/>
      <w:bookmarkStart w:id="34" w:name="_Toc15377213"/>
      <w:r>
        <w:rPr>
          <w:rFonts w:hint="eastAsia" w:ascii="仿宋" w:eastAsia="仿宋"/>
          <w:b/>
          <w:sz w:val="32"/>
          <w:szCs w:val="32"/>
        </w:rPr>
        <w:t>202</w:t>
      </w:r>
      <w:r>
        <w:rPr>
          <w:rFonts w:hint="eastAsia" w:ascii="仿宋" w:eastAsia="仿宋"/>
          <w:b/>
          <w:sz w:val="32"/>
          <w:szCs w:val="32"/>
          <w:lang w:val="en-US" w:eastAsia="zh-CN"/>
        </w:rPr>
        <w:t>4</w:t>
      </w:r>
      <w:r>
        <w:rPr>
          <w:rFonts w:hint="eastAsia" w:ascii="仿宋" w:eastAsia="仿宋"/>
          <w:b/>
          <w:sz w:val="32"/>
          <w:szCs w:val="32"/>
        </w:rPr>
        <w:t>年一般公共预算支出决算数为</w:t>
      </w:r>
      <w:r>
        <w:rPr>
          <w:rFonts w:hint="eastAsia" w:ascii="仿宋" w:eastAsia="仿宋"/>
          <w:b/>
          <w:sz w:val="32"/>
          <w:szCs w:val="32"/>
          <w:lang w:val="en-US" w:eastAsia="zh-CN"/>
        </w:rPr>
        <w:t>2588.94</w:t>
      </w:r>
      <w:r>
        <w:rPr>
          <w:rFonts w:hint="eastAsia" w:ascii="仿宋" w:eastAsia="仿宋"/>
          <w:b/>
          <w:sz w:val="32"/>
          <w:szCs w:val="32"/>
        </w:rPr>
        <w:t>万元</w:t>
      </w:r>
      <w:r>
        <w:rPr>
          <w:rFonts w:hint="eastAsia" w:ascii="仿宋" w:eastAsia="仿宋"/>
          <w:sz w:val="32"/>
          <w:szCs w:val="32"/>
        </w:rPr>
        <w:t>，</w:t>
      </w:r>
      <w:r>
        <w:rPr>
          <w:rStyle w:val="19"/>
          <w:rFonts w:hint="eastAsia" w:ascii="仿宋" w:eastAsia="仿宋"/>
          <w:bCs/>
          <w:sz w:val="32"/>
          <w:szCs w:val="32"/>
        </w:rPr>
        <w:t>完成预算100</w:t>
      </w:r>
      <w:r>
        <w:rPr>
          <w:rStyle w:val="19"/>
          <w:rFonts w:ascii="仿宋" w:eastAsia="仿宋"/>
          <w:bCs/>
          <w:sz w:val="32"/>
          <w:szCs w:val="32"/>
        </w:rPr>
        <w:t>%</w:t>
      </w:r>
      <w:r>
        <w:rPr>
          <w:rStyle w:val="19"/>
          <w:rFonts w:hint="eastAsia" w:ascii="仿宋" w:eastAsia="仿宋"/>
          <w:bCs/>
          <w:sz w:val="32"/>
          <w:szCs w:val="32"/>
        </w:rPr>
        <w:t>。其中：</w:t>
      </w:r>
      <w:bookmarkEnd w:id="32"/>
      <w:bookmarkEnd w:id="33"/>
      <w:bookmarkEnd w:id="34"/>
    </w:p>
    <w:p w14:paraId="4CC9234F">
      <w:pPr>
        <w:spacing w:line="600" w:lineRule="exact"/>
        <w:ind w:firstLine="643" w:firstLineChars="200"/>
        <w:rPr>
          <w:rFonts w:ascii="仿宋" w:eastAsia="仿宋"/>
          <w:b/>
          <w:sz w:val="32"/>
          <w:szCs w:val="32"/>
        </w:rPr>
      </w:pPr>
      <w:r>
        <w:rPr>
          <w:rStyle w:val="19"/>
          <w:rFonts w:ascii="仿宋" w:eastAsia="仿宋"/>
          <w:bCs/>
          <w:sz w:val="32"/>
          <w:szCs w:val="32"/>
        </w:rPr>
        <w:t>1.</w:t>
      </w:r>
      <w:r>
        <w:rPr>
          <w:rStyle w:val="19"/>
          <w:rFonts w:hint="eastAsia" w:ascii="仿宋" w:eastAsia="仿宋"/>
          <w:bCs/>
          <w:sz w:val="32"/>
          <w:szCs w:val="32"/>
        </w:rPr>
        <w:t>一般公共服务（类）000（款）00（项）</w:t>
      </w:r>
      <w:r>
        <w:rPr>
          <w:rStyle w:val="19"/>
          <w:rFonts w:ascii="仿宋" w:eastAsia="仿宋"/>
          <w:bCs/>
          <w:sz w:val="32"/>
          <w:szCs w:val="32"/>
        </w:rPr>
        <w:t>:</w:t>
      </w:r>
      <w:r>
        <w:rPr>
          <w:rStyle w:val="19"/>
          <w:rFonts w:hint="eastAsia" w:ascii="仿宋" w:eastAsia="仿宋"/>
          <w:b w:val="0"/>
          <w:bCs/>
          <w:sz w:val="32"/>
          <w:szCs w:val="32"/>
        </w:rPr>
        <w:t>支出决算为0万元，完成预算0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4B17283F">
      <w:pPr>
        <w:spacing w:line="600" w:lineRule="exact"/>
        <w:ind w:firstLine="643" w:firstLineChars="200"/>
        <w:rPr>
          <w:rFonts w:ascii="仿宋" w:eastAsia="仿宋"/>
          <w:b/>
          <w:sz w:val="32"/>
          <w:szCs w:val="32"/>
        </w:rPr>
      </w:pPr>
      <w:r>
        <w:rPr>
          <w:rStyle w:val="19"/>
          <w:rFonts w:ascii="仿宋" w:eastAsia="仿宋"/>
          <w:bCs/>
          <w:sz w:val="32"/>
          <w:szCs w:val="32"/>
        </w:rPr>
        <w:t>2.</w:t>
      </w:r>
      <w:r>
        <w:rPr>
          <w:rStyle w:val="19"/>
          <w:rFonts w:hint="eastAsia" w:ascii="仿宋" w:eastAsia="仿宋"/>
          <w:bCs/>
          <w:sz w:val="32"/>
          <w:szCs w:val="32"/>
        </w:rPr>
        <w:t>教育（类）205（款）02（项）</w:t>
      </w:r>
      <w:r>
        <w:rPr>
          <w:rStyle w:val="19"/>
          <w:rFonts w:ascii="仿宋" w:eastAsia="仿宋"/>
          <w:bCs/>
          <w:sz w:val="32"/>
          <w:szCs w:val="32"/>
        </w:rPr>
        <w:t>:</w:t>
      </w:r>
      <w:r>
        <w:rPr>
          <w:rStyle w:val="19"/>
          <w:rFonts w:hint="eastAsia" w:ascii="仿宋" w:eastAsia="仿宋"/>
          <w:b w:val="0"/>
          <w:bCs/>
          <w:sz w:val="32"/>
          <w:szCs w:val="32"/>
        </w:rPr>
        <w:t>支出决算为</w:t>
      </w:r>
      <w:r>
        <w:rPr>
          <w:rStyle w:val="19"/>
          <w:rFonts w:hint="eastAsia" w:ascii="仿宋" w:eastAsia="仿宋"/>
          <w:b w:val="0"/>
          <w:bCs/>
          <w:sz w:val="32"/>
          <w:szCs w:val="32"/>
          <w:lang w:val="en-US" w:eastAsia="zh-CN"/>
        </w:rPr>
        <w:t>2142.24</w:t>
      </w:r>
      <w:r>
        <w:rPr>
          <w:rStyle w:val="19"/>
          <w:rFonts w:hint="eastAsia" w:ascii="仿宋" w:eastAsia="仿宋"/>
          <w:b w:val="0"/>
          <w:bCs/>
          <w:sz w:val="32"/>
          <w:szCs w:val="32"/>
        </w:rPr>
        <w:t>万元，完成预算100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138F1FB3">
      <w:pPr>
        <w:spacing w:line="600" w:lineRule="exact"/>
        <w:ind w:firstLine="643" w:firstLineChars="200"/>
        <w:rPr>
          <w:rFonts w:ascii="仿宋" w:eastAsia="仿宋"/>
          <w:b/>
          <w:sz w:val="32"/>
          <w:szCs w:val="32"/>
        </w:rPr>
      </w:pPr>
      <w:r>
        <w:rPr>
          <w:rStyle w:val="19"/>
          <w:rFonts w:ascii="仿宋" w:eastAsia="仿宋"/>
          <w:bCs/>
          <w:sz w:val="32"/>
          <w:szCs w:val="32"/>
        </w:rPr>
        <w:t>3.</w:t>
      </w:r>
      <w:r>
        <w:rPr>
          <w:rStyle w:val="19"/>
          <w:rFonts w:hint="eastAsia" w:ascii="仿宋" w:eastAsia="仿宋"/>
          <w:bCs/>
          <w:sz w:val="32"/>
          <w:szCs w:val="32"/>
        </w:rPr>
        <w:t>科学技术（类）000（款）00（项）</w:t>
      </w:r>
      <w:r>
        <w:rPr>
          <w:rStyle w:val="19"/>
          <w:rFonts w:ascii="仿宋" w:eastAsia="仿宋"/>
          <w:bCs/>
          <w:sz w:val="32"/>
          <w:szCs w:val="32"/>
        </w:rPr>
        <w:t>:</w:t>
      </w:r>
      <w:r>
        <w:rPr>
          <w:rStyle w:val="19"/>
          <w:rFonts w:hint="eastAsia" w:ascii="仿宋" w:eastAsia="仿宋"/>
          <w:b w:val="0"/>
          <w:bCs/>
          <w:sz w:val="32"/>
          <w:szCs w:val="32"/>
        </w:rPr>
        <w:t>支出决算为0万元，完成预算0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69D21551">
      <w:pPr>
        <w:spacing w:line="600" w:lineRule="exact"/>
        <w:ind w:firstLine="643" w:firstLineChars="200"/>
        <w:rPr>
          <w:rFonts w:ascii="仿宋" w:eastAsia="仿宋"/>
          <w:b/>
          <w:sz w:val="32"/>
          <w:szCs w:val="32"/>
        </w:rPr>
      </w:pPr>
      <w:r>
        <w:rPr>
          <w:rStyle w:val="19"/>
          <w:rFonts w:ascii="仿宋" w:eastAsia="仿宋"/>
          <w:bCs/>
          <w:sz w:val="32"/>
          <w:szCs w:val="32"/>
        </w:rPr>
        <w:t>4.</w:t>
      </w:r>
      <w:r>
        <w:rPr>
          <w:rStyle w:val="19"/>
          <w:rFonts w:hint="eastAsia" w:ascii="仿宋" w:eastAsia="仿宋"/>
          <w:bCs/>
          <w:sz w:val="32"/>
          <w:szCs w:val="32"/>
        </w:rPr>
        <w:t>文化旅游体育与传媒（类）000（款）00（项）</w:t>
      </w:r>
      <w:r>
        <w:rPr>
          <w:rStyle w:val="19"/>
          <w:rFonts w:ascii="仿宋" w:eastAsia="仿宋"/>
          <w:bCs/>
          <w:sz w:val="32"/>
          <w:szCs w:val="32"/>
        </w:rPr>
        <w:t>:</w:t>
      </w:r>
      <w:r>
        <w:rPr>
          <w:rStyle w:val="19"/>
          <w:rFonts w:hint="eastAsia" w:ascii="仿宋" w:eastAsia="仿宋"/>
          <w:b w:val="0"/>
          <w:bCs/>
          <w:sz w:val="32"/>
          <w:szCs w:val="32"/>
        </w:rPr>
        <w:t>支出决算为0万元，完成预算0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4188F864">
      <w:pPr>
        <w:spacing w:line="600" w:lineRule="exact"/>
        <w:ind w:firstLine="643" w:firstLineChars="200"/>
        <w:rPr>
          <w:rFonts w:ascii="仿宋" w:eastAsia="仿宋"/>
          <w:b/>
          <w:sz w:val="32"/>
          <w:szCs w:val="32"/>
        </w:rPr>
      </w:pPr>
      <w:r>
        <w:rPr>
          <w:rStyle w:val="19"/>
          <w:rFonts w:ascii="仿宋" w:eastAsia="仿宋"/>
          <w:bCs/>
          <w:sz w:val="32"/>
          <w:szCs w:val="32"/>
        </w:rPr>
        <w:t>5.</w:t>
      </w:r>
      <w:r>
        <w:rPr>
          <w:rStyle w:val="19"/>
          <w:rFonts w:hint="eastAsia" w:ascii="仿宋" w:eastAsia="仿宋"/>
          <w:bCs/>
          <w:sz w:val="32"/>
          <w:szCs w:val="32"/>
        </w:rPr>
        <w:t>社会保障和就业（类）208（款）05（项）</w:t>
      </w:r>
      <w:r>
        <w:rPr>
          <w:rStyle w:val="19"/>
          <w:rFonts w:ascii="仿宋" w:eastAsia="仿宋"/>
          <w:bCs/>
          <w:sz w:val="32"/>
          <w:szCs w:val="32"/>
        </w:rPr>
        <w:t>:</w:t>
      </w:r>
      <w:r>
        <w:rPr>
          <w:rStyle w:val="19"/>
          <w:rFonts w:hint="eastAsia" w:ascii="仿宋" w:eastAsia="仿宋"/>
          <w:b w:val="0"/>
          <w:bCs/>
          <w:sz w:val="32"/>
          <w:szCs w:val="32"/>
        </w:rPr>
        <w:t>支出决算为</w:t>
      </w:r>
      <w:r>
        <w:rPr>
          <w:rStyle w:val="19"/>
          <w:rFonts w:hint="eastAsia" w:ascii="仿宋" w:eastAsia="仿宋"/>
          <w:b w:val="0"/>
          <w:bCs/>
          <w:sz w:val="32"/>
          <w:szCs w:val="32"/>
          <w:lang w:val="en-US" w:eastAsia="zh-CN"/>
        </w:rPr>
        <w:t>154.94</w:t>
      </w:r>
      <w:r>
        <w:rPr>
          <w:rStyle w:val="19"/>
          <w:rFonts w:hint="eastAsia" w:ascii="仿宋" w:eastAsia="仿宋"/>
          <w:b w:val="0"/>
          <w:bCs/>
          <w:sz w:val="32"/>
          <w:szCs w:val="32"/>
        </w:rPr>
        <w:t>万元，完成预算100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6F16E417">
      <w:pPr>
        <w:spacing w:line="600" w:lineRule="exact"/>
        <w:ind w:firstLine="643" w:firstLineChars="200"/>
        <w:rPr>
          <w:rFonts w:ascii="仿宋" w:eastAsia="仿宋"/>
          <w:b/>
          <w:sz w:val="32"/>
          <w:szCs w:val="32"/>
        </w:rPr>
      </w:pPr>
      <w:r>
        <w:rPr>
          <w:rStyle w:val="19"/>
          <w:rFonts w:ascii="仿宋" w:eastAsia="仿宋"/>
          <w:bCs/>
          <w:sz w:val="32"/>
          <w:szCs w:val="32"/>
        </w:rPr>
        <w:t>6.</w:t>
      </w:r>
      <w:r>
        <w:rPr>
          <w:rFonts w:hint="eastAsia" w:ascii="仿宋" w:eastAsia="仿宋"/>
          <w:b/>
          <w:bCs/>
          <w:sz w:val="32"/>
          <w:szCs w:val="32"/>
        </w:rPr>
        <w:t>卫生健康</w:t>
      </w:r>
      <w:r>
        <w:rPr>
          <w:rStyle w:val="19"/>
          <w:rFonts w:hint="eastAsia" w:ascii="仿宋" w:eastAsia="仿宋"/>
          <w:bCs/>
          <w:sz w:val="32"/>
          <w:szCs w:val="32"/>
        </w:rPr>
        <w:t>（类）210（款）01（项）</w:t>
      </w:r>
      <w:r>
        <w:rPr>
          <w:rStyle w:val="19"/>
          <w:rFonts w:ascii="仿宋" w:eastAsia="仿宋"/>
          <w:bCs/>
          <w:sz w:val="32"/>
          <w:szCs w:val="32"/>
        </w:rPr>
        <w:t>:</w:t>
      </w:r>
      <w:r>
        <w:rPr>
          <w:rStyle w:val="19"/>
          <w:rFonts w:hint="eastAsia" w:ascii="仿宋" w:eastAsia="仿宋"/>
          <w:b w:val="0"/>
          <w:bCs/>
          <w:sz w:val="32"/>
          <w:szCs w:val="32"/>
        </w:rPr>
        <w:t>支出决算为</w:t>
      </w:r>
      <w:r>
        <w:rPr>
          <w:rStyle w:val="19"/>
          <w:rFonts w:hint="eastAsia" w:ascii="仿宋" w:eastAsia="仿宋"/>
          <w:b w:val="0"/>
          <w:bCs/>
          <w:sz w:val="32"/>
          <w:szCs w:val="32"/>
          <w:lang w:val="en-US" w:eastAsia="zh-CN"/>
        </w:rPr>
        <w:t>71.09</w:t>
      </w:r>
      <w:r>
        <w:rPr>
          <w:rStyle w:val="19"/>
          <w:rFonts w:hint="eastAsia" w:ascii="仿宋" w:eastAsia="仿宋"/>
          <w:b w:val="0"/>
          <w:bCs/>
          <w:sz w:val="32"/>
          <w:szCs w:val="32"/>
        </w:rPr>
        <w:t>万元，完成预算100</w:t>
      </w:r>
      <w:r>
        <w:rPr>
          <w:rStyle w:val="19"/>
          <w:rFonts w:ascii="仿宋" w:eastAsia="仿宋"/>
          <w:b w:val="0"/>
          <w:bCs/>
          <w:sz w:val="32"/>
          <w:szCs w:val="32"/>
        </w:rPr>
        <w:t>%</w:t>
      </w:r>
      <w:r>
        <w:rPr>
          <w:rStyle w:val="19"/>
          <w:rFonts w:hint="eastAsia" w:ascii="仿宋" w:eastAsia="仿宋"/>
          <w:b w:val="0"/>
          <w:bCs/>
          <w:sz w:val="32"/>
          <w:szCs w:val="32"/>
        </w:rPr>
        <w:t>，决算数小于</w:t>
      </w:r>
      <w:r>
        <w:rPr>
          <w:rStyle w:val="19"/>
          <w:rFonts w:ascii="仿宋" w:eastAsia="仿宋"/>
          <w:b w:val="0"/>
          <w:bCs/>
          <w:sz w:val="32"/>
          <w:szCs w:val="32"/>
        </w:rPr>
        <w:t>/</w:t>
      </w:r>
      <w:r>
        <w:rPr>
          <w:rStyle w:val="19"/>
          <w:rFonts w:hint="eastAsia" w:ascii="仿宋" w:eastAsia="仿宋"/>
          <w:b w:val="0"/>
          <w:bCs/>
          <w:sz w:val="32"/>
          <w:szCs w:val="32"/>
        </w:rPr>
        <w:t>等于预算数的主要原因是无。</w:t>
      </w:r>
    </w:p>
    <w:p w14:paraId="256636AA">
      <w:pPr>
        <w:spacing w:line="600" w:lineRule="exact"/>
        <w:ind w:firstLine="643" w:firstLineChars="200"/>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w:t>
      </w:r>
      <w:r>
        <w:rPr>
          <w:rFonts w:hint="eastAsia" w:ascii="仿宋" w:eastAsia="仿宋"/>
          <w:b/>
          <w:sz w:val="32"/>
          <w:szCs w:val="32"/>
        </w:rPr>
        <w:t>1-1表和财决08表，仅罗列本单位涉及的全部功能分类科目，至项级。上述“预算”口径为调整预算数。增减变动原因为决算数</w:t>
      </w:r>
      <w:r>
        <w:rPr>
          <w:rFonts w:ascii="仿宋" w:eastAsia="仿宋"/>
          <w:b/>
          <w:sz w:val="32"/>
          <w:szCs w:val="32"/>
        </w:rPr>
        <w:t>&lt;</w:t>
      </w:r>
      <w:r>
        <w:rPr>
          <w:rFonts w:hint="eastAsia" w:ascii="仿宋" w:eastAsia="仿宋"/>
          <w:b/>
          <w:sz w:val="32"/>
          <w:szCs w:val="32"/>
        </w:rPr>
        <w:t>项级</w:t>
      </w:r>
      <w:r>
        <w:rPr>
          <w:rFonts w:ascii="仿宋" w:eastAsia="仿宋"/>
          <w:b/>
          <w:sz w:val="32"/>
          <w:szCs w:val="32"/>
        </w:rPr>
        <w:t>&gt;</w:t>
      </w:r>
      <w:r>
        <w:rPr>
          <w:rFonts w:hint="eastAsia" w:ascii="仿宋" w:eastAsia="仿宋"/>
          <w:b/>
          <w:sz w:val="32"/>
          <w:szCs w:val="32"/>
        </w:rPr>
        <w:t>和调整预算数</w:t>
      </w:r>
      <w:r>
        <w:rPr>
          <w:rFonts w:ascii="仿宋" w:eastAsia="仿宋"/>
          <w:b/>
          <w:sz w:val="32"/>
          <w:szCs w:val="32"/>
        </w:rPr>
        <w:t>&lt;</w:t>
      </w:r>
      <w:r>
        <w:rPr>
          <w:rFonts w:hint="eastAsia" w:ascii="仿宋" w:eastAsia="仿宋"/>
          <w:b/>
          <w:sz w:val="32"/>
          <w:szCs w:val="32"/>
        </w:rPr>
        <w:t>项级</w:t>
      </w:r>
      <w:r>
        <w:rPr>
          <w:rFonts w:ascii="仿宋" w:eastAsia="仿宋"/>
          <w:b/>
          <w:sz w:val="32"/>
          <w:szCs w:val="32"/>
        </w:rPr>
        <w:t>&gt;</w:t>
      </w:r>
      <w:r>
        <w:rPr>
          <w:rFonts w:hint="eastAsia" w:ascii="仿宋" w:eastAsia="仿宋"/>
          <w:b/>
          <w:sz w:val="32"/>
          <w:szCs w:val="32"/>
        </w:rPr>
        <w:t>比较，与预算数持平可以不写原因。）</w:t>
      </w:r>
    </w:p>
    <w:p w14:paraId="0BCA9288">
      <w:pPr>
        <w:spacing w:line="600" w:lineRule="exact"/>
        <w:ind w:firstLine="640"/>
        <w:rPr>
          <w:rFonts w:ascii="仿宋" w:eastAsia="仿宋"/>
          <w:b/>
          <w:sz w:val="32"/>
          <w:szCs w:val="32"/>
        </w:rPr>
      </w:pPr>
    </w:p>
    <w:p w14:paraId="46B76C70">
      <w:pPr>
        <w:tabs>
          <w:tab w:val="right" w:pos="8306"/>
        </w:tabs>
        <w:spacing w:line="600" w:lineRule="exact"/>
        <w:ind w:firstLine="640"/>
        <w:outlineLvl w:val="1"/>
        <w:rPr>
          <w:rStyle w:val="22"/>
        </w:rPr>
      </w:pPr>
      <w:bookmarkStart w:id="35" w:name="_Toc15396608"/>
      <w:bookmarkStart w:id="36" w:name="_Toc15377214"/>
      <w:r>
        <w:rPr>
          <w:rFonts w:hint="eastAsia" w:ascii="黑体" w:eastAsia="黑体"/>
          <w:sz w:val="32"/>
          <w:szCs w:val="32"/>
        </w:rPr>
        <w:t>六</w:t>
      </w:r>
      <w:r>
        <w:rPr>
          <w:rFonts w:hint="eastAsia" w:ascii="黑体" w:eastAsia="黑体"/>
          <w:b/>
          <w:sz w:val="32"/>
          <w:szCs w:val="32"/>
        </w:rPr>
        <w:t>、一</w:t>
      </w:r>
      <w:r>
        <w:rPr>
          <w:rStyle w:val="22"/>
          <w:rFonts w:hint="eastAsia" w:ascii="黑体" w:eastAsia="黑体"/>
          <w:b w:val="0"/>
        </w:rPr>
        <w:t>般公共预算财政拨款基本支出决算情况说明</w:t>
      </w:r>
      <w:bookmarkEnd w:id="35"/>
      <w:bookmarkEnd w:id="36"/>
      <w:r>
        <w:rPr>
          <w:rStyle w:val="22"/>
          <w:rFonts w:ascii="黑体" w:eastAsia="黑体"/>
          <w:b w:val="0"/>
        </w:rPr>
        <w:tab/>
      </w:r>
    </w:p>
    <w:p w14:paraId="2A7A0A9E">
      <w:pPr>
        <w:spacing w:line="600" w:lineRule="exact"/>
        <w:ind w:firstLine="645"/>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4</w:t>
      </w:r>
      <w:r>
        <w:rPr>
          <w:rFonts w:hint="eastAsia" w:ascii="仿宋" w:eastAsia="仿宋"/>
          <w:sz w:val="32"/>
          <w:szCs w:val="32"/>
        </w:rPr>
        <w:t>年一般公共预算财政拨款基本支出</w:t>
      </w:r>
      <w:r>
        <w:rPr>
          <w:rFonts w:hint="eastAsia" w:ascii="仿宋" w:eastAsia="仿宋"/>
          <w:sz w:val="32"/>
          <w:szCs w:val="32"/>
          <w:lang w:val="en-US" w:eastAsia="zh-CN"/>
        </w:rPr>
        <w:t>1204.4</w:t>
      </w:r>
      <w:r>
        <w:rPr>
          <w:rFonts w:hint="eastAsia" w:ascii="仿宋" w:eastAsia="仿宋"/>
          <w:sz w:val="32"/>
          <w:szCs w:val="32"/>
        </w:rPr>
        <w:t>万元，其中：</w:t>
      </w:r>
    </w:p>
    <w:p w14:paraId="2B0C6B7C">
      <w:pPr>
        <w:spacing w:line="600" w:lineRule="exact"/>
        <w:ind w:firstLine="645"/>
        <w:rPr>
          <w:rFonts w:ascii="仿宋" w:eastAsia="仿宋"/>
          <w:sz w:val="32"/>
          <w:szCs w:val="32"/>
        </w:rPr>
      </w:pPr>
      <w:r>
        <w:rPr>
          <w:rFonts w:hint="eastAsia" w:ascii="仿宋" w:eastAsia="仿宋"/>
          <w:sz w:val="32"/>
          <w:szCs w:val="32"/>
        </w:rPr>
        <w:t>人员经费</w:t>
      </w:r>
      <w:r>
        <w:rPr>
          <w:rFonts w:hint="eastAsia" w:ascii="仿宋" w:eastAsia="仿宋"/>
          <w:sz w:val="32"/>
          <w:szCs w:val="32"/>
          <w:lang w:val="en-US" w:eastAsia="zh-CN"/>
        </w:rPr>
        <w:t>1149.93</w:t>
      </w:r>
      <w:r>
        <w:rPr>
          <w:rFonts w:hint="eastAsia" w:asci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eastAsia="仿宋"/>
          <w:sz w:val="32"/>
          <w:szCs w:val="32"/>
        </w:rPr>
        <w:br w:type="textWrapping"/>
      </w:r>
      <w:r>
        <w:rPr>
          <w:rFonts w:hint="eastAsia" w:ascii="仿宋" w:eastAsia="仿宋"/>
          <w:sz w:val="32"/>
          <w:szCs w:val="32"/>
        </w:rPr>
        <w:t>　　公用经费</w:t>
      </w:r>
      <w:r>
        <w:rPr>
          <w:rFonts w:hint="eastAsia" w:ascii="仿宋" w:eastAsia="仿宋"/>
          <w:sz w:val="32"/>
          <w:szCs w:val="32"/>
          <w:lang w:val="en-US" w:eastAsia="zh-CN"/>
        </w:rPr>
        <w:t>54.47</w:t>
      </w:r>
      <w:r>
        <w:rPr>
          <w:rFonts w:hint="eastAsia" w:asci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3F0ACCA">
      <w:pPr>
        <w:spacing w:line="600" w:lineRule="exact"/>
        <w:ind w:firstLine="645"/>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w:t>
      </w:r>
      <w:r>
        <w:rPr>
          <w:rFonts w:hint="eastAsia" w:ascii="仿宋" w:eastAsia="仿宋"/>
          <w:b/>
          <w:sz w:val="32"/>
          <w:szCs w:val="32"/>
        </w:rPr>
        <w:t>7表和财决08-1表，仅罗列本单位实际支出涉及的经济分类科目。）</w:t>
      </w:r>
    </w:p>
    <w:p w14:paraId="49D78FF5">
      <w:pPr>
        <w:spacing w:line="600" w:lineRule="exact"/>
        <w:ind w:firstLine="640"/>
        <w:rPr>
          <w:rFonts w:ascii="仿宋" w:eastAsia="仿宋"/>
          <w:b/>
          <w:sz w:val="32"/>
          <w:szCs w:val="32"/>
        </w:rPr>
      </w:pPr>
    </w:p>
    <w:p w14:paraId="1E13B0C7">
      <w:pPr>
        <w:spacing w:line="600" w:lineRule="exact"/>
        <w:ind w:firstLine="640"/>
        <w:outlineLvl w:val="1"/>
        <w:rPr>
          <w:rStyle w:val="22"/>
          <w:rFonts w:ascii="黑体" w:eastAsia="黑体"/>
          <w:b w:val="0"/>
        </w:rPr>
      </w:pPr>
      <w:bookmarkStart w:id="37" w:name="_Toc15377215"/>
      <w:bookmarkStart w:id="38" w:name="_Toc15396609"/>
      <w:r>
        <w:rPr>
          <w:rFonts w:hint="eastAsia" w:ascii="黑体" w:eastAsia="黑体"/>
          <w:sz w:val="32"/>
          <w:szCs w:val="32"/>
        </w:rPr>
        <w:t>七、</w:t>
      </w:r>
      <w:r>
        <w:rPr>
          <w:rStyle w:val="22"/>
          <w:rFonts w:hint="eastAsia" w:ascii="黑体" w:eastAsia="黑体"/>
        </w:rPr>
        <w:t>“</w:t>
      </w:r>
      <w:r>
        <w:rPr>
          <w:rStyle w:val="22"/>
          <w:rFonts w:hint="eastAsia" w:ascii="黑体" w:eastAsia="黑体"/>
          <w:b w:val="0"/>
        </w:rPr>
        <w:t>三公”经费财政拨款支出决算情况说明</w:t>
      </w:r>
      <w:bookmarkEnd w:id="37"/>
      <w:bookmarkEnd w:id="38"/>
    </w:p>
    <w:p w14:paraId="0CF09F70">
      <w:pPr>
        <w:spacing w:line="600" w:lineRule="exact"/>
        <w:ind w:firstLine="640"/>
        <w:outlineLvl w:val="2"/>
        <w:rPr>
          <w:rFonts w:ascii="仿宋" w:eastAsia="仿宋"/>
          <w:b/>
          <w:sz w:val="32"/>
          <w:szCs w:val="32"/>
        </w:rPr>
      </w:pPr>
      <w:bookmarkStart w:id="39" w:name="_Toc15377216"/>
      <w:r>
        <w:rPr>
          <w:rFonts w:hint="eastAsia" w:ascii="仿宋" w:eastAsia="仿宋"/>
          <w:b/>
          <w:sz w:val="32"/>
          <w:szCs w:val="32"/>
        </w:rPr>
        <w:t>（一）“三公”经费财政拨款支出决算总体情况说明</w:t>
      </w:r>
      <w:bookmarkEnd w:id="39"/>
    </w:p>
    <w:p w14:paraId="418B2EAA">
      <w:pPr>
        <w:spacing w:line="600" w:lineRule="exact"/>
        <w:ind w:firstLine="640"/>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4</w:t>
      </w:r>
      <w:r>
        <w:rPr>
          <w:rFonts w:hint="eastAsia" w:ascii="仿宋" w:eastAsia="仿宋"/>
          <w:sz w:val="32"/>
          <w:szCs w:val="32"/>
        </w:rPr>
        <w:t>年“三公”经费财政拨款支出决算为0</w:t>
      </w:r>
      <w:r>
        <w:rPr>
          <w:rFonts w:hint="eastAsia" w:ascii="仿宋" w:eastAsia="仿宋"/>
          <w:sz w:val="32"/>
          <w:szCs w:val="32"/>
          <w:lang w:val="en-US" w:eastAsia="zh-CN"/>
        </w:rPr>
        <w:t>.08</w:t>
      </w:r>
      <w:r>
        <w:rPr>
          <w:rFonts w:hint="eastAsia" w:ascii="仿宋" w:eastAsia="仿宋"/>
          <w:sz w:val="32"/>
          <w:szCs w:val="32"/>
        </w:rPr>
        <w:t>万元，完成预算</w:t>
      </w:r>
      <w:r>
        <w:rPr>
          <w:rFonts w:hint="eastAsia" w:ascii="仿宋" w:eastAsia="仿宋"/>
          <w:sz w:val="32"/>
          <w:szCs w:val="32"/>
          <w:lang w:val="en-US" w:eastAsia="zh-CN"/>
        </w:rPr>
        <w:t>7.14</w:t>
      </w:r>
      <w:r>
        <w:rPr>
          <w:rFonts w:ascii="仿宋" w:eastAsia="仿宋"/>
          <w:sz w:val="32"/>
          <w:szCs w:val="32"/>
        </w:rPr>
        <w:t>%</w:t>
      </w:r>
      <w:r>
        <w:rPr>
          <w:rFonts w:hint="eastAsia" w:ascii="仿宋" w:eastAsia="仿宋"/>
          <w:sz w:val="32"/>
          <w:szCs w:val="32"/>
        </w:rPr>
        <w:t>，决算数小于预算数（或与预算数持平）的主要原因是</w:t>
      </w:r>
      <w:r>
        <w:rPr>
          <w:rFonts w:hint="eastAsia" w:ascii="仿宋" w:eastAsia="仿宋"/>
          <w:sz w:val="32"/>
          <w:szCs w:val="32"/>
          <w:lang w:eastAsia="zh-CN"/>
        </w:rPr>
        <w:t>只存在一次公务来函接待</w:t>
      </w:r>
      <w:r>
        <w:rPr>
          <w:rFonts w:hint="eastAsia" w:ascii="仿宋" w:eastAsia="仿宋"/>
          <w:sz w:val="32"/>
          <w:szCs w:val="32"/>
        </w:rPr>
        <w:t>。</w:t>
      </w:r>
    </w:p>
    <w:p w14:paraId="02EB430F">
      <w:pPr>
        <w:spacing w:line="600" w:lineRule="exact"/>
        <w:ind w:firstLine="640"/>
        <w:rPr>
          <w:rFonts w:ascii="仿宋" w:eastAsia="仿宋"/>
          <w:b/>
          <w:sz w:val="32"/>
          <w:szCs w:val="32"/>
        </w:rPr>
      </w:pPr>
      <w:r>
        <w:rPr>
          <w:rFonts w:hint="eastAsia" w:ascii="仿宋" w:eastAsia="仿宋"/>
          <w:b/>
          <w:sz w:val="32"/>
          <w:szCs w:val="32"/>
        </w:rPr>
        <w:t>（注：上述“预算”口径为调整预算数，包括一般公共预算和政府性基金预算财政拨款支出决算情况。）</w:t>
      </w:r>
    </w:p>
    <w:p w14:paraId="37D1395D">
      <w:pPr>
        <w:spacing w:line="600" w:lineRule="exact"/>
        <w:ind w:firstLine="640"/>
        <w:outlineLvl w:val="2"/>
        <w:rPr>
          <w:rFonts w:ascii="仿宋" w:eastAsia="仿宋"/>
          <w:b/>
          <w:sz w:val="32"/>
          <w:szCs w:val="32"/>
        </w:rPr>
      </w:pPr>
      <w:bookmarkStart w:id="40" w:name="_Toc15377217"/>
      <w:r>
        <w:rPr>
          <w:rFonts w:hint="eastAsia" w:ascii="仿宋" w:eastAsia="仿宋"/>
          <w:b/>
          <w:sz w:val="32"/>
          <w:szCs w:val="32"/>
        </w:rPr>
        <w:t>（二）“三公”经费财政拨款支出决算具体情况说明</w:t>
      </w:r>
      <w:bookmarkEnd w:id="40"/>
    </w:p>
    <w:p w14:paraId="093B79C0">
      <w:pPr>
        <w:spacing w:line="600" w:lineRule="exact"/>
        <w:ind w:firstLine="640"/>
        <w:rPr>
          <w:rFonts w:ascii="仿宋" w:eastAsia="仿宋"/>
          <w:sz w:val="32"/>
          <w:szCs w:val="32"/>
        </w:rPr>
      </w:pPr>
      <w:r>
        <w:rPr>
          <w:rFonts w:ascii="仿宋" w:eastAsia="仿宋"/>
          <w:sz w:val="32"/>
          <w:szCs w:val="32"/>
        </w:rPr>
        <w:t>20</w:t>
      </w:r>
      <w:r>
        <w:rPr>
          <w:rFonts w:hint="eastAsia" w:ascii="仿宋" w:eastAsia="仿宋"/>
          <w:sz w:val="32"/>
          <w:szCs w:val="32"/>
        </w:rPr>
        <w:t>2</w:t>
      </w:r>
      <w:r>
        <w:rPr>
          <w:rFonts w:hint="eastAsia" w:ascii="仿宋" w:eastAsia="仿宋"/>
          <w:sz w:val="32"/>
          <w:szCs w:val="32"/>
          <w:lang w:val="en-US" w:eastAsia="zh-CN"/>
        </w:rPr>
        <w:t>4</w:t>
      </w:r>
      <w:r>
        <w:rPr>
          <w:rFonts w:hint="eastAsia" w:ascii="仿宋" w:eastAsia="仿宋"/>
          <w:sz w:val="32"/>
          <w:szCs w:val="32"/>
        </w:rPr>
        <w:t>年“三公”经费财政拨款支出决算中，因公出国（境）费支出决算0万元，占0</w:t>
      </w:r>
      <w:r>
        <w:rPr>
          <w:rFonts w:ascii="仿宋" w:eastAsia="仿宋"/>
          <w:sz w:val="32"/>
          <w:szCs w:val="32"/>
        </w:rPr>
        <w:t>%</w:t>
      </w:r>
      <w:r>
        <w:rPr>
          <w:rFonts w:hint="eastAsia" w:ascii="仿宋" w:eastAsia="仿宋"/>
          <w:sz w:val="32"/>
          <w:szCs w:val="32"/>
        </w:rPr>
        <w:t>；公务用车购置及运行维护费支出决算0万元，占0</w:t>
      </w:r>
      <w:r>
        <w:rPr>
          <w:rFonts w:ascii="仿宋" w:eastAsia="仿宋"/>
          <w:sz w:val="32"/>
          <w:szCs w:val="32"/>
        </w:rPr>
        <w:t>%</w:t>
      </w:r>
      <w:r>
        <w:rPr>
          <w:rFonts w:hint="eastAsia" w:ascii="仿宋" w:eastAsia="仿宋"/>
          <w:sz w:val="32"/>
          <w:szCs w:val="32"/>
        </w:rPr>
        <w:t>；公务接待费支出决算0</w:t>
      </w:r>
      <w:r>
        <w:rPr>
          <w:rFonts w:hint="eastAsia" w:ascii="仿宋" w:eastAsia="仿宋"/>
          <w:sz w:val="32"/>
          <w:szCs w:val="32"/>
          <w:lang w:val="en-US" w:eastAsia="zh-CN"/>
        </w:rPr>
        <w:t>.08</w:t>
      </w:r>
      <w:r>
        <w:rPr>
          <w:rFonts w:hint="eastAsia" w:ascii="仿宋" w:eastAsia="仿宋"/>
          <w:sz w:val="32"/>
          <w:szCs w:val="32"/>
        </w:rPr>
        <w:t>万元，占</w:t>
      </w:r>
      <w:r>
        <w:rPr>
          <w:rFonts w:hint="eastAsia" w:ascii="仿宋" w:eastAsia="仿宋"/>
          <w:sz w:val="32"/>
          <w:szCs w:val="32"/>
          <w:lang w:val="en-US" w:eastAsia="zh-CN"/>
        </w:rPr>
        <w:t>7.14</w:t>
      </w:r>
      <w:r>
        <w:rPr>
          <w:rFonts w:ascii="仿宋" w:eastAsia="仿宋"/>
          <w:sz w:val="32"/>
          <w:szCs w:val="32"/>
        </w:rPr>
        <w:t>%</w:t>
      </w:r>
      <w:r>
        <w:rPr>
          <w:rFonts w:hint="eastAsia" w:ascii="仿宋" w:eastAsia="仿宋"/>
          <w:sz w:val="32"/>
          <w:szCs w:val="32"/>
        </w:rPr>
        <w:t>。具体情况如下：</w:t>
      </w:r>
    </w:p>
    <w:p w14:paraId="4FDCC1C7">
      <w:pPr>
        <w:spacing w:line="600" w:lineRule="exact"/>
        <w:ind w:firstLine="640"/>
        <w:rPr>
          <w:rFonts w:ascii="仿宋" w:eastAsia="仿宋"/>
          <w:sz w:val="32"/>
          <w:szCs w:val="32"/>
        </w:rPr>
      </w:pPr>
      <w:r>
        <w:rPr>
          <w:rFonts w:hint="eastAsia" w:ascii="仿宋" w:eastAsia="仿宋"/>
          <w:sz w:val="32"/>
          <w:szCs w:val="32"/>
        </w:rPr>
        <w:t>（图7：“三公”经费财政拨款支出结构）（饼状图）</w:t>
      </w:r>
    </w:p>
    <w:p w14:paraId="2634031E">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rPr>
        <w:t>0万元，</w:t>
      </w:r>
      <w:r>
        <w:rPr>
          <w:rStyle w:val="19"/>
          <w:rFonts w:hint="eastAsia" w:ascii="仿宋" w:eastAsia="仿宋"/>
          <w:b w:val="0"/>
          <w:bCs/>
          <w:sz w:val="32"/>
          <w:szCs w:val="32"/>
        </w:rPr>
        <w:t>完成预算0</w:t>
      </w:r>
      <w:r>
        <w:rPr>
          <w:rStyle w:val="19"/>
          <w:rFonts w:ascii="仿宋" w:eastAsia="仿宋"/>
          <w:b w:val="0"/>
          <w:bCs/>
          <w:sz w:val="32"/>
          <w:szCs w:val="32"/>
        </w:rPr>
        <w:t>%</w:t>
      </w:r>
      <w:r>
        <w:rPr>
          <w:rStyle w:val="19"/>
          <w:rFonts w:hint="eastAsia" w:ascii="仿宋" w:eastAsia="仿宋"/>
          <w:b w:val="0"/>
          <w:bCs/>
          <w:sz w:val="32"/>
          <w:szCs w:val="32"/>
        </w:rPr>
        <w:t>。</w:t>
      </w:r>
      <w:r>
        <w:rPr>
          <w:rFonts w:hint="eastAsia" w:ascii="仿宋_GB2312" w:eastAsia="仿宋_GB2312"/>
          <w:sz w:val="32"/>
          <w:szCs w:val="32"/>
        </w:rPr>
        <w:t>全年安排因公出国（境）团组0次，出国（境）0人。因公出国（境）支出决算比</w:t>
      </w:r>
      <w:r>
        <w:rPr>
          <w:rFonts w:ascii="仿宋_GB2312" w:eastAsia="仿宋_GB2312"/>
          <w:sz w:val="32"/>
          <w:szCs w:val="32"/>
        </w:rPr>
        <w:t>20</w:t>
      </w:r>
      <w:r>
        <w:rPr>
          <w:rFonts w:hint="eastAsia" w:ascii="仿宋_GB2312" w:eastAsia="仿宋_GB2312"/>
          <w:sz w:val="32"/>
          <w:szCs w:val="32"/>
        </w:rPr>
        <w:t>23年增加</w:t>
      </w:r>
      <w:r>
        <w:rPr>
          <w:rFonts w:ascii="仿宋_GB2312" w:eastAsia="仿宋_GB2312"/>
          <w:sz w:val="32"/>
          <w:szCs w:val="32"/>
        </w:rPr>
        <w:t>/</w:t>
      </w:r>
      <w:r>
        <w:rPr>
          <w:rFonts w:hint="eastAsia" w:ascii="仿宋_GB2312" w:eastAsia="仿宋_GB2312"/>
          <w:sz w:val="32"/>
          <w:szCs w:val="32"/>
        </w:rPr>
        <w:t>减少0万元，增长</w:t>
      </w:r>
      <w:r>
        <w:rPr>
          <w:rFonts w:ascii="仿宋_GB2312" w:eastAsia="仿宋_GB2312"/>
          <w:sz w:val="32"/>
          <w:szCs w:val="32"/>
        </w:rPr>
        <w:t>/</w:t>
      </w:r>
      <w:r>
        <w:rPr>
          <w:rFonts w:hint="eastAsia" w:ascii="仿宋_GB2312" w:eastAsia="仿宋_GB2312"/>
          <w:sz w:val="32"/>
          <w:szCs w:val="32"/>
        </w:rPr>
        <w:t>下降0</w:t>
      </w:r>
      <w:r>
        <w:rPr>
          <w:rFonts w:ascii="仿宋_GB2312" w:eastAsia="仿宋_GB2312"/>
          <w:sz w:val="32"/>
          <w:szCs w:val="32"/>
        </w:rPr>
        <w:t>%</w:t>
      </w:r>
      <w:r>
        <w:rPr>
          <w:rFonts w:hint="eastAsia" w:ascii="仿宋_GB2312" w:eastAsia="仿宋_GB2312"/>
          <w:sz w:val="32"/>
          <w:szCs w:val="32"/>
        </w:rPr>
        <w:t>。主要原因是无。</w:t>
      </w:r>
    </w:p>
    <w:p w14:paraId="69F0C994">
      <w:pPr>
        <w:spacing w:line="600" w:lineRule="exact"/>
        <w:ind w:firstLine="640"/>
        <w:rPr>
          <w:rFonts w:ascii="仿宋_GB2312" w:eastAsia="仿宋_GB2312"/>
          <w:sz w:val="32"/>
          <w:szCs w:val="32"/>
        </w:rPr>
      </w:pPr>
      <w:r>
        <w:rPr>
          <w:rFonts w:hint="eastAsia" w:ascii="仿宋_GB2312" w:eastAsia="仿宋_GB2312"/>
          <w:sz w:val="32"/>
          <w:szCs w:val="32"/>
        </w:rPr>
        <w:t>开支内容包括：无（团组名称、出访地点、取得成效）等。</w:t>
      </w:r>
    </w:p>
    <w:p w14:paraId="62867F6F">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rPr>
        <w:t>0万元,</w:t>
      </w:r>
      <w:r>
        <w:rPr>
          <w:rStyle w:val="19"/>
          <w:rFonts w:hint="eastAsia" w:ascii="仿宋" w:eastAsia="仿宋"/>
          <w:b w:val="0"/>
          <w:bCs/>
          <w:sz w:val="32"/>
          <w:szCs w:val="32"/>
        </w:rPr>
        <w:t>完成预算0</w:t>
      </w:r>
      <w:r>
        <w:rPr>
          <w:rStyle w:val="19"/>
          <w:rFonts w:ascii="仿宋" w:eastAsia="仿宋"/>
          <w:b w:val="0"/>
          <w:bCs/>
          <w:sz w:val="32"/>
          <w:szCs w:val="32"/>
        </w:rPr>
        <w:t>%</w:t>
      </w:r>
      <w:r>
        <w:rPr>
          <w:rStyle w:val="19"/>
          <w:rFonts w:hint="eastAsia" w:asci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rPr>
        <w:t>23年增加</w:t>
      </w:r>
      <w:r>
        <w:rPr>
          <w:rFonts w:ascii="仿宋_GB2312" w:eastAsia="仿宋_GB2312"/>
          <w:sz w:val="32"/>
          <w:szCs w:val="32"/>
        </w:rPr>
        <w:t>/</w:t>
      </w:r>
      <w:r>
        <w:rPr>
          <w:rFonts w:hint="eastAsia" w:ascii="仿宋_GB2312" w:eastAsia="仿宋_GB2312"/>
          <w:sz w:val="32"/>
          <w:szCs w:val="32"/>
        </w:rPr>
        <w:t>减少0万元，增长</w:t>
      </w:r>
      <w:r>
        <w:rPr>
          <w:rFonts w:ascii="仿宋_GB2312" w:eastAsia="仿宋_GB2312"/>
          <w:sz w:val="32"/>
          <w:szCs w:val="32"/>
        </w:rPr>
        <w:t>/</w:t>
      </w:r>
      <w:r>
        <w:rPr>
          <w:rFonts w:hint="eastAsia" w:ascii="仿宋_GB2312" w:eastAsia="仿宋_GB2312"/>
          <w:sz w:val="32"/>
          <w:szCs w:val="32"/>
        </w:rPr>
        <w:t>下降0</w:t>
      </w:r>
      <w:r>
        <w:rPr>
          <w:rFonts w:ascii="仿宋_GB2312" w:eastAsia="仿宋_GB2312"/>
          <w:sz w:val="32"/>
          <w:szCs w:val="32"/>
        </w:rPr>
        <w:t>%</w:t>
      </w:r>
      <w:r>
        <w:rPr>
          <w:rFonts w:hint="eastAsia" w:ascii="仿宋_GB2312" w:eastAsia="仿宋_GB2312"/>
          <w:sz w:val="32"/>
          <w:szCs w:val="32"/>
        </w:rPr>
        <w:t>。主要原因是无。</w:t>
      </w:r>
    </w:p>
    <w:p w14:paraId="085672DA">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rPr>
        <w:t>0万元。全年按规定更新购置公务用车0辆，其中：轿车0辆、金额0万元，越野车0辆、金额0万元，载客汽车0辆、金额0万元，主要用于无。截至</w:t>
      </w:r>
      <w:r>
        <w:rPr>
          <w:rFonts w:ascii="仿宋_GB2312" w:eastAsia="仿宋_GB2312"/>
          <w:sz w:val="32"/>
          <w:szCs w:val="32"/>
        </w:rPr>
        <w:t>20</w:t>
      </w:r>
      <w:r>
        <w:rPr>
          <w:rFonts w:hint="eastAsia" w:ascii="仿宋_GB2312" w:eastAsia="仿宋_GB2312"/>
          <w:sz w:val="32"/>
          <w:szCs w:val="32"/>
        </w:rPr>
        <w:t>23年</w:t>
      </w:r>
      <w:r>
        <w:rPr>
          <w:rFonts w:ascii="仿宋_GB2312" w:eastAsia="仿宋_GB2312"/>
          <w:sz w:val="32"/>
          <w:szCs w:val="32"/>
        </w:rPr>
        <w:t>12</w:t>
      </w:r>
      <w:r>
        <w:rPr>
          <w:rFonts w:hint="eastAsia" w:ascii="仿宋_GB2312" w:eastAsia="仿宋_GB2312"/>
          <w:sz w:val="32"/>
          <w:szCs w:val="32"/>
        </w:rPr>
        <w:t>月底，单位共有公务用车0辆，其中：轿车0辆、越野车0辆、载客汽车0辆。</w:t>
      </w:r>
    </w:p>
    <w:p w14:paraId="5BB95C78">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rPr>
        <w:t>0万元。主要用于无（具体工作）等所需的公务用车燃料费、维修费、过路过桥费、保险费等支出。</w:t>
      </w:r>
    </w:p>
    <w:p w14:paraId="4F18200D">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rPr>
        <w:t>0</w:t>
      </w:r>
      <w:r>
        <w:rPr>
          <w:rFonts w:hint="eastAsia" w:ascii="仿宋_GB2312" w:eastAsia="仿宋_GB2312"/>
          <w:sz w:val="32"/>
          <w:szCs w:val="32"/>
          <w:lang w:val="en-US" w:eastAsia="zh-CN"/>
        </w:rPr>
        <w:t>.08</w:t>
      </w:r>
      <w:r>
        <w:rPr>
          <w:rFonts w:hint="eastAsia" w:ascii="仿宋_GB2312" w:eastAsia="仿宋_GB2312"/>
          <w:sz w:val="32"/>
          <w:szCs w:val="32"/>
        </w:rPr>
        <w:t>万元，</w:t>
      </w:r>
      <w:r>
        <w:rPr>
          <w:rStyle w:val="19"/>
          <w:rFonts w:hint="eastAsia" w:ascii="仿宋" w:eastAsia="仿宋"/>
          <w:b w:val="0"/>
          <w:bCs/>
          <w:sz w:val="32"/>
          <w:szCs w:val="32"/>
        </w:rPr>
        <w:t>完成预算0</w:t>
      </w:r>
      <w:r>
        <w:rPr>
          <w:rStyle w:val="19"/>
          <w:rFonts w:ascii="仿宋" w:eastAsia="仿宋"/>
          <w:b w:val="0"/>
          <w:bCs/>
          <w:sz w:val="32"/>
          <w:szCs w:val="32"/>
        </w:rPr>
        <w:t>%</w:t>
      </w:r>
      <w:r>
        <w:rPr>
          <w:rStyle w:val="19"/>
          <w:rFonts w:hint="eastAsia" w:asci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23年增加</w:t>
      </w:r>
      <w:r>
        <w:rPr>
          <w:rFonts w:hint="eastAsia" w:ascii="仿宋_GB2312" w:eastAsia="仿宋_GB2312"/>
          <w:sz w:val="32"/>
          <w:szCs w:val="32"/>
          <w:lang w:val="en-US" w:eastAsia="zh-CN"/>
        </w:rPr>
        <w:t>0.08</w:t>
      </w:r>
      <w:r>
        <w:rPr>
          <w:rFonts w:hint="eastAsia" w:ascii="仿宋_GB2312" w:eastAsia="仿宋_GB2312"/>
          <w:sz w:val="32"/>
          <w:szCs w:val="32"/>
        </w:rPr>
        <w:t>万元，增长</w:t>
      </w:r>
      <w:r>
        <w:rPr>
          <w:rFonts w:hint="eastAsia" w:ascii="仿宋_GB2312" w:eastAsia="仿宋_GB2312"/>
          <w:sz w:val="32"/>
          <w:szCs w:val="32"/>
          <w:lang w:val="en-US" w:eastAsia="zh-CN"/>
        </w:rPr>
        <w:t>10</w:t>
      </w:r>
      <w:r>
        <w:rPr>
          <w:rFonts w:hint="eastAsia" w:ascii="仿宋_GB2312" w:eastAsia="仿宋_GB2312"/>
          <w:sz w:val="32"/>
          <w:szCs w:val="32"/>
        </w:rPr>
        <w:t>0</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存在一次公务接待</w:t>
      </w:r>
      <w:r>
        <w:rPr>
          <w:rFonts w:hint="eastAsia" w:ascii="仿宋_GB2312" w:eastAsia="仿宋_GB2312"/>
          <w:sz w:val="32"/>
          <w:szCs w:val="32"/>
        </w:rPr>
        <w:t>：</w:t>
      </w:r>
    </w:p>
    <w:p w14:paraId="59AE48CE">
      <w:pPr>
        <w:spacing w:line="600" w:lineRule="exact"/>
        <w:ind w:firstLine="640"/>
        <w:rPr>
          <w:rFonts w:ascii="仿宋_GB2312" w:eastAsia="仿宋_GB2312"/>
          <w:sz w:val="32"/>
          <w:szCs w:val="32"/>
        </w:rPr>
      </w:pPr>
      <w:r>
        <w:rPr>
          <w:rFonts w:hint="eastAsia" w:ascii="仿宋" w:eastAsia="仿宋"/>
          <w:b/>
          <w:sz w:val="32"/>
          <w:szCs w:val="32"/>
        </w:rPr>
        <w:t>国内公务接待支出</w:t>
      </w:r>
      <w:r>
        <w:rPr>
          <w:rFonts w:hint="eastAsia" w:ascii="仿宋" w:eastAsia="仿宋"/>
          <w:sz w:val="32"/>
          <w:szCs w:val="32"/>
        </w:rPr>
        <w:t>0</w:t>
      </w:r>
      <w:r>
        <w:rPr>
          <w:rFonts w:hint="eastAsia" w:ascii="仿宋" w:eastAsia="仿宋"/>
          <w:sz w:val="32"/>
          <w:szCs w:val="32"/>
          <w:lang w:val="en-US" w:eastAsia="zh-CN"/>
        </w:rPr>
        <w:t>.08</w:t>
      </w:r>
      <w:r>
        <w:rPr>
          <w:rFonts w:hint="eastAsia" w:ascii="仿宋_GB2312" w:eastAsia="仿宋_GB2312"/>
          <w:sz w:val="32"/>
          <w:szCs w:val="32"/>
        </w:rPr>
        <w:t>万元，主要用于开展业务活动开支的用餐费。国内公务接待</w:t>
      </w:r>
      <w:r>
        <w:rPr>
          <w:rFonts w:hint="eastAsia" w:ascii="仿宋_GB2312" w:eastAsia="仿宋_GB2312"/>
          <w:sz w:val="32"/>
          <w:szCs w:val="32"/>
          <w:lang w:val="en-US" w:eastAsia="zh-CN"/>
        </w:rPr>
        <w:t>1</w:t>
      </w:r>
      <w:r>
        <w:rPr>
          <w:rFonts w:hint="eastAsia" w:ascii="仿宋_GB2312" w:eastAsia="仿宋_GB2312"/>
          <w:sz w:val="32"/>
          <w:szCs w:val="32"/>
        </w:rPr>
        <w:t>批次，</w:t>
      </w:r>
      <w:r>
        <w:rPr>
          <w:rFonts w:hint="eastAsia" w:ascii="仿宋_GB2312" w:eastAsia="仿宋_GB2312"/>
          <w:sz w:val="32"/>
          <w:szCs w:val="32"/>
          <w:lang w:val="en-US" w:eastAsia="zh-CN"/>
        </w:rPr>
        <w:t>10</w:t>
      </w:r>
      <w:r>
        <w:rPr>
          <w:rFonts w:hint="eastAsia" w:ascii="仿宋_GB2312" w:eastAsia="仿宋_GB2312"/>
          <w:sz w:val="32"/>
          <w:szCs w:val="32"/>
        </w:rPr>
        <w:t>人次（不包括陪同人员），共计支出0</w:t>
      </w:r>
      <w:r>
        <w:rPr>
          <w:rFonts w:hint="eastAsia" w:ascii="仿宋_GB2312" w:eastAsia="仿宋_GB2312"/>
          <w:sz w:val="32"/>
          <w:szCs w:val="32"/>
          <w:lang w:val="en-US" w:eastAsia="zh-CN"/>
        </w:rPr>
        <w:t>.08</w:t>
      </w:r>
      <w:r>
        <w:rPr>
          <w:rFonts w:hint="eastAsia" w:ascii="仿宋_GB2312" w:eastAsia="仿宋_GB2312"/>
          <w:sz w:val="32"/>
          <w:szCs w:val="32"/>
        </w:rPr>
        <w:t>万元，具体内容包括：无（接待具体项目、金额）。</w:t>
      </w:r>
    </w:p>
    <w:p w14:paraId="36BBB7A4">
      <w:pPr>
        <w:spacing w:line="600" w:lineRule="exact"/>
        <w:ind w:firstLine="643" w:firstLineChars="200"/>
        <w:rPr>
          <w:rFonts w:ascii="仿宋_GB2312" w:eastAsia="仿宋_GB2312"/>
          <w:sz w:val="32"/>
          <w:szCs w:val="32"/>
        </w:rPr>
      </w:pPr>
      <w:r>
        <w:rPr>
          <w:rFonts w:hint="eastAsia" w:ascii="仿宋" w:eastAsia="仿宋"/>
          <w:b/>
          <w:sz w:val="32"/>
          <w:szCs w:val="32"/>
        </w:rPr>
        <w:t>外事接待支出</w:t>
      </w:r>
      <w:r>
        <w:rPr>
          <w:rFonts w:hint="eastAsia" w:ascii="仿宋" w:eastAsia="仿宋"/>
          <w:sz w:val="32"/>
          <w:szCs w:val="32"/>
        </w:rPr>
        <w:t>0</w:t>
      </w:r>
      <w:r>
        <w:rPr>
          <w:rFonts w:hint="eastAsia" w:ascii="仿宋_GB2312" w:eastAsia="仿宋_GB2312"/>
          <w:sz w:val="32"/>
          <w:szCs w:val="32"/>
        </w:rPr>
        <w:t>万元，外事接待0批次，0人，共计支出0万元，主要用于接待无（具体项目）。主要用于无</w:t>
      </w:r>
    </w:p>
    <w:p w14:paraId="02995FF6">
      <w:pPr>
        <w:spacing w:line="600" w:lineRule="exact"/>
        <w:ind w:firstLine="640"/>
        <w:outlineLvl w:val="1"/>
        <w:rPr>
          <w:rFonts w:ascii="黑体" w:eastAsia="黑体"/>
          <w:sz w:val="32"/>
          <w:szCs w:val="32"/>
        </w:rPr>
      </w:pPr>
      <w:bookmarkStart w:id="41" w:name="_Toc15396610"/>
      <w:bookmarkStart w:id="42" w:name="_Toc15377218"/>
    </w:p>
    <w:p w14:paraId="12EBB440">
      <w:pPr>
        <w:spacing w:line="600" w:lineRule="exact"/>
        <w:ind w:firstLine="640"/>
        <w:outlineLvl w:val="1"/>
        <w:rPr>
          <w:rStyle w:val="22"/>
          <w:rFonts w:ascii="黑体" w:eastAsia="黑体"/>
        </w:rPr>
      </w:pPr>
      <w:r>
        <w:rPr>
          <w:rFonts w:hint="eastAsia" w:ascii="黑体" w:eastAsia="黑体"/>
          <w:sz w:val="32"/>
          <w:szCs w:val="32"/>
        </w:rPr>
        <w:t>八、</w:t>
      </w:r>
      <w:r>
        <w:rPr>
          <w:rStyle w:val="22"/>
          <w:rFonts w:hint="eastAsia" w:ascii="黑体" w:eastAsia="黑体"/>
          <w:b w:val="0"/>
        </w:rPr>
        <w:t>政府性基金预算支出决算情况说明</w:t>
      </w:r>
      <w:bookmarkEnd w:id="41"/>
      <w:bookmarkEnd w:id="42"/>
    </w:p>
    <w:p w14:paraId="6B5DBD4E">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年政府性基金预算财政拨款支出0万元。</w:t>
      </w:r>
    </w:p>
    <w:p w14:paraId="323B7DC5">
      <w:pPr>
        <w:spacing w:line="600" w:lineRule="exact"/>
        <w:ind w:firstLine="640"/>
        <w:rPr>
          <w:rFonts w:ascii="仿宋_GB2312" w:eastAsia="仿宋_GB2312"/>
          <w:sz w:val="32"/>
          <w:szCs w:val="32"/>
        </w:rPr>
      </w:pPr>
    </w:p>
    <w:p w14:paraId="02D6462C">
      <w:pPr>
        <w:numPr>
          <w:ilvl w:val="0"/>
          <w:numId w:val="3"/>
        </w:numPr>
        <w:spacing w:line="600" w:lineRule="exact"/>
        <w:ind w:firstLine="640"/>
        <w:outlineLvl w:val="1"/>
        <w:rPr>
          <w:rStyle w:val="22"/>
          <w:rFonts w:ascii="黑体" w:eastAsia="黑体"/>
          <w:b w:val="0"/>
        </w:rPr>
      </w:pPr>
      <w:bookmarkStart w:id="43" w:name="_Toc15377219"/>
      <w:bookmarkStart w:id="44" w:name="_Toc15396611"/>
      <w:r>
        <w:rPr>
          <w:rStyle w:val="22"/>
          <w:rFonts w:hint="eastAsia" w:ascii="黑体" w:eastAsia="黑体"/>
          <w:b w:val="0"/>
        </w:rPr>
        <w:t>国有资本经营预算支出决算情况说明</w:t>
      </w:r>
      <w:bookmarkEnd w:id="43"/>
      <w:bookmarkEnd w:id="44"/>
    </w:p>
    <w:p w14:paraId="44F08850">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年国有资本经营预算财政拨款支出0万元。</w:t>
      </w:r>
    </w:p>
    <w:p w14:paraId="7A7F103B">
      <w:pPr>
        <w:spacing w:line="580" w:lineRule="exact"/>
        <w:jc w:val="center"/>
        <w:rPr>
          <w:rFonts w:ascii="方正小标宋简体" w:eastAsia="方正小标宋简体" w:cs="方正小标宋简体"/>
          <w:sz w:val="44"/>
          <w:szCs w:val="44"/>
        </w:rPr>
      </w:pPr>
    </w:p>
    <w:p w14:paraId="02C779CD">
      <w:pPr>
        <w:numPr>
          <w:ilvl w:val="0"/>
          <w:numId w:val="3"/>
        </w:numPr>
        <w:spacing w:line="600" w:lineRule="exact"/>
        <w:ind w:firstLine="640"/>
        <w:outlineLvl w:val="1"/>
        <w:rPr>
          <w:rStyle w:val="22"/>
          <w:rFonts w:ascii="黑体" w:eastAsia="黑体"/>
          <w:b w:val="0"/>
        </w:rPr>
      </w:pPr>
      <w:bookmarkStart w:id="45" w:name="_Toc15396612"/>
      <w:bookmarkStart w:id="46" w:name="_Toc15377221"/>
      <w:r>
        <w:rPr>
          <w:rStyle w:val="22"/>
          <w:rFonts w:hint="eastAsia" w:ascii="黑体" w:eastAsia="黑体"/>
          <w:b w:val="0"/>
        </w:rPr>
        <w:t>其他重要事项的情况说明</w:t>
      </w:r>
      <w:bookmarkEnd w:id="45"/>
      <w:bookmarkEnd w:id="46"/>
    </w:p>
    <w:p w14:paraId="2C336891">
      <w:pPr>
        <w:spacing w:line="600" w:lineRule="exact"/>
        <w:ind w:firstLine="643" w:firstLineChars="200"/>
        <w:outlineLvl w:val="2"/>
        <w:rPr>
          <w:rFonts w:ascii="仿宋" w:eastAsia="仿宋"/>
          <w:sz w:val="32"/>
          <w:szCs w:val="32"/>
        </w:rPr>
      </w:pPr>
      <w:bookmarkStart w:id="47" w:name="_Toc15377222"/>
      <w:r>
        <w:rPr>
          <w:rFonts w:hint="eastAsia" w:ascii="仿宋" w:eastAsia="仿宋"/>
          <w:b/>
          <w:sz w:val="32"/>
          <w:szCs w:val="32"/>
        </w:rPr>
        <w:t>（一）机关运行经费支出情况</w:t>
      </w:r>
      <w:bookmarkEnd w:id="47"/>
    </w:p>
    <w:p w14:paraId="475E61B7">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 w:hAnsi="仿宋" w:eastAsia="仿宋" w:cs="Calibri"/>
          <w:kern w:val="0"/>
          <w:sz w:val="32"/>
          <w:szCs w:val="32"/>
        </w:rPr>
        <w:t>阿坝藏族羌族自治州州级机关幼儿园</w:t>
      </w:r>
      <w:r>
        <w:rPr>
          <w:rFonts w:hint="eastAsia" w:ascii="仿宋_GB2312" w:eastAsia="仿宋_GB2312"/>
          <w:sz w:val="32"/>
          <w:szCs w:val="32"/>
        </w:rPr>
        <w:t>机关运行经费支出</w:t>
      </w:r>
      <w:r>
        <w:rPr>
          <w:rFonts w:hint="eastAsia" w:ascii="仿宋" w:eastAsia="仿宋"/>
          <w:sz w:val="32"/>
          <w:szCs w:val="32"/>
          <w:lang w:val="en-US" w:eastAsia="zh-CN"/>
        </w:rPr>
        <w:t>0</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3</w:t>
      </w:r>
      <w:r>
        <w:rPr>
          <w:rFonts w:hint="eastAsia" w:ascii="仿宋_GB2312" w:eastAsia="仿宋_GB2312"/>
          <w:sz w:val="32"/>
          <w:szCs w:val="32"/>
        </w:rPr>
        <w:t>年</w:t>
      </w:r>
      <w:r>
        <w:rPr>
          <w:rFonts w:hint="eastAsia" w:ascii="仿宋_GB2312" w:eastAsia="仿宋_GB2312"/>
          <w:sz w:val="32"/>
          <w:szCs w:val="32"/>
          <w:lang w:val="en-US" w:eastAsia="zh-CN"/>
        </w:rPr>
        <w:t>0</w:t>
      </w:r>
      <w:r>
        <w:rPr>
          <w:rFonts w:hint="eastAsia" w:ascii="仿宋_GB2312" w:eastAsia="仿宋_GB2312"/>
          <w:sz w:val="32"/>
          <w:szCs w:val="32"/>
        </w:rPr>
        <w:t>万元，增加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。主要原因</w:t>
      </w:r>
      <w:r>
        <w:rPr>
          <w:rFonts w:hint="eastAsia" w:ascii="仿宋_GB2312" w:eastAsia="仿宋_GB2312"/>
          <w:sz w:val="32"/>
          <w:szCs w:val="32"/>
          <w:lang w:eastAsia="zh-CN"/>
        </w:rPr>
        <w:t>无。</w:t>
      </w:r>
      <w:r>
        <w:rPr>
          <w:rFonts w:hint="eastAsia" w:ascii="仿宋_GB2312" w:eastAsia="仿宋_GB2312"/>
          <w:sz w:val="32"/>
          <w:szCs w:val="32"/>
        </w:rPr>
        <w:t>。</w:t>
      </w:r>
    </w:p>
    <w:p w14:paraId="5B0C3763">
      <w:pPr>
        <w:spacing w:line="600" w:lineRule="exact"/>
        <w:ind w:firstLine="643" w:firstLineChars="200"/>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w:t>
      </w:r>
    </w:p>
    <w:p w14:paraId="02E561E2">
      <w:pPr>
        <w:autoSpaceDE w:val="0"/>
        <w:autoSpaceDN w:val="0"/>
        <w:adjustRightInd w:val="0"/>
        <w:spacing w:line="600" w:lineRule="exact"/>
        <w:ind w:firstLine="643" w:firstLineChars="200"/>
        <w:jc w:val="left"/>
        <w:outlineLvl w:val="2"/>
        <w:rPr>
          <w:rFonts w:ascii="仿宋" w:eastAsia="仿宋"/>
          <w:b/>
          <w:sz w:val="32"/>
          <w:szCs w:val="32"/>
        </w:rPr>
      </w:pPr>
      <w:bookmarkStart w:id="48" w:name="_Toc15377223"/>
      <w:r>
        <w:rPr>
          <w:rFonts w:hint="eastAsia" w:ascii="仿宋" w:eastAsia="仿宋"/>
          <w:b/>
          <w:sz w:val="32"/>
          <w:szCs w:val="32"/>
        </w:rPr>
        <w:t>（二）政府采购支出情况</w:t>
      </w:r>
      <w:bookmarkEnd w:id="48"/>
    </w:p>
    <w:p w14:paraId="30BD4922">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 w:hAnsi="仿宋" w:eastAsia="仿宋" w:cs="Calibri"/>
          <w:kern w:val="0"/>
          <w:sz w:val="32"/>
          <w:szCs w:val="32"/>
        </w:rPr>
        <w:t>阿坝藏族羌族自治州州级机关幼儿园</w:t>
      </w:r>
      <w:r>
        <w:rPr>
          <w:rFonts w:hint="eastAsia" w:ascii="仿宋_GB2312" w:eastAsia="仿宋_GB2312"/>
          <w:sz w:val="32"/>
          <w:szCs w:val="32"/>
        </w:rPr>
        <w:t>政府采购支出总额0万元，其中：政府采购货物支出0万元、政府采购工程支出0万元、政府采购服务支出0万元。授予中小企业合同金额0万元，占政府采购支出总额的0</w:t>
      </w:r>
      <w:r>
        <w:rPr>
          <w:rFonts w:ascii="仿宋_GB2312" w:eastAsia="仿宋_GB2312"/>
          <w:sz w:val="32"/>
          <w:szCs w:val="32"/>
        </w:rPr>
        <w:t>%</w:t>
      </w:r>
      <w:r>
        <w:rPr>
          <w:rFonts w:hint="eastAsia" w:ascii="仿宋_GB2312" w:eastAsia="仿宋_GB2312"/>
          <w:sz w:val="32"/>
          <w:szCs w:val="32"/>
        </w:rPr>
        <w:t>，其中：授予小微企业合同金额0万元，占政府采购支出总额的0</w:t>
      </w:r>
      <w:r>
        <w:rPr>
          <w:rFonts w:ascii="仿宋_GB2312" w:eastAsia="仿宋_GB2312"/>
          <w:sz w:val="32"/>
          <w:szCs w:val="32"/>
        </w:rPr>
        <w:t>%</w:t>
      </w:r>
      <w:r>
        <w:rPr>
          <w:rFonts w:hint="eastAsia" w:ascii="仿宋_GB2312" w:eastAsia="仿宋_GB2312"/>
          <w:sz w:val="32"/>
          <w:szCs w:val="32"/>
        </w:rPr>
        <w:t>。</w:t>
      </w:r>
    </w:p>
    <w:p w14:paraId="75BC45C7">
      <w:pPr>
        <w:spacing w:line="600" w:lineRule="exact"/>
        <w:ind w:firstLine="643" w:firstLineChars="200"/>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w:t>
      </w:r>
    </w:p>
    <w:p w14:paraId="29CDF003">
      <w:pPr>
        <w:autoSpaceDE w:val="0"/>
        <w:autoSpaceDN w:val="0"/>
        <w:adjustRightInd w:val="0"/>
        <w:spacing w:line="600" w:lineRule="exact"/>
        <w:ind w:firstLine="643" w:firstLineChars="200"/>
        <w:jc w:val="left"/>
        <w:outlineLvl w:val="2"/>
        <w:rPr>
          <w:rFonts w:ascii="仿宋" w:eastAsia="仿宋"/>
          <w:b/>
          <w:sz w:val="32"/>
          <w:szCs w:val="32"/>
        </w:rPr>
      </w:pPr>
      <w:bookmarkStart w:id="49" w:name="_Toc15377224"/>
      <w:r>
        <w:rPr>
          <w:rFonts w:hint="eastAsia" w:ascii="仿宋" w:eastAsia="仿宋"/>
          <w:b/>
          <w:sz w:val="32"/>
          <w:szCs w:val="32"/>
        </w:rPr>
        <w:t>（三）国有资产占有使用情况</w:t>
      </w:r>
      <w:bookmarkEnd w:id="49"/>
    </w:p>
    <w:p w14:paraId="15D05C2A">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 w:hAnsi="仿宋" w:eastAsia="仿宋" w:cs="Calibri"/>
          <w:kern w:val="0"/>
          <w:sz w:val="32"/>
          <w:szCs w:val="32"/>
        </w:rPr>
        <w:t>阿坝藏族羌族自治州州级机关幼儿园</w:t>
      </w:r>
      <w:r>
        <w:rPr>
          <w:rFonts w:hint="eastAsia" w:ascii="仿宋_GB2312" w:eastAsia="仿宋_GB2312"/>
          <w:sz w:val="32"/>
          <w:szCs w:val="32"/>
        </w:rPr>
        <w:t>共有车辆0辆，其中：主要领导干部用车0辆、机要通信用车0辆、应急保障用车0辆、其他用车0辆；其他用车主要是用于0单价</w:t>
      </w:r>
      <w:r>
        <w:rPr>
          <w:rFonts w:ascii="仿宋_GB2312" w:eastAsia="仿宋_GB2312"/>
          <w:sz w:val="32"/>
          <w:szCs w:val="32"/>
        </w:rPr>
        <w:t>50</w:t>
      </w:r>
      <w:r>
        <w:rPr>
          <w:rFonts w:hint="eastAsia" w:ascii="仿宋_GB2312" w:eastAsia="仿宋_GB2312"/>
          <w:sz w:val="32"/>
          <w:szCs w:val="32"/>
        </w:rPr>
        <w:t>万元以上通用设备0台（套），单价</w:t>
      </w:r>
      <w:r>
        <w:rPr>
          <w:rFonts w:ascii="仿宋_GB2312" w:eastAsia="仿宋_GB2312"/>
          <w:sz w:val="32"/>
          <w:szCs w:val="32"/>
        </w:rPr>
        <w:t>100</w:t>
      </w:r>
      <w:r>
        <w:rPr>
          <w:rFonts w:hint="eastAsia" w:ascii="仿宋_GB2312" w:eastAsia="仿宋_GB2312"/>
          <w:sz w:val="32"/>
          <w:szCs w:val="32"/>
        </w:rPr>
        <w:t>万元以上专用设备0台（套）。</w:t>
      </w:r>
    </w:p>
    <w:p w14:paraId="5B38E45A">
      <w:pPr>
        <w:autoSpaceDE w:val="0"/>
        <w:autoSpaceDN w:val="0"/>
        <w:adjustRightInd w:val="0"/>
        <w:spacing w:line="600" w:lineRule="exact"/>
        <w:ind w:firstLine="643" w:firstLineChars="200"/>
        <w:jc w:val="left"/>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表，按单位决算报表填报数据罗列车辆情况。）</w:t>
      </w:r>
    </w:p>
    <w:p w14:paraId="3C23070E">
      <w:pPr>
        <w:autoSpaceDE w:val="0"/>
        <w:autoSpaceDN w:val="0"/>
        <w:adjustRightInd w:val="0"/>
        <w:spacing w:line="600" w:lineRule="exact"/>
        <w:ind w:firstLine="643" w:firstLineChars="200"/>
        <w:jc w:val="left"/>
        <w:outlineLvl w:val="2"/>
        <w:rPr>
          <w:rFonts w:ascii="仿宋" w:eastAsia="仿宋"/>
          <w:b/>
          <w:sz w:val="32"/>
          <w:szCs w:val="32"/>
        </w:rPr>
      </w:pPr>
      <w:r>
        <w:rPr>
          <w:rFonts w:hint="eastAsia" w:ascii="仿宋" w:eastAsia="仿宋"/>
          <w:b/>
          <w:sz w:val="32"/>
          <w:szCs w:val="32"/>
        </w:rPr>
        <w:t>（四）预算绩效管理情况</w:t>
      </w:r>
    </w:p>
    <w:p w14:paraId="2E1840FA">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根据预算绩效管理要求，本</w:t>
      </w:r>
      <w:r>
        <w:rPr>
          <w:rFonts w:ascii="仿宋_GB2312" w:eastAsia="仿宋_GB2312" w:cs="仿宋_GB2312"/>
          <w:sz w:val="32"/>
          <w:szCs w:val="32"/>
        </w:rPr>
        <w:t>单位</w:t>
      </w:r>
      <w:r>
        <w:rPr>
          <w:rFonts w:hint="eastAsia" w:ascii="仿宋_GB2312" w:eastAsia="仿宋_GB2312" w:cs="仿宋_GB2312"/>
          <w:sz w:val="32"/>
          <w:szCs w:val="32"/>
        </w:rPr>
        <w:t>在20</w:t>
      </w:r>
      <w:r>
        <w:rPr>
          <w:rFonts w:hint="eastAsia" w:ascii="仿宋_GB2312" w:eastAsia="仿宋_GB2312" w:cs="仿宋_GB2312"/>
          <w:sz w:val="32"/>
          <w:szCs w:val="32"/>
          <w:lang w:val="en-US" w:eastAsia="zh-CN"/>
        </w:rPr>
        <w:t>24</w:t>
      </w:r>
      <w:r>
        <w:rPr>
          <w:rFonts w:hint="eastAsia" w:ascii="仿宋_GB2312" w:eastAsia="仿宋_GB2312" w:cs="仿宋_GB2312"/>
          <w:sz w:val="32"/>
          <w:szCs w:val="32"/>
        </w:rPr>
        <w:t>年度预算编制阶段，组织对学生公用经费项目等</w:t>
      </w:r>
      <w:r>
        <w:rPr>
          <w:rFonts w:hint="eastAsia" w:ascii="仿宋_GB2312" w:eastAsia="仿宋_GB2312" w:cs="仿宋_GB2312"/>
          <w:sz w:val="32"/>
          <w:szCs w:val="32"/>
          <w:lang w:val="en-US" w:eastAsia="zh-CN"/>
        </w:rPr>
        <w:t>12</w:t>
      </w:r>
      <w:r>
        <w:rPr>
          <w:rFonts w:hint="eastAsia" w:ascii="仿宋_GB2312" w:eastAsia="仿宋_GB2312" w:cs="仿宋_GB2312"/>
          <w:sz w:val="32"/>
          <w:szCs w:val="32"/>
        </w:rPr>
        <w:t>个项目开展了预算事前绩效评估，对</w:t>
      </w:r>
      <w:r>
        <w:rPr>
          <w:rFonts w:hint="eastAsia" w:ascii="仿宋_GB2312" w:eastAsia="仿宋_GB2312" w:cs="仿宋_GB2312"/>
          <w:sz w:val="32"/>
          <w:szCs w:val="32"/>
          <w:lang w:val="en-US" w:eastAsia="zh-CN"/>
        </w:rPr>
        <w:t>12</w:t>
      </w:r>
      <w:r>
        <w:rPr>
          <w:rFonts w:hint="eastAsia" w:ascii="仿宋_GB2312" w:eastAsia="仿宋_GB2312" w:cs="仿宋_GB2312"/>
          <w:sz w:val="32"/>
          <w:szCs w:val="32"/>
        </w:rPr>
        <w:t>个项目编制了绩效目标，预算执行过程中，选取</w:t>
      </w:r>
      <w:r>
        <w:rPr>
          <w:rFonts w:hint="eastAsia" w:ascii="仿宋_GB2312" w:eastAsia="仿宋_GB2312" w:cs="仿宋_GB2312"/>
          <w:sz w:val="32"/>
          <w:szCs w:val="32"/>
          <w:lang w:val="en-US" w:eastAsia="zh-CN"/>
        </w:rPr>
        <w:t>12</w:t>
      </w:r>
      <w:r>
        <w:rPr>
          <w:rFonts w:hint="eastAsia" w:ascii="仿宋_GB2312" w:eastAsia="仿宋_GB2312" w:cs="仿宋_GB2312"/>
          <w:sz w:val="32"/>
          <w:szCs w:val="32"/>
        </w:rPr>
        <w:t>个项目开展绩效监控。</w:t>
      </w:r>
      <w:r>
        <w:rPr>
          <w:rFonts w:ascii="仿宋_GB2312" w:eastAsia="仿宋_GB2312" w:cs="仿宋_GB2312"/>
          <w:sz w:val="32"/>
          <w:szCs w:val="32"/>
        </w:rPr>
        <w:t>绩效自评报表见第四部分附件</w:t>
      </w:r>
    </w:p>
    <w:p w14:paraId="5461BF5E">
      <w:pPr>
        <w:widowControl/>
        <w:jc w:val="left"/>
        <w:rPr>
          <w:rFonts w:ascii="仿宋_GB2312" w:eastAsia="仿宋_GB2312"/>
          <w:b/>
          <w:sz w:val="32"/>
          <w:szCs w:val="32"/>
        </w:rPr>
      </w:pPr>
    </w:p>
    <w:p w14:paraId="1CCF5CE3">
      <w:pPr>
        <w:numPr>
          <w:ilvl w:val="0"/>
          <w:numId w:val="4"/>
        </w:numPr>
        <w:spacing w:line="600" w:lineRule="exact"/>
        <w:ind w:firstLine="660" w:firstLineChars="150"/>
        <w:jc w:val="center"/>
        <w:outlineLvl w:val="0"/>
        <w:rPr>
          <w:rStyle w:val="21"/>
          <w:rFonts w:ascii="黑体" w:eastAsia="黑体"/>
          <w:b w:val="0"/>
        </w:rPr>
      </w:pPr>
      <w:bookmarkStart w:id="50" w:name="_Toc15396613"/>
      <w:bookmarkStart w:id="51" w:name="_Toc15377225"/>
      <w:r>
        <w:rPr>
          <w:rFonts w:hint="eastAsia" w:ascii="黑体" w:eastAsia="黑体"/>
          <w:sz w:val="44"/>
          <w:szCs w:val="44"/>
        </w:rPr>
        <w:t>名</w:t>
      </w:r>
      <w:r>
        <w:rPr>
          <w:rStyle w:val="21"/>
          <w:rFonts w:hint="eastAsia" w:ascii="黑体" w:eastAsia="黑体"/>
          <w:b w:val="0"/>
        </w:rPr>
        <w:t>词解释</w:t>
      </w:r>
      <w:bookmarkEnd w:id="50"/>
      <w:bookmarkEnd w:id="51"/>
    </w:p>
    <w:p w14:paraId="08524C52">
      <w:pPr>
        <w:spacing w:line="600" w:lineRule="exact"/>
        <w:jc w:val="left"/>
        <w:rPr>
          <w:rFonts w:ascii="宋体"/>
          <w:b/>
          <w:sz w:val="44"/>
          <w:szCs w:val="44"/>
        </w:rPr>
      </w:pPr>
    </w:p>
    <w:p w14:paraId="79B9588D">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07ACB620">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事业收入：指事业单位开展专业业务活动及辅助活动取得的收入。如…（二级预算单位事业收入情况）等。</w:t>
      </w:r>
    </w:p>
    <w:p w14:paraId="03827D98">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经营收入：指事业单位在专业业务活动及其辅助活动之外开展非独立核算经营活动取得的收入。如…（二级预算单位经营收入情况）等。</w:t>
      </w:r>
    </w:p>
    <w:p w14:paraId="1B880BDA">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p>
    <w:p w14:paraId="4A2EFC77">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p>
    <w:p w14:paraId="1B662642">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3D6ADDAB">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4A2462D2">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27C86C2F">
      <w:pPr>
        <w:ind w:firstLine="640" w:firstLineChars="200"/>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一般公共服务（类）000（款）00（项）：指无。</w:t>
      </w:r>
    </w:p>
    <w:p w14:paraId="2FA48BF5">
      <w:pPr>
        <w:ind w:firstLine="640" w:firstLineChars="200"/>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外交（类）000（款）00（项）：指无。</w:t>
      </w:r>
    </w:p>
    <w:p w14:paraId="4FC9FFED">
      <w:pPr>
        <w:ind w:firstLine="640" w:firstLineChars="200"/>
        <w:rPr>
          <w:rFonts w:ascii="仿宋_GB2312" w:eastAsia="仿宋_GB2312"/>
          <w:sz w:val="32"/>
          <w:szCs w:val="32"/>
        </w:rPr>
      </w:pPr>
      <w:r>
        <w:rPr>
          <w:rFonts w:ascii="仿宋_GB2312" w:eastAsia="仿宋_GB2312"/>
          <w:sz w:val="32"/>
          <w:szCs w:val="32"/>
        </w:rPr>
        <w:t>11.</w:t>
      </w:r>
      <w:r>
        <w:rPr>
          <w:rFonts w:hint="eastAsia" w:ascii="仿宋_GB2312" w:eastAsia="仿宋_GB2312"/>
          <w:sz w:val="32"/>
          <w:szCs w:val="32"/>
        </w:rPr>
        <w:t>公共安全（类）000（款）00（项）：指无。</w:t>
      </w:r>
    </w:p>
    <w:p w14:paraId="28496442">
      <w:pPr>
        <w:ind w:firstLine="640" w:firstLineChars="200"/>
        <w:rPr>
          <w:rFonts w:ascii="仿宋_GB2312" w:eastAsia="仿宋_GB2312"/>
          <w:sz w:val="32"/>
          <w:szCs w:val="32"/>
        </w:rPr>
      </w:pPr>
      <w:r>
        <w:rPr>
          <w:rFonts w:ascii="仿宋_GB2312" w:eastAsia="仿宋_GB2312"/>
          <w:sz w:val="32"/>
          <w:szCs w:val="32"/>
        </w:rPr>
        <w:t>12.</w:t>
      </w:r>
      <w:r>
        <w:rPr>
          <w:rFonts w:hint="eastAsia" w:ascii="仿宋_GB2312" w:eastAsia="仿宋_GB2312"/>
          <w:sz w:val="32"/>
          <w:szCs w:val="32"/>
        </w:rPr>
        <w:t>教育（类）205（款）02（项）：指学前教育。</w:t>
      </w:r>
    </w:p>
    <w:p w14:paraId="0D23D29B">
      <w:pPr>
        <w:ind w:firstLine="640" w:firstLineChars="200"/>
        <w:rPr>
          <w:rFonts w:ascii="仿宋_GB2312" w:eastAsia="仿宋_GB2312"/>
          <w:sz w:val="32"/>
          <w:szCs w:val="32"/>
        </w:rPr>
      </w:pPr>
      <w:r>
        <w:rPr>
          <w:rFonts w:ascii="仿宋_GB2312" w:eastAsia="仿宋_GB2312"/>
          <w:sz w:val="32"/>
          <w:szCs w:val="32"/>
        </w:rPr>
        <w:t>13.</w:t>
      </w:r>
      <w:r>
        <w:rPr>
          <w:rFonts w:hint="eastAsia" w:ascii="仿宋_GB2312" w:eastAsia="仿宋_GB2312"/>
          <w:sz w:val="32"/>
          <w:szCs w:val="32"/>
        </w:rPr>
        <w:t>科学技术（类）000（款）00（项）：指无。</w:t>
      </w:r>
    </w:p>
    <w:p w14:paraId="360B5C47">
      <w:pPr>
        <w:ind w:firstLine="640" w:firstLineChars="200"/>
        <w:rPr>
          <w:rFonts w:ascii="仿宋_GB2312" w:eastAsia="仿宋_GB2312"/>
          <w:sz w:val="32"/>
          <w:szCs w:val="32"/>
        </w:rPr>
      </w:pPr>
      <w:r>
        <w:rPr>
          <w:rFonts w:ascii="仿宋_GB2312" w:eastAsia="仿宋_GB2312"/>
          <w:sz w:val="32"/>
          <w:szCs w:val="32"/>
        </w:rPr>
        <w:t>14.</w:t>
      </w:r>
      <w:r>
        <w:rPr>
          <w:rFonts w:hint="eastAsia" w:ascii="仿宋_GB2312" w:eastAsia="仿宋_GB2312"/>
          <w:sz w:val="32"/>
          <w:szCs w:val="32"/>
        </w:rPr>
        <w:t>文化体育与传媒（类）000（款）00（项）：指无。</w:t>
      </w:r>
    </w:p>
    <w:p w14:paraId="0FDD4B40">
      <w:pPr>
        <w:ind w:firstLine="640" w:firstLineChars="200"/>
        <w:rPr>
          <w:rFonts w:ascii="仿宋_GB2312" w:eastAsia="仿宋_GB2312"/>
          <w:sz w:val="32"/>
          <w:szCs w:val="32"/>
        </w:rPr>
      </w:pPr>
      <w:r>
        <w:rPr>
          <w:rFonts w:ascii="仿宋_GB2312" w:eastAsia="仿宋_GB2312"/>
          <w:sz w:val="32"/>
          <w:szCs w:val="32"/>
        </w:rPr>
        <w:t>15.</w:t>
      </w:r>
      <w:r>
        <w:rPr>
          <w:rFonts w:hint="eastAsia" w:ascii="仿宋_GB2312" w:eastAsia="仿宋_GB2312"/>
          <w:sz w:val="32"/>
          <w:szCs w:val="32"/>
        </w:rPr>
        <w:t>社会保障和就业（类）208（款）05（项）：指2080505 机关事业单位基本养老保险缴费支出，2080506机关事业单位职业年金缴费支出。</w:t>
      </w:r>
    </w:p>
    <w:p w14:paraId="2BCF37C8">
      <w:pPr>
        <w:ind w:firstLine="640" w:firstLineChars="200"/>
        <w:rPr>
          <w:rFonts w:ascii="仿宋_GB2312" w:eastAsia="仿宋_GB2312"/>
          <w:sz w:val="32"/>
          <w:szCs w:val="32"/>
        </w:rPr>
      </w:pPr>
      <w:r>
        <w:rPr>
          <w:rFonts w:ascii="仿宋_GB2312" w:eastAsia="仿宋_GB2312"/>
          <w:sz w:val="32"/>
          <w:szCs w:val="32"/>
        </w:rPr>
        <w:t>16.</w:t>
      </w:r>
      <w:r>
        <w:rPr>
          <w:rFonts w:hint="eastAsia" w:ascii="仿宋_GB2312" w:eastAsia="仿宋_GB2312"/>
          <w:sz w:val="32"/>
          <w:szCs w:val="32"/>
        </w:rPr>
        <w:t>医疗卫生与计划生育（类）210（款）11（项）：指2101102事业单位医疗，2101199其他行政事业单位医疗支出。</w:t>
      </w:r>
    </w:p>
    <w:p w14:paraId="646D18D1">
      <w:pPr>
        <w:ind w:firstLine="640" w:firstLineChars="200"/>
        <w:rPr>
          <w:rFonts w:ascii="仿宋_GB2312" w:eastAsia="仿宋_GB2312"/>
          <w:sz w:val="32"/>
          <w:szCs w:val="32"/>
        </w:rPr>
      </w:pPr>
      <w:r>
        <w:rPr>
          <w:rFonts w:ascii="仿宋_GB2312" w:eastAsia="仿宋_GB2312"/>
          <w:sz w:val="32"/>
          <w:szCs w:val="32"/>
        </w:rPr>
        <w:t>17.</w:t>
      </w:r>
      <w:r>
        <w:rPr>
          <w:rFonts w:hint="eastAsia" w:ascii="仿宋_GB2312" w:eastAsia="仿宋_GB2312"/>
          <w:sz w:val="32"/>
          <w:szCs w:val="32"/>
        </w:rPr>
        <w:t>节能环保（类）000（款）00（项）：指无。</w:t>
      </w:r>
    </w:p>
    <w:p w14:paraId="0E0A068F">
      <w:pPr>
        <w:ind w:firstLine="640" w:firstLineChars="200"/>
        <w:rPr>
          <w:rFonts w:ascii="仿宋_GB2312" w:eastAsia="仿宋_GB2312"/>
          <w:sz w:val="32"/>
          <w:szCs w:val="32"/>
        </w:rPr>
      </w:pPr>
      <w:r>
        <w:rPr>
          <w:rFonts w:ascii="仿宋_GB2312" w:eastAsia="仿宋_GB2312"/>
          <w:sz w:val="32"/>
          <w:szCs w:val="32"/>
        </w:rPr>
        <w:t>18.</w:t>
      </w:r>
      <w:r>
        <w:rPr>
          <w:rFonts w:hint="eastAsia" w:ascii="仿宋_GB2312" w:eastAsia="仿宋_GB2312"/>
          <w:sz w:val="32"/>
          <w:szCs w:val="32"/>
        </w:rPr>
        <w:t>城乡社区（类）000（款）00（项）：指无。</w:t>
      </w:r>
    </w:p>
    <w:p w14:paraId="4E4C902B">
      <w:pPr>
        <w:ind w:firstLine="640" w:firstLineChars="200"/>
        <w:rPr>
          <w:rFonts w:ascii="仿宋_GB2312" w:eastAsia="仿宋_GB2312"/>
          <w:sz w:val="32"/>
          <w:szCs w:val="32"/>
        </w:rPr>
      </w:pPr>
      <w:r>
        <w:rPr>
          <w:rFonts w:ascii="仿宋_GB2312" w:eastAsia="仿宋_GB2312"/>
          <w:sz w:val="32"/>
          <w:szCs w:val="32"/>
        </w:rPr>
        <w:t>19.</w:t>
      </w:r>
      <w:r>
        <w:rPr>
          <w:rFonts w:hint="eastAsia" w:ascii="仿宋_GB2312" w:eastAsia="仿宋_GB2312"/>
          <w:sz w:val="32"/>
          <w:szCs w:val="32"/>
        </w:rPr>
        <w:t>农林水（类）000（款）00（项）：指无。</w:t>
      </w:r>
    </w:p>
    <w:p w14:paraId="1EB93B47">
      <w:pPr>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交通运输（类）000（款）00（项）：指无。</w:t>
      </w:r>
    </w:p>
    <w:p w14:paraId="3E782355">
      <w:pPr>
        <w:ind w:firstLine="640" w:firstLineChars="200"/>
        <w:rPr>
          <w:rFonts w:ascii="仿宋_GB2312" w:eastAsia="仿宋_GB2312"/>
          <w:sz w:val="32"/>
          <w:szCs w:val="32"/>
        </w:rPr>
      </w:pPr>
      <w:r>
        <w:rPr>
          <w:rFonts w:ascii="仿宋_GB2312" w:eastAsia="仿宋_GB2312"/>
          <w:sz w:val="32"/>
          <w:szCs w:val="32"/>
        </w:rPr>
        <w:t>21.</w:t>
      </w:r>
      <w:r>
        <w:rPr>
          <w:rFonts w:hint="eastAsia" w:ascii="仿宋_GB2312" w:eastAsia="仿宋_GB2312"/>
          <w:sz w:val="32"/>
          <w:szCs w:val="32"/>
        </w:rPr>
        <w:t>资源勘探信息等（类）000（款）00（项）：指00。</w:t>
      </w:r>
    </w:p>
    <w:p w14:paraId="1BD40980">
      <w:pPr>
        <w:ind w:firstLine="640" w:firstLineChars="200"/>
        <w:rPr>
          <w:rFonts w:ascii="仿宋_GB2312" w:eastAsia="仿宋_GB2312"/>
          <w:sz w:val="32"/>
          <w:szCs w:val="32"/>
        </w:rPr>
      </w:pPr>
      <w:r>
        <w:rPr>
          <w:rFonts w:ascii="仿宋_GB2312" w:eastAsia="仿宋_GB2312"/>
          <w:sz w:val="32"/>
          <w:szCs w:val="32"/>
        </w:rPr>
        <w:t>22.</w:t>
      </w:r>
      <w:r>
        <w:rPr>
          <w:rFonts w:hint="eastAsia" w:ascii="仿宋_GB2312" w:eastAsia="仿宋_GB2312"/>
          <w:sz w:val="32"/>
          <w:szCs w:val="32"/>
        </w:rPr>
        <w:t>商业服务业（类）000（款）00（项）：指无。</w:t>
      </w:r>
    </w:p>
    <w:p w14:paraId="1A52B676">
      <w:pPr>
        <w:ind w:firstLine="640" w:firstLineChars="200"/>
        <w:rPr>
          <w:rFonts w:ascii="仿宋_GB2312" w:eastAsia="仿宋_GB2312"/>
          <w:sz w:val="32"/>
          <w:szCs w:val="32"/>
        </w:rPr>
      </w:pPr>
      <w:r>
        <w:rPr>
          <w:rFonts w:ascii="仿宋_GB2312" w:eastAsia="仿宋_GB2312"/>
          <w:sz w:val="32"/>
          <w:szCs w:val="32"/>
        </w:rPr>
        <w:t>23.</w:t>
      </w:r>
      <w:r>
        <w:rPr>
          <w:rFonts w:hint="eastAsia" w:ascii="仿宋_GB2312" w:eastAsia="仿宋_GB2312"/>
          <w:sz w:val="32"/>
          <w:szCs w:val="32"/>
        </w:rPr>
        <w:t>金融（类）000（款）00（项）：指无。</w:t>
      </w:r>
    </w:p>
    <w:p w14:paraId="4D601F76">
      <w:pPr>
        <w:ind w:firstLine="640" w:firstLineChars="200"/>
        <w:rPr>
          <w:rFonts w:ascii="仿宋_GB2312" w:eastAsia="仿宋_GB2312"/>
          <w:sz w:val="32"/>
          <w:szCs w:val="32"/>
        </w:rPr>
      </w:pPr>
      <w:r>
        <w:rPr>
          <w:rFonts w:ascii="仿宋_GB2312" w:eastAsia="仿宋_GB2312"/>
          <w:sz w:val="32"/>
          <w:szCs w:val="32"/>
        </w:rPr>
        <w:t>24.</w:t>
      </w:r>
      <w:r>
        <w:rPr>
          <w:rFonts w:hint="eastAsia" w:ascii="仿宋_GB2312" w:eastAsia="仿宋_GB2312"/>
          <w:sz w:val="32"/>
          <w:szCs w:val="32"/>
        </w:rPr>
        <w:t>国土海洋气象等（类）000（款）00（项）：指无。</w:t>
      </w:r>
    </w:p>
    <w:p w14:paraId="1D925B5B">
      <w:pPr>
        <w:ind w:firstLine="640" w:firstLineChars="200"/>
        <w:rPr>
          <w:rFonts w:ascii="仿宋_GB2312" w:eastAsia="仿宋_GB2312"/>
          <w:sz w:val="32"/>
          <w:szCs w:val="32"/>
        </w:rPr>
      </w:pPr>
      <w:r>
        <w:rPr>
          <w:rFonts w:ascii="仿宋_GB2312" w:eastAsia="仿宋_GB2312"/>
          <w:sz w:val="32"/>
          <w:szCs w:val="32"/>
        </w:rPr>
        <w:t>25.</w:t>
      </w:r>
      <w:r>
        <w:rPr>
          <w:rFonts w:hint="eastAsia" w:ascii="仿宋_GB2312" w:eastAsia="仿宋_GB2312"/>
          <w:sz w:val="32"/>
          <w:szCs w:val="32"/>
        </w:rPr>
        <w:t>住房保障（类）221（款）01（项）：指……。</w:t>
      </w:r>
    </w:p>
    <w:p w14:paraId="1814C50A">
      <w:pPr>
        <w:ind w:firstLine="640" w:firstLineChars="200"/>
        <w:rPr>
          <w:rFonts w:ascii="仿宋_GB2312" w:eastAsia="仿宋_GB2312"/>
          <w:sz w:val="32"/>
          <w:szCs w:val="32"/>
        </w:rPr>
      </w:pPr>
      <w:r>
        <w:rPr>
          <w:rFonts w:ascii="仿宋_GB2312" w:eastAsia="仿宋_GB2312"/>
          <w:sz w:val="32"/>
          <w:szCs w:val="32"/>
        </w:rPr>
        <w:t>26.</w:t>
      </w:r>
      <w:r>
        <w:rPr>
          <w:rFonts w:hint="eastAsia" w:ascii="仿宋_GB2312" w:eastAsia="仿宋_GB2312"/>
          <w:sz w:val="32"/>
          <w:szCs w:val="32"/>
        </w:rPr>
        <w:t>粮油物资储备（类）000（款）00（项）：指无。</w:t>
      </w:r>
    </w:p>
    <w:p w14:paraId="255B96EE">
      <w:pPr>
        <w:spacing w:line="600" w:lineRule="exact"/>
        <w:ind w:firstLine="640"/>
        <w:rPr>
          <w:rFonts w:ascii="仿宋" w:eastAsia="仿宋"/>
          <w:b/>
          <w:sz w:val="32"/>
          <w:szCs w:val="32"/>
        </w:rPr>
      </w:pPr>
      <w:r>
        <w:rPr>
          <w:rFonts w:hint="eastAsia" w:ascii="仿宋" w:eastAsia="仿宋"/>
          <w:b/>
          <w:sz w:val="32"/>
          <w:szCs w:val="32"/>
        </w:rPr>
        <w:t>（解释本单位决算报表中涉及的全部功能分类科目至项级，不涉及的科目请自行删除。请参照《</w:t>
      </w:r>
      <w:r>
        <w:rPr>
          <w:rFonts w:ascii="仿宋" w:eastAsia="仿宋"/>
          <w:b/>
          <w:sz w:val="32"/>
          <w:szCs w:val="32"/>
        </w:rPr>
        <w:t>20</w:t>
      </w:r>
      <w:r>
        <w:rPr>
          <w:rFonts w:hint="eastAsia" w:ascii="仿宋" w:eastAsia="仿宋"/>
          <w:b/>
          <w:sz w:val="32"/>
          <w:szCs w:val="32"/>
        </w:rPr>
        <w:t>21年政府收支分类科目》增减内容。）</w:t>
      </w:r>
    </w:p>
    <w:p w14:paraId="1281F773">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556664D1">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p>
    <w:p w14:paraId="31078B90">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227C8B06">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C375DF">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EB8F28D">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32.</w:t>
      </w:r>
      <w:r>
        <w:rPr>
          <w:rFonts w:hint="eastAsia" w:ascii="仿宋_GB2312" w:eastAsia="仿宋_GB2312"/>
          <w:color w:val="auto"/>
          <w:sz w:val="32"/>
          <w:szCs w:val="32"/>
        </w:rPr>
        <w:t>无。</w:t>
      </w:r>
    </w:p>
    <w:p w14:paraId="3FD593B5">
      <w:pPr>
        <w:pStyle w:val="26"/>
        <w:spacing w:line="560" w:lineRule="exact"/>
        <w:ind w:firstLine="640" w:firstLineChars="200"/>
        <w:rPr>
          <w:rFonts w:ascii="仿宋_GB2312" w:eastAsia="仿宋_GB2312" w:cs="黑体"/>
          <w:color w:val="auto"/>
          <w:sz w:val="32"/>
          <w:szCs w:val="32"/>
        </w:rPr>
      </w:pPr>
    </w:p>
    <w:p w14:paraId="2195BA17">
      <w:pPr>
        <w:ind w:firstLine="643" w:firstLineChars="200"/>
        <w:rPr>
          <w:rFonts w:ascii="仿宋" w:eastAsia="仿宋"/>
          <w:b/>
          <w:sz w:val="32"/>
          <w:szCs w:val="32"/>
        </w:rPr>
      </w:pPr>
      <w:r>
        <w:rPr>
          <w:rFonts w:hint="eastAsia" w:ascii="仿宋" w:eastAsia="仿宋"/>
          <w:b/>
          <w:sz w:val="32"/>
          <w:szCs w:val="32"/>
        </w:rPr>
        <w:t>（名词解释部分请根据各单位实际列支情况罗列，并根据本单位职责职能增减名词解释内容。）</w:t>
      </w:r>
    </w:p>
    <w:p w14:paraId="4C2A5BC5">
      <w:pPr>
        <w:spacing w:line="600" w:lineRule="exact"/>
        <w:jc w:val="center"/>
        <w:outlineLvl w:val="0"/>
        <w:rPr>
          <w:rStyle w:val="21"/>
          <w:rFonts w:hint="eastAsia" w:ascii="黑体" w:eastAsia="黑体"/>
          <w:b w:val="0"/>
        </w:rPr>
      </w:pPr>
      <w:bookmarkStart w:id="52" w:name="_Toc15377226"/>
      <w:r>
        <w:rPr>
          <w:rFonts w:ascii="宋体"/>
          <w:b/>
          <w:sz w:val="44"/>
          <w:szCs w:val="44"/>
        </w:rPr>
        <w:br w:type="page"/>
      </w:r>
      <w:bookmarkStart w:id="53" w:name="_Toc15396614"/>
      <w:r>
        <w:rPr>
          <w:rFonts w:hint="eastAsia" w:ascii="黑体" w:eastAsia="黑体"/>
          <w:sz w:val="44"/>
          <w:szCs w:val="44"/>
        </w:rPr>
        <w:t>第</w:t>
      </w:r>
      <w:r>
        <w:rPr>
          <w:rStyle w:val="21"/>
          <w:rFonts w:hint="eastAsia" w:ascii="黑体" w:eastAsia="黑体"/>
          <w:b w:val="0"/>
        </w:rPr>
        <w:t>四部分 附件</w:t>
      </w:r>
      <w:bookmarkEnd w:id="53"/>
    </w:p>
    <w:p w14:paraId="33B124B7">
      <w:pPr>
        <w:pStyle w:val="2"/>
      </w:pPr>
    </w:p>
    <w:bookmarkEnd w:id="52"/>
    <w:p w14:paraId="129E50DC">
      <w:pPr>
        <w:keepNext w:val="0"/>
        <w:keepLines w:val="0"/>
        <w:pageBreakBefore w:val="0"/>
        <w:widowControl/>
        <w:kinsoku/>
        <w:wordWrap/>
        <w:overflowPunct/>
        <w:topLinePunct w:val="0"/>
        <w:autoSpaceDE/>
        <w:autoSpaceDN/>
        <w:bidi w:val="0"/>
        <w:spacing w:line="576" w:lineRule="exact"/>
        <w:ind w:left="0" w:leftChars="0"/>
        <w:contextualSpacing/>
        <w:jc w:val="center"/>
        <w:textAlignment w:val="auto"/>
        <w:rPr>
          <w:rFonts w:ascii="方正小标宋简体" w:hAnsi="方正小标宋简体" w:eastAsia="方正小标宋简体" w:cs="方正小标宋简体"/>
          <w:b/>
          <w:sz w:val="44"/>
          <w:szCs w:val="44"/>
          <w:shd w:val="clear" w:color="auto" w:fill="FFFFFF"/>
        </w:rPr>
      </w:pPr>
      <w:bookmarkStart w:id="54" w:name="_Toc15396619"/>
      <w:r>
        <w:rPr>
          <w:rFonts w:hint="eastAsia" w:ascii="方正小标宋简体" w:hAnsi="方正小标宋简体" w:eastAsia="方正小标宋简体" w:cs="方正小标宋简体"/>
          <w:b/>
          <w:sz w:val="44"/>
          <w:szCs w:val="44"/>
          <w:shd w:val="clear" w:color="auto" w:fill="FFFFFF"/>
        </w:rPr>
        <w:t>202</w:t>
      </w:r>
      <w:r>
        <w:rPr>
          <w:rFonts w:hint="eastAsia" w:ascii="方正小标宋简体" w:hAnsi="方正小标宋简体" w:eastAsia="方正小标宋简体" w:cs="方正小标宋简体"/>
          <w:b/>
          <w:sz w:val="44"/>
          <w:szCs w:val="44"/>
          <w:shd w:val="clear" w:color="auto" w:fill="FFFFFF"/>
          <w:lang w:val="en-US" w:eastAsia="zh-CN"/>
        </w:rPr>
        <w:t>4</w:t>
      </w:r>
      <w:r>
        <w:rPr>
          <w:rFonts w:hint="eastAsia" w:ascii="方正小标宋简体" w:hAnsi="方正小标宋简体" w:eastAsia="方正小标宋简体" w:cs="方正小标宋简体"/>
          <w:b/>
          <w:sz w:val="44"/>
          <w:szCs w:val="44"/>
          <w:shd w:val="clear" w:color="auto" w:fill="FFFFFF"/>
        </w:rPr>
        <w:t>年州级机关幼儿园整体支出</w:t>
      </w:r>
    </w:p>
    <w:p w14:paraId="71A59B55">
      <w:pPr>
        <w:keepNext w:val="0"/>
        <w:keepLines w:val="0"/>
        <w:pageBreakBefore w:val="0"/>
        <w:widowControl/>
        <w:kinsoku/>
        <w:wordWrap/>
        <w:overflowPunct/>
        <w:topLinePunct w:val="0"/>
        <w:autoSpaceDE/>
        <w:autoSpaceDN/>
        <w:bidi w:val="0"/>
        <w:spacing w:line="576" w:lineRule="exact"/>
        <w:ind w:left="0" w:leftChars="0"/>
        <w:contextualSpacing/>
        <w:jc w:val="center"/>
        <w:textAlignment w:val="auto"/>
        <w:rPr>
          <w:rFonts w:ascii="方正小标宋简体" w:hAnsi="方正小标宋简体" w:eastAsia="方正小标宋简体" w:cs="方正小标宋简体"/>
          <w:b/>
          <w:sz w:val="44"/>
          <w:szCs w:val="44"/>
          <w:shd w:val="clear" w:color="auto" w:fill="FFFFFF"/>
        </w:rPr>
      </w:pPr>
      <w:r>
        <w:rPr>
          <w:rFonts w:hint="eastAsia" w:ascii="方正小标宋简体" w:hAnsi="方正小标宋简体" w:eastAsia="方正小标宋简体" w:cs="方正小标宋简体"/>
          <w:b/>
          <w:sz w:val="44"/>
          <w:szCs w:val="44"/>
          <w:shd w:val="clear" w:color="auto" w:fill="FFFFFF"/>
        </w:rPr>
        <w:t>绩效评价报告</w:t>
      </w:r>
    </w:p>
    <w:p w14:paraId="21757261">
      <w:pPr>
        <w:keepNext w:val="0"/>
        <w:keepLines w:val="0"/>
        <w:pageBreakBefore w:val="0"/>
        <w:widowControl/>
        <w:kinsoku/>
        <w:wordWrap/>
        <w:overflowPunct/>
        <w:topLinePunct w:val="0"/>
        <w:autoSpaceDE/>
        <w:autoSpaceDN/>
        <w:bidi w:val="0"/>
        <w:adjustRightInd w:val="0"/>
        <w:snapToGrid w:val="0"/>
        <w:spacing w:line="576" w:lineRule="exact"/>
        <w:ind w:left="0" w:leftChars="0" w:firstLine="480" w:firstLineChars="200"/>
        <w:contextualSpacing/>
        <w:jc w:val="left"/>
        <w:textAlignment w:val="auto"/>
        <w:rPr>
          <w:rFonts w:ascii="黑体" w:eastAsia="黑体" w:cs="宋体"/>
          <w:color w:val="000000"/>
          <w:kern w:val="0"/>
          <w:sz w:val="24"/>
          <w:szCs w:val="32"/>
          <w:shd w:val="clear" w:color="auto" w:fill="FFFFFF"/>
        </w:rPr>
      </w:pPr>
    </w:p>
    <w:p w14:paraId="20CFF089">
      <w:pPr>
        <w:keepNext w:val="0"/>
        <w:keepLines w:val="0"/>
        <w:pageBreakBefore w:val="0"/>
        <w:widowControl/>
        <w:kinsoku/>
        <w:wordWrap/>
        <w:overflowPunct/>
        <w:topLinePunct w:val="0"/>
        <w:autoSpaceDE/>
        <w:autoSpaceDN/>
        <w:bidi w:val="0"/>
        <w:adjustRightInd w:val="0"/>
        <w:snapToGrid w:val="0"/>
        <w:spacing w:line="576" w:lineRule="exact"/>
        <w:ind w:firstLine="420" w:firstLineChars="200"/>
        <w:contextualSpacing/>
        <w:jc w:val="left"/>
        <w:textAlignment w:val="auto"/>
        <w:rPr>
          <w:rFonts w:hint="eastAsia" w:ascii="黑体" w:hAnsi="黑体" w:eastAsia="黑体" w:cs="黑体"/>
          <w:b w:val="0"/>
          <w:bCs w:val="0"/>
          <w:color w:val="000000"/>
          <w:kern w:val="0"/>
          <w:szCs w:val="32"/>
          <w:shd w:val="clear" w:color="auto" w:fill="FFFFFF"/>
          <w:lang w:val="en-US" w:eastAsia="zh-CN"/>
        </w:rPr>
      </w:pPr>
      <w:r>
        <w:rPr>
          <w:rFonts w:hint="eastAsia" w:ascii="黑体" w:hAnsi="黑体" w:eastAsia="黑体" w:cs="黑体"/>
          <w:b w:val="0"/>
          <w:bCs w:val="0"/>
          <w:color w:val="000000"/>
          <w:kern w:val="0"/>
          <w:szCs w:val="32"/>
          <w:shd w:val="clear" w:color="auto" w:fill="FFFFFF"/>
        </w:rPr>
        <w:t>一、</w:t>
      </w:r>
      <w:r>
        <w:rPr>
          <w:rFonts w:hint="eastAsia" w:ascii="黑体" w:hAnsi="黑体" w:eastAsia="黑体" w:cs="黑体"/>
          <w:b w:val="0"/>
          <w:bCs w:val="0"/>
          <w:color w:val="000000"/>
          <w:kern w:val="0"/>
          <w:szCs w:val="32"/>
          <w:shd w:val="clear" w:color="auto" w:fill="FFFFFF"/>
          <w:lang w:val="zh-CN"/>
        </w:rPr>
        <w:t>部门（单位）</w:t>
      </w:r>
      <w:r>
        <w:rPr>
          <w:rFonts w:hint="eastAsia" w:ascii="黑体" w:hAnsi="黑体" w:eastAsia="黑体" w:cs="黑体"/>
          <w:b w:val="0"/>
          <w:bCs w:val="0"/>
          <w:color w:val="000000"/>
          <w:kern w:val="0"/>
          <w:szCs w:val="32"/>
          <w:shd w:val="clear" w:color="auto" w:fill="FFFFFF"/>
          <w:lang w:val="en-US" w:eastAsia="zh-CN"/>
        </w:rPr>
        <w:t>基本情况</w:t>
      </w:r>
    </w:p>
    <w:p w14:paraId="3CB5CC8B">
      <w:pPr>
        <w:keepNext w:val="0"/>
        <w:keepLines w:val="0"/>
        <w:pageBreakBefore w:val="0"/>
        <w:widowControl/>
        <w:kinsoku/>
        <w:wordWrap/>
        <w:overflowPunct/>
        <w:topLinePunct w:val="0"/>
        <w:autoSpaceDE/>
        <w:autoSpaceDN/>
        <w:bidi w:val="0"/>
        <w:adjustRightInd w:val="0"/>
        <w:snapToGrid w:val="0"/>
        <w:spacing w:line="576" w:lineRule="exact"/>
        <w:ind w:left="0" w:leftChars="0" w:firstLine="422" w:firstLineChars="200"/>
        <w:contextualSpacing/>
        <w:jc w:val="left"/>
        <w:textAlignment w:val="auto"/>
        <w:rPr>
          <w:rFonts w:ascii="仿宋_GB2312" w:hAnsi="仿宋_GB2312" w:cs="仿宋_GB2312"/>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（一）机构组成。</w:t>
      </w:r>
      <w:r>
        <w:rPr>
          <w:rFonts w:hint="eastAsia" w:ascii="仿宋_GB2312" w:hAnsi="仿宋_GB2312" w:cs="仿宋_GB2312"/>
          <w:color w:val="000000"/>
          <w:kern w:val="0"/>
          <w:szCs w:val="32"/>
          <w:shd w:val="clear" w:color="auto" w:fill="FFFFFF"/>
          <w:lang w:val="zh-CN"/>
        </w:rPr>
        <w:t>州幼儿园创办于</w:t>
      </w:r>
      <w:r>
        <w:rPr>
          <w:rFonts w:hint="eastAsia" w:ascii="仿宋_GB2312" w:hAnsi="仿宋_GB2312" w:cs="仿宋_GB2312"/>
          <w:color w:val="000000"/>
          <w:kern w:val="0"/>
          <w:szCs w:val="32"/>
          <w:shd w:val="clear" w:color="auto" w:fill="FFFFFF"/>
        </w:rPr>
        <w:t>1951年，系州教育局直属学校，设置七个管理办公机构：办公室、保教室、安保室、后勤室、人事办、工会办、财务室。</w:t>
      </w:r>
    </w:p>
    <w:p w14:paraId="425E8C5B">
      <w:pPr>
        <w:keepNext w:val="0"/>
        <w:keepLines w:val="0"/>
        <w:pageBreakBefore w:val="0"/>
        <w:widowControl/>
        <w:kinsoku/>
        <w:wordWrap/>
        <w:overflowPunct/>
        <w:topLinePunct w:val="0"/>
        <w:autoSpaceDE/>
        <w:autoSpaceDN/>
        <w:bidi w:val="0"/>
        <w:adjustRightInd w:val="0"/>
        <w:snapToGrid w:val="0"/>
        <w:spacing w:line="576" w:lineRule="exact"/>
        <w:ind w:left="0" w:leftChars="0" w:firstLine="422" w:firstLineChars="200"/>
        <w:contextualSpacing/>
        <w:jc w:val="left"/>
        <w:textAlignment w:val="auto"/>
        <w:rPr>
          <w:rFonts w:hint="eastAsia"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（二）机构职能。</w:t>
      </w:r>
    </w:p>
    <w:p w14:paraId="1760280C">
      <w:pPr>
        <w:pStyle w:val="16"/>
        <w:keepNext w:val="0"/>
        <w:keepLines w:val="0"/>
        <w:pageBreakBefore w:val="0"/>
        <w:widowControl/>
        <w:kinsoku/>
        <w:wordWrap/>
        <w:overflowPunct/>
        <w:topLinePunct w:val="0"/>
        <w:autoSpaceDE/>
        <w:autoSpaceDN/>
        <w:bidi w:val="0"/>
        <w:spacing w:beforeAutospacing="0" w:afterAutospacing="0" w:line="576" w:lineRule="exact"/>
        <w:ind w:left="0" w:leftChars="0" w:firstLine="748" w:firstLineChars="234"/>
        <w:textAlignment w:val="auto"/>
        <w:rPr>
          <w:rFonts w:ascii="仿宋_GB2312" w:hAnsi="仿宋_GB2312" w:cs="仿宋_GB2312"/>
          <w:color w:val="000000"/>
          <w:sz w:val="32"/>
          <w:szCs w:val="32"/>
          <w:shd w:val="clear" w:color="auto" w:fill="FFFFFF"/>
          <w:lang w:val="zh-CN"/>
        </w:rPr>
      </w:pPr>
      <w:r>
        <w:rPr>
          <w:rFonts w:hint="eastAsia" w:ascii="仿宋_GB2312" w:hAnsi="仿宋_GB2312" w:cs="仿宋_GB2312"/>
          <w:color w:val="333333"/>
          <w:sz w:val="32"/>
          <w:szCs w:val="32"/>
        </w:rPr>
        <w:t>认真贯彻国家的教育方针，按照保育与教育相结合的原则，遵循幼儿身心发展特点和规律，实施德、智、体、美等方面全面发展的教育，促进幼儿身心和谐发展。同时面向幼儿家长提供科学育儿指导。我园的主要职责是以《幼儿园工作规程》、《幼儿园教育指导纲要》为指导。对3-6岁学龄前幼儿实行保育与教育相结合的原则，对幼儿实施体、智、德、美诸方面全面发展的教育，促进其身心和谐发展；同时为家长参加工作、学习提供便利。</w:t>
      </w:r>
    </w:p>
    <w:p w14:paraId="67A0FA68">
      <w:pPr>
        <w:keepNext w:val="0"/>
        <w:keepLines w:val="0"/>
        <w:pageBreakBefore w:val="0"/>
        <w:widowControl/>
        <w:numPr>
          <w:ilvl w:val="0"/>
          <w:numId w:val="5"/>
        </w:numPr>
        <w:kinsoku/>
        <w:wordWrap/>
        <w:overflowPunct/>
        <w:topLinePunct w:val="0"/>
        <w:autoSpaceDE/>
        <w:autoSpaceDN/>
        <w:bidi w:val="0"/>
        <w:adjustRightInd w:val="0"/>
        <w:snapToGrid w:val="0"/>
        <w:spacing w:line="576" w:lineRule="exact"/>
        <w:ind w:left="0" w:leftChars="0" w:firstLine="422" w:firstLineChars="200"/>
        <w:contextualSpacing/>
        <w:jc w:val="left"/>
        <w:textAlignment w:val="auto"/>
        <w:rPr>
          <w:rFonts w:hint="eastAsia"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人员概况。</w:t>
      </w:r>
    </w:p>
    <w:p w14:paraId="5A746721">
      <w:pPr>
        <w:keepNext w:val="0"/>
        <w:keepLines w:val="0"/>
        <w:pageBreakBefore w:val="0"/>
        <w:widowControl/>
        <w:kinsoku/>
        <w:wordWrap/>
        <w:overflowPunct/>
        <w:topLinePunct w:val="0"/>
        <w:autoSpaceDE/>
        <w:autoSpaceDN/>
        <w:bidi w:val="0"/>
        <w:adjustRightInd w:val="0"/>
        <w:snapToGrid w:val="0"/>
        <w:spacing w:line="576" w:lineRule="exact"/>
        <w:ind w:left="0" w:leftChars="0" w:firstLine="420" w:firstLineChars="200"/>
        <w:contextualSpacing/>
        <w:jc w:val="left"/>
        <w:textAlignment w:val="auto"/>
        <w:rPr>
          <w:rFonts w:ascii="仿宋_GB2312" w:hAnsi="仿宋_GB2312" w:cs="仿宋_GB2312"/>
          <w:kern w:val="0"/>
          <w:szCs w:val="32"/>
          <w:shd w:val="clear" w:color="auto" w:fill="FFFFFF"/>
        </w:rPr>
      </w:pPr>
      <w:r>
        <w:rPr>
          <w:rFonts w:hint="eastAsia" w:ascii="仿宋_GB2312" w:hAnsi="仿宋_GB2312" w:cs="仿宋_GB2312"/>
          <w:color w:val="000000"/>
          <w:kern w:val="0"/>
          <w:szCs w:val="32"/>
          <w:shd w:val="clear" w:color="auto" w:fill="FFFFFF"/>
          <w:lang w:val="zh-CN"/>
        </w:rPr>
        <w:t>编制</w:t>
      </w:r>
      <w:r>
        <w:rPr>
          <w:rFonts w:hint="eastAsia" w:ascii="仿宋_GB2312" w:hAnsi="仿宋_GB2312" w:cs="仿宋_GB2312"/>
          <w:color w:val="000000"/>
          <w:kern w:val="0"/>
          <w:szCs w:val="32"/>
          <w:shd w:val="clear" w:color="auto" w:fill="FFFFFF"/>
        </w:rPr>
        <w:t>52人，实际在职人员4</w:t>
      </w:r>
      <w:r>
        <w:rPr>
          <w:rFonts w:hint="eastAsia" w:ascii="仿宋_GB2312" w:hAnsi="仿宋_GB2312" w:cs="仿宋_GB2312"/>
          <w:color w:val="000000"/>
          <w:kern w:val="0"/>
          <w:szCs w:val="32"/>
          <w:shd w:val="clear" w:color="auto" w:fill="FFFFFF"/>
          <w:lang w:val="en-US" w:eastAsia="zh-CN"/>
        </w:rPr>
        <w:t>7</w:t>
      </w:r>
      <w:r>
        <w:rPr>
          <w:rFonts w:hint="eastAsia" w:ascii="仿宋_GB2312" w:hAnsi="仿宋_GB2312" w:cs="仿宋_GB2312"/>
          <w:color w:val="000000"/>
          <w:kern w:val="0"/>
          <w:szCs w:val="32"/>
          <w:shd w:val="clear" w:color="auto" w:fill="FFFFFF"/>
        </w:rPr>
        <w:t>人（其中专技人员</w:t>
      </w:r>
      <w:r>
        <w:rPr>
          <w:rFonts w:hint="eastAsia" w:ascii="仿宋_GB2312" w:hAnsi="仿宋_GB2312" w:cs="仿宋_GB2312"/>
          <w:color w:val="000000"/>
          <w:kern w:val="0"/>
          <w:szCs w:val="32"/>
          <w:shd w:val="clear" w:color="auto" w:fill="FFFFFF"/>
          <w:lang w:val="en-US" w:eastAsia="zh-CN"/>
        </w:rPr>
        <w:t>37</w:t>
      </w:r>
      <w:r>
        <w:rPr>
          <w:rFonts w:hint="eastAsia" w:ascii="仿宋_GB2312" w:hAnsi="仿宋_GB2312" w:cs="仿宋_GB2312"/>
          <w:color w:val="000000"/>
          <w:kern w:val="0"/>
          <w:szCs w:val="32"/>
          <w:shd w:val="clear" w:color="auto" w:fill="FFFFFF"/>
        </w:rPr>
        <w:t>人：高级</w:t>
      </w:r>
      <w:r>
        <w:rPr>
          <w:rFonts w:hint="eastAsia" w:ascii="仿宋_GB2312" w:hAnsi="仿宋_GB2312" w:cs="仿宋_GB2312"/>
          <w:color w:val="000000"/>
          <w:kern w:val="0"/>
          <w:szCs w:val="32"/>
          <w:shd w:val="clear" w:color="auto" w:fill="FFFFFF"/>
          <w:lang w:eastAsia="zh-CN"/>
        </w:rPr>
        <w:t>11</w:t>
      </w:r>
      <w:r>
        <w:rPr>
          <w:rFonts w:hint="eastAsia" w:ascii="仿宋_GB2312" w:hAnsi="仿宋_GB2312" w:cs="仿宋_GB2312"/>
          <w:color w:val="000000"/>
          <w:kern w:val="0"/>
          <w:szCs w:val="32"/>
          <w:shd w:val="clear" w:color="auto" w:fill="FFFFFF"/>
        </w:rPr>
        <w:t>人、中级11人、初级</w:t>
      </w:r>
      <w:r>
        <w:rPr>
          <w:rFonts w:hint="eastAsia" w:ascii="仿宋_GB2312" w:hAnsi="仿宋_GB2312" w:cs="仿宋_GB2312"/>
          <w:color w:val="000000"/>
          <w:kern w:val="0"/>
          <w:szCs w:val="32"/>
          <w:shd w:val="clear" w:color="auto" w:fill="FFFFFF"/>
          <w:lang w:eastAsia="zh-CN"/>
        </w:rPr>
        <w:t>15</w:t>
      </w:r>
      <w:r>
        <w:rPr>
          <w:rFonts w:hint="eastAsia" w:ascii="仿宋_GB2312" w:hAnsi="仿宋_GB2312" w:cs="仿宋_GB2312"/>
          <w:color w:val="000000"/>
          <w:kern w:val="0"/>
          <w:szCs w:val="32"/>
          <w:shd w:val="clear" w:color="auto" w:fill="FFFFFF"/>
          <w:lang w:val="en-US" w:eastAsia="zh-CN"/>
        </w:rPr>
        <w:t>人</w:t>
      </w:r>
      <w:r>
        <w:rPr>
          <w:rFonts w:hint="eastAsia" w:ascii="仿宋_GB2312" w:hAnsi="仿宋_GB2312" w:cs="仿宋_GB2312"/>
          <w:color w:val="000000"/>
          <w:kern w:val="0"/>
          <w:szCs w:val="32"/>
          <w:shd w:val="clear" w:color="auto" w:fill="FFFFFF"/>
        </w:rPr>
        <w:t>、；工勤人员1</w:t>
      </w:r>
      <w:r>
        <w:rPr>
          <w:rFonts w:hint="eastAsia" w:ascii="仿宋_GB2312" w:hAnsi="仿宋_GB2312" w:cs="仿宋_GB2312"/>
          <w:color w:val="000000"/>
          <w:kern w:val="0"/>
          <w:szCs w:val="32"/>
          <w:shd w:val="clear" w:color="auto" w:fill="FFFFFF"/>
          <w:lang w:eastAsia="zh-CN"/>
        </w:rPr>
        <w:t>0</w:t>
      </w:r>
      <w:r>
        <w:rPr>
          <w:rFonts w:hint="eastAsia" w:ascii="仿宋_GB2312" w:hAnsi="仿宋_GB2312" w:cs="仿宋_GB2312"/>
          <w:color w:val="000000"/>
          <w:kern w:val="0"/>
          <w:szCs w:val="32"/>
          <w:shd w:val="clear" w:color="auto" w:fill="FFFFFF"/>
        </w:rPr>
        <w:t>人：技师</w:t>
      </w:r>
      <w:r>
        <w:rPr>
          <w:rFonts w:hint="eastAsia" w:ascii="仿宋_GB2312" w:hAnsi="仿宋_GB2312" w:cs="仿宋_GB2312"/>
          <w:color w:val="000000"/>
          <w:kern w:val="0"/>
          <w:szCs w:val="32"/>
          <w:shd w:val="clear" w:color="auto" w:fill="FFFFFF"/>
          <w:lang w:eastAsia="zh-CN"/>
        </w:rPr>
        <w:t>0</w:t>
      </w:r>
      <w:r>
        <w:rPr>
          <w:rFonts w:hint="eastAsia" w:ascii="仿宋_GB2312" w:hAnsi="仿宋_GB2312" w:cs="仿宋_GB2312"/>
          <w:color w:val="000000"/>
          <w:kern w:val="0"/>
          <w:szCs w:val="32"/>
          <w:shd w:val="clear" w:color="auto" w:fill="FFFFFF"/>
        </w:rPr>
        <w:t>人、高级工</w:t>
      </w:r>
      <w:r>
        <w:rPr>
          <w:rFonts w:hint="eastAsia" w:ascii="仿宋_GB2312" w:hAnsi="仿宋_GB2312" w:cs="仿宋_GB2312"/>
          <w:color w:val="000000"/>
          <w:kern w:val="0"/>
          <w:szCs w:val="32"/>
          <w:shd w:val="clear" w:color="auto" w:fill="FFFFFF"/>
          <w:lang w:eastAsia="zh-CN"/>
        </w:rPr>
        <w:t>1</w:t>
      </w:r>
      <w:r>
        <w:rPr>
          <w:rFonts w:hint="eastAsia" w:ascii="仿宋_GB2312" w:hAnsi="仿宋_GB2312" w:cs="仿宋_GB2312"/>
          <w:color w:val="000000"/>
          <w:kern w:val="0"/>
          <w:szCs w:val="32"/>
          <w:shd w:val="clear" w:color="auto" w:fill="FFFFFF"/>
        </w:rPr>
        <w:t>人、中级工8人、初级工</w:t>
      </w:r>
      <w:r>
        <w:rPr>
          <w:rFonts w:hint="eastAsia" w:ascii="仿宋_GB2312" w:hAnsi="仿宋_GB2312" w:cs="仿宋_GB2312"/>
          <w:color w:val="000000"/>
          <w:kern w:val="0"/>
          <w:szCs w:val="32"/>
          <w:shd w:val="clear" w:color="auto" w:fill="FFFFFF"/>
          <w:lang w:eastAsia="zh-CN"/>
        </w:rPr>
        <w:t>1</w:t>
      </w:r>
      <w:r>
        <w:rPr>
          <w:rFonts w:hint="eastAsia" w:ascii="仿宋_GB2312" w:hAnsi="仿宋_GB2312" w:cs="仿宋_GB2312"/>
          <w:color w:val="000000"/>
          <w:kern w:val="0"/>
          <w:szCs w:val="32"/>
          <w:shd w:val="clear" w:color="auto" w:fill="FFFFFF"/>
        </w:rPr>
        <w:t>人</w:t>
      </w:r>
      <w:r>
        <w:rPr>
          <w:rFonts w:hint="eastAsia" w:ascii="仿宋_GB2312" w:hAnsi="仿宋_GB2312" w:cs="仿宋_GB2312"/>
          <w:color w:val="000000"/>
          <w:kern w:val="0"/>
          <w:szCs w:val="32"/>
          <w:shd w:val="clear" w:color="auto" w:fill="FFFFFF"/>
          <w:lang w:eastAsia="zh-CN"/>
        </w:rPr>
        <w:t>）</w:t>
      </w:r>
      <w:r>
        <w:rPr>
          <w:rFonts w:hint="eastAsia" w:ascii="仿宋_GB2312" w:hAnsi="仿宋_GB2312" w:cs="仿宋_GB2312"/>
          <w:color w:val="000000"/>
          <w:kern w:val="0"/>
          <w:szCs w:val="32"/>
          <w:shd w:val="clear" w:color="auto" w:fill="FFFFFF"/>
        </w:rPr>
        <w:t>；退休人员</w:t>
      </w:r>
      <w:r>
        <w:rPr>
          <w:rFonts w:hint="eastAsia" w:ascii="仿宋_GB2312" w:hAnsi="仿宋_GB2312" w:cs="仿宋_GB2312"/>
          <w:color w:val="000000"/>
          <w:kern w:val="0"/>
          <w:szCs w:val="32"/>
          <w:shd w:val="clear" w:color="auto" w:fill="FFFFFF"/>
          <w:lang w:eastAsia="zh-CN"/>
        </w:rPr>
        <w:t>41</w:t>
      </w:r>
      <w:r>
        <w:rPr>
          <w:rFonts w:hint="eastAsia" w:ascii="仿宋_GB2312" w:hAnsi="仿宋_GB2312" w:cs="仿宋_GB2312"/>
          <w:color w:val="000000"/>
          <w:kern w:val="0"/>
          <w:szCs w:val="32"/>
          <w:shd w:val="clear" w:color="auto" w:fill="FFFFFF"/>
        </w:rPr>
        <w:t>人，离休人员</w:t>
      </w:r>
      <w:r>
        <w:rPr>
          <w:rFonts w:hint="eastAsia" w:ascii="仿宋_GB2312" w:hAnsi="仿宋_GB2312" w:cs="仿宋_GB2312"/>
          <w:color w:val="000000"/>
          <w:kern w:val="0"/>
          <w:szCs w:val="32"/>
          <w:shd w:val="clear" w:color="auto" w:fill="FFFFFF"/>
          <w:lang w:eastAsia="zh-CN"/>
        </w:rPr>
        <w:t>0</w:t>
      </w:r>
      <w:r>
        <w:rPr>
          <w:rFonts w:hint="eastAsia" w:ascii="仿宋_GB2312" w:hAnsi="仿宋_GB2312" w:cs="仿宋_GB2312"/>
          <w:color w:val="000000"/>
          <w:kern w:val="0"/>
          <w:szCs w:val="32"/>
          <w:shd w:val="clear" w:color="auto" w:fill="FFFFFF"/>
        </w:rPr>
        <w:t>人，</w:t>
      </w:r>
      <w:r>
        <w:rPr>
          <w:rFonts w:hint="eastAsia" w:ascii="仿宋_GB2312" w:hAnsi="仿宋_GB2312" w:cs="仿宋_GB2312"/>
          <w:kern w:val="0"/>
          <w:szCs w:val="32"/>
          <w:shd w:val="clear" w:color="auto" w:fill="FFFFFF"/>
        </w:rPr>
        <w:t>202</w:t>
      </w:r>
      <w:r>
        <w:rPr>
          <w:rFonts w:hint="eastAsia" w:ascii="仿宋_GB2312" w:hAnsi="仿宋_GB2312" w:cs="仿宋_GB2312"/>
          <w:kern w:val="0"/>
          <w:szCs w:val="32"/>
          <w:shd w:val="clear" w:color="auto" w:fill="FFFFFF"/>
          <w:lang w:val="en-US" w:eastAsia="zh-CN"/>
        </w:rPr>
        <w:t>4</w:t>
      </w:r>
      <w:r>
        <w:rPr>
          <w:rFonts w:hint="eastAsia" w:ascii="仿宋_GB2312" w:hAnsi="仿宋_GB2312" w:cs="仿宋_GB2312"/>
          <w:kern w:val="0"/>
          <w:szCs w:val="32"/>
          <w:shd w:val="clear" w:color="auto" w:fill="FFFFFF"/>
        </w:rPr>
        <w:t>年在园学生</w:t>
      </w:r>
      <w:r>
        <w:rPr>
          <w:rFonts w:hint="eastAsia" w:ascii="仿宋_GB2312" w:hAnsi="仿宋_GB2312" w:cs="仿宋_GB2312"/>
          <w:kern w:val="0"/>
          <w:szCs w:val="32"/>
          <w:shd w:val="clear" w:color="auto" w:fill="FFFFFF"/>
          <w:lang w:val="en-US" w:eastAsia="zh-CN"/>
        </w:rPr>
        <w:t>339</w:t>
      </w:r>
      <w:r>
        <w:rPr>
          <w:rFonts w:hint="eastAsia" w:ascii="仿宋_GB2312" w:hAnsi="仿宋_GB2312" w:cs="仿宋_GB2312"/>
          <w:kern w:val="0"/>
          <w:szCs w:val="32"/>
          <w:shd w:val="clear" w:color="auto" w:fill="FFFFFF"/>
        </w:rPr>
        <w:t>人。</w:t>
      </w:r>
    </w:p>
    <w:p w14:paraId="29D40F08">
      <w:pPr>
        <w:keepNext w:val="0"/>
        <w:keepLines w:val="0"/>
        <w:pageBreakBefore w:val="0"/>
        <w:widowControl/>
        <w:kinsoku/>
        <w:wordWrap/>
        <w:overflowPunct/>
        <w:topLinePunct w:val="0"/>
        <w:autoSpaceDE/>
        <w:autoSpaceDN/>
        <w:bidi w:val="0"/>
        <w:adjustRightInd w:val="0"/>
        <w:snapToGrid w:val="0"/>
        <w:spacing w:line="576" w:lineRule="exact"/>
        <w:ind w:left="0" w:leftChars="0" w:firstLine="420" w:firstLineChars="200"/>
        <w:contextualSpacing/>
        <w:jc w:val="left"/>
        <w:textAlignment w:val="auto"/>
        <w:rPr>
          <w:rFonts w:hint="eastAsia" w:ascii="黑体" w:hAnsi="黑体" w:eastAsia="黑体" w:cs="黑体"/>
          <w:b w:val="0"/>
          <w:bCs w:val="0"/>
          <w:color w:val="000000"/>
          <w:kern w:val="0"/>
          <w:szCs w:val="32"/>
          <w:shd w:val="clear" w:color="auto" w:fill="FFFFFF"/>
        </w:rPr>
      </w:pPr>
      <w:r>
        <w:rPr>
          <w:rFonts w:hint="eastAsia" w:ascii="黑体" w:hAnsi="黑体" w:eastAsia="黑体" w:cs="黑体"/>
          <w:b w:val="0"/>
          <w:bCs w:val="0"/>
          <w:color w:val="000000"/>
          <w:kern w:val="0"/>
          <w:szCs w:val="32"/>
          <w:shd w:val="clear" w:color="auto" w:fill="FFFFFF"/>
        </w:rPr>
        <w:t>二、部门财政资金收支情况</w:t>
      </w:r>
    </w:p>
    <w:p w14:paraId="7AAF0148">
      <w:pPr>
        <w:keepNext w:val="0"/>
        <w:keepLines w:val="0"/>
        <w:pageBreakBefore w:val="0"/>
        <w:widowControl/>
        <w:kinsoku/>
        <w:wordWrap/>
        <w:overflowPunct/>
        <w:topLinePunct w:val="0"/>
        <w:autoSpaceDE/>
        <w:autoSpaceDN/>
        <w:bidi w:val="0"/>
        <w:adjustRightInd w:val="0"/>
        <w:snapToGrid w:val="0"/>
        <w:spacing w:line="576" w:lineRule="exact"/>
        <w:ind w:left="0" w:leftChars="0" w:firstLine="422" w:firstLineChars="200"/>
        <w:contextualSpacing/>
        <w:jc w:val="left"/>
        <w:textAlignment w:val="auto"/>
        <w:rPr>
          <w:rFonts w:hint="eastAsia"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（一）收入情况。</w:t>
      </w:r>
    </w:p>
    <w:p w14:paraId="6E133D4A">
      <w:pPr>
        <w:keepNext w:val="0"/>
        <w:keepLines w:val="0"/>
        <w:pageBreakBefore w:val="0"/>
        <w:kinsoku/>
        <w:wordWrap/>
        <w:overflowPunct/>
        <w:topLinePunct w:val="0"/>
        <w:autoSpaceDE/>
        <w:autoSpaceDN/>
        <w:bidi w:val="0"/>
        <w:spacing w:line="576" w:lineRule="exact"/>
        <w:ind w:firstLine="420" w:firstLineChars="200"/>
        <w:textAlignment w:val="auto"/>
        <w:rPr>
          <w:rFonts w:ascii="仿宋_GB2312" w:hAnsi="仿宋_GB2312" w:cs="仿宋_GB2312"/>
          <w:szCs w:val="32"/>
        </w:rPr>
      </w:pPr>
      <w:r>
        <w:rPr>
          <w:rFonts w:hint="eastAsia" w:ascii="仿宋_GB2312" w:hAnsi="仿宋_GB2312" w:cs="仿宋_GB2312"/>
          <w:szCs w:val="32"/>
        </w:rPr>
        <w:t>202</w:t>
      </w:r>
      <w:r>
        <w:rPr>
          <w:rFonts w:hint="eastAsia" w:ascii="仿宋_GB2312" w:hAnsi="仿宋_GB2312" w:cs="仿宋_GB2312"/>
          <w:szCs w:val="32"/>
          <w:lang w:val="en-US" w:eastAsia="zh-CN"/>
        </w:rPr>
        <w:t>4</w:t>
      </w:r>
      <w:r>
        <w:rPr>
          <w:rFonts w:hint="eastAsia" w:ascii="仿宋_GB2312" w:hAnsi="仿宋_GB2312" w:cs="仿宋_GB2312"/>
          <w:szCs w:val="32"/>
        </w:rPr>
        <w:t>年度</w:t>
      </w:r>
      <w:r>
        <w:rPr>
          <w:rFonts w:hint="eastAsia" w:ascii="仿宋_GB2312" w:hAnsi="仿宋_GB2312" w:cs="仿宋_GB2312"/>
          <w:szCs w:val="32"/>
          <w:lang w:val="en-US" w:eastAsia="zh-CN"/>
        </w:rPr>
        <w:t>预算</w:t>
      </w:r>
      <w:r>
        <w:rPr>
          <w:rFonts w:hint="eastAsia" w:ascii="仿宋_GB2312" w:hAnsi="仿宋_GB2312" w:cs="仿宋_GB2312"/>
          <w:szCs w:val="32"/>
        </w:rPr>
        <w:t>收入</w:t>
      </w:r>
      <w:r>
        <w:rPr>
          <w:rFonts w:hint="eastAsia" w:ascii="仿宋_GB2312" w:hAnsi="仿宋_GB2312" w:cs="仿宋_GB2312"/>
          <w:szCs w:val="32"/>
          <w:lang w:val="en-US" w:eastAsia="zh-CN"/>
        </w:rPr>
        <w:t>1317.69</w:t>
      </w:r>
      <w:r>
        <w:rPr>
          <w:rFonts w:hint="default" w:ascii="仿宋_GB2312" w:hAnsi="仿宋_GB2312" w:cs="仿宋_GB2312"/>
          <w:szCs w:val="32"/>
        </w:rPr>
        <w:t>万</w:t>
      </w:r>
      <w:r>
        <w:rPr>
          <w:rFonts w:hint="eastAsia" w:ascii="仿宋_GB2312" w:hAnsi="仿宋_GB2312" w:cs="仿宋_GB2312"/>
          <w:szCs w:val="32"/>
        </w:rPr>
        <w:t>元,</w:t>
      </w:r>
      <w:r>
        <w:rPr>
          <w:rFonts w:hint="eastAsia" w:ascii="仿宋_GB2312" w:hAnsi="仿宋_GB2312" w:cs="仿宋_GB2312"/>
          <w:szCs w:val="32"/>
          <w:lang w:val="en-US" w:eastAsia="zh-CN"/>
        </w:rPr>
        <w:t>决算</w:t>
      </w:r>
      <w:r>
        <w:rPr>
          <w:rFonts w:hint="eastAsia" w:ascii="仿宋_GB2312" w:hAnsi="仿宋_GB2312" w:cs="仿宋_GB2312"/>
          <w:szCs w:val="32"/>
        </w:rPr>
        <w:t>收入</w:t>
      </w:r>
      <w:r>
        <w:rPr>
          <w:rFonts w:hint="eastAsia" w:ascii="仿宋_GB2312" w:hAnsi="仿宋_GB2312" w:cs="仿宋_GB2312"/>
          <w:szCs w:val="32"/>
          <w:lang w:val="en-US" w:eastAsia="zh-CN"/>
        </w:rPr>
        <w:t>2528.67</w:t>
      </w:r>
      <w:r>
        <w:rPr>
          <w:rFonts w:hint="eastAsia" w:ascii="仿宋_GB2312" w:hAnsi="仿宋_GB2312" w:cs="仿宋_GB2312"/>
          <w:szCs w:val="32"/>
        </w:rPr>
        <w:t>万元。</w:t>
      </w:r>
    </w:p>
    <w:p w14:paraId="7411B175">
      <w:pPr>
        <w:keepNext w:val="0"/>
        <w:keepLines w:val="0"/>
        <w:pageBreakBefore w:val="0"/>
        <w:kinsoku/>
        <w:wordWrap/>
        <w:overflowPunct/>
        <w:topLinePunct w:val="0"/>
        <w:autoSpaceDE/>
        <w:autoSpaceDN/>
        <w:bidi w:val="0"/>
        <w:spacing w:line="576" w:lineRule="exact"/>
        <w:ind w:left="0" w:leftChars="0" w:firstLine="420" w:firstLineChars="200"/>
        <w:textAlignment w:val="auto"/>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收入管理旨在加强我单位收入管理、落实应收款项催缴责任、确保应收尽收，防止账务资金体外循环或形成“小金库”，防范挪用单位收入、违规使用票据等违法行为发生。</w:t>
      </w:r>
    </w:p>
    <w:p w14:paraId="6E62B614">
      <w:pPr>
        <w:keepNext w:val="0"/>
        <w:keepLines w:val="0"/>
        <w:pageBreakBefore w:val="0"/>
        <w:widowControl/>
        <w:numPr>
          <w:ilvl w:val="0"/>
          <w:numId w:val="6"/>
        </w:numPr>
        <w:kinsoku/>
        <w:wordWrap/>
        <w:overflowPunct/>
        <w:topLinePunct w:val="0"/>
        <w:autoSpaceDE/>
        <w:autoSpaceDN/>
        <w:bidi w:val="0"/>
        <w:adjustRightInd w:val="0"/>
        <w:snapToGrid w:val="0"/>
        <w:spacing w:line="576" w:lineRule="exact"/>
        <w:ind w:left="0" w:leftChars="0" w:firstLine="422" w:firstLineChars="200"/>
        <w:contextualSpacing/>
        <w:jc w:val="left"/>
        <w:textAlignment w:val="auto"/>
        <w:rPr>
          <w:rFonts w:hint="eastAsia"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支出情况。</w:t>
      </w:r>
    </w:p>
    <w:p w14:paraId="4E4E4908">
      <w:pPr>
        <w:keepNext w:val="0"/>
        <w:keepLines w:val="0"/>
        <w:pageBreakBefore w:val="0"/>
        <w:kinsoku/>
        <w:wordWrap/>
        <w:overflowPunct/>
        <w:topLinePunct w:val="0"/>
        <w:autoSpaceDE/>
        <w:autoSpaceDN/>
        <w:bidi w:val="0"/>
        <w:spacing w:line="576" w:lineRule="exact"/>
        <w:ind w:left="0" w:leftChars="0" w:firstLine="420" w:firstLineChars="200"/>
        <w:textAlignment w:val="auto"/>
        <w:rPr>
          <w:rFonts w:ascii="仿宋_GB2312" w:hAnsi="仿宋_GB2312" w:cs="仿宋_GB2312"/>
          <w:szCs w:val="32"/>
        </w:rPr>
      </w:pPr>
      <w:r>
        <w:rPr>
          <w:rFonts w:hint="eastAsia" w:ascii="仿宋_GB2312" w:hAnsi="仿宋_GB2312" w:cs="仿宋_GB2312"/>
          <w:szCs w:val="32"/>
        </w:rPr>
        <w:t>本单位202</w:t>
      </w:r>
      <w:r>
        <w:rPr>
          <w:rFonts w:hint="eastAsia" w:ascii="仿宋_GB2312" w:hAnsi="仿宋_GB2312" w:cs="仿宋_GB2312"/>
          <w:szCs w:val="32"/>
          <w:lang w:val="en-US" w:eastAsia="zh-CN"/>
        </w:rPr>
        <w:t>4</w:t>
      </w:r>
      <w:r>
        <w:rPr>
          <w:rFonts w:hint="eastAsia" w:ascii="仿宋_GB2312" w:hAnsi="仿宋_GB2312" w:cs="仿宋_GB2312"/>
          <w:szCs w:val="32"/>
        </w:rPr>
        <w:t>年总费用</w:t>
      </w:r>
      <w:r>
        <w:rPr>
          <w:rFonts w:hint="eastAsia" w:ascii="仿宋_GB2312" w:hAnsi="仿宋_GB2312" w:eastAsia="仿宋_GB2312" w:cs="仿宋_GB2312"/>
          <w:sz w:val="32"/>
          <w:szCs w:val="32"/>
          <w:lang w:val="en-US" w:eastAsia="zh-CN"/>
        </w:rPr>
        <w:t>2588.94</w:t>
      </w:r>
      <w:r>
        <w:rPr>
          <w:rFonts w:hint="eastAsia" w:ascii="仿宋_GB2312" w:hAnsi="仿宋_GB2312" w:cs="仿宋_GB2312"/>
          <w:szCs w:val="32"/>
        </w:rPr>
        <w:t>万元，其中：工资福利费用</w:t>
      </w:r>
      <w:r>
        <w:rPr>
          <w:rFonts w:hint="eastAsia" w:ascii="仿宋_GB2312" w:hAnsi="仿宋_GB2312" w:cs="仿宋_GB2312"/>
          <w:szCs w:val="32"/>
          <w:lang w:val="en-US" w:eastAsia="zh-CN"/>
        </w:rPr>
        <w:t>1029.8</w:t>
      </w:r>
      <w:r>
        <w:rPr>
          <w:rFonts w:hint="eastAsia" w:ascii="仿宋_GB2312" w:hAnsi="仿宋_GB2312" w:cs="仿宋_GB2312"/>
          <w:szCs w:val="32"/>
        </w:rPr>
        <w:t>万元，占比</w:t>
      </w:r>
      <w:r>
        <w:rPr>
          <w:rFonts w:hint="eastAsia" w:ascii="仿宋_GB2312" w:hAnsi="仿宋_GB2312" w:cs="仿宋_GB2312"/>
          <w:szCs w:val="32"/>
          <w:lang w:val="en-US" w:eastAsia="zh-CN"/>
        </w:rPr>
        <w:t>39.78</w:t>
      </w:r>
      <w:r>
        <w:rPr>
          <w:rFonts w:hint="eastAsia" w:ascii="仿宋_GB2312" w:hAnsi="仿宋_GB2312" w:cs="仿宋_GB2312"/>
          <w:szCs w:val="32"/>
        </w:rPr>
        <w:t>%；商品和服务费用</w:t>
      </w:r>
      <w:r>
        <w:rPr>
          <w:rFonts w:hint="eastAsia" w:ascii="仿宋_GB2312" w:hAnsi="仿宋_GB2312" w:cs="仿宋_GB2312"/>
          <w:szCs w:val="32"/>
          <w:lang w:val="en-US" w:eastAsia="zh-CN"/>
        </w:rPr>
        <w:t>544.88</w:t>
      </w:r>
      <w:r>
        <w:rPr>
          <w:rFonts w:hint="eastAsia" w:ascii="仿宋_GB2312" w:hAnsi="仿宋_GB2312" w:cs="仿宋_GB2312"/>
          <w:szCs w:val="32"/>
        </w:rPr>
        <w:t>万元，占比</w:t>
      </w:r>
      <w:r>
        <w:rPr>
          <w:rFonts w:hint="eastAsia" w:ascii="仿宋_GB2312" w:hAnsi="仿宋_GB2312" w:cs="仿宋_GB2312"/>
          <w:szCs w:val="32"/>
          <w:lang w:val="en-US" w:eastAsia="zh-CN"/>
        </w:rPr>
        <w:t>21.05</w:t>
      </w:r>
      <w:r>
        <w:rPr>
          <w:rFonts w:hint="eastAsia" w:ascii="仿宋_GB2312" w:hAnsi="仿宋_GB2312" w:cs="仿宋_GB2312"/>
          <w:szCs w:val="32"/>
        </w:rPr>
        <w:t>%；对个人和家庭的补助费用</w:t>
      </w:r>
      <w:r>
        <w:rPr>
          <w:rFonts w:hint="eastAsia" w:ascii="仿宋_GB2312" w:hAnsi="仿宋_GB2312" w:cs="仿宋_GB2312"/>
          <w:szCs w:val="32"/>
          <w:lang w:val="en-US" w:eastAsia="zh-CN"/>
        </w:rPr>
        <w:t>150.76</w:t>
      </w:r>
      <w:r>
        <w:rPr>
          <w:rFonts w:hint="eastAsia" w:ascii="仿宋_GB2312" w:hAnsi="仿宋_GB2312" w:cs="仿宋_GB2312"/>
          <w:szCs w:val="32"/>
        </w:rPr>
        <w:t>万元，占比</w:t>
      </w:r>
      <w:r>
        <w:rPr>
          <w:rFonts w:hint="eastAsia" w:ascii="仿宋_GB2312" w:hAnsi="仿宋_GB2312" w:cs="仿宋_GB2312"/>
          <w:szCs w:val="32"/>
          <w:lang w:val="en-US" w:eastAsia="zh-CN"/>
        </w:rPr>
        <w:t>5.82</w:t>
      </w:r>
      <w:r>
        <w:rPr>
          <w:rFonts w:hint="eastAsia" w:ascii="仿宋_GB2312" w:hAnsi="仿宋_GB2312" w:cs="仿宋_GB2312"/>
          <w:szCs w:val="32"/>
        </w:rPr>
        <w:t>%；资本性支出</w:t>
      </w:r>
      <w:r>
        <w:rPr>
          <w:rFonts w:hint="eastAsia" w:ascii="仿宋_GB2312" w:hAnsi="仿宋_GB2312" w:cs="仿宋_GB2312"/>
          <w:szCs w:val="32"/>
          <w:lang w:val="en-US" w:eastAsia="zh-CN"/>
        </w:rPr>
        <w:t>863.5</w:t>
      </w:r>
      <w:r>
        <w:rPr>
          <w:rFonts w:hint="eastAsia" w:ascii="仿宋_GB2312" w:hAnsi="仿宋_GB2312" w:cs="仿宋_GB2312"/>
          <w:szCs w:val="32"/>
        </w:rPr>
        <w:t>万元，占比</w:t>
      </w:r>
      <w:r>
        <w:rPr>
          <w:rFonts w:hint="eastAsia" w:ascii="仿宋_GB2312" w:hAnsi="仿宋_GB2312" w:cs="仿宋_GB2312"/>
          <w:szCs w:val="32"/>
          <w:lang w:val="en-US" w:eastAsia="zh-CN"/>
        </w:rPr>
        <w:t>33.35</w:t>
      </w:r>
      <w:r>
        <w:rPr>
          <w:rFonts w:hint="eastAsia" w:ascii="仿宋_GB2312" w:hAnsi="仿宋_GB2312" w:cs="仿宋_GB2312"/>
          <w:szCs w:val="32"/>
        </w:rPr>
        <w:t>%。</w:t>
      </w:r>
    </w:p>
    <w:p w14:paraId="73E88291">
      <w:pPr>
        <w:keepNext w:val="0"/>
        <w:keepLines w:val="0"/>
        <w:pageBreakBefore w:val="0"/>
        <w:widowControl/>
        <w:kinsoku/>
        <w:wordWrap/>
        <w:overflowPunct/>
        <w:topLinePunct w:val="0"/>
        <w:autoSpaceDE/>
        <w:autoSpaceDN/>
        <w:bidi w:val="0"/>
        <w:adjustRightInd w:val="0"/>
        <w:snapToGrid w:val="0"/>
        <w:spacing w:line="576" w:lineRule="exact"/>
        <w:ind w:left="0" w:leftChars="0" w:firstLine="420" w:firstLineChars="200"/>
        <w:contextualSpacing/>
        <w:jc w:val="left"/>
        <w:textAlignment w:val="auto"/>
        <w:rPr>
          <w:rFonts w:hint="eastAsia" w:ascii="黑体" w:hAnsi="黑体" w:eastAsia="黑体" w:cs="黑体"/>
          <w:b w:val="0"/>
          <w:bCs w:val="0"/>
          <w:color w:val="000000"/>
          <w:kern w:val="0"/>
          <w:szCs w:val="32"/>
          <w:shd w:val="clear" w:color="auto" w:fill="FFFFFF"/>
          <w:lang w:val="en-US" w:eastAsia="zh-CN"/>
        </w:rPr>
      </w:pPr>
      <w:r>
        <w:rPr>
          <w:rFonts w:hint="eastAsia" w:ascii="黑体" w:hAnsi="黑体" w:eastAsia="黑体" w:cs="黑体"/>
          <w:b w:val="0"/>
          <w:bCs w:val="0"/>
          <w:color w:val="000000"/>
          <w:kern w:val="0"/>
          <w:szCs w:val="32"/>
          <w:shd w:val="clear" w:color="auto" w:fill="FFFFFF"/>
        </w:rPr>
        <w:t>三、部门预算绩效</w:t>
      </w:r>
      <w:r>
        <w:rPr>
          <w:rFonts w:hint="eastAsia" w:ascii="黑体" w:hAnsi="黑体" w:eastAsia="黑体" w:cs="黑体"/>
          <w:b w:val="0"/>
          <w:bCs w:val="0"/>
          <w:color w:val="000000"/>
          <w:kern w:val="0"/>
          <w:szCs w:val="32"/>
          <w:shd w:val="clear" w:color="auto" w:fill="FFFFFF"/>
          <w:lang w:val="en-US" w:eastAsia="zh-CN"/>
        </w:rPr>
        <w:t>分析</w:t>
      </w:r>
    </w:p>
    <w:p w14:paraId="1FB3ECCC">
      <w:pPr>
        <w:keepNext w:val="0"/>
        <w:keepLines w:val="0"/>
        <w:pageBreakBefore w:val="0"/>
        <w:widowControl/>
        <w:kinsoku/>
        <w:wordWrap/>
        <w:overflowPunct/>
        <w:topLinePunct w:val="0"/>
        <w:autoSpaceDE/>
        <w:autoSpaceDN/>
        <w:bidi w:val="0"/>
        <w:adjustRightInd w:val="0"/>
        <w:snapToGrid w:val="0"/>
        <w:spacing w:line="576" w:lineRule="exact"/>
        <w:ind w:left="0" w:leftChars="0" w:firstLine="422" w:firstLineChars="200"/>
        <w:contextualSpacing/>
        <w:jc w:val="left"/>
        <w:textAlignment w:val="auto"/>
        <w:rPr>
          <w:rFonts w:hint="eastAsia" w:ascii="楷体_GB2312" w:hAnsi="楷体_GB2312" w:eastAsia="楷体_GB2312" w:cs="楷体_GB2312"/>
          <w:b/>
          <w:bCs/>
          <w:color w:val="000000"/>
          <w:kern w:val="0"/>
          <w:szCs w:val="32"/>
          <w:shd w:val="clear" w:color="auto" w:fill="FFFFFF"/>
          <w:lang w:val="en-US" w:eastAsia="zh-CN"/>
        </w:rPr>
      </w:pPr>
      <w:r>
        <w:rPr>
          <w:rFonts w:hint="eastAsia" w:ascii="楷体_GB2312" w:hAnsi="楷体_GB2312" w:eastAsia="楷体_GB2312" w:cs="楷体_GB2312"/>
          <w:b/>
          <w:bCs/>
          <w:color w:val="000000"/>
          <w:kern w:val="0"/>
          <w:szCs w:val="32"/>
          <w:shd w:val="clear" w:color="auto" w:fill="FFFFFF"/>
          <w:lang w:val="zh-CN"/>
        </w:rPr>
        <w:t>（一）部门预算</w:t>
      </w:r>
      <w:r>
        <w:rPr>
          <w:rFonts w:hint="eastAsia" w:ascii="楷体_GB2312" w:hAnsi="楷体_GB2312" w:eastAsia="楷体_GB2312" w:cs="楷体_GB2312"/>
          <w:b/>
          <w:bCs/>
          <w:color w:val="000000"/>
          <w:kern w:val="0"/>
          <w:szCs w:val="32"/>
          <w:shd w:val="clear" w:color="auto" w:fill="FFFFFF"/>
          <w:lang w:val="en-US" w:eastAsia="zh-CN"/>
        </w:rPr>
        <w:t>总体绩效分析</w:t>
      </w:r>
    </w:p>
    <w:p w14:paraId="4436C7B7">
      <w:pPr>
        <w:keepNext w:val="0"/>
        <w:keepLines w:val="0"/>
        <w:pageBreakBefore w:val="0"/>
        <w:kinsoku/>
        <w:wordWrap/>
        <w:overflowPunct/>
        <w:topLinePunct w:val="0"/>
        <w:autoSpaceDE/>
        <w:autoSpaceDN/>
        <w:bidi w:val="0"/>
        <w:spacing w:line="576" w:lineRule="exact"/>
        <w:ind w:left="0" w:leftChars="0" w:firstLine="420" w:firstLineChars="200"/>
        <w:textAlignment w:val="auto"/>
        <w:rPr>
          <w:rFonts w:ascii="仿宋_GB2312" w:hAnsi="仿宋_GB2312" w:cs="仿宋_GB2312"/>
          <w:szCs w:val="32"/>
        </w:rPr>
      </w:pPr>
      <w:r>
        <w:rPr>
          <w:rFonts w:hint="eastAsia" w:ascii="仿宋_GB2312" w:hAnsi="仿宋_GB2312" w:cs="仿宋_GB2312"/>
          <w:szCs w:val="32"/>
        </w:rPr>
        <w:t>202</w:t>
      </w:r>
      <w:r>
        <w:rPr>
          <w:rFonts w:hint="eastAsia" w:ascii="仿宋_GB2312" w:hAnsi="仿宋_GB2312" w:cs="仿宋_GB2312"/>
          <w:szCs w:val="32"/>
          <w:lang w:val="en-US" w:eastAsia="zh-CN"/>
        </w:rPr>
        <w:t>4</w:t>
      </w:r>
      <w:r>
        <w:rPr>
          <w:rFonts w:hint="eastAsia" w:ascii="仿宋_GB2312" w:hAnsi="仿宋_GB2312" w:cs="仿宋_GB2312"/>
          <w:szCs w:val="32"/>
        </w:rPr>
        <w:t>年本部门的预决算编制均按照州财政局下达的相关文件指标进行编制，按时完</w:t>
      </w:r>
      <w:r>
        <w:rPr>
          <w:rFonts w:hint="eastAsia" w:ascii="仿宋_GB2312" w:hAnsi="仿宋_GB2312" w:cs="仿宋_GB2312"/>
          <w:szCs w:val="32"/>
          <w:lang w:val="en-US" w:eastAsia="zh-CN"/>
        </w:rPr>
        <w:t>成</w:t>
      </w:r>
      <w:r>
        <w:rPr>
          <w:rFonts w:hint="eastAsia" w:ascii="仿宋_GB2312" w:hAnsi="仿宋_GB2312" w:cs="仿宋_GB2312"/>
          <w:szCs w:val="32"/>
        </w:rPr>
        <w:t>编制工作，决算报表和说明均在政府网站公开。</w:t>
      </w:r>
    </w:p>
    <w:p w14:paraId="59144138">
      <w:pPr>
        <w:keepNext w:val="0"/>
        <w:keepLines w:val="0"/>
        <w:pageBreakBefore w:val="0"/>
        <w:kinsoku/>
        <w:wordWrap/>
        <w:overflowPunct/>
        <w:topLinePunct w:val="0"/>
        <w:autoSpaceDE/>
        <w:autoSpaceDN/>
        <w:bidi w:val="0"/>
        <w:spacing w:line="576" w:lineRule="exact"/>
        <w:ind w:left="0" w:leftChars="0" w:firstLine="422" w:firstLineChars="200"/>
        <w:textAlignment w:val="auto"/>
        <w:rPr>
          <w:rFonts w:ascii="仿宋_GB2312" w:hAnsi="仿宋_GB2312" w:cs="仿宋_GB2312"/>
          <w:szCs w:val="32"/>
        </w:rPr>
      </w:pPr>
      <w:r>
        <w:rPr>
          <w:rFonts w:hint="eastAsia" w:ascii="仿宋_GB2312" w:hAnsi="仿宋_GB2312" w:cs="仿宋_GB2312"/>
          <w:b/>
          <w:bCs/>
          <w:szCs w:val="32"/>
          <w:lang w:val="en-US" w:eastAsia="zh-CN"/>
        </w:rPr>
        <w:t>1.履职职能。</w:t>
      </w:r>
      <w:r>
        <w:rPr>
          <w:rFonts w:hint="eastAsia" w:ascii="仿宋_GB2312" w:hAnsi="仿宋_GB2312" w:cs="仿宋_GB2312"/>
          <w:szCs w:val="32"/>
        </w:rPr>
        <w:t>建立预算执行分析机制、定期通报预算执行情况，分析存在问题、提出改进建议，提高执行有效性，杜绝无预算、超预算支出等事项发生</w:t>
      </w:r>
      <w:r>
        <w:rPr>
          <w:rFonts w:hint="eastAsia" w:ascii="仿宋_GB2312" w:hAnsi="仿宋_GB2312" w:cs="仿宋_GB2312"/>
          <w:szCs w:val="32"/>
          <w:lang w:eastAsia="zh-CN"/>
        </w:rPr>
        <w:t>。</w:t>
      </w:r>
      <w:r>
        <w:rPr>
          <w:rFonts w:hint="eastAsia" w:ascii="仿宋_GB2312" w:hAnsi="仿宋_GB2312" w:cs="仿宋_GB2312"/>
          <w:szCs w:val="32"/>
        </w:rPr>
        <w:t>工资福利费用</w:t>
      </w:r>
      <w:r>
        <w:rPr>
          <w:rFonts w:hint="eastAsia" w:ascii="仿宋_GB2312" w:hAnsi="仿宋_GB2312" w:cs="仿宋_GB2312"/>
          <w:szCs w:val="32"/>
          <w:lang w:val="en-US" w:eastAsia="zh-CN"/>
        </w:rPr>
        <w:t>1029.8</w:t>
      </w:r>
      <w:r>
        <w:rPr>
          <w:rFonts w:hint="eastAsia" w:ascii="仿宋_GB2312" w:hAnsi="仿宋_GB2312" w:cs="仿宋_GB2312"/>
          <w:szCs w:val="32"/>
        </w:rPr>
        <w:t>万元，占比</w:t>
      </w:r>
      <w:r>
        <w:rPr>
          <w:rFonts w:hint="eastAsia" w:ascii="仿宋_GB2312" w:hAnsi="仿宋_GB2312" w:cs="仿宋_GB2312"/>
          <w:szCs w:val="32"/>
          <w:lang w:val="en-US" w:eastAsia="zh-CN"/>
        </w:rPr>
        <w:t>39.78</w:t>
      </w:r>
      <w:r>
        <w:rPr>
          <w:rFonts w:hint="eastAsia" w:ascii="仿宋_GB2312" w:hAnsi="仿宋_GB2312" w:cs="仿宋_GB2312"/>
          <w:szCs w:val="32"/>
        </w:rPr>
        <w:t>%；商品和服务费用</w:t>
      </w:r>
      <w:r>
        <w:rPr>
          <w:rFonts w:hint="eastAsia" w:ascii="仿宋_GB2312" w:hAnsi="仿宋_GB2312" w:cs="仿宋_GB2312"/>
          <w:szCs w:val="32"/>
          <w:lang w:val="en-US" w:eastAsia="zh-CN"/>
        </w:rPr>
        <w:t>544.88</w:t>
      </w:r>
      <w:r>
        <w:rPr>
          <w:rFonts w:hint="eastAsia" w:ascii="仿宋_GB2312" w:hAnsi="仿宋_GB2312" w:cs="仿宋_GB2312"/>
          <w:szCs w:val="32"/>
        </w:rPr>
        <w:t>万元，占比</w:t>
      </w:r>
      <w:r>
        <w:rPr>
          <w:rFonts w:hint="eastAsia" w:ascii="仿宋_GB2312" w:hAnsi="仿宋_GB2312" w:cs="仿宋_GB2312"/>
          <w:szCs w:val="32"/>
          <w:lang w:val="en-US" w:eastAsia="zh-CN"/>
        </w:rPr>
        <w:t>21.05</w:t>
      </w:r>
      <w:r>
        <w:rPr>
          <w:rFonts w:hint="eastAsia" w:ascii="仿宋_GB2312" w:hAnsi="仿宋_GB2312" w:cs="仿宋_GB2312"/>
          <w:szCs w:val="32"/>
        </w:rPr>
        <w:t>%；对个人和家庭的补助费用</w:t>
      </w:r>
      <w:r>
        <w:rPr>
          <w:rFonts w:hint="eastAsia" w:ascii="仿宋_GB2312" w:hAnsi="仿宋_GB2312" w:cs="仿宋_GB2312"/>
          <w:szCs w:val="32"/>
          <w:lang w:val="en-US" w:eastAsia="zh-CN"/>
        </w:rPr>
        <w:t>150.76</w:t>
      </w:r>
      <w:r>
        <w:rPr>
          <w:rFonts w:hint="eastAsia" w:ascii="仿宋_GB2312" w:hAnsi="仿宋_GB2312" w:cs="仿宋_GB2312"/>
          <w:szCs w:val="32"/>
        </w:rPr>
        <w:t>万元，占比</w:t>
      </w:r>
      <w:r>
        <w:rPr>
          <w:rFonts w:hint="eastAsia" w:ascii="仿宋_GB2312" w:hAnsi="仿宋_GB2312" w:cs="仿宋_GB2312"/>
          <w:szCs w:val="32"/>
          <w:lang w:val="en-US" w:eastAsia="zh-CN"/>
        </w:rPr>
        <w:t>5.82</w:t>
      </w:r>
      <w:r>
        <w:rPr>
          <w:rFonts w:hint="eastAsia" w:ascii="仿宋_GB2312" w:hAnsi="仿宋_GB2312" w:cs="仿宋_GB2312"/>
          <w:szCs w:val="32"/>
        </w:rPr>
        <w:t>%；资本性支出</w:t>
      </w:r>
      <w:r>
        <w:rPr>
          <w:rFonts w:hint="eastAsia" w:ascii="仿宋_GB2312" w:hAnsi="仿宋_GB2312" w:cs="仿宋_GB2312"/>
          <w:szCs w:val="32"/>
          <w:lang w:val="en-US" w:eastAsia="zh-CN"/>
        </w:rPr>
        <w:t>863.5</w:t>
      </w:r>
      <w:r>
        <w:rPr>
          <w:rFonts w:hint="eastAsia" w:ascii="仿宋_GB2312" w:hAnsi="仿宋_GB2312" w:cs="仿宋_GB2312"/>
          <w:szCs w:val="32"/>
        </w:rPr>
        <w:t>万元，占比</w:t>
      </w:r>
      <w:r>
        <w:rPr>
          <w:rFonts w:hint="eastAsia" w:ascii="仿宋_GB2312" w:hAnsi="仿宋_GB2312" w:cs="仿宋_GB2312"/>
          <w:szCs w:val="32"/>
          <w:lang w:val="en-US" w:eastAsia="zh-CN"/>
        </w:rPr>
        <w:t>33.35</w:t>
      </w:r>
      <w:r>
        <w:rPr>
          <w:rFonts w:hint="eastAsia" w:ascii="仿宋_GB2312" w:hAnsi="仿宋_GB2312" w:cs="仿宋_GB2312"/>
          <w:szCs w:val="32"/>
        </w:rPr>
        <w:t>%。</w:t>
      </w:r>
      <w:r>
        <w:rPr>
          <w:rFonts w:hint="eastAsia" w:ascii="仿宋_GB2312" w:hAnsi="仿宋_GB2312" w:cs="仿宋_GB2312"/>
          <w:szCs w:val="32"/>
          <w:lang w:val="en-US" w:eastAsia="zh-CN"/>
        </w:rPr>
        <w:t>学生公用经费预算数16.51万元，执行数16.51万元，完成率100%，</w:t>
      </w:r>
      <w:r>
        <w:rPr>
          <w:rFonts w:hint="eastAsia" w:ascii="仿宋_GB2312" w:hAnsi="仿宋_GB2312" w:cs="仿宋_GB2312"/>
          <w:szCs w:val="32"/>
        </w:rPr>
        <w:t>做到程序规范、方法科学、内容完整，项目落实，数据准确</w:t>
      </w:r>
      <w:r>
        <w:rPr>
          <w:rFonts w:hint="eastAsia" w:ascii="仿宋_GB2312" w:hAnsi="仿宋_GB2312" w:cs="仿宋_GB2312"/>
          <w:szCs w:val="32"/>
          <w:lang w:eastAsia="zh-CN"/>
        </w:rPr>
        <w:t>，</w:t>
      </w:r>
      <w:r>
        <w:rPr>
          <w:rFonts w:hint="eastAsia" w:ascii="仿宋_GB2312" w:hAnsi="仿宋_GB2312" w:cs="仿宋_GB2312"/>
          <w:szCs w:val="32"/>
          <w:lang w:val="en-US" w:eastAsia="zh-CN"/>
        </w:rPr>
        <w:t>设定的质量指标、时效指标、社会效益指标，和实际指标值一致。</w:t>
      </w:r>
    </w:p>
    <w:p w14:paraId="15C54E55">
      <w:pPr>
        <w:keepNext w:val="0"/>
        <w:keepLines w:val="0"/>
        <w:pageBreakBefore w:val="0"/>
        <w:kinsoku/>
        <w:wordWrap/>
        <w:overflowPunct/>
        <w:topLinePunct w:val="0"/>
        <w:autoSpaceDE/>
        <w:autoSpaceDN/>
        <w:bidi w:val="0"/>
        <w:spacing w:line="576" w:lineRule="exact"/>
        <w:ind w:left="0" w:leftChars="0" w:firstLine="422" w:firstLineChars="200"/>
        <w:textAlignment w:val="auto"/>
        <w:rPr>
          <w:rFonts w:ascii="仿宋_GB2312" w:hAnsi="仿宋_GB2312" w:cs="仿宋_GB2312"/>
          <w:szCs w:val="32"/>
        </w:rPr>
      </w:pPr>
      <w:r>
        <w:rPr>
          <w:rFonts w:hint="eastAsia" w:ascii="仿宋_GB2312" w:hAnsi="仿宋_GB2312" w:cs="仿宋_GB2312"/>
          <w:b/>
          <w:bCs/>
          <w:szCs w:val="32"/>
          <w:lang w:val="en-US" w:eastAsia="zh-CN"/>
        </w:rPr>
        <w:t>2.预算管理。</w:t>
      </w:r>
      <w:r>
        <w:rPr>
          <w:rFonts w:hint="eastAsia" w:ascii="仿宋_GB2312" w:hAnsi="仿宋_GB2312" w:cs="仿宋_GB2312"/>
          <w:szCs w:val="32"/>
        </w:rPr>
        <w:t>做到预算编制有目标、预算执行有监控、预算完成有评价、评价结果有反馈，反馈结果有应用，增强预算意识，讲求预算效益促进产业发展。根据批复预算严格安排各项支出、指标细化分解、审批下达、保障基本需求；项目支出与项目进度相协调、严格控制追加调整，充分发挥预算对单位事业发展及经济活动的管控作用。</w:t>
      </w:r>
    </w:p>
    <w:p w14:paraId="64D6D3AE">
      <w:pPr>
        <w:keepNext w:val="0"/>
        <w:keepLines w:val="0"/>
        <w:pageBreakBefore w:val="0"/>
        <w:numPr>
          <w:ilvl w:val="0"/>
          <w:numId w:val="0"/>
        </w:numPr>
        <w:kinsoku/>
        <w:wordWrap/>
        <w:overflowPunct/>
        <w:topLinePunct w:val="0"/>
        <w:autoSpaceDE/>
        <w:autoSpaceDN/>
        <w:bidi w:val="0"/>
        <w:spacing w:line="576" w:lineRule="exact"/>
        <w:ind w:left="0" w:leftChars="0" w:firstLine="422" w:firstLineChars="200"/>
        <w:textAlignment w:val="auto"/>
        <w:rPr>
          <w:rFonts w:hint="default" w:ascii="仿宋_GB2312" w:hAnsi="仿宋_GB2312" w:cs="仿宋_GB2312"/>
          <w:szCs w:val="32"/>
          <w:lang w:val="en-US" w:eastAsia="zh-CN"/>
        </w:rPr>
      </w:pPr>
      <w:r>
        <w:rPr>
          <w:rFonts w:hint="eastAsia" w:ascii="仿宋_GB2312" w:hAnsi="仿宋_GB2312" w:cs="仿宋_GB2312"/>
          <w:b/>
          <w:bCs/>
          <w:szCs w:val="32"/>
          <w:lang w:val="en-US" w:eastAsia="zh-CN"/>
        </w:rPr>
        <w:t>3.财务管理</w:t>
      </w:r>
      <w:r>
        <w:rPr>
          <w:rFonts w:hint="eastAsia" w:ascii="仿宋_GB2312" w:hAnsi="仿宋_GB2312" w:cs="仿宋_GB2312"/>
          <w:szCs w:val="32"/>
          <w:lang w:val="en-US" w:eastAsia="zh-CN"/>
        </w:rPr>
        <w:t>。本单位资金支付管理、货币资金管理、会计管理、内控管理、票据管理、政府采购管理、基建预决管理，严格按照政府会计准则、财经纪律执行，</w:t>
      </w:r>
    </w:p>
    <w:p w14:paraId="3695CDB5">
      <w:pPr>
        <w:keepNext w:val="0"/>
        <w:keepLines w:val="0"/>
        <w:pageBreakBefore w:val="0"/>
        <w:numPr>
          <w:ilvl w:val="0"/>
          <w:numId w:val="0"/>
        </w:numPr>
        <w:kinsoku/>
        <w:wordWrap/>
        <w:overflowPunct/>
        <w:topLinePunct w:val="0"/>
        <w:autoSpaceDE/>
        <w:autoSpaceDN/>
        <w:bidi w:val="0"/>
        <w:spacing w:line="576" w:lineRule="exact"/>
        <w:ind w:left="0" w:leftChars="0" w:firstLine="422" w:firstLineChars="200"/>
        <w:textAlignment w:val="auto"/>
        <w:rPr>
          <w:rFonts w:hint="eastAsia" w:ascii="仿宋_GB2312" w:hAnsi="仿宋_GB2312" w:cs="仿宋_GB2312"/>
          <w:szCs w:val="32"/>
          <w:lang w:val="en-US" w:eastAsia="zh-CN"/>
        </w:rPr>
      </w:pPr>
      <w:r>
        <w:rPr>
          <w:rFonts w:hint="eastAsia" w:ascii="仿宋_GB2312" w:hAnsi="仿宋_GB2312" w:cs="仿宋_GB2312"/>
          <w:b/>
          <w:bCs/>
          <w:szCs w:val="32"/>
          <w:lang w:val="en-US" w:eastAsia="zh-CN"/>
        </w:rPr>
        <w:t>4.资产管理。</w:t>
      </w:r>
      <w:r>
        <w:rPr>
          <w:rFonts w:hint="eastAsia" w:ascii="仿宋_GB2312" w:hAnsi="仿宋_GB2312" w:cs="仿宋_GB2312"/>
          <w:szCs w:val="32"/>
          <w:lang w:val="en-US" w:eastAsia="zh-CN"/>
        </w:rPr>
        <w:t>建立健全资产管理制度，合理配备有效使用资产，提高了资产利用率，有效盘活本单位资产。截至2024年12月31日，我单位资产总额（账面净值，下同）2793.19万元，固定资产净值2789.02，无形资产净值4.17万元。</w:t>
      </w:r>
    </w:p>
    <w:p w14:paraId="5B4D9455">
      <w:pPr>
        <w:keepNext w:val="0"/>
        <w:keepLines w:val="0"/>
        <w:pageBreakBefore w:val="0"/>
        <w:numPr>
          <w:ilvl w:val="0"/>
          <w:numId w:val="0"/>
        </w:numPr>
        <w:kinsoku/>
        <w:wordWrap/>
        <w:overflowPunct/>
        <w:topLinePunct w:val="0"/>
        <w:autoSpaceDE/>
        <w:autoSpaceDN/>
        <w:bidi w:val="0"/>
        <w:spacing w:line="576" w:lineRule="exact"/>
        <w:ind w:left="0" w:leftChars="0" w:firstLine="422" w:firstLineChars="200"/>
        <w:textAlignment w:val="auto"/>
        <w:rPr>
          <w:rFonts w:hint="eastAsia" w:ascii="仿宋" w:hAnsi="仿宋" w:eastAsia="仿宋" w:cs="仿宋"/>
          <w:b w:val="0"/>
          <w:bCs w:val="0"/>
          <w:color w:val="000000"/>
          <w:kern w:val="0"/>
          <w:szCs w:val="32"/>
          <w:highlight w:val="none"/>
          <w:shd w:val="clear" w:color="auto" w:fill="FFFFFF"/>
          <w:lang w:val="en-US" w:eastAsia="zh-CN"/>
        </w:rPr>
      </w:pPr>
      <w:r>
        <w:rPr>
          <w:rFonts w:hint="eastAsia" w:ascii="楷体_GB2312" w:hAnsi="楷体_GB2312" w:eastAsia="楷体_GB2312" w:cs="楷体_GB2312"/>
          <w:b/>
          <w:bCs/>
          <w:color w:val="000000"/>
          <w:kern w:val="0"/>
          <w:szCs w:val="32"/>
          <w:highlight w:val="none"/>
          <w:shd w:val="clear" w:color="auto" w:fill="FFFFFF"/>
          <w:lang w:val="en-US" w:eastAsia="zh-CN"/>
        </w:rPr>
        <w:t>5.</w:t>
      </w:r>
      <w:r>
        <w:rPr>
          <w:rFonts w:hint="eastAsia" w:ascii="仿宋" w:hAnsi="仿宋" w:eastAsia="仿宋" w:cs="仿宋"/>
          <w:b/>
          <w:bCs/>
          <w:szCs w:val="32"/>
          <w:lang w:val="zh-CN" w:eastAsia="zh-CN"/>
        </w:rPr>
        <w:t>采购</w:t>
      </w:r>
      <w:r>
        <w:rPr>
          <w:rFonts w:hint="eastAsia" w:ascii="仿宋" w:hAnsi="仿宋" w:eastAsia="仿宋" w:cs="仿宋"/>
          <w:b/>
          <w:bCs/>
          <w:color w:val="000000"/>
          <w:kern w:val="0"/>
          <w:szCs w:val="32"/>
          <w:highlight w:val="none"/>
          <w:shd w:val="clear" w:color="auto" w:fill="FFFFFF"/>
          <w:lang w:val="zh-CN"/>
        </w:rPr>
        <w:t>管理。</w:t>
      </w:r>
      <w:r>
        <w:rPr>
          <w:rFonts w:hint="eastAsia" w:ascii="仿宋" w:hAnsi="仿宋" w:eastAsia="仿宋" w:cs="仿宋"/>
          <w:b w:val="0"/>
          <w:bCs w:val="0"/>
          <w:color w:val="000000"/>
          <w:kern w:val="0"/>
          <w:szCs w:val="32"/>
          <w:highlight w:val="none"/>
          <w:shd w:val="clear" w:color="auto" w:fill="FFFFFF"/>
          <w:lang w:val="en-US" w:eastAsia="zh-CN"/>
        </w:rPr>
        <w:t>严格遵守《中华人民共和国政府采购法》、《中华人民共和国政府采购法实施条例》，有效实现政府采购绩效目标，本单位设备设施采购已完成，按合同时间约定支付剩余质保金。</w:t>
      </w:r>
    </w:p>
    <w:p w14:paraId="414B9D83">
      <w:pPr>
        <w:keepNext w:val="0"/>
        <w:keepLines w:val="0"/>
        <w:pageBreakBefore w:val="0"/>
        <w:widowControl/>
        <w:kinsoku/>
        <w:wordWrap/>
        <w:overflowPunct/>
        <w:topLinePunct w:val="0"/>
        <w:autoSpaceDE/>
        <w:autoSpaceDN/>
        <w:bidi w:val="0"/>
        <w:adjustRightInd w:val="0"/>
        <w:snapToGrid w:val="0"/>
        <w:spacing w:line="576" w:lineRule="exact"/>
        <w:ind w:left="0" w:leftChars="0" w:firstLine="422"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楷体_GB2312" w:hAnsi="楷体_GB2312" w:eastAsia="楷体_GB2312" w:cs="楷体_GB2312"/>
          <w:b/>
          <w:bCs/>
          <w:color w:val="000000"/>
          <w:kern w:val="0"/>
          <w:szCs w:val="32"/>
          <w:highlight w:val="none"/>
          <w:shd w:val="clear" w:color="auto" w:fill="FFFFFF"/>
          <w:lang w:val="zh-CN"/>
        </w:rPr>
        <w:t>（二）部门预算项目绩效分析。</w:t>
      </w:r>
      <w:r>
        <w:rPr>
          <w:rFonts w:hint="eastAsia" w:ascii="Times New Roman" w:hAnsi="Times New Roman" w:cs="Times New Roman"/>
          <w:color w:val="000000"/>
          <w:kern w:val="0"/>
          <w:szCs w:val="32"/>
          <w:highlight w:val="none"/>
          <w:shd w:val="clear" w:color="auto" w:fill="FFFFFF"/>
          <w:lang w:val="zh-CN" w:eastAsia="zh-CN"/>
        </w:rPr>
        <w:t>填报以下数据，</w:t>
      </w:r>
      <w:r>
        <w:rPr>
          <w:rFonts w:hint="eastAsia" w:cs="Times New Roman"/>
          <w:color w:val="000000"/>
          <w:kern w:val="0"/>
          <w:szCs w:val="32"/>
          <w:highlight w:val="none"/>
          <w:shd w:val="clear" w:color="auto" w:fill="FFFFFF"/>
          <w:lang w:val="zh-CN"/>
        </w:rPr>
        <w:t>并</w:t>
      </w:r>
      <w:r>
        <w:rPr>
          <w:rFonts w:hint="default" w:ascii="Times New Roman" w:hAnsi="Times New Roman" w:cs="Times New Roman"/>
          <w:color w:val="000000"/>
          <w:kern w:val="0"/>
          <w:szCs w:val="32"/>
          <w:highlight w:val="none"/>
          <w:shd w:val="clear" w:color="auto" w:fill="FFFFFF"/>
          <w:lang w:val="zh-CN"/>
        </w:rPr>
        <w:t>根据部门预算绩效评价指标体系“项目绩效”涉及</w:t>
      </w:r>
      <w:r>
        <w:rPr>
          <w:rFonts w:hint="eastAsia" w:ascii="Times New Roman" w:hAnsi="Times New Roman" w:cs="Times New Roman"/>
          <w:color w:val="000000"/>
          <w:kern w:val="0"/>
          <w:szCs w:val="32"/>
          <w:highlight w:val="none"/>
          <w:shd w:val="clear" w:color="auto" w:fill="FFFFFF"/>
          <w:lang w:val="zh-CN"/>
        </w:rPr>
        <w:t>二、三级</w:t>
      </w:r>
      <w:r>
        <w:rPr>
          <w:rFonts w:hint="default" w:ascii="Times New Roman" w:hAnsi="Times New Roman" w:cs="Times New Roman"/>
          <w:color w:val="000000"/>
          <w:kern w:val="0"/>
          <w:szCs w:val="32"/>
          <w:highlight w:val="none"/>
          <w:shd w:val="clear" w:color="auto" w:fill="FFFFFF"/>
          <w:lang w:val="zh-CN"/>
        </w:rPr>
        <w:t>指标进行</w:t>
      </w:r>
      <w:r>
        <w:rPr>
          <w:rFonts w:hint="eastAsia" w:ascii="Times New Roman" w:hAnsi="Times New Roman" w:cs="Times New Roman"/>
          <w:color w:val="000000"/>
          <w:kern w:val="0"/>
          <w:szCs w:val="32"/>
          <w:highlight w:val="none"/>
          <w:shd w:val="clear" w:color="auto" w:fill="FFFFFF"/>
          <w:lang w:val="zh-CN"/>
        </w:rPr>
        <w:t>逐项</w:t>
      </w:r>
      <w:r>
        <w:rPr>
          <w:rFonts w:hint="default" w:ascii="Times New Roman" w:hAnsi="Times New Roman" w:cs="Times New Roman"/>
          <w:color w:val="000000"/>
          <w:kern w:val="0"/>
          <w:szCs w:val="32"/>
          <w:highlight w:val="none"/>
          <w:shd w:val="clear" w:color="auto" w:fill="FFFFFF"/>
          <w:lang w:val="zh-CN"/>
        </w:rPr>
        <w:t>绩效分析</w:t>
      </w:r>
      <w:r>
        <w:rPr>
          <w:rFonts w:hint="eastAsia" w:cs="Times New Roman"/>
          <w:color w:val="000000"/>
          <w:kern w:val="0"/>
          <w:szCs w:val="32"/>
          <w:highlight w:val="none"/>
          <w:shd w:val="clear" w:color="auto" w:fill="FFFFFF"/>
          <w:lang w:val="zh-CN"/>
        </w:rPr>
        <w:t>并评分</w:t>
      </w:r>
      <w:r>
        <w:rPr>
          <w:rFonts w:hint="default" w:ascii="Times New Roman" w:hAnsi="Times New Roman" w:cs="Times New Roman"/>
          <w:color w:val="000000"/>
          <w:kern w:val="0"/>
          <w:szCs w:val="32"/>
          <w:highlight w:val="none"/>
          <w:shd w:val="clear" w:color="auto" w:fill="FFFFFF"/>
          <w:lang w:val="zh-CN"/>
        </w:rPr>
        <w:t>，依次包括项目</w:t>
      </w:r>
      <w:r>
        <w:rPr>
          <w:rFonts w:hint="default" w:ascii="Times New Roman" w:hAnsi="Times New Roman" w:cs="Times New Roman"/>
          <w:color w:val="000000"/>
          <w:kern w:val="0"/>
          <w:szCs w:val="32"/>
          <w:highlight w:val="none"/>
          <w:shd w:val="clear" w:color="auto" w:fill="FFFFFF"/>
          <w:lang w:val="en-US" w:eastAsia="zh-CN"/>
        </w:rPr>
        <w:t>决策、项目执行、目标实现等情况</w:t>
      </w:r>
      <w:r>
        <w:rPr>
          <w:rFonts w:hint="eastAsia" w:ascii="Times New Roman" w:hAnsi="Times New Roman" w:cs="Times New Roman"/>
          <w:color w:val="000000"/>
          <w:kern w:val="0"/>
          <w:szCs w:val="32"/>
          <w:highlight w:val="none"/>
          <w:shd w:val="clear" w:color="auto" w:fill="FFFFFF"/>
          <w:lang w:val="en-US" w:eastAsia="zh-CN"/>
        </w:rPr>
        <w:t>。</w:t>
      </w:r>
    </w:p>
    <w:p w14:paraId="678786D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leftChars="0" w:firstLine="420" w:firstLineChars="200"/>
        <w:contextualSpacing/>
        <w:jc w:val="left"/>
        <w:textAlignment w:val="auto"/>
        <w:outlineLvl w:val="9"/>
        <w:rPr>
          <w:rFonts w:hint="default"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en-US" w:eastAsia="zh-CN"/>
        </w:rPr>
        <w:t>常年项目绩效分析。</w:t>
      </w:r>
      <w:r>
        <w:rPr>
          <w:rFonts w:hint="default" w:cs="Times New Roman"/>
          <w:color w:val="000000"/>
          <w:kern w:val="0"/>
          <w:szCs w:val="32"/>
          <w:highlight w:val="none"/>
          <w:shd w:val="clear" w:color="auto" w:fill="FFFFFF"/>
          <w:lang w:val="zh-CN" w:eastAsia="zh-CN"/>
        </w:rPr>
        <w:t>该类项目总数</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3</w:t>
      </w:r>
      <w:r>
        <w:rPr>
          <w:rFonts w:hint="default" w:cs="Times New Roman"/>
          <w:color w:val="000000"/>
          <w:kern w:val="0"/>
          <w:szCs w:val="32"/>
          <w:highlight w:val="none"/>
          <w:shd w:val="clear" w:color="auto" w:fill="FFFFFF"/>
          <w:lang w:val="zh-CN" w:eastAsia="zh-CN"/>
        </w:rPr>
        <w:t>个，涉及预算总金额</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 xml:space="preserve">83.32 </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eastAsia="zh-CN"/>
        </w:rPr>
        <w:t>万元，</w:t>
      </w:r>
      <w:r>
        <w:rPr>
          <w:rFonts w:hint="default"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cs="Times New Roman"/>
          <w:color w:val="000000"/>
          <w:kern w:val="0"/>
          <w:szCs w:val="32"/>
          <w:highlight w:val="none"/>
          <w:shd w:val="clear" w:color="auto" w:fill="FFFFFF"/>
          <w:lang w:val="zh-CN"/>
        </w:rPr>
        <w:t>1</w:t>
      </w:r>
      <w:r>
        <w:rPr>
          <w:rFonts w:hint="default" w:cs="Times New Roman"/>
          <w:color w:val="000000"/>
          <w:kern w:val="0"/>
          <w:szCs w:val="32"/>
          <w:highlight w:val="none"/>
          <w:shd w:val="clear" w:color="auto" w:fill="FFFFFF"/>
          <w:lang w:val="en-US" w:eastAsia="zh-CN"/>
        </w:rPr>
        <w:t>2</w:t>
      </w:r>
      <w:r>
        <w:rPr>
          <w:rFonts w:hint="default" w:cs="Times New Roman"/>
          <w:color w:val="000000"/>
          <w:kern w:val="0"/>
          <w:szCs w:val="32"/>
          <w:highlight w:val="none"/>
          <w:shd w:val="clear" w:color="auto" w:fill="FFFFFF"/>
          <w:lang w:val="zh-CN"/>
        </w:rPr>
        <w:t>月预算执行总体进度为</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100</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rPr>
        <w:t>%，其中：</w:t>
      </w:r>
      <w:r>
        <w:rPr>
          <w:rFonts w:hint="default" w:cs="Times New Roman"/>
          <w:color w:val="000000"/>
          <w:kern w:val="0"/>
          <w:szCs w:val="32"/>
          <w:highlight w:val="none"/>
          <w:shd w:val="clear" w:color="auto" w:fill="FFFFFF"/>
          <w:lang w:val="zh-CN" w:eastAsia="zh-CN"/>
        </w:rPr>
        <w:t>预算结余率大于</w:t>
      </w:r>
      <w:r>
        <w:rPr>
          <w:rFonts w:hint="default" w:cs="Times New Roman"/>
          <w:color w:val="000000"/>
          <w:kern w:val="0"/>
          <w:szCs w:val="32"/>
          <w:highlight w:val="none"/>
          <w:shd w:val="clear" w:color="auto" w:fill="FFFFFF"/>
          <w:lang w:val="en-US" w:eastAsia="zh-CN"/>
        </w:rPr>
        <w:t>10%</w:t>
      </w:r>
      <w:r>
        <w:rPr>
          <w:rFonts w:hint="default" w:cs="Times New Roman"/>
          <w:color w:val="000000"/>
          <w:kern w:val="0"/>
          <w:szCs w:val="32"/>
          <w:highlight w:val="none"/>
          <w:shd w:val="clear" w:color="auto" w:fill="FFFFFF"/>
          <w:lang w:val="zh-CN" w:eastAsia="zh-CN"/>
        </w:rPr>
        <w:t>的项目共计</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eastAsia="zh-CN"/>
        </w:rPr>
        <w:t>个。</w:t>
      </w:r>
    </w:p>
    <w:p w14:paraId="2C74504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leftChars="0" w:firstLine="420" w:firstLineChars="200"/>
        <w:contextualSpacing/>
        <w:jc w:val="left"/>
        <w:textAlignment w:val="auto"/>
        <w:outlineLvl w:val="9"/>
        <w:rPr>
          <w:rFonts w:hint="default"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hint="default"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hint="default" w:cs="Times New Roman"/>
          <w:color w:val="000000"/>
          <w:kern w:val="0"/>
          <w:szCs w:val="32"/>
          <w:highlight w:val="none"/>
          <w:shd w:val="clear" w:color="auto" w:fill="FFFFFF"/>
          <w:lang w:val="en-US" w:eastAsia="zh-CN"/>
        </w:rPr>
        <w:t>项目绩效分析。</w:t>
      </w:r>
      <w:r>
        <w:rPr>
          <w:rFonts w:hint="default" w:cs="Times New Roman"/>
          <w:color w:val="000000"/>
          <w:kern w:val="0"/>
          <w:szCs w:val="32"/>
          <w:highlight w:val="none"/>
          <w:shd w:val="clear" w:color="auto" w:fill="FFFFFF"/>
          <w:lang w:val="zh-CN" w:eastAsia="zh-CN"/>
        </w:rPr>
        <w:t>该类项目总数</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7</w:t>
      </w:r>
      <w:r>
        <w:rPr>
          <w:rFonts w:hint="default" w:cs="Times New Roman"/>
          <w:color w:val="000000"/>
          <w:kern w:val="0"/>
          <w:szCs w:val="32"/>
          <w:highlight w:val="none"/>
          <w:shd w:val="clear" w:color="auto" w:fill="FFFFFF"/>
          <w:lang w:val="zh-CN" w:eastAsia="zh-CN"/>
        </w:rPr>
        <w:t>个，涉及预算总金额</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1160.97</w:t>
      </w:r>
      <w:r>
        <w:rPr>
          <w:rFonts w:hint="default" w:cs="Times New Roman"/>
          <w:color w:val="000000"/>
          <w:kern w:val="0"/>
          <w:szCs w:val="32"/>
          <w:highlight w:val="none"/>
          <w:shd w:val="clear" w:color="auto" w:fill="FFFFFF"/>
          <w:lang w:val="zh-CN" w:eastAsia="zh-CN"/>
        </w:rPr>
        <w:t>万元，</w:t>
      </w:r>
      <w:r>
        <w:rPr>
          <w:rFonts w:hint="default"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cs="Times New Roman"/>
          <w:color w:val="000000"/>
          <w:kern w:val="0"/>
          <w:szCs w:val="32"/>
          <w:highlight w:val="none"/>
          <w:shd w:val="clear" w:color="auto" w:fill="FFFFFF"/>
          <w:lang w:val="zh-CN"/>
        </w:rPr>
        <w:t>1</w:t>
      </w:r>
      <w:r>
        <w:rPr>
          <w:rFonts w:hint="default" w:cs="Times New Roman"/>
          <w:color w:val="000000"/>
          <w:kern w:val="0"/>
          <w:szCs w:val="32"/>
          <w:highlight w:val="none"/>
          <w:shd w:val="clear" w:color="auto" w:fill="FFFFFF"/>
          <w:lang w:val="en-US" w:eastAsia="zh-CN"/>
        </w:rPr>
        <w:t>2</w:t>
      </w:r>
      <w:r>
        <w:rPr>
          <w:rFonts w:hint="default" w:cs="Times New Roman"/>
          <w:color w:val="000000"/>
          <w:kern w:val="0"/>
          <w:szCs w:val="32"/>
          <w:highlight w:val="none"/>
          <w:shd w:val="clear" w:color="auto" w:fill="FFFFFF"/>
          <w:lang w:val="zh-CN"/>
        </w:rPr>
        <w:t>月预算执行总体进度为</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100</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rPr>
        <w:t>%，其中：</w:t>
      </w:r>
      <w:r>
        <w:rPr>
          <w:rFonts w:hint="default" w:cs="Times New Roman"/>
          <w:color w:val="000000"/>
          <w:kern w:val="0"/>
          <w:szCs w:val="32"/>
          <w:highlight w:val="none"/>
          <w:shd w:val="clear" w:color="auto" w:fill="FFFFFF"/>
          <w:lang w:val="zh-CN" w:eastAsia="zh-CN"/>
        </w:rPr>
        <w:t>预算结余率大于</w:t>
      </w:r>
      <w:r>
        <w:rPr>
          <w:rFonts w:hint="default" w:cs="Times New Roman"/>
          <w:color w:val="000000"/>
          <w:kern w:val="0"/>
          <w:szCs w:val="32"/>
          <w:highlight w:val="none"/>
          <w:shd w:val="clear" w:color="auto" w:fill="FFFFFF"/>
          <w:lang w:val="en-US" w:eastAsia="zh-CN"/>
        </w:rPr>
        <w:t>10%</w:t>
      </w:r>
      <w:r>
        <w:rPr>
          <w:rFonts w:hint="default" w:cs="Times New Roman"/>
          <w:color w:val="000000"/>
          <w:kern w:val="0"/>
          <w:szCs w:val="32"/>
          <w:highlight w:val="none"/>
          <w:shd w:val="clear" w:color="auto" w:fill="FFFFFF"/>
          <w:lang w:val="zh-CN" w:eastAsia="zh-CN"/>
        </w:rPr>
        <w:t>的项目共计</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1</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eastAsia="zh-CN"/>
        </w:rPr>
        <w:t>个。</w:t>
      </w:r>
    </w:p>
    <w:p w14:paraId="788C3B5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leftChars="0" w:firstLine="422"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en-US" w:eastAsia="zh-CN"/>
        </w:rPr>
        <w:t>1.</w:t>
      </w:r>
      <w:r>
        <w:rPr>
          <w:rFonts w:hint="eastAsia" w:ascii="楷体_GB2312" w:hAnsi="楷体_GB2312" w:eastAsia="楷体_GB2312" w:cs="楷体_GB2312"/>
          <w:b/>
          <w:bCs/>
          <w:color w:val="000000"/>
          <w:kern w:val="0"/>
          <w:szCs w:val="32"/>
          <w:highlight w:val="none"/>
          <w:shd w:val="clear" w:color="auto" w:fill="FFFFFF"/>
          <w:lang w:val="zh-CN"/>
        </w:rPr>
        <w:t>项目决策。</w:t>
      </w:r>
      <w:r>
        <w:rPr>
          <w:rFonts w:hint="eastAsia" w:ascii="楷体_GB2312" w:hAnsi="楷体_GB2312" w:eastAsia="楷体_GB2312" w:cs="楷体_GB2312"/>
          <w:color w:val="000000"/>
          <w:kern w:val="0"/>
          <w:szCs w:val="32"/>
          <w:highlight w:val="none"/>
          <w:shd w:val="clear" w:color="auto" w:fill="FFFFFF"/>
          <w:lang w:val="en-US" w:eastAsia="zh-CN"/>
        </w:rPr>
        <w:t>严格按照“三重一大”制度进行</w:t>
      </w:r>
      <w:r>
        <w:rPr>
          <w:rFonts w:hint="eastAsia" w:cs="Times New Roman"/>
          <w:color w:val="000000"/>
          <w:kern w:val="0"/>
          <w:szCs w:val="32"/>
          <w:highlight w:val="none"/>
          <w:shd w:val="clear" w:color="auto" w:fill="FFFFFF"/>
          <w:lang w:val="zh-CN"/>
        </w:rPr>
        <w:t>决策，</w:t>
      </w:r>
      <w:r>
        <w:rPr>
          <w:rFonts w:hint="eastAsia" w:cs="Times New Roman"/>
          <w:color w:val="000000"/>
          <w:kern w:val="0"/>
          <w:szCs w:val="32"/>
          <w:highlight w:val="none"/>
          <w:shd w:val="clear" w:color="auto" w:fill="FFFFFF"/>
          <w:lang w:val="en-US" w:eastAsia="zh-CN"/>
        </w:rPr>
        <w:t>使</w:t>
      </w:r>
      <w:r>
        <w:rPr>
          <w:rFonts w:hint="eastAsia" w:cs="Times New Roman"/>
          <w:color w:val="000000"/>
          <w:kern w:val="0"/>
          <w:szCs w:val="32"/>
          <w:highlight w:val="none"/>
          <w:shd w:val="clear" w:color="auto" w:fill="FFFFFF"/>
          <w:lang w:val="zh-CN"/>
        </w:rPr>
        <w:t>程序</w:t>
      </w:r>
      <w:r>
        <w:rPr>
          <w:rFonts w:hint="eastAsia" w:cs="Times New Roman"/>
          <w:color w:val="000000"/>
          <w:kern w:val="0"/>
          <w:szCs w:val="32"/>
          <w:highlight w:val="none"/>
          <w:shd w:val="clear" w:color="auto" w:fill="FFFFFF"/>
          <w:lang w:val="en-US" w:eastAsia="zh-CN"/>
        </w:rPr>
        <w:t>合法</w:t>
      </w:r>
      <w:r>
        <w:rPr>
          <w:rFonts w:hint="eastAsia" w:cs="Times New Roman"/>
          <w:color w:val="000000"/>
          <w:kern w:val="0"/>
          <w:szCs w:val="32"/>
          <w:highlight w:val="none"/>
          <w:shd w:val="clear" w:color="auto" w:fill="FFFFFF"/>
          <w:lang w:val="zh-CN"/>
        </w:rPr>
        <w:t>、目标设置</w:t>
      </w:r>
      <w:r>
        <w:rPr>
          <w:rFonts w:hint="eastAsia" w:cs="Times New Roman"/>
          <w:color w:val="000000"/>
          <w:kern w:val="0"/>
          <w:szCs w:val="32"/>
          <w:highlight w:val="none"/>
          <w:shd w:val="clear" w:color="auto" w:fill="FFFFFF"/>
          <w:lang w:val="en-US" w:eastAsia="zh-CN"/>
        </w:rPr>
        <w:t>合理</w:t>
      </w:r>
      <w:r>
        <w:rPr>
          <w:rFonts w:hint="eastAsia" w:cs="Times New Roman"/>
          <w:color w:val="000000"/>
          <w:kern w:val="0"/>
          <w:szCs w:val="32"/>
          <w:highlight w:val="none"/>
          <w:shd w:val="clear" w:color="auto" w:fill="FFFFFF"/>
          <w:lang w:val="zh-CN"/>
        </w:rPr>
        <w:t>、项目入库</w:t>
      </w:r>
      <w:r>
        <w:rPr>
          <w:rFonts w:hint="eastAsia" w:cs="Times New Roman"/>
          <w:color w:val="000000"/>
          <w:kern w:val="0"/>
          <w:szCs w:val="32"/>
          <w:highlight w:val="none"/>
          <w:shd w:val="clear" w:color="auto" w:fill="FFFFFF"/>
          <w:lang w:val="en-US" w:eastAsia="zh-CN"/>
        </w:rPr>
        <w:t>合规</w:t>
      </w:r>
      <w:r>
        <w:rPr>
          <w:rFonts w:hint="eastAsia" w:ascii="Times New Roman" w:hAnsi="Times New Roman" w:cs="Times New Roman"/>
          <w:color w:val="000000"/>
          <w:kern w:val="0"/>
          <w:szCs w:val="32"/>
          <w:highlight w:val="none"/>
          <w:shd w:val="clear" w:color="auto" w:fill="FFFFFF"/>
          <w:lang w:val="zh-CN"/>
        </w:rPr>
        <w:t>。</w:t>
      </w:r>
    </w:p>
    <w:p w14:paraId="6CEBA0DD">
      <w:pPr>
        <w:keepNext w:val="0"/>
        <w:keepLines w:val="0"/>
        <w:pageBreakBefore w:val="0"/>
        <w:kinsoku/>
        <w:wordWrap/>
        <w:overflowPunct/>
        <w:topLinePunct w:val="0"/>
        <w:autoSpaceDE/>
        <w:autoSpaceDN/>
        <w:bidi w:val="0"/>
        <w:spacing w:line="576" w:lineRule="exact"/>
        <w:ind w:left="0" w:leftChars="0" w:firstLine="422" w:firstLineChars="200"/>
        <w:textAlignment w:val="auto"/>
        <w:rPr>
          <w:rFonts w:ascii="仿宋_GB2312" w:hAnsi="仿宋_GB2312" w:cs="仿宋_GB2312"/>
          <w:szCs w:val="32"/>
        </w:rPr>
      </w:pPr>
      <w:r>
        <w:rPr>
          <w:rFonts w:hint="eastAsia" w:ascii="楷体_GB2312" w:hAnsi="楷体_GB2312" w:eastAsia="楷体_GB2312" w:cs="楷体_GB2312"/>
          <w:b/>
          <w:bCs/>
          <w:color w:val="000000"/>
          <w:kern w:val="0"/>
          <w:szCs w:val="32"/>
          <w:highlight w:val="none"/>
          <w:shd w:val="clear" w:color="auto" w:fill="FFFFFF"/>
          <w:lang w:val="en-US" w:eastAsia="zh-CN"/>
        </w:rPr>
        <w:t>2.项目执行</w:t>
      </w:r>
      <w:r>
        <w:rPr>
          <w:rFonts w:hint="eastAsia" w:ascii="楷体_GB2312" w:hAnsi="楷体_GB2312" w:eastAsia="楷体_GB2312" w:cs="楷体_GB2312"/>
          <w:b/>
          <w:bCs/>
          <w:color w:val="000000"/>
          <w:kern w:val="0"/>
          <w:szCs w:val="32"/>
          <w:highlight w:val="none"/>
          <w:shd w:val="clear" w:color="auto" w:fill="FFFFFF"/>
          <w:lang w:val="zh-CN"/>
        </w:rPr>
        <w:t>。</w:t>
      </w:r>
      <w:r>
        <w:rPr>
          <w:rFonts w:hint="eastAsia" w:ascii="仿宋_GB2312" w:hAnsi="仿宋_GB2312" w:cs="仿宋_GB2312"/>
          <w:szCs w:val="32"/>
        </w:rPr>
        <w:t>根据批复预算严格安排各项支出、指标细化分解、审批下达、保障基本需求；项目支出与项目进度相协调、严格控制追加调整，充分发挥预算对单位事业发展及经济活动的管控作用。</w:t>
      </w:r>
    </w:p>
    <w:p w14:paraId="27927FC3">
      <w:pPr>
        <w:keepNext w:val="0"/>
        <w:keepLines w:val="0"/>
        <w:pageBreakBefore w:val="0"/>
        <w:kinsoku/>
        <w:wordWrap/>
        <w:overflowPunct/>
        <w:topLinePunct w:val="0"/>
        <w:autoSpaceDE/>
        <w:autoSpaceDN/>
        <w:bidi w:val="0"/>
        <w:spacing w:line="576" w:lineRule="exact"/>
        <w:ind w:left="0" w:leftChars="0" w:firstLine="422" w:firstLineChars="200"/>
        <w:textAlignment w:val="auto"/>
        <w:rPr>
          <w:rFonts w:hint="eastAsia" w:ascii="楷体_GB2312" w:hAnsi="楷体_GB2312" w:eastAsia="楷体_GB2312" w:cs="楷体_GB2312"/>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en-US" w:eastAsia="zh-CN"/>
        </w:rPr>
        <w:t>3.</w:t>
      </w:r>
      <w:r>
        <w:rPr>
          <w:rFonts w:hint="eastAsia" w:ascii="楷体_GB2312" w:hAnsi="楷体_GB2312" w:eastAsia="楷体_GB2312" w:cs="楷体_GB2312"/>
          <w:b/>
          <w:bCs/>
          <w:color w:val="000000"/>
          <w:kern w:val="0"/>
          <w:szCs w:val="32"/>
          <w:highlight w:val="none"/>
          <w:shd w:val="clear" w:color="auto" w:fill="FFFFFF"/>
          <w:lang w:val="zh-CN"/>
        </w:rPr>
        <w:t>目标实现。</w:t>
      </w:r>
      <w:r>
        <w:rPr>
          <w:rFonts w:hint="eastAsia" w:ascii="仿宋_GB2312" w:hAnsi="仿宋_GB2312" w:cs="仿宋_GB2312"/>
          <w:szCs w:val="32"/>
        </w:rPr>
        <w:t>做到预算编制有目标、预算执行有监控、预算完成有评价、评价结果有反馈，反馈结果有应用，增强预算意识，讲求预算效益促进产业发展。</w:t>
      </w:r>
    </w:p>
    <w:p w14:paraId="42A844E3">
      <w:pPr>
        <w:keepNext w:val="0"/>
        <w:keepLines w:val="0"/>
        <w:pageBreakBefore w:val="0"/>
        <w:widowControl/>
        <w:kinsoku/>
        <w:wordWrap/>
        <w:overflowPunct/>
        <w:topLinePunct w:val="0"/>
        <w:autoSpaceDE/>
        <w:autoSpaceDN/>
        <w:bidi w:val="0"/>
        <w:adjustRightInd w:val="0"/>
        <w:snapToGrid w:val="0"/>
        <w:spacing w:line="576" w:lineRule="exact"/>
        <w:ind w:left="0" w:leftChars="0" w:firstLine="422" w:firstLineChars="200"/>
        <w:contextualSpacing/>
        <w:jc w:val="left"/>
        <w:textAlignment w:val="auto"/>
        <w:outlineLvl w:val="9"/>
        <w:rPr>
          <w:rFonts w:hint="eastAsia" w:ascii="Times New Roman" w:hAnsi="Times New Roman" w:eastAsia="楷体_GB2312" w:cs="Times New Roman"/>
          <w:b w:val="0"/>
          <w:bCs w:val="0"/>
          <w:color w:val="000000"/>
          <w:kern w:val="0"/>
          <w:szCs w:val="32"/>
          <w:highlight w:val="none"/>
          <w:shd w:val="clear" w:color="auto" w:fill="FFFFFF"/>
          <w:lang w:val="en-US" w:eastAsia="zh-CN"/>
        </w:rPr>
      </w:pPr>
      <w:r>
        <w:rPr>
          <w:rFonts w:hint="eastAsia" w:ascii="楷体_GB2312" w:hAnsi="楷体_GB2312" w:eastAsia="楷体_GB2312" w:cs="楷体_GB2312"/>
          <w:b/>
          <w:bCs/>
          <w:color w:val="000000"/>
          <w:kern w:val="0"/>
          <w:szCs w:val="32"/>
          <w:highlight w:val="none"/>
          <w:shd w:val="clear" w:color="auto" w:fill="FFFFFF"/>
          <w:lang w:val="zh-CN"/>
        </w:rPr>
        <w:t>（三）</w:t>
      </w:r>
      <w:r>
        <w:rPr>
          <w:rFonts w:hint="eastAsia" w:ascii="楷体_GB2312" w:hAnsi="楷体_GB2312" w:eastAsia="楷体_GB2312" w:cs="楷体_GB2312"/>
          <w:b/>
          <w:bCs/>
          <w:color w:val="000000"/>
          <w:kern w:val="0"/>
          <w:szCs w:val="32"/>
          <w:highlight w:val="none"/>
          <w:shd w:val="clear" w:color="auto" w:fill="FFFFFF"/>
          <w:lang w:val="zh-CN" w:eastAsia="zh-CN"/>
        </w:rPr>
        <w:t>重点领域</w:t>
      </w:r>
      <w:r>
        <w:rPr>
          <w:rFonts w:hint="eastAsia" w:ascii="楷体_GB2312" w:hAnsi="楷体_GB2312" w:eastAsia="楷体_GB2312" w:cs="楷体_GB2312"/>
          <w:b/>
          <w:bCs/>
          <w:color w:val="000000"/>
          <w:kern w:val="0"/>
          <w:szCs w:val="32"/>
          <w:highlight w:val="none"/>
          <w:shd w:val="clear" w:color="auto" w:fill="FFFFFF"/>
          <w:lang w:val="zh-CN"/>
        </w:rPr>
        <w:t>绩效分析</w:t>
      </w:r>
      <w:r>
        <w:rPr>
          <w:rFonts w:hint="eastAsia" w:ascii="楷体_GB2312" w:hAnsi="楷体_GB2312" w:eastAsia="楷体_GB2312" w:cs="楷体_GB2312"/>
          <w:b/>
          <w:bCs/>
          <w:color w:val="000000"/>
          <w:kern w:val="0"/>
          <w:szCs w:val="32"/>
          <w:highlight w:val="none"/>
          <w:shd w:val="clear" w:color="auto" w:fill="FFFFFF"/>
          <w:lang w:val="zh-CN" w:eastAsia="zh-CN"/>
        </w:rPr>
        <w:t>。</w:t>
      </w:r>
      <w:r>
        <w:rPr>
          <w:rFonts w:hint="eastAsia" w:ascii="Times New Roman" w:hAnsi="Times New Roman" w:eastAsia="楷体_GB2312" w:cs="Times New Roman"/>
          <w:b w:val="0"/>
          <w:bCs w:val="0"/>
          <w:color w:val="000000"/>
          <w:kern w:val="0"/>
          <w:szCs w:val="32"/>
          <w:highlight w:val="none"/>
          <w:shd w:val="clear" w:color="auto" w:fill="FFFFFF"/>
          <w:lang w:val="en-US" w:eastAsia="zh-CN"/>
        </w:rPr>
        <w:t xml:space="preserve"> </w:t>
      </w:r>
    </w:p>
    <w:p w14:paraId="2C7D3B55">
      <w:pPr>
        <w:keepNext w:val="0"/>
        <w:keepLines w:val="0"/>
        <w:pageBreakBefore w:val="0"/>
        <w:widowControl/>
        <w:kinsoku/>
        <w:wordWrap/>
        <w:overflowPunct/>
        <w:topLinePunct w:val="0"/>
        <w:autoSpaceDE/>
        <w:autoSpaceDN/>
        <w:bidi w:val="0"/>
        <w:adjustRightInd w:val="0"/>
        <w:snapToGrid w:val="0"/>
        <w:spacing w:line="576" w:lineRule="exact"/>
        <w:ind w:left="0" w:leftChars="0" w:firstLine="1050" w:firstLineChars="500"/>
        <w:contextualSpacing/>
        <w:jc w:val="left"/>
        <w:textAlignment w:val="auto"/>
        <w:outlineLvl w:val="9"/>
        <w:rPr>
          <w:rFonts w:hint="eastAsia" w:eastAsia="楷体_GB2312" w:cs="Times New Roman"/>
          <w:b w:val="0"/>
          <w:bCs w:val="0"/>
          <w:color w:val="000000"/>
          <w:kern w:val="0"/>
          <w:szCs w:val="32"/>
          <w:highlight w:val="none"/>
          <w:shd w:val="clear" w:color="auto" w:fill="FFFFFF"/>
          <w:lang w:val="en-US" w:eastAsia="zh-CN"/>
        </w:rPr>
      </w:pPr>
      <w:r>
        <w:rPr>
          <w:rFonts w:hint="eastAsia" w:eastAsia="楷体_GB2312" w:cs="Times New Roman"/>
          <w:b w:val="0"/>
          <w:bCs w:val="0"/>
          <w:color w:val="000000"/>
          <w:kern w:val="0"/>
          <w:szCs w:val="32"/>
          <w:highlight w:val="none"/>
          <w:shd w:val="clear" w:color="auto" w:fill="FFFFFF"/>
          <w:lang w:val="en-US" w:eastAsia="zh-CN"/>
        </w:rPr>
        <w:t>无</w:t>
      </w:r>
    </w:p>
    <w:p w14:paraId="32F162B5">
      <w:pPr>
        <w:keepNext w:val="0"/>
        <w:keepLines w:val="0"/>
        <w:pageBreakBefore w:val="0"/>
        <w:widowControl w:val="0"/>
        <w:kinsoku/>
        <w:wordWrap/>
        <w:overflowPunct/>
        <w:topLinePunct w:val="0"/>
        <w:autoSpaceDE/>
        <w:autoSpaceDN/>
        <w:bidi w:val="0"/>
        <w:snapToGrid w:val="0"/>
        <w:spacing w:line="576" w:lineRule="exact"/>
        <w:ind w:left="0" w:leftChars="0" w:firstLine="422" w:firstLineChars="200"/>
        <w:textAlignment w:val="auto"/>
        <w:rPr>
          <w:rFonts w:ascii="仿宋_GB2312" w:hAnsi="仿宋_GB2312" w:cs="仿宋_GB2312"/>
          <w:color w:val="000000"/>
          <w:kern w:val="0"/>
          <w:szCs w:val="32"/>
          <w:shd w:val="clear" w:color="auto" w:fill="FFFFFF"/>
          <w:lang w:val="zh-CN"/>
        </w:rPr>
      </w:pPr>
      <w:r>
        <w:rPr>
          <w:rFonts w:hint="default" w:ascii="Times New Roman" w:hAnsi="Times New Roman" w:eastAsia="楷体_GB2312" w:cs="Times New Roman"/>
          <w:b/>
          <w:bCs/>
          <w:szCs w:val="32"/>
          <w:lang w:val="zh-CN"/>
        </w:rPr>
        <w:t>（四）绩效结果应用情况</w:t>
      </w:r>
      <w:r>
        <w:rPr>
          <w:rFonts w:hint="eastAsia" w:ascii="Times New Roman" w:hAnsi="Times New Roman" w:eastAsia="楷体_GB2312" w:cs="Times New Roman"/>
          <w:b/>
          <w:bCs/>
          <w:szCs w:val="32"/>
          <w:lang w:val="zh-CN"/>
        </w:rPr>
        <w:t>。</w:t>
      </w:r>
      <w:r>
        <w:rPr>
          <w:rFonts w:hint="eastAsia" w:ascii="Times New Roman" w:hAnsi="Times New Roman" w:cs="Times New Roman"/>
          <w:color w:val="000000"/>
          <w:kern w:val="0"/>
          <w:szCs w:val="32"/>
          <w:highlight w:val="none"/>
          <w:shd w:val="clear" w:color="auto" w:fill="FFFFFF"/>
          <w:lang w:val="zh-CN" w:eastAsia="zh-CN"/>
        </w:rPr>
        <w:t>围绕内部应用情况、</w:t>
      </w:r>
      <w:r>
        <w:rPr>
          <w:rFonts w:hint="default" w:ascii="Times New Roman" w:hAnsi="Times New Roman" w:cs="Times New Roman"/>
          <w:color w:val="000000"/>
          <w:kern w:val="0"/>
          <w:szCs w:val="32"/>
          <w:highlight w:val="none"/>
          <w:shd w:val="clear" w:color="auto" w:fill="FFFFFF"/>
          <w:lang w:val="zh-CN" w:eastAsia="zh-CN"/>
        </w:rPr>
        <w:t>信息公开情况</w:t>
      </w:r>
      <w:r>
        <w:rPr>
          <w:rFonts w:hint="eastAsia" w:ascii="Times New Roman" w:hAnsi="Times New Roman" w:cs="Times New Roman"/>
          <w:color w:val="000000"/>
          <w:kern w:val="0"/>
          <w:szCs w:val="32"/>
          <w:highlight w:val="none"/>
          <w:shd w:val="clear" w:color="auto" w:fill="FFFFFF"/>
          <w:lang w:val="zh-CN" w:eastAsia="zh-CN"/>
        </w:rPr>
        <w:t>、</w:t>
      </w:r>
      <w:r>
        <w:rPr>
          <w:rFonts w:hint="default" w:ascii="Times New Roman" w:hAnsi="Times New Roman" w:cs="Times New Roman"/>
          <w:color w:val="000000"/>
          <w:kern w:val="0"/>
          <w:szCs w:val="32"/>
          <w:highlight w:val="none"/>
          <w:shd w:val="clear" w:color="auto" w:fill="FFFFFF"/>
          <w:lang w:val="zh-CN" w:eastAsia="zh-CN"/>
        </w:rPr>
        <w:t>整改反馈情况</w:t>
      </w:r>
      <w:r>
        <w:rPr>
          <w:rFonts w:hint="eastAsia" w:cs="Times New Roman"/>
          <w:color w:val="000000"/>
          <w:kern w:val="0"/>
          <w:szCs w:val="32"/>
          <w:highlight w:val="none"/>
          <w:shd w:val="clear" w:color="auto" w:fill="FFFFFF"/>
          <w:lang w:val="zh-CN" w:eastAsia="zh-CN"/>
        </w:rPr>
        <w:t>进行分析。</w:t>
      </w:r>
    </w:p>
    <w:p w14:paraId="3C0003E1">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640" w:firstLineChars="200"/>
        <w:jc w:val="both"/>
        <w:textAlignment w:val="auto"/>
        <w:rPr>
          <w:rFonts w:ascii="仿宋_GB2312" w:hAnsi="仿宋_GB2312" w:cs="仿宋_GB2312"/>
          <w:color w:val="000000"/>
          <w:sz w:val="32"/>
          <w:szCs w:val="32"/>
          <w:shd w:val="clear" w:color="auto" w:fill="FFFFFF"/>
          <w:lang w:val="zh-CN"/>
        </w:rPr>
      </w:pPr>
      <w:r>
        <w:rPr>
          <w:rFonts w:hint="eastAsia" w:ascii="仿宋_GB2312" w:hAnsi="仿宋_GB2312" w:cs="仿宋_GB2312"/>
          <w:kern w:val="2"/>
          <w:sz w:val="32"/>
          <w:szCs w:val="32"/>
        </w:rPr>
        <w:t>我园认真严肃地开展202</w:t>
      </w:r>
      <w:r>
        <w:rPr>
          <w:rFonts w:hint="eastAsia" w:ascii="仿宋_GB2312" w:hAnsi="仿宋_GB2312" w:cs="仿宋_GB2312"/>
          <w:kern w:val="2"/>
          <w:sz w:val="32"/>
          <w:szCs w:val="32"/>
          <w:lang w:val="en-US" w:eastAsia="zh-CN"/>
        </w:rPr>
        <w:t>4</w:t>
      </w:r>
      <w:r>
        <w:rPr>
          <w:rFonts w:hint="eastAsia" w:ascii="仿宋_GB2312" w:hAnsi="仿宋_GB2312" w:cs="仿宋_GB2312"/>
          <w:kern w:val="2"/>
          <w:sz w:val="32"/>
          <w:szCs w:val="32"/>
        </w:rPr>
        <w:t>年度绩效自评，并及时在政府网站上公开，根据绩效评价反馈结果进行整改完善。</w:t>
      </w:r>
    </w:p>
    <w:p w14:paraId="19B1E728">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ascii="仿宋_GB2312" w:hAnsi="仿宋_GB2312" w:cs="仿宋_GB2312"/>
          <w:kern w:val="2"/>
          <w:sz w:val="32"/>
          <w:szCs w:val="32"/>
        </w:rPr>
      </w:pPr>
      <w:r>
        <w:rPr>
          <w:rFonts w:hint="eastAsia" w:ascii="仿宋_GB2312" w:hAnsi="仿宋_GB2312" w:cs="仿宋_GB2312"/>
          <w:kern w:val="2"/>
          <w:sz w:val="32"/>
          <w:szCs w:val="32"/>
        </w:rPr>
        <w:t>1.行政运转保障202</w:t>
      </w:r>
      <w:r>
        <w:rPr>
          <w:rFonts w:hint="eastAsia" w:ascii="仿宋_GB2312" w:hAnsi="仿宋_GB2312" w:cs="仿宋_GB2312"/>
          <w:kern w:val="2"/>
          <w:sz w:val="32"/>
          <w:szCs w:val="32"/>
          <w:lang w:val="en-US" w:eastAsia="zh-CN"/>
        </w:rPr>
        <w:t>4</w:t>
      </w:r>
      <w:r>
        <w:rPr>
          <w:rFonts w:hint="eastAsia" w:ascii="仿宋_GB2312" w:hAnsi="仿宋_GB2312" w:cs="仿宋_GB2312"/>
          <w:kern w:val="2"/>
          <w:sz w:val="32"/>
          <w:szCs w:val="32"/>
        </w:rPr>
        <w:t>年本部门按照财政局下达的预算指标，严格按照预算内开支，保障了单位正常运转。</w:t>
      </w:r>
    </w:p>
    <w:p w14:paraId="038F8543">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ascii="仿宋_GB2312" w:hAnsi="仿宋_GB2312" w:cs="仿宋_GB2312"/>
          <w:kern w:val="2"/>
          <w:sz w:val="32"/>
          <w:szCs w:val="32"/>
        </w:rPr>
      </w:pPr>
      <w:r>
        <w:rPr>
          <w:rFonts w:hint="eastAsia" w:ascii="仿宋_GB2312" w:hAnsi="仿宋_GB2312" w:cs="仿宋_GB2312"/>
          <w:kern w:val="2"/>
          <w:sz w:val="32"/>
          <w:szCs w:val="32"/>
        </w:rPr>
        <w:t>2.我园厉行节约</w:t>
      </w:r>
    </w:p>
    <w:p w14:paraId="3BE7E7A0">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ascii="仿宋_GB2312" w:hAnsi="仿宋_GB2312" w:cs="仿宋_GB2312"/>
          <w:b/>
          <w:bCs/>
          <w:kern w:val="2"/>
          <w:sz w:val="32"/>
          <w:szCs w:val="32"/>
          <w:lang w:val="zh-CN"/>
        </w:rPr>
      </w:pPr>
      <w:r>
        <w:rPr>
          <w:rFonts w:hint="eastAsia" w:ascii="仿宋_GB2312" w:hAnsi="仿宋_GB2312" w:cs="仿宋_GB2312"/>
          <w:kern w:val="2"/>
          <w:sz w:val="32"/>
          <w:szCs w:val="32"/>
        </w:rPr>
        <w:t>我园无公出国（境）费用、无会议费、无车辆购置及运行费用；公务接待经费</w:t>
      </w:r>
      <w:r>
        <w:rPr>
          <w:rFonts w:hint="eastAsia" w:ascii="仿宋_GB2312" w:hAnsi="仿宋_GB2312" w:cs="仿宋_GB2312"/>
          <w:kern w:val="2"/>
          <w:sz w:val="32"/>
          <w:szCs w:val="32"/>
          <w:lang w:val="en-US" w:eastAsia="zh-CN"/>
        </w:rPr>
        <w:t>使用800元，</w:t>
      </w:r>
      <w:r>
        <w:rPr>
          <w:rFonts w:hint="eastAsia" w:ascii="仿宋_GB2312" w:hAnsi="仿宋_GB2312" w:cs="仿宋_GB2312"/>
          <w:kern w:val="2"/>
          <w:sz w:val="32"/>
          <w:szCs w:val="32"/>
        </w:rPr>
        <w:t>严格控制压缩</w:t>
      </w:r>
      <w:r>
        <w:rPr>
          <w:rFonts w:hint="eastAsia" w:ascii="仿宋_GB2312" w:hAnsi="仿宋_GB2312" w:cs="仿宋_GB2312"/>
          <w:kern w:val="2"/>
          <w:sz w:val="32"/>
          <w:szCs w:val="32"/>
          <w:lang w:val="en-US" w:eastAsia="zh-CN"/>
        </w:rPr>
        <w:t>经费使用</w:t>
      </w:r>
      <w:r>
        <w:rPr>
          <w:rFonts w:hint="eastAsia" w:ascii="仿宋_GB2312" w:hAnsi="仿宋_GB2312" w:cs="仿宋_GB2312"/>
          <w:kern w:val="2"/>
          <w:sz w:val="32"/>
          <w:szCs w:val="32"/>
        </w:rPr>
        <w:t>情况等。</w:t>
      </w:r>
    </w:p>
    <w:p w14:paraId="325E9809">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黑体" w:hAnsi="黑体" w:eastAsia="黑体" w:cs="黑体"/>
          <w:b w:val="0"/>
          <w:bCs w:val="0"/>
          <w:kern w:val="2"/>
          <w:sz w:val="32"/>
          <w:szCs w:val="32"/>
        </w:rPr>
      </w:pPr>
      <w:r>
        <w:rPr>
          <w:rFonts w:hint="eastAsia" w:ascii="黑体" w:hAnsi="黑体" w:eastAsia="黑体" w:cs="黑体"/>
          <w:b w:val="0"/>
          <w:bCs w:val="0"/>
          <w:kern w:val="2"/>
          <w:sz w:val="32"/>
          <w:szCs w:val="32"/>
        </w:rPr>
        <w:t>四、评价结论及建议</w:t>
      </w:r>
    </w:p>
    <w:p w14:paraId="163E44D3">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42" w:firstLineChars="231"/>
        <w:jc w:val="both"/>
        <w:textAlignment w:val="auto"/>
        <w:rPr>
          <w:rFonts w:hint="eastAsia" w:ascii="楷体_GB2312" w:hAnsi="楷体_GB2312" w:eastAsia="楷体_GB2312" w:cs="楷体_GB2312"/>
          <w:kern w:val="2"/>
          <w:sz w:val="32"/>
          <w:szCs w:val="32"/>
          <w:lang w:eastAsia="zh-CN"/>
        </w:rPr>
      </w:pPr>
      <w:r>
        <w:rPr>
          <w:rFonts w:hint="eastAsia" w:ascii="楷体_GB2312" w:hAnsi="楷体_GB2312" w:eastAsia="楷体_GB2312" w:cs="楷体_GB2312"/>
          <w:b/>
          <w:bCs/>
          <w:kern w:val="2"/>
          <w:sz w:val="32"/>
          <w:szCs w:val="32"/>
        </w:rPr>
        <w:t>（一）评价结论</w:t>
      </w:r>
      <w:r>
        <w:rPr>
          <w:rFonts w:hint="eastAsia" w:ascii="楷体_GB2312" w:hAnsi="楷体_GB2312" w:eastAsia="楷体_GB2312" w:cs="楷体_GB2312"/>
          <w:b/>
          <w:bCs/>
          <w:kern w:val="2"/>
          <w:sz w:val="32"/>
          <w:szCs w:val="32"/>
          <w:lang w:eastAsia="zh-CN"/>
        </w:rPr>
        <w:t>。</w:t>
      </w:r>
    </w:p>
    <w:p w14:paraId="46007B70">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ascii="仿宋_GB2312" w:hAnsi="仿宋_GB2312" w:cs="仿宋_GB2312"/>
          <w:kern w:val="2"/>
          <w:sz w:val="32"/>
          <w:szCs w:val="32"/>
        </w:rPr>
      </w:pPr>
      <w:r>
        <w:rPr>
          <w:rFonts w:hint="eastAsia" w:ascii="仿宋_GB2312" w:hAnsi="仿宋_GB2312" w:cs="仿宋_GB2312"/>
          <w:kern w:val="2"/>
          <w:sz w:val="32"/>
          <w:szCs w:val="32"/>
        </w:rPr>
        <w:t>我园整体支出基本完成了年初既定的绩效目标，总评分为</w:t>
      </w:r>
      <w:r>
        <w:rPr>
          <w:rFonts w:hint="eastAsia" w:ascii="仿宋_GB2312" w:hAnsi="仿宋_GB2312" w:cs="仿宋_GB2312"/>
          <w:kern w:val="2"/>
          <w:sz w:val="32"/>
          <w:szCs w:val="32"/>
          <w:lang w:val="en-US" w:eastAsia="zh-CN"/>
        </w:rPr>
        <w:t>85.54</w:t>
      </w:r>
      <w:r>
        <w:rPr>
          <w:rFonts w:hint="eastAsia" w:ascii="仿宋_GB2312" w:hAnsi="仿宋_GB2312" w:cs="仿宋_GB2312"/>
          <w:kern w:val="2"/>
          <w:sz w:val="32"/>
          <w:szCs w:val="32"/>
        </w:rPr>
        <w:t>分，本部门按照州级部门预算编制通知和有关要求，按时完成基础工作，项目报送工作，按时提交部门预算草案；在财政部门批复日内向社会公开本部门的“三公”经费、机关运行经费的安排、使用情况；本部门的预算执行都达到了执行进度；本单位的财务制度健全，制度执行严格，会计核算符合财政局的相关规定，资金达到了专款专用，开支标准合理、合法。</w:t>
      </w:r>
    </w:p>
    <w:p w14:paraId="21E4D9D8">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643" w:firstLineChars="200"/>
        <w:jc w:val="both"/>
        <w:textAlignment w:val="auto"/>
        <w:rPr>
          <w:rFonts w:hint="eastAsia" w:ascii="楷体_GB2312" w:hAnsi="楷体_GB2312" w:eastAsia="楷体_GB2312" w:cs="楷体_GB2312"/>
          <w:b/>
          <w:bCs/>
          <w:kern w:val="2"/>
          <w:sz w:val="32"/>
          <w:szCs w:val="32"/>
          <w:lang w:eastAsia="zh-CN"/>
        </w:rPr>
      </w:pPr>
      <w:r>
        <w:rPr>
          <w:rFonts w:hint="eastAsia" w:ascii="楷体_GB2312" w:hAnsi="楷体_GB2312" w:eastAsia="楷体_GB2312" w:cs="楷体_GB2312"/>
          <w:b/>
          <w:bCs/>
          <w:kern w:val="2"/>
          <w:sz w:val="32"/>
          <w:szCs w:val="32"/>
        </w:rPr>
        <w:t>（二）存在问题</w:t>
      </w:r>
      <w:r>
        <w:rPr>
          <w:rFonts w:hint="eastAsia" w:ascii="楷体_GB2312" w:hAnsi="楷体_GB2312" w:eastAsia="楷体_GB2312" w:cs="楷体_GB2312"/>
          <w:b/>
          <w:bCs/>
          <w:kern w:val="2"/>
          <w:sz w:val="32"/>
          <w:szCs w:val="32"/>
          <w:lang w:eastAsia="zh-CN"/>
        </w:rPr>
        <w:t>。</w:t>
      </w:r>
    </w:p>
    <w:p w14:paraId="2C68BEA7">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ascii="仿宋_GB2312" w:hAnsi="仿宋_GB2312" w:cs="仿宋_GB2312"/>
          <w:kern w:val="2"/>
          <w:sz w:val="32"/>
          <w:szCs w:val="32"/>
        </w:rPr>
      </w:pPr>
      <w:r>
        <w:rPr>
          <w:rFonts w:hint="eastAsia" w:ascii="仿宋_GB2312" w:hAnsi="仿宋_GB2312" w:cs="仿宋_GB2312"/>
          <w:kern w:val="2"/>
          <w:sz w:val="32"/>
          <w:szCs w:val="32"/>
        </w:rPr>
        <w:t>1.绩效评价管理制度不健全。还尚未制定相关的管理办法和实施细则，绩效评价开展缺乏强有力的制度保障。</w:t>
      </w:r>
    </w:p>
    <w:p w14:paraId="3BD01D50">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ascii="仿宋_GB2312" w:hAnsi="仿宋_GB2312" w:cs="仿宋_GB2312"/>
          <w:kern w:val="2"/>
          <w:sz w:val="32"/>
          <w:szCs w:val="32"/>
        </w:rPr>
      </w:pPr>
      <w:r>
        <w:rPr>
          <w:rFonts w:hint="eastAsia" w:ascii="仿宋_GB2312" w:hAnsi="仿宋_GB2312" w:cs="仿宋_GB2312"/>
          <w:kern w:val="2"/>
          <w:sz w:val="32"/>
          <w:szCs w:val="32"/>
        </w:rPr>
        <w:t>2.绩效评价指标体系还不够完善、合理。评价内容不够全面，评价数据采集缺少充分的调查分析和严密的逻辑关系，难以满足不同性质的绩效评价需求。</w:t>
      </w:r>
    </w:p>
    <w:p w14:paraId="1B18C2CA">
      <w:pPr>
        <w:pStyle w:val="16"/>
        <w:keepNext w:val="0"/>
        <w:keepLines w:val="0"/>
        <w:pageBreakBefore w:val="0"/>
        <w:widowControl/>
        <w:numPr>
          <w:ilvl w:val="0"/>
          <w:numId w:val="6"/>
        </w:numPr>
        <w:shd w:val="clear" w:color="auto" w:fill="FFFFFF"/>
        <w:kinsoku/>
        <w:wordWrap/>
        <w:overflowPunct/>
        <w:topLinePunct w:val="0"/>
        <w:autoSpaceDE/>
        <w:autoSpaceDN/>
        <w:bidi w:val="0"/>
        <w:spacing w:beforeAutospacing="0" w:afterAutospacing="0" w:line="576" w:lineRule="exact"/>
        <w:ind w:left="0" w:leftChars="0" w:firstLine="643" w:firstLineChars="200"/>
        <w:jc w:val="both"/>
        <w:textAlignment w:val="auto"/>
        <w:rPr>
          <w:rFonts w:hint="eastAsia"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改进建议</w:t>
      </w:r>
      <w:r>
        <w:rPr>
          <w:rFonts w:hint="eastAsia" w:ascii="楷体_GB2312" w:hAnsi="楷体_GB2312" w:eastAsia="楷体_GB2312" w:cs="楷体_GB2312"/>
          <w:b/>
          <w:bCs/>
          <w:kern w:val="2"/>
          <w:sz w:val="32"/>
          <w:szCs w:val="32"/>
          <w:lang w:eastAsia="zh-CN"/>
        </w:rPr>
        <w:t>。</w:t>
      </w:r>
    </w:p>
    <w:p w14:paraId="3309EF38">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ascii="仿宋_GB2312" w:hAnsi="仿宋_GB2312" w:cs="仿宋_GB2312"/>
          <w:kern w:val="2"/>
          <w:sz w:val="32"/>
          <w:szCs w:val="32"/>
        </w:rPr>
      </w:pPr>
      <w:r>
        <w:rPr>
          <w:rFonts w:hint="eastAsia" w:ascii="仿宋_GB2312" w:hAnsi="仿宋_GB2312" w:cs="仿宋_GB2312"/>
          <w:kern w:val="2"/>
          <w:sz w:val="32"/>
          <w:szCs w:val="32"/>
        </w:rPr>
        <w:t>1.加大财务绩效评价工作的宣传和培训力度。</w:t>
      </w:r>
    </w:p>
    <w:p w14:paraId="4B558C22">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仿宋_GB2312" w:hAnsi="仿宋_GB2312" w:cs="仿宋_GB2312"/>
          <w:kern w:val="2"/>
          <w:sz w:val="32"/>
          <w:szCs w:val="32"/>
        </w:rPr>
      </w:pPr>
      <w:r>
        <w:rPr>
          <w:rFonts w:hint="eastAsia" w:ascii="仿宋_GB2312" w:hAnsi="仿宋_GB2312" w:cs="仿宋_GB2312"/>
          <w:kern w:val="2"/>
          <w:sz w:val="32"/>
          <w:szCs w:val="32"/>
        </w:rPr>
        <w:t>2.制定更加科学的绩效评价指标。</w:t>
      </w:r>
    </w:p>
    <w:p w14:paraId="02A46E57">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739" w:firstLineChars="231"/>
        <w:jc w:val="both"/>
        <w:textAlignment w:val="auto"/>
        <w:rPr>
          <w:rFonts w:hint="eastAsia" w:ascii="仿宋_GB2312" w:hAnsi="仿宋_GB2312" w:cs="仿宋_GB2312"/>
          <w:kern w:val="2"/>
          <w:sz w:val="32"/>
          <w:szCs w:val="32"/>
        </w:rPr>
      </w:pPr>
    </w:p>
    <w:p w14:paraId="4B91D441">
      <w:pPr>
        <w:keepNext w:val="0"/>
        <w:keepLines w:val="0"/>
        <w:pageBreakBefore w:val="0"/>
        <w:widowControl w:val="0"/>
        <w:kinsoku/>
        <w:wordWrap/>
        <w:overflowPunct/>
        <w:topLinePunct w:val="0"/>
        <w:autoSpaceDE/>
        <w:autoSpaceDN/>
        <w:bidi w:val="0"/>
        <w:spacing w:line="576" w:lineRule="exact"/>
        <w:ind w:left="0" w:leftChars="0" w:firstLine="420" w:firstLineChars="200"/>
        <w:textAlignment w:val="auto"/>
        <w:rPr>
          <w:rFonts w:hint="eastAsia" w:ascii="Times New Roman" w:hAnsi="Times New Roman" w:cs="Times New Roman"/>
          <w:strike w:val="0"/>
          <w:dstrike w:val="0"/>
          <w:sz w:val="32"/>
          <w:szCs w:val="32"/>
          <w:u w:val="none"/>
          <w:lang w:val="en-US" w:eastAsia="zh-CN"/>
        </w:rPr>
      </w:pPr>
      <w:r>
        <w:rPr>
          <w:rFonts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strike w:val="0"/>
          <w:dstrike w:val="0"/>
          <w:sz w:val="32"/>
          <w:szCs w:val="32"/>
          <w:u w:val="none"/>
          <w:lang w:val="en-US" w:eastAsia="zh-CN"/>
        </w:rPr>
        <w:t>部门预算绩效自评打分表</w:t>
      </w:r>
    </w:p>
    <w:p w14:paraId="4E94F3E6">
      <w:pPr>
        <w:keepNext w:val="0"/>
        <w:keepLines w:val="0"/>
        <w:pageBreakBefore w:val="0"/>
        <w:widowControl w:val="0"/>
        <w:kinsoku/>
        <w:wordWrap/>
        <w:overflowPunct/>
        <w:topLinePunct w:val="0"/>
        <w:autoSpaceDE/>
        <w:autoSpaceDN/>
        <w:bidi w:val="0"/>
        <w:spacing w:line="576" w:lineRule="exact"/>
        <w:ind w:left="0" w:leftChars="0" w:firstLine="1600" w:firstLineChars="500"/>
        <w:textAlignment w:val="auto"/>
        <w:rPr>
          <w:rFonts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strike w:val="0"/>
          <w:dstrike w:val="0"/>
          <w:sz w:val="32"/>
          <w:szCs w:val="32"/>
          <w:u w:val="none"/>
          <w:lang w:val="en-US" w:eastAsia="zh-CN"/>
        </w:rPr>
        <w:t>2.</w:t>
      </w:r>
      <w:r>
        <w:rPr>
          <w:rFonts w:ascii="Times New Roman" w:hAnsi="Times New Roman" w:cs="Times New Roman"/>
          <w:color w:val="000000"/>
          <w:kern w:val="0"/>
          <w:szCs w:val="32"/>
          <w:highlight w:val="none"/>
          <w:shd w:val="clear" w:color="auto" w:fill="FFFFFF"/>
          <w:lang w:val="en-US" w:eastAsia="zh-CN"/>
        </w:rPr>
        <w:t>部门整体绩效目标完成情况自评表</w:t>
      </w:r>
    </w:p>
    <w:p w14:paraId="1BCCD990">
      <w:pPr>
        <w:keepNext w:val="0"/>
        <w:keepLines w:val="0"/>
        <w:pageBreakBefore w:val="0"/>
        <w:widowControl w:val="0"/>
        <w:kinsoku/>
        <w:wordWrap/>
        <w:overflowPunct/>
        <w:topLinePunct w:val="0"/>
        <w:autoSpaceDE/>
        <w:autoSpaceDN/>
        <w:bidi w:val="0"/>
        <w:spacing w:line="576" w:lineRule="exact"/>
        <w:ind w:left="0" w:leftChars="0" w:firstLine="1050" w:firstLineChars="500"/>
        <w:textAlignment w:val="auto"/>
        <w:rPr>
          <w:rFonts w:ascii="Times New Roman" w:hAnsi="Times New Roman" w:eastAsia="仿宋_GB2312" w:cs="Times New Roman"/>
          <w:strike w:val="0"/>
          <w:dstrike w:val="0"/>
          <w:sz w:val="32"/>
          <w:szCs w:val="32"/>
          <w:u w:val="none"/>
          <w:lang w:eastAsia="zh-CN"/>
        </w:rPr>
      </w:pPr>
      <w:r>
        <w:rPr>
          <w:rFonts w:hint="eastAsia" w:cs="Times New Roman"/>
          <w:color w:val="000000"/>
          <w:kern w:val="0"/>
          <w:szCs w:val="32"/>
          <w:highlight w:val="none"/>
          <w:shd w:val="clear" w:color="auto" w:fill="FFFFFF"/>
          <w:lang w:val="en-US" w:eastAsia="zh-CN"/>
        </w:rPr>
        <w:t>3.</w:t>
      </w:r>
      <w:r>
        <w:rPr>
          <w:rFonts w:ascii="Times New Roman" w:hAnsi="Times New Roman" w:eastAsia="仿宋_GB2312" w:cs="Times New Roman"/>
          <w:strike w:val="0"/>
          <w:dstrike w:val="0"/>
          <w:sz w:val="32"/>
          <w:szCs w:val="32"/>
          <w:u w:val="none"/>
        </w:rPr>
        <w:t>部门预算项目支出绩效</w:t>
      </w:r>
      <w:r>
        <w:rPr>
          <w:rFonts w:ascii="Times New Roman" w:hAnsi="Times New Roman" w:eastAsia="仿宋_GB2312" w:cs="Times New Roman"/>
          <w:strike w:val="0"/>
          <w:dstrike w:val="0"/>
          <w:sz w:val="32"/>
          <w:szCs w:val="32"/>
          <w:u w:val="none"/>
          <w:lang w:eastAsia="zh-CN"/>
        </w:rPr>
        <w:t>评价</w:t>
      </w:r>
      <w:r>
        <w:rPr>
          <w:rFonts w:ascii="Times New Roman" w:hAnsi="Times New Roman" w:eastAsia="仿宋_GB2312" w:cs="Times New Roman"/>
          <w:strike w:val="0"/>
          <w:dstrike w:val="0"/>
          <w:sz w:val="32"/>
          <w:szCs w:val="32"/>
          <w:u w:val="none"/>
        </w:rPr>
        <w:t>表</w:t>
      </w:r>
      <w:r>
        <w:rPr>
          <w:rFonts w:ascii="Times New Roman" w:hAnsi="Times New Roman" w:eastAsia="仿宋_GB2312" w:cs="Times New Roman"/>
          <w:strike w:val="0"/>
          <w:dstrike w:val="0"/>
          <w:sz w:val="32"/>
          <w:szCs w:val="32"/>
          <w:u w:val="none"/>
          <w:lang w:eastAsia="zh-CN"/>
        </w:rPr>
        <w:t>（202</w:t>
      </w:r>
      <w:r>
        <w:rPr>
          <w:rFonts w:ascii="Times New Roman" w:hAnsi="Times New Roman" w:eastAsia="仿宋_GB2312" w:cs="Times New Roman"/>
          <w:strike w:val="0"/>
          <w:dstrike w:val="0"/>
          <w:sz w:val="32"/>
          <w:szCs w:val="32"/>
          <w:u w:val="none"/>
          <w:lang w:val="en-US" w:eastAsia="zh-CN"/>
        </w:rPr>
        <w:t>4</w:t>
      </w:r>
      <w:r>
        <w:rPr>
          <w:rFonts w:ascii="Times New Roman" w:hAnsi="Times New Roman" w:eastAsia="仿宋_GB2312" w:cs="Times New Roman"/>
          <w:strike w:val="0"/>
          <w:dstrike w:val="0"/>
          <w:sz w:val="32"/>
          <w:szCs w:val="32"/>
          <w:u w:val="none"/>
          <w:lang w:eastAsia="zh-CN"/>
        </w:rPr>
        <w:t>年度）</w:t>
      </w:r>
    </w:p>
    <w:p w14:paraId="5AE1A548">
      <w:pPr>
        <w:pStyle w:val="2"/>
        <w:rPr>
          <w:rFonts w:ascii="Times New Roman" w:hAnsi="Times New Roman" w:eastAsia="仿宋_GB2312" w:cs="Times New Roman"/>
          <w:strike w:val="0"/>
          <w:dstrike w:val="0"/>
          <w:sz w:val="32"/>
          <w:szCs w:val="32"/>
          <w:u w:val="none"/>
          <w:lang w:eastAsia="zh-CN"/>
        </w:rPr>
      </w:pPr>
    </w:p>
    <w:p w14:paraId="5B563374">
      <w:pPr>
        <w:rPr>
          <w:rFonts w:ascii="Times New Roman" w:hAnsi="Times New Roman" w:eastAsia="仿宋_GB2312" w:cs="Times New Roman"/>
          <w:strike w:val="0"/>
          <w:dstrike w:val="0"/>
          <w:sz w:val="32"/>
          <w:szCs w:val="32"/>
          <w:u w:val="none"/>
          <w:lang w:eastAsia="zh-CN"/>
        </w:rPr>
      </w:pPr>
    </w:p>
    <w:p w14:paraId="1B38C308">
      <w:pPr>
        <w:pStyle w:val="2"/>
        <w:rPr>
          <w:rFonts w:ascii="Times New Roman" w:hAnsi="Times New Roman" w:eastAsia="仿宋_GB2312" w:cs="Times New Roman"/>
          <w:strike w:val="0"/>
          <w:dstrike w:val="0"/>
          <w:sz w:val="32"/>
          <w:szCs w:val="32"/>
          <w:u w:val="none"/>
          <w:lang w:eastAsia="zh-CN"/>
        </w:rPr>
      </w:pPr>
    </w:p>
    <w:p w14:paraId="75FE43F7">
      <w:pPr>
        <w:rPr>
          <w:rFonts w:ascii="Times New Roman" w:hAnsi="Times New Roman" w:eastAsia="仿宋_GB2312" w:cs="Times New Roman"/>
          <w:strike w:val="0"/>
          <w:dstrike w:val="0"/>
          <w:sz w:val="32"/>
          <w:szCs w:val="32"/>
          <w:u w:val="none"/>
          <w:lang w:eastAsia="zh-CN"/>
        </w:rPr>
      </w:pPr>
    </w:p>
    <w:p w14:paraId="0B8C1B96">
      <w:pPr>
        <w:pStyle w:val="2"/>
        <w:rPr>
          <w:rFonts w:ascii="Times New Roman" w:hAnsi="Times New Roman" w:eastAsia="仿宋_GB2312" w:cs="Times New Roman"/>
          <w:strike w:val="0"/>
          <w:dstrike w:val="0"/>
          <w:sz w:val="32"/>
          <w:szCs w:val="32"/>
          <w:u w:val="none"/>
          <w:lang w:eastAsia="zh-CN"/>
        </w:rPr>
      </w:pPr>
    </w:p>
    <w:p w14:paraId="437E5EC5">
      <w:pPr>
        <w:rPr>
          <w:rFonts w:ascii="Times New Roman" w:hAnsi="Times New Roman" w:eastAsia="仿宋_GB2312" w:cs="Times New Roman"/>
          <w:strike w:val="0"/>
          <w:dstrike w:val="0"/>
          <w:sz w:val="32"/>
          <w:szCs w:val="32"/>
          <w:u w:val="none"/>
          <w:lang w:eastAsia="zh-CN"/>
        </w:rPr>
      </w:pPr>
    </w:p>
    <w:p w14:paraId="01062113">
      <w:pPr>
        <w:pStyle w:val="2"/>
        <w:rPr>
          <w:rFonts w:ascii="Times New Roman" w:hAnsi="Times New Roman" w:eastAsia="仿宋_GB2312" w:cs="Times New Roman"/>
          <w:strike w:val="0"/>
          <w:dstrike w:val="0"/>
          <w:sz w:val="32"/>
          <w:szCs w:val="32"/>
          <w:u w:val="none"/>
          <w:lang w:eastAsia="zh-CN"/>
        </w:rPr>
      </w:pPr>
    </w:p>
    <w:p w14:paraId="48CDDABC">
      <w:pPr>
        <w:rPr>
          <w:rFonts w:ascii="Times New Roman" w:hAnsi="Times New Roman" w:eastAsia="仿宋_GB2312" w:cs="Times New Roman"/>
          <w:strike w:val="0"/>
          <w:dstrike w:val="0"/>
          <w:sz w:val="32"/>
          <w:szCs w:val="32"/>
          <w:u w:val="none"/>
          <w:lang w:eastAsia="zh-CN"/>
        </w:rPr>
      </w:pPr>
    </w:p>
    <w:p w14:paraId="1669E004">
      <w:pPr>
        <w:keepNext w:val="0"/>
        <w:keepLines w:val="0"/>
        <w:pageBreakBefore w:val="0"/>
        <w:widowControl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4E9069F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rPr>
      </w:pPr>
      <w:r>
        <w:rPr>
          <w:rFonts w:hint="eastAsia" w:ascii="Times New Roman" w:hAnsi="Times New Roman" w:eastAsia="方正小标宋简体" w:cs="Times New Roman"/>
          <w:i w:val="0"/>
          <w:color w:val="000000"/>
          <w:kern w:val="0"/>
          <w:sz w:val="44"/>
          <w:szCs w:val="44"/>
          <w:u w:val="none"/>
          <w:lang w:val="en-US" w:eastAsia="zh-CN"/>
        </w:rPr>
        <w:t>部门预算绩效自评打分表</w:t>
      </w:r>
    </w:p>
    <w:tbl>
      <w:tblPr>
        <w:tblStyle w:val="17"/>
        <w:tblW w:w="10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4"/>
        <w:gridCol w:w="1321"/>
        <w:gridCol w:w="1736"/>
        <w:gridCol w:w="649"/>
        <w:gridCol w:w="3814"/>
        <w:gridCol w:w="750"/>
        <w:gridCol w:w="1105"/>
      </w:tblGrid>
      <w:tr w14:paraId="21A9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45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28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绩效评价指标指标分值</w:t>
            </w:r>
          </w:p>
        </w:tc>
        <w:tc>
          <w:tcPr>
            <w:tcW w:w="38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95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50" w:type="dxa"/>
            <w:vMerge w:val="restart"/>
            <w:tcBorders>
              <w:top w:val="single" w:color="000000" w:sz="4" w:space="0"/>
              <w:left w:val="single" w:color="000000" w:sz="4" w:space="0"/>
              <w:bottom w:val="nil"/>
              <w:right w:val="single" w:color="000000" w:sz="4" w:space="0"/>
            </w:tcBorders>
            <w:shd w:val="clear" w:color="auto" w:fill="auto"/>
            <w:noWrap/>
            <w:vAlign w:val="center"/>
          </w:tcPr>
          <w:p w14:paraId="7BE9A8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1105" w:type="dxa"/>
            <w:vMerge w:val="restart"/>
            <w:tcBorders>
              <w:top w:val="single" w:color="000000" w:sz="4" w:space="0"/>
              <w:left w:val="single" w:color="000000" w:sz="4" w:space="0"/>
              <w:bottom w:val="nil"/>
              <w:right w:val="single" w:color="000000" w:sz="4" w:space="0"/>
            </w:tcBorders>
            <w:shd w:val="clear" w:color="auto" w:fill="auto"/>
            <w:noWrap/>
            <w:vAlign w:val="center"/>
          </w:tcPr>
          <w:p w14:paraId="4368C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14:paraId="76B58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844" w:type="dxa"/>
            <w:tcBorders>
              <w:top w:val="single" w:color="000000" w:sz="4" w:space="0"/>
              <w:left w:val="single" w:color="000000" w:sz="4" w:space="0"/>
              <w:bottom w:val="single" w:color="000000" w:sz="4" w:space="0"/>
              <w:right w:val="nil"/>
            </w:tcBorders>
            <w:shd w:val="clear" w:color="auto" w:fill="auto"/>
            <w:noWrap/>
            <w:vAlign w:val="center"/>
          </w:tcPr>
          <w:p w14:paraId="677187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一级</w:t>
            </w:r>
          </w:p>
          <w:p w14:paraId="1F8D98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AB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EA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915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38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A2E8">
            <w:pPr>
              <w:keepNext w:val="0"/>
              <w:keepLines w:val="0"/>
              <w:suppressLineNumbers w:val="0"/>
              <w:spacing w:before="0" w:beforeAutospacing="0" w:after="0" w:afterAutospacing="0"/>
              <w:ind w:left="0" w:right="0"/>
              <w:rPr>
                <w:rFonts w:hint="default"/>
              </w:rPr>
            </w:pPr>
          </w:p>
        </w:tc>
        <w:tc>
          <w:tcPr>
            <w:tcW w:w="750" w:type="dxa"/>
            <w:vMerge w:val="continue"/>
            <w:tcBorders>
              <w:top w:val="nil"/>
              <w:left w:val="single" w:color="000000" w:sz="4" w:space="0"/>
              <w:bottom w:val="single" w:color="000000" w:sz="4" w:space="0"/>
              <w:right w:val="single" w:color="000000" w:sz="4" w:space="0"/>
            </w:tcBorders>
            <w:shd w:val="clear" w:color="auto" w:fill="auto"/>
            <w:noWrap/>
            <w:vAlign w:val="center"/>
          </w:tcPr>
          <w:p w14:paraId="074A07A4">
            <w:pPr>
              <w:keepNext w:val="0"/>
              <w:keepLines w:val="0"/>
              <w:suppressLineNumbers w:val="0"/>
              <w:spacing w:before="0" w:beforeAutospacing="0" w:after="0" w:afterAutospacing="0"/>
              <w:ind w:left="0" w:right="0"/>
              <w:rPr>
                <w:rFonts w:hint="default"/>
              </w:rPr>
            </w:pPr>
          </w:p>
        </w:tc>
        <w:tc>
          <w:tcPr>
            <w:tcW w:w="1105" w:type="dxa"/>
            <w:vMerge w:val="continue"/>
            <w:tcBorders>
              <w:top w:val="nil"/>
              <w:left w:val="single" w:color="000000" w:sz="4" w:space="0"/>
              <w:bottom w:val="single" w:color="000000" w:sz="4" w:space="0"/>
              <w:right w:val="single" w:color="000000" w:sz="4" w:space="0"/>
            </w:tcBorders>
            <w:shd w:val="clear" w:color="auto" w:fill="auto"/>
            <w:noWrap/>
            <w:vAlign w:val="center"/>
          </w:tcPr>
          <w:p w14:paraId="1CEC2065">
            <w:pPr>
              <w:keepNext w:val="0"/>
              <w:keepLines w:val="0"/>
              <w:suppressLineNumbers w:val="0"/>
              <w:spacing w:before="0" w:beforeAutospacing="0" w:after="0" w:afterAutospacing="0"/>
              <w:ind w:left="0" w:right="0"/>
              <w:rPr>
                <w:rFonts w:hint="default"/>
              </w:rPr>
            </w:pPr>
          </w:p>
        </w:tc>
      </w:tr>
      <w:tr w14:paraId="3C87E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4" w:hRule="atLeast"/>
          <w:jc w:val="center"/>
        </w:trPr>
        <w:tc>
          <w:tcPr>
            <w:tcW w:w="8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FDD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kern w:val="0"/>
                <w:sz w:val="24"/>
                <w:szCs w:val="24"/>
                <w:u w:val="none"/>
                <w:lang w:val="en-US" w:eastAsia="zh-CN"/>
              </w:rPr>
            </w:pPr>
            <w:r>
              <w:rPr>
                <w:rFonts w:hint="eastAsia" w:ascii="宋体" w:eastAsia="宋体" w:cs="宋体"/>
                <w:b/>
                <w:i w:val="0"/>
                <w:color w:val="000000"/>
                <w:kern w:val="0"/>
                <w:sz w:val="24"/>
                <w:szCs w:val="24"/>
                <w:u w:val="none"/>
                <w:lang w:val="en-US" w:eastAsia="zh-CN"/>
              </w:rPr>
              <w:t>总体</w:t>
            </w:r>
          </w:p>
          <w:p w14:paraId="74E2E6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624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履职效能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（15分）</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527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color w:val="000000"/>
                <w:sz w:val="24"/>
              </w:rPr>
            </w:pPr>
            <w:r>
              <w:rPr>
                <w:rFonts w:hint="default" w:ascii="宋体" w:eastAsia="宋体" w:cs="宋体"/>
                <w:i w:val="0"/>
                <w:color w:val="000000"/>
                <w:sz w:val="24"/>
                <w:szCs w:val="24"/>
                <w:u w:val="none"/>
              </w:rPr>
              <w:t>1.</w:t>
            </w:r>
            <w:r>
              <w:rPr>
                <w:rFonts w:hint="eastAsia" w:ascii="宋体" w:eastAsia="宋体" w:cs="宋体"/>
                <w:i w:val="0"/>
                <w:color w:val="000000"/>
                <w:sz w:val="24"/>
                <w:u w:val="none"/>
              </w:rPr>
              <w:t>常公用经费和人员经费的基本支出履职完成</w:t>
            </w:r>
            <w:r>
              <w:rPr>
                <w:rFonts w:hint="eastAsia" w:ascii="宋体" w:eastAsia="宋体" w:cs="宋体"/>
                <w:color w:val="000000"/>
                <w:sz w:val="24"/>
              </w:rPr>
              <w:t>效果</w:t>
            </w:r>
          </w:p>
          <w:p w14:paraId="77CEEE69">
            <w:pPr>
              <w:pStyle w:val="2"/>
              <w:keepNext/>
              <w:keepLines/>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40" w:lineRule="exact"/>
              <w:ind w:left="0" w:right="0"/>
              <w:rPr>
                <w:rFonts w:hint="eastAsia" w:ascii="宋体" w:eastAsia="宋体" w:cs="宋体"/>
                <w:b w:val="0"/>
                <w:color w:val="000000"/>
                <w:szCs w:val="24"/>
              </w:rPr>
            </w:pPr>
            <w:r>
              <w:rPr>
                <w:rFonts w:hint="eastAsia" w:ascii="宋体" w:eastAsia="宋体" w:cs="宋体"/>
                <w:b w:val="0"/>
                <w:color w:val="000000"/>
                <w:szCs w:val="24"/>
              </w:rPr>
              <w:t>2.加强教学教研工作</w:t>
            </w:r>
          </w:p>
          <w:p w14:paraId="483BB46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40" w:lineRule="exact"/>
              <w:ind w:left="0" w:right="0"/>
              <w:rPr>
                <w:rFonts w:hint="eastAsia" w:ascii="宋体" w:eastAsia="宋体"/>
                <w:sz w:val="24"/>
              </w:rPr>
            </w:pPr>
            <w:r>
              <w:rPr>
                <w:rFonts w:hint="eastAsia" w:ascii="宋体" w:eastAsia="宋体"/>
                <w:sz w:val="24"/>
              </w:rPr>
              <w:t>3.加强德育、安全工作</w:t>
            </w:r>
          </w:p>
          <w:p w14:paraId="6B55D87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40" w:lineRule="exact"/>
              <w:ind w:left="0" w:right="0"/>
              <w:rPr>
                <w:rFonts w:hint="eastAsia"/>
              </w:rPr>
            </w:pPr>
          </w:p>
        </w:tc>
        <w:tc>
          <w:tcPr>
            <w:tcW w:w="649" w:type="dxa"/>
            <w:tcBorders>
              <w:top w:val="nil"/>
              <w:left w:val="single" w:color="000000" w:sz="4" w:space="0"/>
              <w:bottom w:val="single" w:color="000000" w:sz="4" w:space="0"/>
              <w:right w:val="single" w:color="000000" w:sz="4" w:space="0"/>
            </w:tcBorders>
            <w:shd w:val="clear" w:color="auto" w:fill="auto"/>
            <w:noWrap/>
            <w:vAlign w:val="center"/>
          </w:tcPr>
          <w:p w14:paraId="21C7F4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15</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C5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部门整体绩效目标中选定3-5个核心职能目标，反映该项职能目标完成效果情况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CBD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15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47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宋体" w:eastAsia="宋体" w:cs="宋体"/>
                <w:i w:val="0"/>
                <w:color w:val="000000"/>
                <w:kern w:val="0"/>
                <w:sz w:val="24"/>
                <w:szCs w:val="24"/>
                <w:u w:val="none"/>
                <w:lang w:val="en-US" w:eastAsia="zh-CN"/>
              </w:rPr>
            </w:pPr>
          </w:p>
        </w:tc>
      </w:tr>
      <w:tr w14:paraId="2F5F7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9D3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7C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预算管理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（25分）</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AF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预算编制质量</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39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A1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部门是否严格按要求编制年初部门预算，年初预算编制的科学性和准确性</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E65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4.48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6F1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3B00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7FD9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03F">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A7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单位收入统筹</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E9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EC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部门统筹自有收入程度</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15E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A72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73DBD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10B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D762">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9E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支出执行进度</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7E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6</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756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部门1至6月、1至10月预算执行情况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C0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0.7</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D8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6900A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7AF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7815B">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682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预算年终结余</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77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77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部门整体年终预算结余情况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4B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1.9</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43C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2C00E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3D4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B46E">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4F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严控一般性支出</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4C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5</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A9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部门严控“三公”经费、会议、培训、差旅、办节办展、办公设备购置、信息网络及软件购置更新、课题经费等8项一般性支出情况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0E2B">
            <w:pPr>
              <w:keepNext w:val="0"/>
              <w:keepLines w:val="0"/>
              <w:pageBreakBefore w:val="0"/>
              <w:widowControl/>
              <w:suppressLineNumbers w:val="0"/>
              <w:tabs>
                <w:tab w:val="left" w:pos="315"/>
              </w:tabs>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D1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230DE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E05F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8E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财务管理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24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财务管理制度</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20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8D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部门财务管理制度建立情况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E5D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986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5DE43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AF1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A566">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4F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财务岗位设置</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ED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42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部门财务岗位设置是否符合相关财务管理制度要求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DD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FF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455D6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671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6343D">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9D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资金使用规范</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25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FF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部门资金使用是否符合相关财务管理制度规定</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04E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4A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5A420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751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64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3F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人均资产变化率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88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97F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部门人均资产变化情况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F8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50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0C8A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76A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7A38">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6A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资产利用率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BD1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19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部门资产超最低使用年限情况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D5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36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7497E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4C7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kern w:val="0"/>
                <w:sz w:val="24"/>
                <w:szCs w:val="24"/>
                <w:u w:val="none"/>
                <w:lang w:val="en-US" w:eastAsia="zh-CN"/>
              </w:rPr>
            </w:pPr>
            <w:r>
              <w:rPr>
                <w:rFonts w:hint="eastAsia" w:ascii="宋体" w:eastAsia="宋体" w:cs="宋体"/>
                <w:b/>
                <w:i w:val="0"/>
                <w:color w:val="000000"/>
                <w:kern w:val="0"/>
                <w:sz w:val="24"/>
                <w:szCs w:val="24"/>
                <w:u w:val="none"/>
                <w:lang w:val="en-US" w:eastAsia="zh-CN"/>
              </w:rPr>
              <w:t>总体</w:t>
            </w:r>
          </w:p>
          <w:p w14:paraId="31E4F4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9BA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56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资产盘活率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2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FB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部门闲置一年以上的资产盘活情况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B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3C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42301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62A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75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采购管理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（6分）</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A2B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支持中小企业发展</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7A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F4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部门是否严格执行政府采购促进中小企业发展相关管理办法</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7A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95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45E5F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FE08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105" w:leftChars="-50" w:right="-105" w:rightChars="-5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58783">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52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采购执行率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A95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E1C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部门政府采购项目资金支付比例情况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03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2.75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4B7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46798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1E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kern w:val="0"/>
                <w:sz w:val="24"/>
                <w:szCs w:val="24"/>
                <w:u w:val="none"/>
                <w:lang w:val="en-US" w:eastAsia="zh-CN"/>
              </w:rPr>
            </w:pPr>
            <w:r>
              <w:rPr>
                <w:rFonts w:hint="eastAsia" w:ascii="宋体" w:eastAsia="宋体" w:cs="宋体"/>
                <w:b/>
                <w:i w:val="0"/>
                <w:color w:val="000000"/>
                <w:kern w:val="0"/>
                <w:sz w:val="24"/>
                <w:szCs w:val="24"/>
                <w:u w:val="none"/>
                <w:lang w:val="en-US" w:eastAsia="zh-CN"/>
              </w:rPr>
              <w:t>项目</w:t>
            </w:r>
          </w:p>
          <w:p w14:paraId="172BC2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（35分）</w:t>
            </w:r>
          </w:p>
        </w:tc>
        <w:tc>
          <w:tcPr>
            <w:tcW w:w="1321" w:type="dxa"/>
            <w:vMerge w:val="restart"/>
            <w:tcBorders>
              <w:top w:val="single" w:color="000000" w:sz="4" w:space="0"/>
              <w:left w:val="single" w:color="000000" w:sz="4" w:space="0"/>
              <w:bottom w:val="nil"/>
              <w:right w:val="single" w:color="000000" w:sz="4" w:space="0"/>
            </w:tcBorders>
            <w:shd w:val="clear" w:color="auto" w:fill="auto"/>
            <w:noWrap/>
            <w:vAlign w:val="center"/>
          </w:tcPr>
          <w:p w14:paraId="14C4DC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D8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0C8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18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部门预算项目设立是否按规定履行评估论证、申报程序</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D88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98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15A6C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4025">
            <w:pPr>
              <w:keepNext w:val="0"/>
              <w:keepLines w:val="0"/>
              <w:suppressLineNumbers w:val="0"/>
              <w:spacing w:before="0" w:beforeAutospacing="0" w:after="0" w:afterAutospacing="0"/>
              <w:ind w:left="0" w:right="0"/>
              <w:rPr>
                <w:rFonts w:hint="default"/>
              </w:rPr>
            </w:pPr>
          </w:p>
        </w:tc>
        <w:tc>
          <w:tcPr>
            <w:tcW w:w="1321"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83ED303">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A7B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目标设置</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C6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DF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部门预算项目绩效目标与计划期内的任务量、预算安排的资金量匹配情况，绩效目标设置是否科学合理、规范完整、量化细化、预算匹配</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92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7D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6C239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C1A03">
            <w:pPr>
              <w:keepNext w:val="0"/>
              <w:keepLines w:val="0"/>
              <w:suppressLineNumbers w:val="0"/>
              <w:spacing w:before="0" w:beforeAutospacing="0" w:after="0" w:afterAutospacing="0"/>
              <w:ind w:left="0" w:right="0"/>
              <w:rPr>
                <w:rFonts w:hint="default"/>
              </w:rPr>
            </w:pPr>
          </w:p>
        </w:tc>
        <w:tc>
          <w:tcPr>
            <w:tcW w:w="1321"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590DAC7">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98C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项目入库</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6F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46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部门预算项目是否在规定时间完成项目入库</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45C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5D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21D49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AD82">
            <w:pPr>
              <w:keepNext w:val="0"/>
              <w:keepLines w:val="0"/>
              <w:suppressLineNumbers w:val="0"/>
              <w:spacing w:before="0" w:beforeAutospacing="0" w:after="0" w:afterAutospacing="0"/>
              <w:ind w:left="0" w:right="0"/>
              <w:rPr>
                <w:rFonts w:hint="default"/>
              </w:rPr>
            </w:pPr>
          </w:p>
        </w:tc>
        <w:tc>
          <w:tcPr>
            <w:tcW w:w="1321" w:type="dxa"/>
            <w:vMerge w:val="restart"/>
            <w:tcBorders>
              <w:top w:val="single" w:color="000000" w:sz="4" w:space="0"/>
              <w:left w:val="single" w:color="000000" w:sz="4" w:space="0"/>
              <w:bottom w:val="nil"/>
              <w:right w:val="single" w:color="000000" w:sz="4" w:space="0"/>
            </w:tcBorders>
            <w:shd w:val="clear" w:color="auto" w:fill="auto"/>
            <w:noWrap/>
            <w:vAlign w:val="center"/>
          </w:tcPr>
          <w:p w14:paraId="19D3C2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项目执行</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F0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执行同向</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9A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9F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部门预算项目实际列支内容是否与绩效目标设置方向相符</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A6F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80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620B1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1BE3">
            <w:pPr>
              <w:keepNext w:val="0"/>
              <w:keepLines w:val="0"/>
              <w:suppressLineNumbers w:val="0"/>
              <w:spacing w:before="0" w:beforeAutospacing="0" w:after="0" w:afterAutospacing="0"/>
              <w:ind w:left="0" w:right="0"/>
              <w:rPr>
                <w:rFonts w:hint="default"/>
              </w:rPr>
            </w:pPr>
          </w:p>
        </w:tc>
        <w:tc>
          <w:tcPr>
            <w:tcW w:w="1321"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FB7A4BD">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nil"/>
              <w:right w:val="single" w:color="000000" w:sz="4" w:space="0"/>
            </w:tcBorders>
            <w:shd w:val="clear" w:color="auto" w:fill="auto"/>
            <w:noWrap/>
            <w:vAlign w:val="center"/>
          </w:tcPr>
          <w:p w14:paraId="39E2C7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项目调整</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A53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39C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部门预算项目是否采取对应调整措施</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A73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E60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2546B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BDD5D">
            <w:pPr>
              <w:keepNext w:val="0"/>
              <w:keepLines w:val="0"/>
              <w:suppressLineNumbers w:val="0"/>
              <w:spacing w:before="0" w:beforeAutospacing="0" w:after="0" w:afterAutospacing="0"/>
              <w:ind w:left="0" w:right="0"/>
              <w:rPr>
                <w:rFonts w:hint="default"/>
              </w:rPr>
            </w:pPr>
          </w:p>
        </w:tc>
        <w:tc>
          <w:tcPr>
            <w:tcW w:w="1321"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62AB7C5">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38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执行结果</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ABD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595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部门预算项目预算执行情况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DCA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3.71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B8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53E2F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3FEB7">
            <w:pPr>
              <w:keepNext w:val="0"/>
              <w:keepLines w:val="0"/>
              <w:suppressLineNumbers w:val="0"/>
              <w:spacing w:before="0" w:beforeAutospacing="0" w:after="0" w:afterAutospacing="0"/>
              <w:ind w:left="0" w:right="0"/>
              <w:rPr>
                <w:rFonts w:hint="default"/>
              </w:rPr>
            </w:pP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678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目标实现</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（11分）</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3FD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2D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70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部门预算项目绩效目标数量指标完成情况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A88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D0A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0136C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5269">
            <w:pPr>
              <w:keepNext w:val="0"/>
              <w:keepLines w:val="0"/>
              <w:suppressLineNumbers w:val="0"/>
              <w:spacing w:before="0" w:beforeAutospacing="0" w:after="0" w:afterAutospacing="0"/>
              <w:ind w:left="0" w:right="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3A2C">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ED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目标偏离</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05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5A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部门预算项目绩效目标数量指标实现程度与预期目标的偏离情况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12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15A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06B27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00529">
            <w:pPr>
              <w:keepNext w:val="0"/>
              <w:keepLines w:val="0"/>
              <w:suppressLineNumbers w:val="0"/>
              <w:spacing w:before="0" w:beforeAutospacing="0" w:after="0" w:afterAutospacing="0"/>
              <w:ind w:left="0" w:right="0"/>
              <w:rPr>
                <w:rFonts w:hint="default"/>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06D06">
            <w:pPr>
              <w:keepNext w:val="0"/>
              <w:keepLines w:val="0"/>
              <w:suppressLineNumbers w:val="0"/>
              <w:spacing w:before="0" w:beforeAutospacing="0" w:after="0" w:afterAutospacing="0"/>
              <w:ind w:left="0" w:right="0"/>
              <w:rPr>
                <w:rFonts w:hint="default"/>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4B2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实现效果</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4BB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3D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部门预算项目绩效目标效益指标实施效果</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44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r>
              <w:rPr>
                <w:rFonts w:hint="default" w:ascii="宋体" w:eastAsia="宋体" w:cs="宋体"/>
                <w:i w:val="0"/>
                <w:color w:val="000000"/>
                <w:kern w:val="0"/>
                <w:sz w:val="24"/>
                <w:szCs w:val="24"/>
                <w:u w:val="none"/>
                <w:lang w:val="en-US"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38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17069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A8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30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881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被评价部门配合度</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0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424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被评价对象工作配合情况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1E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FE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r w14:paraId="2E351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9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center"/>
              <w:rPr>
                <w:rFonts w:hint="default" w:ascii="宋体" w:eastAsia="宋体" w:cs="宋体"/>
                <w:b/>
                <w:i w:val="0"/>
                <w:color w:val="000000"/>
                <w:kern w:val="0"/>
                <w:sz w:val="24"/>
                <w:szCs w:val="24"/>
                <w:u w:val="none"/>
                <w:lang w:val="en-US" w:eastAsia="zh-CN"/>
              </w:rPr>
            </w:pPr>
            <w:r>
              <w:rPr>
                <w:rFonts w:hint="eastAsia" w:ascii="宋体" w:eastAsia="宋体" w:cs="宋体"/>
                <w:b/>
                <w:i w:val="0"/>
                <w:color w:val="000000"/>
                <w:kern w:val="0"/>
                <w:sz w:val="24"/>
                <w:szCs w:val="24"/>
                <w:u w:val="none"/>
                <w:lang w:val="en-US" w:eastAsia="zh-CN"/>
              </w:rPr>
              <w:t>合计</w:t>
            </w:r>
          </w:p>
        </w:tc>
        <w:tc>
          <w:tcPr>
            <w:tcW w:w="30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06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24"/>
                <w:szCs w:val="24"/>
                <w:u w:val="none"/>
                <w:lang w:val="en-US" w:eastAsia="zh-CN"/>
              </w:rPr>
            </w:pP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1B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宋体" w:eastAsia="宋体" w:cs="宋体"/>
                <w:i w:val="0"/>
                <w:color w:val="000000"/>
                <w:kern w:val="0"/>
                <w:sz w:val="24"/>
                <w:szCs w:val="24"/>
                <w:u w:val="none"/>
                <w:lang w:val="en-US" w:eastAsia="zh-CN"/>
              </w:rPr>
            </w:pPr>
          </w:p>
        </w:tc>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36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85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85.54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493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eastAsia" w:ascii="宋体" w:eastAsia="宋体" w:cs="宋体"/>
                <w:i w:val="0"/>
                <w:color w:val="000000"/>
                <w:kern w:val="0"/>
                <w:sz w:val="24"/>
                <w:szCs w:val="24"/>
                <w:u w:val="none"/>
                <w:lang w:val="en-US" w:eastAsia="zh-CN"/>
              </w:rPr>
            </w:pPr>
          </w:p>
        </w:tc>
      </w:tr>
    </w:tbl>
    <w:p w14:paraId="0C39B3D7">
      <w:pPr>
        <w:pStyle w:val="2"/>
        <w:keepNext/>
        <w:keepLines/>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20" w:lineRule="exact"/>
        <w:textAlignment w:val="auto"/>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br w:type="page"/>
      </w:r>
    </w:p>
    <w:p w14:paraId="0554823B">
      <w:pPr>
        <w:keepNext w:val="0"/>
        <w:keepLines w:val="0"/>
        <w:pageBreakBefore w:val="0"/>
        <w:kinsoku/>
        <w:wordWrap/>
        <w:overflowPunct/>
        <w:topLinePunct w:val="0"/>
        <w:autoSpaceDE/>
        <w:autoSpaceDN/>
        <w:bidi w:val="0"/>
        <w:spacing w:line="578" w:lineRule="exact"/>
        <w:textAlignment w:val="auto"/>
        <w:rPr>
          <w:rFonts w:hint="default" w:ascii="Times New Roman" w:hAnsi="Times New Roman" w:eastAsia="仿宋_GB2312" w:cs="Times New Roman"/>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w:t>
      </w:r>
    </w:p>
    <w:tbl>
      <w:tblPr>
        <w:tblStyle w:val="17"/>
        <w:tblW w:w="94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98"/>
        <w:gridCol w:w="1347"/>
        <w:gridCol w:w="1273"/>
        <w:gridCol w:w="1100"/>
        <w:gridCol w:w="1144"/>
        <w:gridCol w:w="1"/>
        <w:gridCol w:w="897"/>
        <w:gridCol w:w="1050"/>
        <w:gridCol w:w="727"/>
        <w:gridCol w:w="938"/>
      </w:tblGrid>
      <w:tr w14:paraId="7665B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9475" w:type="dxa"/>
            <w:gridSpan w:val="10"/>
            <w:shd w:val="clear" w:color="auto" w:fill="auto"/>
            <w:vAlign w:val="center"/>
          </w:tcPr>
          <w:p w14:paraId="581C1E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34917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475" w:type="dxa"/>
            <w:gridSpan w:val="10"/>
            <w:shd w:val="clear" w:color="auto" w:fill="auto"/>
            <w:vAlign w:val="center"/>
          </w:tcPr>
          <w:p w14:paraId="40C3C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4</w:t>
            </w:r>
            <w:r>
              <w:rPr>
                <w:rFonts w:hint="default" w:ascii="Times New Roman" w:hAnsi="Times New Roman" w:eastAsia="宋体" w:cs="Times New Roman"/>
                <w:i w:val="0"/>
                <w:color w:val="000000"/>
                <w:kern w:val="0"/>
                <w:sz w:val="28"/>
                <w:szCs w:val="28"/>
                <w:u w:val="none"/>
                <w:lang w:val="en-US" w:eastAsia="zh-CN" w:bidi="ar"/>
              </w:rPr>
              <w:t>年度）</w:t>
            </w:r>
          </w:p>
        </w:tc>
      </w:tr>
      <w:tr w14:paraId="3175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475" w:type="dxa"/>
            <w:gridSpan w:val="10"/>
            <w:tcBorders>
              <w:bottom w:val="single" w:color="000000" w:sz="4" w:space="0"/>
            </w:tcBorders>
            <w:shd w:val="clear" w:color="auto" w:fill="auto"/>
            <w:vAlign w:val="center"/>
          </w:tcPr>
          <w:p w14:paraId="101007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1EF94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6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3FCF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58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338F5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州幼儿园</w:t>
            </w:r>
          </w:p>
        </w:tc>
      </w:tr>
      <w:tr w14:paraId="4225D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BDFC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3D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F21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36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2D8C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587DB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CB9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AEB1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2588.94</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142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2588.94</w:t>
            </w:r>
          </w:p>
        </w:tc>
        <w:tc>
          <w:tcPr>
            <w:tcW w:w="36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5DEE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1DE84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57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w:t>
            </w:r>
          </w:p>
          <w:p w14:paraId="6FD660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体</w:t>
            </w:r>
          </w:p>
          <w:p w14:paraId="75B8EE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84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D28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严格执行相关政策以及按时完成支付。</w:t>
            </w:r>
          </w:p>
        </w:tc>
      </w:tr>
      <w:tr w14:paraId="792B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EAA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50AC62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F6B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58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9831C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318A1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AD9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041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工资及其他社会保障评价</w:t>
            </w:r>
          </w:p>
        </w:tc>
        <w:tc>
          <w:tcPr>
            <w:tcW w:w="58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54B8E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相关指标稳步提升，职工满意度显著提高，为单位稳定发展提供了坚实保障。</w:t>
            </w:r>
          </w:p>
        </w:tc>
      </w:tr>
      <w:tr w14:paraId="124F0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94F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FE2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58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6BB0C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r>
      <w:tr w14:paraId="3783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49C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2A1220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E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1C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32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4B1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3DF2BD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43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F6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727" w:type="dxa"/>
            <w:tcBorders>
              <w:top w:val="single" w:color="000000" w:sz="4" w:space="0"/>
              <w:left w:val="single" w:color="000000" w:sz="4" w:space="0"/>
              <w:bottom w:val="single" w:color="000000" w:sz="4" w:space="0"/>
            </w:tcBorders>
            <w:shd w:val="clear" w:color="auto" w:fill="auto"/>
            <w:vAlign w:val="center"/>
          </w:tcPr>
          <w:p w14:paraId="1FA90C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EF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2AE3C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17E1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0C6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A6C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900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35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发放（缴纳）覆盖率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EAF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6A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3F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63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50</w:t>
            </w:r>
          </w:p>
        </w:tc>
        <w:tc>
          <w:tcPr>
            <w:tcW w:w="938" w:type="dxa"/>
            <w:tcBorders>
              <w:left w:val="single" w:color="000000" w:sz="4" w:space="0"/>
              <w:bottom w:val="single" w:color="000000" w:sz="4" w:space="0"/>
              <w:right w:val="single" w:color="000000" w:sz="4" w:space="0"/>
            </w:tcBorders>
            <w:shd w:val="clear" w:color="auto" w:fill="auto"/>
            <w:vAlign w:val="center"/>
          </w:tcPr>
          <w:p w14:paraId="4E7933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14:paraId="4471B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D47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FE7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5B1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CA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CE6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8E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29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A3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F9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r>
      <w:tr w14:paraId="7FDB4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7CC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019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D9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A8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按时发放率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56D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67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87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AE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8B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14:paraId="23F4D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6F7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307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451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AA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0F2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8F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A1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8D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73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r>
      <w:tr w14:paraId="705D5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0B0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8B3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F4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E9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4AA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19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C8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70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92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r>
      <w:tr w14:paraId="01EF0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09F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782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11BE35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6F5F44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27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足额保障率（参保率）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075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F9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1A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9A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CC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14:paraId="11917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8DB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508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1CA0B9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42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E2F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87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5E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E1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26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r>
      <w:tr w14:paraId="107E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F01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252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AB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10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CEB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2D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F4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26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01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r>
      <w:tr w14:paraId="2505F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4B0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A1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E6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A9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全园教职工满意度</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56C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4"/>
                <w:szCs w:val="24"/>
                <w:u w:val="none"/>
                <w:lang w:val="en-US" w:eastAsia="zh-CN"/>
              </w:rPr>
            </w:pPr>
            <w:r>
              <w:rPr>
                <w:rFonts w:hint="eastAsia" w:ascii="宋体" w:hAnsi="宋体" w:eastAsia="宋体" w:cs="宋体"/>
                <w:i w:val="0"/>
                <w:color w:val="000000"/>
                <w:sz w:val="24"/>
                <w:szCs w:val="24"/>
                <w:u w:val="none"/>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2B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3E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A7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9A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bl>
    <w:p w14:paraId="1A1BA630">
      <w:pPr>
        <w:pStyle w:val="14"/>
        <w:ind w:left="0" w:leftChars="0" w:firstLine="0" w:firstLineChars="0"/>
        <w:rPr>
          <w:rFonts w:hint="default" w:ascii="Times New Roman" w:hAnsi="Times New Roman" w:eastAsia="黑体" w:cs="Times New Roman"/>
          <w:sz w:val="24"/>
          <w:szCs w:val="24"/>
          <w:highlight w:val="none"/>
          <w:lang w:val="en-US" w:eastAsia="zh-CN"/>
        </w:rPr>
      </w:pPr>
    </w:p>
    <w:p w14:paraId="72F442F6">
      <w:pPr>
        <w:rPr>
          <w:lang w:val="en-US" w:eastAsia="zh-CN"/>
        </w:rPr>
      </w:pPr>
    </w:p>
    <w:p w14:paraId="38D6B27E">
      <w:pPr>
        <w:pStyle w:val="16"/>
        <w:widowControl/>
        <w:shd w:val="clear" w:color="auto" w:fill="FFFFFF"/>
        <w:spacing w:beforeAutospacing="0" w:afterAutospacing="0" w:line="598" w:lineRule="exact"/>
        <w:ind w:firstLine="485" w:firstLineChars="231"/>
        <w:jc w:val="both"/>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br w:type="page"/>
      </w:r>
    </w:p>
    <w:p w14:paraId="42BEFB9B">
      <w:pPr>
        <w:keepNext w:val="0"/>
        <w:keepLines w:val="0"/>
        <w:pageBreakBefore w:val="0"/>
        <w:kinsoku/>
        <w:wordWrap/>
        <w:overflowPunct/>
        <w:topLinePunct w:val="0"/>
        <w:autoSpaceDE/>
        <w:autoSpaceDN/>
        <w:bidi w:val="0"/>
        <w:spacing w:line="578" w:lineRule="exact"/>
        <w:textAlignment w:val="auto"/>
        <w:rPr>
          <w:rFonts w:hint="default" w:ascii="Times New Roman" w:hAnsi="Times New Roman" w:eastAsia="仿宋_GB2312" w:cs="Times New Roman"/>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w:t>
      </w:r>
    </w:p>
    <w:tbl>
      <w:tblPr>
        <w:tblStyle w:val="17"/>
        <w:tblW w:w="94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32"/>
        <w:gridCol w:w="1347"/>
        <w:gridCol w:w="1273"/>
        <w:gridCol w:w="1100"/>
        <w:gridCol w:w="877"/>
        <w:gridCol w:w="864"/>
        <w:gridCol w:w="956"/>
        <w:gridCol w:w="862"/>
        <w:gridCol w:w="1050"/>
      </w:tblGrid>
      <w:tr w14:paraId="6890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9461" w:type="dxa"/>
            <w:gridSpan w:val="9"/>
            <w:shd w:val="clear" w:color="auto" w:fill="auto"/>
            <w:vAlign w:val="center"/>
          </w:tcPr>
          <w:p w14:paraId="2C4E9A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0B465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461" w:type="dxa"/>
            <w:gridSpan w:val="9"/>
            <w:shd w:val="clear" w:color="auto" w:fill="auto"/>
            <w:vAlign w:val="center"/>
          </w:tcPr>
          <w:p w14:paraId="30A094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4</w:t>
            </w:r>
            <w:r>
              <w:rPr>
                <w:rFonts w:hint="default" w:ascii="Times New Roman" w:hAnsi="Times New Roman" w:eastAsia="宋体" w:cs="Times New Roman"/>
                <w:i w:val="0"/>
                <w:color w:val="000000"/>
                <w:kern w:val="0"/>
                <w:sz w:val="28"/>
                <w:szCs w:val="28"/>
                <w:u w:val="none"/>
                <w:lang w:val="en-US" w:eastAsia="zh-CN" w:bidi="ar"/>
              </w:rPr>
              <w:t>年度）</w:t>
            </w:r>
          </w:p>
        </w:tc>
      </w:tr>
      <w:tr w14:paraId="3CEFF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9461" w:type="dxa"/>
            <w:gridSpan w:val="9"/>
            <w:tcBorders>
              <w:bottom w:val="single" w:color="000000" w:sz="4" w:space="0"/>
            </w:tcBorders>
            <w:shd w:val="clear" w:color="auto" w:fill="auto"/>
            <w:vAlign w:val="center"/>
          </w:tcPr>
          <w:p w14:paraId="0945F1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095B5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7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A03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57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2B6E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州幼儿园</w:t>
            </w:r>
          </w:p>
        </w:tc>
      </w:tr>
      <w:tr w14:paraId="7D5E5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F36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3A3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19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C36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37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12C1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69709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EED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82C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2588.94</w:t>
            </w:r>
          </w:p>
        </w:tc>
        <w:tc>
          <w:tcPr>
            <w:tcW w:w="19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19B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2588.94</w:t>
            </w:r>
          </w:p>
        </w:tc>
        <w:tc>
          <w:tcPr>
            <w:tcW w:w="37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1915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51BE3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DD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06F378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83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29B3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严格执行相关政策以及按时完成支付。</w:t>
            </w:r>
          </w:p>
        </w:tc>
      </w:tr>
      <w:tr w14:paraId="75417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0D6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538CB4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C19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57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F48E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0B775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84D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F4D5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工资及其他社会保障评价</w:t>
            </w:r>
          </w:p>
        </w:tc>
        <w:tc>
          <w:tcPr>
            <w:tcW w:w="57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6B19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相关指标稳步提升，职工满意度显著提高，为单位稳定发展提供了坚实保障。</w:t>
            </w:r>
          </w:p>
        </w:tc>
      </w:tr>
      <w:tr w14:paraId="3E0AE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9E7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9C6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57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8908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r>
      <w:tr w14:paraId="39FE7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517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7BBDE2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9D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C5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90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F1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绩效指标性质</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AC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BE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862" w:type="dxa"/>
            <w:tcBorders>
              <w:top w:val="single" w:color="000000" w:sz="4" w:space="0"/>
              <w:left w:val="single" w:color="000000" w:sz="4" w:space="0"/>
              <w:bottom w:val="single" w:color="000000" w:sz="4" w:space="0"/>
            </w:tcBorders>
            <w:shd w:val="clear" w:color="auto" w:fill="auto"/>
            <w:vAlign w:val="center"/>
          </w:tcPr>
          <w:p w14:paraId="7A2150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CC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2A9A24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4708E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8DB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E1F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33C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84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发放（缴纳）覆盖率</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7B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A24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4E6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C2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50</w:t>
            </w:r>
          </w:p>
        </w:tc>
        <w:tc>
          <w:tcPr>
            <w:tcW w:w="1050" w:type="dxa"/>
            <w:tcBorders>
              <w:left w:val="single" w:color="000000" w:sz="4" w:space="0"/>
              <w:bottom w:val="single" w:color="000000" w:sz="4" w:space="0"/>
              <w:right w:val="single" w:color="000000" w:sz="4" w:space="0"/>
            </w:tcBorders>
            <w:shd w:val="clear" w:color="auto" w:fill="auto"/>
            <w:vAlign w:val="center"/>
          </w:tcPr>
          <w:p w14:paraId="67AAFD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14:paraId="3615F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14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BAA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9F7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85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5C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468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37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64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8D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r>
      <w:tr w14:paraId="3BE21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6FE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677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16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7B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按时发放率</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C9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rPr>
              <w:t>≦</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66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7A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FF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6B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14:paraId="10519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7D1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359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D0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3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5C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2B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D76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3D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3C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r>
      <w:tr w14:paraId="0D5C0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456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B19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2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E5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D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98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7F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B5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28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r>
      <w:tr w14:paraId="3BE45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6C0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372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1C8EE5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7C1E46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76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足额保障率（参保率）</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7C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C6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E8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52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12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14:paraId="5707F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3B5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B3A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5E157B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6B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E3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57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C0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54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84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r>
      <w:tr w14:paraId="7BDEA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281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EC2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35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90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F8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91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5B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60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F1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rPr>
            </w:pPr>
          </w:p>
        </w:tc>
      </w:tr>
      <w:tr w14:paraId="6DA27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E06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D3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CA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48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全园教职工满意度</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5D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eastAsia" w:ascii="Times New Roman" w:hAnsi="Times New Roman" w:eastAsia="宋体" w:cs="Times New Roman"/>
                <w:i w:val="0"/>
                <w:color w:val="000000"/>
                <w:sz w:val="24"/>
                <w:szCs w:val="24"/>
                <w:u w:val="none"/>
                <w:lang w:val="en-US" w:eastAsia="zh-CN"/>
              </w:rPr>
            </w:pPr>
            <w:r>
              <w:rPr>
                <w:rFonts w:hint="eastAsia" w:ascii="宋体" w:hAnsi="宋体" w:eastAsia="宋体" w:cs="宋体"/>
                <w:i w:val="0"/>
                <w:color w:val="000000"/>
                <w:sz w:val="24"/>
                <w:szCs w:val="24"/>
                <w:u w:val="none"/>
              </w:rPr>
              <w:t>≦</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C2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78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90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4F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bl>
    <w:p w14:paraId="15665F58">
      <w:pPr>
        <w:pStyle w:val="14"/>
        <w:ind w:left="0" w:leftChars="0" w:firstLine="0" w:firstLineChars="0"/>
        <w:rPr>
          <w:rFonts w:hint="default" w:ascii="Times New Roman" w:hAnsi="Times New Roman" w:eastAsia="黑体" w:cs="Times New Roman"/>
          <w:sz w:val="24"/>
          <w:szCs w:val="24"/>
          <w:highlight w:val="none"/>
          <w:lang w:val="en-US" w:eastAsia="zh-CN"/>
        </w:rPr>
      </w:pPr>
    </w:p>
    <w:p w14:paraId="59AE531C">
      <w:pPr>
        <w:pStyle w:val="2"/>
        <w:rPr>
          <w:lang w:eastAsia="zh-CN"/>
        </w:rPr>
      </w:pPr>
    </w:p>
    <w:p w14:paraId="20CC452F">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ind w:left="0" w:leftChars="0" w:firstLine="420"/>
        <w:jc w:val="both"/>
        <w:textAlignment w:val="auto"/>
        <w:rPr>
          <w:rFonts w:ascii="Times New Roman" w:hAnsi="Times New Roman" w:cs="Times New Roman"/>
          <w:color w:val="000000"/>
          <w:kern w:val="0"/>
          <w:szCs w:val="32"/>
          <w:highlight w:val="none"/>
          <w:shd w:val="clear" w:color="auto" w:fill="FFFFFF"/>
          <w:lang w:val="en-US" w:eastAsia="zh-CN"/>
        </w:rPr>
        <w:sectPr>
          <w:headerReference r:id="rId5" w:type="default"/>
          <w:pgSz w:w="11906" w:h="16838"/>
          <w:pgMar w:top="2098" w:right="1531" w:bottom="1984" w:left="1531" w:header="851" w:footer="992" w:gutter="0"/>
          <w:pgNumType w:fmt="numberInDash" w:start="12"/>
          <w:cols w:space="0" w:num="1"/>
          <w:rtlGutter w:val="0"/>
          <w:docGrid w:type="lines" w:linePitch="439" w:charSpace="0"/>
        </w:sectPr>
      </w:pPr>
      <w:r>
        <w:rPr>
          <w:rFonts w:ascii="Times New Roman" w:hAnsi="Times New Roman" w:cs="Times New Roman"/>
          <w:color w:val="000000"/>
          <w:kern w:val="0"/>
          <w:szCs w:val="32"/>
          <w:highlight w:val="none"/>
          <w:shd w:val="clear" w:color="auto" w:fill="FFFFFF"/>
          <w:lang w:val="en-US" w:eastAsia="zh-CN"/>
        </w:rPr>
        <w:br w:type="page"/>
      </w:r>
    </w:p>
    <w:tbl>
      <w:tblPr>
        <w:tblStyle w:val="17"/>
        <w:tblW w:w="147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6"/>
        <w:gridCol w:w="446"/>
        <w:gridCol w:w="35"/>
        <w:gridCol w:w="273"/>
        <w:gridCol w:w="87"/>
        <w:gridCol w:w="14"/>
        <w:gridCol w:w="235"/>
        <w:gridCol w:w="279"/>
        <w:gridCol w:w="1104"/>
        <w:gridCol w:w="168"/>
        <w:gridCol w:w="188"/>
        <w:gridCol w:w="10"/>
        <w:gridCol w:w="209"/>
        <w:gridCol w:w="1202"/>
        <w:gridCol w:w="221"/>
        <w:gridCol w:w="27"/>
        <w:gridCol w:w="1890"/>
        <w:gridCol w:w="166"/>
        <w:gridCol w:w="520"/>
        <w:gridCol w:w="198"/>
        <w:gridCol w:w="152"/>
        <w:gridCol w:w="628"/>
        <w:gridCol w:w="454"/>
        <w:gridCol w:w="242"/>
        <w:gridCol w:w="382"/>
        <w:gridCol w:w="191"/>
        <w:gridCol w:w="921"/>
        <w:gridCol w:w="147"/>
        <w:gridCol w:w="22"/>
        <w:gridCol w:w="505"/>
        <w:gridCol w:w="128"/>
        <w:gridCol w:w="19"/>
        <w:gridCol w:w="51"/>
        <w:gridCol w:w="97"/>
        <w:gridCol w:w="192"/>
        <w:gridCol w:w="371"/>
        <w:gridCol w:w="365"/>
        <w:gridCol w:w="2146"/>
        <w:gridCol w:w="236"/>
      </w:tblGrid>
      <w:tr w14:paraId="3C40B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296" w:hRule="atLeast"/>
          <w:jc w:val="center"/>
        </w:trPr>
        <w:tc>
          <w:tcPr>
            <w:tcW w:w="14285"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14:paraId="1E268670">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180CA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286" w:hRule="atLeast"/>
          <w:jc w:val="center"/>
        </w:trPr>
        <w:tc>
          <w:tcPr>
            <w:tcW w:w="304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7DA09B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1237"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E17A77D">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51320022T000000336263-临聘人员工资（2022年）</w:t>
            </w:r>
          </w:p>
        </w:tc>
      </w:tr>
      <w:tr w14:paraId="7217B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36" w:type="dxa"/>
          <w:wAfter w:w="236" w:type="dxa"/>
          <w:trHeight w:val="352" w:hRule="atLeast"/>
          <w:jc w:val="center"/>
        </w:trPr>
        <w:tc>
          <w:tcPr>
            <w:tcW w:w="304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15B211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08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5CF7C6C">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984" w:type="dxa"/>
            <w:gridSpan w:val="8"/>
            <w:shd w:val="clear" w:color="auto" w:fill="auto"/>
            <w:vAlign w:val="center"/>
          </w:tcPr>
          <w:p w14:paraId="344B0766">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31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1893B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5E359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286" w:hRule="atLeast"/>
          <w:jc w:val="center"/>
        </w:trPr>
        <w:tc>
          <w:tcPr>
            <w:tcW w:w="109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BA3C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204888D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5121AF9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195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0D7B1">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08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D69E13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15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9D6C7CF">
            <w:pPr>
              <w:keepNext w:val="0"/>
              <w:keepLines w:val="0"/>
              <w:widowControl/>
              <w:suppressLineNumbers w:val="0"/>
              <w:spacing w:before="0" w:beforeAutospacing="0" w:after="0" w:afterAutospacing="0" w:line="240" w:lineRule="exact"/>
              <w:ind w:left="0" w:right="0"/>
              <w:jc w:val="center"/>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76F76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708"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D837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95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F689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608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FD51589">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提升幼儿园保教质量，加快幼儿园发展，为孩子们创造健康成长环境。</w:t>
            </w:r>
          </w:p>
        </w:tc>
        <w:tc>
          <w:tcPr>
            <w:tcW w:w="515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E1F45DB">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为保障学前教育两教一保的基本原则，推进幼儿的保育教育工作，加强教育教学的工作质量，提高教育教学保障水平，临聘人员工资已全部发放到位</w:t>
            </w:r>
          </w:p>
        </w:tc>
      </w:tr>
      <w:tr w14:paraId="48773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480"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5951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9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413BF5">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1237"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49E84DB">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为保障学前教育两教一保的基本原则，推进幼儿的保育教育工作，加强教育教学的工作质量，提高教育教学保障水平，临聘人员工资已全部发放到位。</w:t>
            </w:r>
          </w:p>
        </w:tc>
      </w:tr>
      <w:tr w14:paraId="3F42B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361" w:hRule="atLeast"/>
          <w:jc w:val="center"/>
        </w:trPr>
        <w:tc>
          <w:tcPr>
            <w:tcW w:w="109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2BDA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5807CBA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4DE99CF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48A26A3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p>
          <w:p w14:paraId="3E67A34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19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1CBD2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C938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DA46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0D834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59F3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00F9F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430F2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5880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299EE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346"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7FB45">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9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9DE89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3BE3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72.00</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ABA4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65.45</w:t>
            </w:r>
          </w:p>
        </w:tc>
        <w:tc>
          <w:tcPr>
            <w:tcW w:w="27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F5070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65.45</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96A00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483EB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EC07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p>
        </w:tc>
        <w:tc>
          <w:tcPr>
            <w:tcW w:w="251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06666">
            <w:pPr>
              <w:keepNext w:val="0"/>
              <w:keepLines w:val="0"/>
              <w:widowControl/>
              <w:suppressLineNumbers w:val="0"/>
              <w:spacing w:before="0" w:beforeAutospacing="0" w:after="0" w:afterAutospacing="0" w:line="220" w:lineRule="exact"/>
              <w:ind w:left="0" w:right="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56306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199"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3B16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9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A3E0D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C39F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72.00</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F108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65.45</w:t>
            </w:r>
          </w:p>
        </w:tc>
        <w:tc>
          <w:tcPr>
            <w:tcW w:w="27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D4FB1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65.45</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2D71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15199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B6710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25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D588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6DF59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36" w:type="dxa"/>
          <w:wAfter w:w="236" w:type="dxa"/>
          <w:trHeight w:val="261"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76EF4">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9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E459E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DD5E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B5C4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79EB6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24EC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8929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7A3CD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25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1105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4C8AA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70"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5CD7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9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F94E4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A62B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EB43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195B7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10F1F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B6957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1A57A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25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285A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232FF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227"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A43F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9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DFC28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728C6">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E06EE">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27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E03469">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89AD1">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C6AD0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60B5D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25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D2856">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6449D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452" w:hRule="atLeast"/>
          <w:jc w:val="center"/>
        </w:trPr>
        <w:tc>
          <w:tcPr>
            <w:tcW w:w="109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26163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1535FF9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7864707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19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D22FA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145B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CD7DA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8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1100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7D6E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1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EA96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73E9D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2825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95967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9E8F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78B14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339"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987D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95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4B35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741A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数量指标</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9636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临聘人数</w:t>
            </w:r>
          </w:p>
        </w:tc>
        <w:tc>
          <w:tcPr>
            <w:tcW w:w="8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70EB7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518E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17</w:t>
            </w:r>
          </w:p>
        </w:tc>
        <w:tc>
          <w:tcPr>
            <w:tcW w:w="1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4476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人</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6FFC3A">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17</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8637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44BD2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044DC">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72C0E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91"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F222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95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4A833">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6414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质量指标</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AFF8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到岗率</w:t>
            </w:r>
          </w:p>
        </w:tc>
        <w:tc>
          <w:tcPr>
            <w:tcW w:w="8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429E3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40B9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95</w:t>
            </w:r>
          </w:p>
        </w:tc>
        <w:tc>
          <w:tcPr>
            <w:tcW w:w="1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6C930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817AA">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95</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8F201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30807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14BC2">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7075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339"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BF80E">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95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10D5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88CB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时效指标</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8F5D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工资发放及时率</w:t>
            </w:r>
          </w:p>
        </w:tc>
        <w:tc>
          <w:tcPr>
            <w:tcW w:w="8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B28DB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1C1C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85</w:t>
            </w:r>
          </w:p>
        </w:tc>
        <w:tc>
          <w:tcPr>
            <w:tcW w:w="1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5FF4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8C00E">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85</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EDD7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1BCD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64316">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394E2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113"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09393">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95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CF1D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42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4141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社会效益指标</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1361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正常运转率</w:t>
            </w:r>
          </w:p>
        </w:tc>
        <w:tc>
          <w:tcPr>
            <w:tcW w:w="8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B6AED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DF94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99</w:t>
            </w:r>
          </w:p>
        </w:tc>
        <w:tc>
          <w:tcPr>
            <w:tcW w:w="1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7683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8EFA2">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99</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426A6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40</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F5923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40</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6D99B">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5EDEF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187"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1377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95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7AB7B">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2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3AFB0">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0FC9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劳动就业增长率</w:t>
            </w:r>
          </w:p>
        </w:tc>
        <w:tc>
          <w:tcPr>
            <w:tcW w:w="8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FD2A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F5F7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1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1501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68AF5">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D3F2A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73D26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31A4C">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16D0A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247"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EEDD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95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9706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满意度指标</w:t>
            </w:r>
          </w:p>
        </w:tc>
        <w:tc>
          <w:tcPr>
            <w:tcW w:w="142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FB8D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服务对象满意度指标</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2DA4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全校师生满意度</w:t>
            </w:r>
          </w:p>
        </w:tc>
        <w:tc>
          <w:tcPr>
            <w:tcW w:w="8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1FB35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21E1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95</w:t>
            </w:r>
          </w:p>
        </w:tc>
        <w:tc>
          <w:tcPr>
            <w:tcW w:w="1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6C81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E8B24C">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95</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B8D15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F9AE0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8</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70F43">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18064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137" w:hRule="atLeast"/>
          <w:jc w:val="center"/>
        </w:trPr>
        <w:tc>
          <w:tcPr>
            <w:tcW w:w="10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D397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95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FDBBB">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2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7CDB4">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4304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临聘人员满意度</w:t>
            </w:r>
          </w:p>
        </w:tc>
        <w:tc>
          <w:tcPr>
            <w:tcW w:w="8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A1F00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76D6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95</w:t>
            </w:r>
          </w:p>
        </w:tc>
        <w:tc>
          <w:tcPr>
            <w:tcW w:w="1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E6B7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4695C">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95</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DDA6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BDCC0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4D7AD">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336F2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36" w:type="dxa"/>
          <w:wAfter w:w="236" w:type="dxa"/>
          <w:trHeight w:val="286" w:hRule="atLeast"/>
          <w:jc w:val="center"/>
        </w:trPr>
        <w:tc>
          <w:tcPr>
            <w:tcW w:w="10389"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14:paraId="37A35AC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96928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7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D781CA">
            <w:pPr>
              <w:keepNext w:val="0"/>
              <w:keepLines w:val="0"/>
              <w:widowControl/>
              <w:suppressLineNumbers w:val="0"/>
              <w:spacing w:before="0" w:beforeAutospacing="0" w:after="0" w:afterAutospacing="0" w:line="240" w:lineRule="exact"/>
              <w:ind w:left="0" w:right="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94</w:t>
            </w:r>
          </w:p>
        </w:tc>
        <w:tc>
          <w:tcPr>
            <w:tcW w:w="2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C80A7">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p>
        </w:tc>
      </w:tr>
      <w:tr w14:paraId="7DF25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377" w:hRule="atLeast"/>
          <w:jc w:val="center"/>
        </w:trPr>
        <w:tc>
          <w:tcPr>
            <w:tcW w:w="136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E26CF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2916"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06EF4573">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临聘人员工资已全部发放到位，加强了教育教学的工作质量，提高教育教学保障水平。</w:t>
            </w:r>
          </w:p>
        </w:tc>
      </w:tr>
      <w:tr w14:paraId="50995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236" w:type="dxa"/>
          <w:wAfter w:w="236" w:type="dxa"/>
          <w:trHeight w:val="355" w:hRule="atLeast"/>
          <w:jc w:val="center"/>
        </w:trPr>
        <w:tc>
          <w:tcPr>
            <w:tcW w:w="136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25D263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2916"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7BDAC02A">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15861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296" w:hRule="atLeast"/>
          <w:jc w:val="center"/>
        </w:trPr>
        <w:tc>
          <w:tcPr>
            <w:tcW w:w="136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808B85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2916"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22289084">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60EE7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36" w:type="dxa"/>
          <w:wAfter w:w="236" w:type="dxa"/>
          <w:trHeight w:val="286" w:hRule="atLeast"/>
          <w:jc w:val="center"/>
        </w:trPr>
        <w:tc>
          <w:tcPr>
            <w:tcW w:w="727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A70B488">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项目负责人：柏正美</w:t>
            </w:r>
          </w:p>
        </w:tc>
        <w:tc>
          <w:tcPr>
            <w:tcW w:w="701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AEA8472">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523D8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5FAC1543">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7872C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284"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ECE55A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1473"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21136F78">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51320022T000000336283-学生公用经费（州配套）（2022年）</w:t>
            </w:r>
          </w:p>
        </w:tc>
      </w:tr>
      <w:tr w14:paraId="787AA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3284"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142F28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27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6D4D757">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090" w:type="dxa"/>
            <w:gridSpan w:val="3"/>
            <w:shd w:val="clear" w:color="auto" w:fill="auto"/>
            <w:vAlign w:val="center"/>
          </w:tcPr>
          <w:p w14:paraId="136ACDE7">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411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7F7AE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1B482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1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9280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项目基本情况</w:t>
            </w:r>
          </w:p>
        </w:tc>
        <w:tc>
          <w:tcPr>
            <w:tcW w:w="2567"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360C9">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27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D55614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0B097CF">
            <w:pPr>
              <w:keepNext w:val="0"/>
              <w:keepLines w:val="0"/>
              <w:widowControl/>
              <w:suppressLineNumbers w:val="0"/>
              <w:spacing w:before="0" w:beforeAutospacing="0" w:after="0" w:afterAutospacing="0" w:line="240" w:lineRule="exact"/>
              <w:ind w:left="0" w:right="0"/>
              <w:jc w:val="center"/>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0A760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4400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567"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9624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627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627949D">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学前教育生均公用经费保障教育教学总体水平。</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7928753">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学生公用经费按照支出进度完成支付</w:t>
            </w:r>
          </w:p>
        </w:tc>
      </w:tr>
      <w:tr w14:paraId="0BD07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98D9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1E329A">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1473"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16821E6A">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1.按实际支出进度完成支付。2.建立政策执行台账，进行政策宣贯，确保政策全面贯彻。</w:t>
            </w:r>
          </w:p>
        </w:tc>
      </w:tr>
      <w:tr w14:paraId="2B8CD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jc w:val="center"/>
        </w:trPr>
        <w:tc>
          <w:tcPr>
            <w:tcW w:w="71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D5434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预算执行情况（10分）</w:t>
            </w: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5D93A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A35A1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9D76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70F9C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E835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359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3331B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3B104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2A6C0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DFBA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27712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A74DF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16.40</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AD74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15.97</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53166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15.97</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E747C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F80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C904B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92467">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461F1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BD539">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8212C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AE66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16.40</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9745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15.97</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E2B8E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15.97</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CF73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1D2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B849D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8C2AF">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35EEE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2984D">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A0C13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D340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B206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04A85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ED85A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579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37942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FF119">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3D251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2410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063BB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408E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0085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E7379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67A03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C04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55AED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25A7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14F7C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AA47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716B1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79EAB">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656B1">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6F48CF">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CB15EA">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64F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46E1D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A288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6004B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 w:hRule="atLeast"/>
          <w:jc w:val="center"/>
        </w:trPr>
        <w:tc>
          <w:tcPr>
            <w:tcW w:w="71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2DBF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绩效指标（90分）</w:t>
            </w: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C8CFD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C2528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CE64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AAAE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948C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93A03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B7AB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D3A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7C891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7F521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559C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23330">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567"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DEAF5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4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8366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数量指标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53FC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生均公用经费受益人数</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E5860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B402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328</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8C66F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人</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26DB1">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328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120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53CCD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186327">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72D20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F916E">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567"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E9C6B">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AE84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5D3C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学生每人标准</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1DAC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AB97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500</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5705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元/人</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AE81D">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500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77D6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912B3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16A7CE">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1F7F2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88F3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567"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08EB3">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4C3A8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质量指标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6392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学校正常运转</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76C45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BF0B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95</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A42CF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1248D">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41D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C6CCD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2A1F2F">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2A925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39AE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567"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F7B7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CE34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时效指标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0F08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生均公用经费及时执行率</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C2F0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55A3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429D3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9858A">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22A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6CF0E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4F4EF2">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4B12D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3EB6B">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567"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AEE7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2F4DE">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09CB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公用经费使用时间</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B67D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A7A8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A6E9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C0156">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180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4E3D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F7BB2B">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3C530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AD190">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48254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64D3E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社会效益指标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92E7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政策知晓率</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BF45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EF16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95</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64BEF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5B1CF">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56D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22162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17</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B0E4A0">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68AFC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7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6CDC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5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95BAB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满意度指标</w:t>
            </w:r>
          </w:p>
        </w:tc>
        <w:tc>
          <w:tcPr>
            <w:tcW w:w="1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4F326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服务对象满意度指标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93BA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接受教育学生满意度</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67B5E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C6C2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C6D7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A96458">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26F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016D4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009CD1">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59639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5A45184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C17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ADB64D">
            <w:pPr>
              <w:keepNext w:val="0"/>
              <w:keepLines w:val="0"/>
              <w:widowControl/>
              <w:suppressLineNumbers w:val="0"/>
              <w:spacing w:before="0" w:beforeAutospacing="0" w:after="0" w:afterAutospacing="0" w:line="240" w:lineRule="exact"/>
              <w:ind w:left="0" w:right="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86</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5BC1E0">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p>
        </w:tc>
      </w:tr>
      <w:tr w14:paraId="2B96E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F4A6EC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FA4568D">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按照生均500元/人进行预算，按实际支出进度完成支付。</w:t>
            </w:r>
          </w:p>
        </w:tc>
      </w:tr>
      <w:tr w14:paraId="61096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29B47A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8539C49">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无</w:t>
            </w:r>
          </w:p>
        </w:tc>
      </w:tr>
      <w:tr w14:paraId="360EE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22980A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C78EA99">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无</w:t>
            </w:r>
          </w:p>
        </w:tc>
      </w:tr>
      <w:tr w14:paraId="51B82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E1C3158">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0A8B9F02">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566B8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66F700F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0647E9AF">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6FF40308">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4CAE533C">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20" w:type="dxa"/>
            <w:shd w:val="clear" w:color="auto" w:fill="auto"/>
            <w:vAlign w:val="center"/>
          </w:tcPr>
          <w:p w14:paraId="39589217">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5222C498">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7C39500F">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1232D391">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4C1C0B85">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080CB9D4">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066F0193">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r>
      <w:tr w14:paraId="5E06C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7212B48A">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23417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87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7DC6A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169313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51320023T000009571525-阿州财教【2023】25号-2022年扶持民族地区教育发展、部分教育补助资金</w:t>
            </w:r>
          </w:p>
        </w:tc>
      </w:tr>
      <w:tr w14:paraId="4D10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jc w:val="center"/>
        </w:trPr>
        <w:tc>
          <w:tcPr>
            <w:tcW w:w="287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74E94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68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2E949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742" w:type="dxa"/>
            <w:gridSpan w:val="6"/>
            <w:shd w:val="clear" w:color="auto" w:fill="auto"/>
            <w:vAlign w:val="center"/>
          </w:tcPr>
          <w:p w14:paraId="2B0F39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345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20FA2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22733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8700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535445E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1BAAF9A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1887"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2C6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68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92551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7B293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7C5FF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392D5">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CE1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default" w:ascii="Times New Roman" w:hAnsi="Times New Roman" w:eastAsia="Times New Roman" w:cs="Times New Roman"/>
                <w:sz w:val="20"/>
                <w:szCs w:val="20"/>
              </w:rPr>
            </w:pPr>
          </w:p>
        </w:tc>
        <w:tc>
          <w:tcPr>
            <w:tcW w:w="668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6E70F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该项目建设提高了科学化管理水平，营造了良好的教育教学环境，为师幼提供了便利的工作生活条件。充分满足了在教育教学过程的实际需求，缩小民族地区教育发展与沿海优质教育不均衡的差距，保障民族地区的幼儿享受优质教育教学资源。</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5DD9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项目完工，设备已验收，剩余质保金按合同约定时间支付。</w:t>
            </w:r>
          </w:p>
        </w:tc>
      </w:tr>
      <w:tr w14:paraId="6C5BA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02C9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4557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8CBC7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1.按实际支出进度完成支付，资金专款专用。2.项目完工，剩余质保金按合同约定时间支付。</w:t>
            </w:r>
          </w:p>
        </w:tc>
      </w:tr>
      <w:tr w14:paraId="2AAB4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BEB2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0602765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70A0BDE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4E250DE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E1F1B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1E032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3CCED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71C8A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6E0C5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FE7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EB170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73A00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7ECC0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CB9C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6EEF0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6C465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BDF26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739.05</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C7562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679.70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5905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91.97%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A99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21677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BDF79">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739A7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567A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857E4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2FA50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1832A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739.05</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9E0D9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679.70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AD249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91.97%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418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E27DE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FF4F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673DC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C579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E87EF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63E3C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B70AD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EB90E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D0D5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3B9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B3F96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25293">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6587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735F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48813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F5F79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354E6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EE8AD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4B1A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037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F83DD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030A0">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25735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7F43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392AF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A83E17">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0F6C2C">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DA0F688">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B4294C">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430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3B5FB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F5650">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5BEDF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B595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2A921A7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1841FA8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1AB38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5F3FA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A673C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1FE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E9612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22EB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3A3D2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4B9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6F31F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6A645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763DA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443B9">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887"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1045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60BA4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数量指标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733DC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设备购置数量</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CC1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1B76E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E85E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个/套</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8504A">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6A4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CAD59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90DB80">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0265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121AB">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88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2852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11C08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质量指标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E35B8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设备购置合格率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EBA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B6A71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C3FF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E4157">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0AB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185C3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5DAFCF">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2D346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4D1C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88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C60A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3DDD1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时效指标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98711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项目及时完成率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BEA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BAFC9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3217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FBCF8F">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CAE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1CD14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16</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71A0AE">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3F5FB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A6B8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7CB41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3038E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可持续发展指标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17F9B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提升校园设施</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3C2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定性</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F1D99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有效提升</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1442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2531C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有效提升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F3A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73AB1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AEE673">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25F4C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E57B5">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C1858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满意度指标</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36D22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服务对象满意度指标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F5FBD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师生满意度</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1EB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8B4EC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28D5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FAE0BB">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989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2E6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BA73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2D835F">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1A82A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88504">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F40BE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成本指标</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9612A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经济成本指标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82013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控制成本</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2DE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6E196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740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FEDE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万元</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9330B">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679.7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CD1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7A4A9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475582">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4996C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361893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47C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36F90C">
            <w:pPr>
              <w:keepNext w:val="0"/>
              <w:keepLines w:val="0"/>
              <w:widowControl/>
              <w:suppressLineNumbers w:val="0"/>
              <w:spacing w:before="0" w:beforeAutospacing="0" w:after="0" w:afterAutospacing="0" w:line="240" w:lineRule="exact"/>
              <w:ind w:left="-105" w:leftChars="-50" w:right="-105" w:rightChars="-5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85</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4955A7">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62498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jc w:val="center"/>
        </w:trPr>
        <w:tc>
          <w:tcPr>
            <w:tcW w:w="10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B705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680"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14:paraId="23B890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项目完工，设备已验收，剩余质保金按合同约定时间支付，该项目打造了良好的教育教学环境，为师幼提供了便利的工作生活条件。</w:t>
            </w:r>
          </w:p>
        </w:tc>
      </w:tr>
      <w:tr w14:paraId="2FBE8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10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A1CE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680"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14:paraId="2DAC1B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4AB63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jc w:val="center"/>
        </w:trPr>
        <w:tc>
          <w:tcPr>
            <w:tcW w:w="10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878E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680"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14:paraId="6FEEFB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无</w:t>
            </w:r>
          </w:p>
        </w:tc>
      </w:tr>
      <w:tr w14:paraId="164AD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7EEE5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项目负责人：班玛初</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C58F2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11EA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5FAF7539">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1FB1ADF9">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2F7F21E4">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1ACC4F96">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20" w:type="dxa"/>
            <w:shd w:val="clear" w:color="auto" w:fill="auto"/>
            <w:vAlign w:val="center"/>
          </w:tcPr>
          <w:p w14:paraId="2D3B3DE4">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08A8BD63">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6142E6EA">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1AF16B94">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3D321E90">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2C70718E">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2FCB9321">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59FDF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00B1A87A">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42046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87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E4B7A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3F751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51320023T000009576687-综合大楼新建项目及设施设备购置</w:t>
            </w:r>
          </w:p>
        </w:tc>
      </w:tr>
      <w:tr w14:paraId="06B58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287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722E8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7601"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B1133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897" w:type="dxa"/>
            <w:gridSpan w:val="10"/>
            <w:shd w:val="clear" w:color="auto" w:fill="auto"/>
            <w:vAlign w:val="center"/>
          </w:tcPr>
          <w:p w14:paraId="1791FC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23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CB0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6C49C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6BEB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702AA02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146F266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1887"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820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7601"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166B8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427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38D7A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0496F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2340D">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2D1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default" w:ascii="Times New Roman" w:hAnsi="Times New Roman" w:eastAsia="Times New Roman" w:cs="Times New Roman"/>
                <w:sz w:val="20"/>
                <w:szCs w:val="20"/>
              </w:rPr>
            </w:pPr>
          </w:p>
        </w:tc>
        <w:tc>
          <w:tcPr>
            <w:tcW w:w="7601"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6FAC6F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根据《关于下达2020年第一批中央新疆西藏等地区教育特殊补助资金预算的通知》（阿州财教[2020]59号与《阿坝州财政局阿坝州教育局关于下达2020年中央和省级学前教育发展资金的通知》（阿州财教[2020]114号）（阿州财教[2020]89号）文件精神；由于该房屋年久，墙壁已多处出现裂缝，地面出现裂痕，室内电线已老化，导致各班级取暖设备无法正常使用；夏季经常发生屋顶漏水、墙体脱落等现象；冬季经常发生电压跳闸、水管爆裂等现象，严重影响了正常教育教学秩序，给全园师生造成了严重的安全隐患。同时经过建设工程鉴定属于CU级房屋，需拆除重建。阿州财【2020】59号第一批中央新疆西藏等地区教育特殊补助-</w:t>
            </w:r>
          </w:p>
        </w:tc>
        <w:tc>
          <w:tcPr>
            <w:tcW w:w="427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FF7B5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新建综合大楼项目</w:t>
            </w:r>
            <w:r>
              <w:rPr>
                <w:rFonts w:hint="eastAsia" w:ascii="黑体" w:hAnsi="黑体" w:eastAsia="黑体" w:cs="宋体"/>
                <w:color w:val="000000"/>
                <w:kern w:val="0"/>
                <w:sz w:val="18"/>
                <w:szCs w:val="18"/>
                <w:lang w:val="en-US" w:eastAsia="zh-CN" w:bidi="ar"/>
              </w:rPr>
              <w:t>2024</w:t>
            </w:r>
            <w:r>
              <w:rPr>
                <w:rFonts w:hint="eastAsia" w:ascii="黑体" w:hAnsi="黑体" w:eastAsia="宋体" w:cs="宋体"/>
                <w:color w:val="000000"/>
                <w:kern w:val="0"/>
                <w:sz w:val="18"/>
                <w:szCs w:val="18"/>
                <w:lang w:val="en-US" w:eastAsia="zh-CN" w:bidi="ar"/>
              </w:rPr>
              <w:t>年底已完成竣工决算</w:t>
            </w:r>
          </w:p>
        </w:tc>
      </w:tr>
      <w:tr w14:paraId="69D0D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9B4AD">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C339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188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5E6EC8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1.建立政策执行台账，支付明晰。2.24年年末新建综合大楼已完成竣工决算。</w:t>
            </w:r>
          </w:p>
        </w:tc>
      </w:tr>
      <w:tr w14:paraId="63FBA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96CD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564C960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71FA4CB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2FDE0D8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F513D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3DB9C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1792A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1D4CE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EE196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DB0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2138A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E0485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17094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545B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3BE57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79B9E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6E613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363.48</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A483B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363.48</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DB1BB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872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68426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4CC45">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2368A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C64B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D6574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DB176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F4407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363.48</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F884F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363.48</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251D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CAC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59CEA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42F8B">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37F1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D875D">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A17C5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CEB34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48F97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71C0A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006C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213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7A412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8549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27C8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FC1F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D2B59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26C30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646C1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4DEBE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959BA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71B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8AA58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65FCE">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2BFDB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F9839">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2DED2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2BFB46">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B4725D">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E88A60">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F1588B">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BDF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A58A2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67AA3">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04155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1385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636E2D0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69DE25D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9FC4A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1DDF3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39332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4D47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9E212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AB92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1ACD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C64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128D5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94926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24D14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E1D83">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1B1FA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1C4BC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质量指标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9830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基础设施验收通过率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29E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AE8A8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80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B040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05C3C">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D41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C0AA2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5FC566">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791BD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0593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88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5245A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C4BAF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经济效益指标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6C2B0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达到预期效果</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E2A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F1316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4489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BCBCD">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20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4AA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40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C25C2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247BB4">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4FD40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4B2C32E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433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58CBE7">
            <w:pPr>
              <w:keepNext w:val="0"/>
              <w:keepLines w:val="0"/>
              <w:widowControl/>
              <w:suppressLineNumbers w:val="0"/>
              <w:spacing w:before="0" w:beforeAutospacing="0" w:after="0" w:afterAutospacing="0" w:line="240" w:lineRule="exact"/>
              <w:ind w:left="-105" w:leftChars="-50" w:right="-105" w:rightChars="-5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26FA7A">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10145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94DD6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7DCD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新建综合大楼项目2024年底已完成竣工决算，已经投入使用。</w:t>
            </w:r>
          </w:p>
        </w:tc>
      </w:tr>
      <w:tr w14:paraId="2AFD5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B721E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E820A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无</w:t>
            </w:r>
          </w:p>
        </w:tc>
      </w:tr>
      <w:tr w14:paraId="0D36B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22DD1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69D2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无</w:t>
            </w:r>
          </w:p>
        </w:tc>
      </w:tr>
      <w:tr w14:paraId="50D84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E0CEA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项目负责人：文卫</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EDF4E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335B0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2797E4A1">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2B68167C">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51CF540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3A0CEFCE">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20" w:type="dxa"/>
            <w:shd w:val="clear" w:color="auto" w:fill="auto"/>
            <w:vAlign w:val="center"/>
          </w:tcPr>
          <w:p w14:paraId="2099D7C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2D4E2352">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27A52878">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1EA5B28A">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20275F8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783F2E4B">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2C255E9D">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r>
      <w:tr w14:paraId="27E8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6F101ECC">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69D64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0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E26B11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1692"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2F4F45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51320024T000010424850-教学电脑笔记本</w:t>
            </w:r>
          </w:p>
        </w:tc>
      </w:tr>
      <w:tr w14:paraId="13A21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30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9AE404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F9A59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742" w:type="dxa"/>
            <w:gridSpan w:val="6"/>
            <w:shd w:val="clear" w:color="auto" w:fill="auto"/>
            <w:vAlign w:val="center"/>
          </w:tcPr>
          <w:p w14:paraId="5D5701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345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D7223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71253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FC9A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7863EA9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043986D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207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3B9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9F41B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A70A6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4A64D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80EA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8EE2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default" w:ascii="Times New Roman" w:hAnsi="Times New Roman" w:eastAsia="Times New Roman" w:cs="Times New Roman"/>
                <w:sz w:val="20"/>
                <w:szCs w:val="20"/>
              </w:rPr>
            </w:pP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68A9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现有电脑已到报废年限，为响应教育信息化并维持日常教学开展，需购置笔记本电脑21台，平均7000元一台。</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E8805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该项目已完成，正准备投入使用中。</w:t>
            </w:r>
          </w:p>
        </w:tc>
      </w:tr>
      <w:tr w14:paraId="5F3CC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C9DA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58A69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1692"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735267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该教学电脑笔记本项目通过政府采购框架协议且已完成。</w:t>
            </w:r>
          </w:p>
        </w:tc>
      </w:tr>
      <w:tr w14:paraId="34C60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69E5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41971A0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5EA3AE2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5CDF7E1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90F668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D808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50F9E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C9364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B07D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BB4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F86E6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F55AA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107D2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FFEB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2F2B7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09DAD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15.00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19031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14.74</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ACFEC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14.74</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FE737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9CD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F0976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1774E">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564B0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6EC1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5ECD44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B491C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15.00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B872A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14.74</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48474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14.74</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2563D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C6CA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C1887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720FF">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5AF0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C4EE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5432C5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814C0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EDED9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09571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AC33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3F4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5F18A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03B3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3F82D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B221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6E17E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45A6B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98861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65175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66C0D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DEB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9D6B8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CBE20">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197AE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D1FB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A7548D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7020E3">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177343">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DDC2B6">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CC362">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4AA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53A13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8E4B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0D3D4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9631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65859B9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4264FF4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14C87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932E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9BEAC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4D2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05B92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8FFE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8B1C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68E3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2E49A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CE821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6F89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E71C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F3A1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848CA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数量指标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88381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仪器设备购置数量</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F8B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C1561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45</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0CC1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台/套</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7673B9">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45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38D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4E294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960E90">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670C0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3FC26">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88EF2">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2140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质量指标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75697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设备使用效率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DBF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CE5D8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95</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D492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E4C2A">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259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54C7E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5955E4">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74FEB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0CB14">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F030E">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692DD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时效指标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EF9C2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设备购置及时率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4DC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D8697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4690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62DFB">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384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31011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91E585">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424A0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1C8A3">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7C94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42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347B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可持续发展指标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BABFD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提高教学质量信息化水平</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C27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20436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95</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4900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BB1A96">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BC2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6A089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16</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E981D2">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4921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8057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AA66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6E1E4">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27302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教学质量完成率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6A8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B244F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95</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5631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35C823">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45F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6F02C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07A438">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5CC0D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2F799">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65C9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91546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可持续影响指标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F935B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设备使用年限</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60F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D021D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79F3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A1C613">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E81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CF829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6430FA">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1433F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D68D2">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F7D590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成本指标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2510B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经济成本指标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58FD9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项目总成本</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A83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EB48C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7000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06F3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元/台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A8A1F4">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7000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FBE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5F6CC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359651">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1DF5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2EC8EBE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3F8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17F1DD">
            <w:pPr>
              <w:keepNext w:val="0"/>
              <w:keepLines w:val="0"/>
              <w:widowControl/>
              <w:suppressLineNumbers w:val="0"/>
              <w:spacing w:before="0" w:beforeAutospacing="0" w:after="0" w:afterAutospacing="0" w:line="240" w:lineRule="exact"/>
              <w:ind w:left="-105" w:leftChars="-50" w:right="-105" w:rightChars="-5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85</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B6AB34">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23804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1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FBFE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15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366544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该项目已完成，正准备投入使用中。</w:t>
            </w:r>
          </w:p>
        </w:tc>
      </w:tr>
      <w:tr w14:paraId="1BC0C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jc w:val="center"/>
        </w:trPr>
        <w:tc>
          <w:tcPr>
            <w:tcW w:w="1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2DC7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15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755E3C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0D8BE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jc w:val="center"/>
        </w:trPr>
        <w:tc>
          <w:tcPr>
            <w:tcW w:w="1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3B19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15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13CE3B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011CC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53460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项目负责人：班玛初</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A6FBD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2AC9E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2A114BC7">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6864EC23">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58C13E22">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36D5470F">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20" w:type="dxa"/>
            <w:shd w:val="clear" w:color="auto" w:fill="auto"/>
            <w:vAlign w:val="center"/>
          </w:tcPr>
          <w:p w14:paraId="447C9995">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361CE39E">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1DFF350E">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105B3BD2">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36A30514">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0B4B7956">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19BF366A">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r>
      <w:tr w14:paraId="6DAC8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7972A39B">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5B6C2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0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5CE9A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1692"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290201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51320024T000010425109-法律顾问</w:t>
            </w:r>
          </w:p>
        </w:tc>
      </w:tr>
      <w:tr w14:paraId="41884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jc w:val="center"/>
        </w:trPr>
        <w:tc>
          <w:tcPr>
            <w:tcW w:w="30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46E0C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1F132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793" w:type="dxa"/>
            <w:gridSpan w:val="7"/>
            <w:shd w:val="clear" w:color="auto" w:fill="auto"/>
            <w:vAlign w:val="center"/>
          </w:tcPr>
          <w:p w14:paraId="46478F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34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9162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5554A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6E68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156DACB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0FE202E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207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365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6693E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26DC6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1F4A9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6CA1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D909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default" w:ascii="Times New Roman" w:hAnsi="Times New Roman" w:eastAsia="Times New Roman" w:cs="Times New Roman"/>
                <w:sz w:val="20"/>
                <w:szCs w:val="20"/>
              </w:rPr>
            </w:pP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6C1B7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防范未来教学教育法律风险以及维护评审专家、采购人等合法权益</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C7658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已完成</w:t>
            </w:r>
            <w:r>
              <w:rPr>
                <w:rFonts w:hint="eastAsia" w:ascii="黑体" w:hAnsi="黑体" w:eastAsia="黑体" w:cs="宋体"/>
                <w:color w:val="000000"/>
                <w:kern w:val="0"/>
                <w:sz w:val="18"/>
                <w:szCs w:val="18"/>
                <w:lang w:val="en-US" w:eastAsia="zh-CN" w:bidi="ar"/>
              </w:rPr>
              <w:t>24</w:t>
            </w:r>
            <w:r>
              <w:rPr>
                <w:rFonts w:hint="eastAsia" w:ascii="黑体" w:hAnsi="黑体" w:eastAsia="宋体" w:cs="宋体"/>
                <w:color w:val="000000"/>
                <w:kern w:val="0"/>
                <w:sz w:val="18"/>
                <w:szCs w:val="18"/>
                <w:lang w:val="en-US" w:eastAsia="zh-CN" w:bidi="ar"/>
              </w:rPr>
              <w:t>年项目中所需的法律顾问、专家评审费支付。</w:t>
            </w:r>
          </w:p>
        </w:tc>
      </w:tr>
      <w:tr w14:paraId="5F4AC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14A0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ECBDD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1692"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2F60ED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已完成24年项目中所需的法律顾问、专家评审费支付。</w:t>
            </w:r>
          </w:p>
        </w:tc>
      </w:tr>
      <w:tr w14:paraId="65E63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7DF7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251D69B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0DF89F0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2EDBF14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35D8C9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E5445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C0A3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69C1F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BF026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115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F62C0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A240E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1A08D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570E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867481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3E085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3.00</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166B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2.39</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5816A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2.39</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BB41A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AF62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0D59A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8125B">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00282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C77C9">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9738A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35722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3.00</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3F9B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2.39</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E7759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2.39</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019A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9D7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EEA31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61B7B">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717B4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CFB35">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421FD3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5A227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9D1F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A5EBA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8F1A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401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588F2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2D429">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5361F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2B40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B9554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542E9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32AE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D6EE9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C0B68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BEF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E0374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AD13F">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0BFF4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3559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87B0BA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F9923C">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83A91">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195408">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EF8E6">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484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07F19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7B60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2E98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F876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65DBA34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1348E96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42B435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30110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8543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83B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04AD7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1D1E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672E4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2CB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BF037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149B2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29D3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A87C0">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ECC9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66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3852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数量指标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143F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开展法制宣传数</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D58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0888D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1185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场次</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35194">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E41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934A8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792A0">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50ABF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9EBC5">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0BED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66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1628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4A49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法律顾问1人</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440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86964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F8B7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人数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10E3B">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9B7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B2695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DCDB18">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26B63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9D272">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2738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2A5A3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社会效益指标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7CAF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有效保障全园发展与稳定</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6F7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定性</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BE86C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优</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C933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2DDCC">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AC1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59376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1DFF46">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0410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E098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2DC03">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9CD27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可持续发展指标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D8E0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防范未来法律风险</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A1F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BA8B6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F143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2089EC">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F4F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09E6F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E5C1E9">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1BDBD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BBEC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5356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BF595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可持续影响指标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37E6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项目持续发挥作用</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5F3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76E05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820B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349BD">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710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029D7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DAD11A">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24BAA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5343F">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3A591D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满意度指标</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E401F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服务对象满意度指标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6CE0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全园师生满意度</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1C7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C8F78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95</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40D6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1592B1">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B93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82BD4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4</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D69F55">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255E2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0D94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A693CE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成本指标</w:t>
            </w:r>
          </w:p>
        </w:tc>
        <w:tc>
          <w:tcPr>
            <w:tcW w:w="16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5B7A3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经济成本指标</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A3E8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厉行节约做好成本控制</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C11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9DB58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CFB5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万</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DDA4D1">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2.39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F64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D7D2D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BF2E6">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6C1EE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FF0ABA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92B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66724B">
            <w:pPr>
              <w:keepNext w:val="0"/>
              <w:keepLines w:val="0"/>
              <w:widowControl/>
              <w:suppressLineNumbers w:val="0"/>
              <w:spacing w:before="0" w:beforeAutospacing="0" w:after="0" w:afterAutospacing="0" w:line="240" w:lineRule="exact"/>
              <w:ind w:left="-105" w:leftChars="-50" w:right="-105" w:rightChars="-5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89</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FDB278">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346E3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F1E15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807F5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val="0"/>
                <w:iCs w:val="0"/>
                <w:color w:val="000000"/>
                <w:kern w:val="0"/>
                <w:sz w:val="16"/>
                <w:szCs w:val="16"/>
                <w:lang w:val="en-US"/>
              </w:rPr>
            </w:pPr>
            <w:r>
              <w:rPr>
                <w:rFonts w:hint="eastAsia" w:ascii="微软雅黑" w:hAnsi="微软雅黑" w:eastAsia="微软雅黑" w:cs="宋体"/>
                <w:i w:val="0"/>
                <w:iCs w:val="0"/>
                <w:color w:val="000000"/>
                <w:kern w:val="0"/>
                <w:sz w:val="16"/>
                <w:szCs w:val="16"/>
                <w:lang w:val="en-US" w:eastAsia="zh-CN" w:bidi="ar"/>
              </w:rPr>
              <w:t>防范未来教学教育法律风险以及维护评审专家、采购人等合法权益</w:t>
            </w:r>
          </w:p>
        </w:tc>
      </w:tr>
      <w:tr w14:paraId="5438B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58CE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527AD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val="0"/>
                <w:iCs w:val="0"/>
                <w:color w:val="000000"/>
                <w:kern w:val="0"/>
                <w:sz w:val="16"/>
                <w:szCs w:val="16"/>
                <w:lang w:val="en-US"/>
              </w:rPr>
            </w:pPr>
            <w:r>
              <w:rPr>
                <w:rFonts w:hint="eastAsia" w:ascii="微软雅黑" w:hAnsi="微软雅黑" w:eastAsia="微软雅黑" w:cs="宋体"/>
                <w:i w:val="0"/>
                <w:iCs w:val="0"/>
                <w:color w:val="000000"/>
                <w:kern w:val="0"/>
                <w:sz w:val="16"/>
                <w:szCs w:val="16"/>
                <w:lang w:val="en-US" w:eastAsia="zh-CN" w:bidi="ar"/>
              </w:rPr>
              <w:t>无</w:t>
            </w:r>
          </w:p>
        </w:tc>
      </w:tr>
      <w:tr w14:paraId="3C71A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E6077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DFC1E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val="0"/>
                <w:iCs w:val="0"/>
                <w:color w:val="000000"/>
                <w:kern w:val="0"/>
                <w:sz w:val="16"/>
                <w:szCs w:val="16"/>
                <w:lang w:val="en-US"/>
              </w:rPr>
            </w:pPr>
            <w:r>
              <w:rPr>
                <w:rFonts w:hint="eastAsia" w:ascii="微软雅黑" w:hAnsi="微软雅黑" w:eastAsia="微软雅黑" w:cs="宋体"/>
                <w:i w:val="0"/>
                <w:iCs w:val="0"/>
                <w:color w:val="000000"/>
                <w:kern w:val="0"/>
                <w:sz w:val="16"/>
                <w:szCs w:val="16"/>
                <w:lang w:val="en-US" w:eastAsia="zh-CN" w:bidi="ar"/>
              </w:rPr>
              <w:t>无</w:t>
            </w:r>
          </w:p>
        </w:tc>
      </w:tr>
      <w:tr w14:paraId="421FF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99479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项目负责人：班玛初</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0666FE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3EAEB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66C6ED7A">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786FE03A">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13F83300">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6B0D2DFD">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20" w:type="dxa"/>
            <w:shd w:val="clear" w:color="auto" w:fill="auto"/>
            <w:vAlign w:val="center"/>
          </w:tcPr>
          <w:p w14:paraId="022BB45F">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3B86E05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6DEA8A65">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3AB244A4">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53224158">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2855C56C">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7BB3AC05">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r>
      <w:tr w14:paraId="0BE0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506B97AF">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2CA98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0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AB37E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1692"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69C922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51320024T000010944204-教育系统优秀教师鼓励资金</w:t>
            </w:r>
          </w:p>
        </w:tc>
      </w:tr>
      <w:tr w14:paraId="6D8FE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 w:hRule="atLeast"/>
          <w:jc w:val="center"/>
        </w:trPr>
        <w:tc>
          <w:tcPr>
            <w:tcW w:w="30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9FA40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7798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890" w:type="dxa"/>
            <w:gridSpan w:val="8"/>
            <w:shd w:val="clear" w:color="auto" w:fill="auto"/>
            <w:vAlign w:val="center"/>
          </w:tcPr>
          <w:p w14:paraId="3C4B03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33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62A5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12234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3D4E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项目基</w:t>
            </w:r>
          </w:p>
          <w:p w14:paraId="1E982AA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本情况</w:t>
            </w:r>
          </w:p>
        </w:tc>
        <w:tc>
          <w:tcPr>
            <w:tcW w:w="2383"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A353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0321C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916DB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035DB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3735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602F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4BBFE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发放教育系统优秀教师鼓励资金到位</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00249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2024</w:t>
            </w:r>
            <w:r>
              <w:rPr>
                <w:rFonts w:hint="eastAsia" w:ascii="黑体" w:hAnsi="黑体" w:eastAsia="宋体" w:cs="宋体"/>
                <w:color w:val="000000"/>
                <w:kern w:val="0"/>
                <w:sz w:val="18"/>
                <w:szCs w:val="18"/>
                <w:lang w:val="en-US" w:eastAsia="zh-CN" w:bidi="ar"/>
              </w:rPr>
              <w:t>年发放教育系统优秀教师鼓励资金已到位</w:t>
            </w:r>
          </w:p>
        </w:tc>
      </w:tr>
      <w:tr w14:paraId="28BF2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4526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2E273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1692"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5C0EBFEA">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3AE3C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185D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5E723A6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121C105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23EC257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4F887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A502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9B948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24146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D449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AB9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3DD75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1ED78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67786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760D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62313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7AD8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8DCF5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0.30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CF8E9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0.30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F373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013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BB852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6C80C">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3336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E5C69">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8D1BC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E793C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91D31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0.30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61C90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0.30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8277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A12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B4F9D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7E19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16C1A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14ABD">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FC241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AB89C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F9F3E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4491B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3CEF1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E56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82779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9634D">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29A2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4B47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0919F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F391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CA2A6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F0403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0634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0B1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48D3B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C3CFB">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0A05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CA91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67F28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7EE4DE">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AC6182">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D39C6CF">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C16B3">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203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D6E86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0AA6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15044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7AAF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6528BA9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41571CD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13FC5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5623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3B65C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EF7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476C3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FDDD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C8AC0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569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283F8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FF89A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2C90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A3F8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08207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13F9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质量指标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38C2F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及时完成率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1D2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756CE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4A83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7ADE2">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C41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5C7FB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CE8E23">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20AF9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3DD8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71F6D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1C43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经济效益指标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A17F4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满意度指标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75D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5C2F0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9DF0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3D6A2E">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FC4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5580D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6141D0">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19F99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1798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3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FC96D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满意度指标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13FC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满意度指标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2EFA0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教师满意度</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1203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811DE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31FE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C4703">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332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7962A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E43437">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2EC5F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3AF8AE9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278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B0654E">
            <w:pPr>
              <w:keepNext w:val="0"/>
              <w:keepLines w:val="0"/>
              <w:widowControl/>
              <w:suppressLineNumbers w:val="0"/>
              <w:spacing w:before="0" w:beforeAutospacing="0" w:after="0" w:afterAutospacing="0" w:line="240" w:lineRule="exact"/>
              <w:ind w:left="-105" w:leftChars="-50" w:right="-105" w:rightChars="-5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10D7C7">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12378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A300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767" w:type="dxa"/>
            <w:gridSpan w:val="35"/>
            <w:tcBorders>
              <w:top w:val="single" w:color="000000" w:sz="4" w:space="0"/>
              <w:left w:val="single" w:color="000000" w:sz="4" w:space="0"/>
              <w:bottom w:val="single" w:color="000000" w:sz="4" w:space="0"/>
              <w:right w:val="single" w:color="000000" w:sz="4" w:space="0"/>
            </w:tcBorders>
            <w:shd w:val="clear" w:color="auto" w:fill="auto"/>
            <w:vAlign w:val="center"/>
          </w:tcPr>
          <w:p w14:paraId="3B38E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已完成教育系统优秀教师鼓励资金支付</w:t>
            </w:r>
          </w:p>
        </w:tc>
      </w:tr>
      <w:tr w14:paraId="106B3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91D9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767" w:type="dxa"/>
            <w:gridSpan w:val="35"/>
            <w:tcBorders>
              <w:top w:val="single" w:color="000000" w:sz="4" w:space="0"/>
              <w:left w:val="single" w:color="000000" w:sz="4" w:space="0"/>
              <w:bottom w:val="single" w:color="000000" w:sz="4" w:space="0"/>
              <w:right w:val="single" w:color="000000" w:sz="4" w:space="0"/>
            </w:tcBorders>
            <w:shd w:val="clear" w:color="auto" w:fill="auto"/>
            <w:vAlign w:val="center"/>
          </w:tcPr>
          <w:p w14:paraId="3941AF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无</w:t>
            </w:r>
          </w:p>
        </w:tc>
      </w:tr>
      <w:tr w14:paraId="50B8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2C3E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767" w:type="dxa"/>
            <w:gridSpan w:val="35"/>
            <w:tcBorders>
              <w:top w:val="single" w:color="000000" w:sz="4" w:space="0"/>
              <w:left w:val="single" w:color="000000" w:sz="4" w:space="0"/>
              <w:bottom w:val="single" w:color="000000" w:sz="4" w:space="0"/>
              <w:right w:val="single" w:color="000000" w:sz="4" w:space="0"/>
            </w:tcBorders>
            <w:shd w:val="clear" w:color="auto" w:fill="auto"/>
            <w:vAlign w:val="center"/>
          </w:tcPr>
          <w:p w14:paraId="355F31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无</w:t>
            </w:r>
          </w:p>
        </w:tc>
      </w:tr>
      <w:tr w14:paraId="67E78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FAB90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项目负责人：胥正英</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6B9A88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4686D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32B9C1AC">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54144BE5">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1394EAB8">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54501519">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20" w:type="dxa"/>
            <w:shd w:val="clear" w:color="auto" w:fill="auto"/>
            <w:vAlign w:val="center"/>
          </w:tcPr>
          <w:p w14:paraId="76C7F42E">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2DF48EA4">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774B8281">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202CC229">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0319C39F">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2646F43B">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349FA3CD">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4A4C6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3C2760B1">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29757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jc w:val="center"/>
        </w:trPr>
        <w:tc>
          <w:tcPr>
            <w:tcW w:w="27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E8A26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2048"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3F06E2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51320024T000011796445-教育质量提升奖励部分资</w:t>
            </w:r>
          </w:p>
        </w:tc>
      </w:tr>
      <w:tr w14:paraId="00A1A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27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CE843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84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674E3C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742" w:type="dxa"/>
            <w:gridSpan w:val="6"/>
            <w:shd w:val="clear" w:color="auto" w:fill="auto"/>
            <w:vAlign w:val="center"/>
          </w:tcPr>
          <w:p w14:paraId="378BCA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345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07CC9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7C168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B8EC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033FD27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19ACB6F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171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45B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84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3ED01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64937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29DF3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55E77">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DD9B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default" w:ascii="Times New Roman" w:hAnsi="Times New Roman" w:eastAsia="Times New Roman" w:cs="Times New Roman"/>
                <w:sz w:val="20"/>
                <w:szCs w:val="20"/>
              </w:rPr>
            </w:pPr>
          </w:p>
        </w:tc>
        <w:tc>
          <w:tcPr>
            <w:tcW w:w="684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3CC40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足额发放杰出贡献教师激励金</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6B602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已足额发放杰出贡献教师激励金</w:t>
            </w:r>
          </w:p>
        </w:tc>
      </w:tr>
      <w:tr w14:paraId="62FC0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160F4">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9293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2048"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218F63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足额发放杰出贡献教师激励金</w:t>
            </w:r>
          </w:p>
        </w:tc>
      </w:tr>
      <w:tr w14:paraId="54AF2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5911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35F8C85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0ADC8C7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6FECB44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7325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C92AF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B58BA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C16EB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0A709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8D9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1BE4F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9D54C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0715A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2978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5997A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F6823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D487D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0.10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214B4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0.10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2D60F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21A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5926E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D010B">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2E448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4C11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47325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54A13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B9C62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0.10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86D3E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0.10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6433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378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A1F24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65689">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4D1B1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8C71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F0D90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F7FDE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535F5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7D57C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DD20D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291A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507D0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7DAA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58CE8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377C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676A1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413FC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6EBCD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04284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67F3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1DD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65177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6BD00">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628D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63E5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2E292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B31942">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F2F4D8">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D08584">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A0D3D8">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694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02518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77A5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2C372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AE1E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2CB1684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62FCF2E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624F2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9223D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5E817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B1D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69358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052C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CDA9E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3E2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FB201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45EBC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13002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9ECF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27AA3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4611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数量指标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97F30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发放覆盖率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A30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ABBCE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8AD8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26C07">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F55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35E7F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4FAEC7">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6D6E9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A6A6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5BA24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86B39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社会效益指标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F45A0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足额保障率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C19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B7202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EC67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71275">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B63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32390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505F7A">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3D677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09A1C45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42F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6FD09C">
            <w:pPr>
              <w:keepNext w:val="0"/>
              <w:keepLines w:val="0"/>
              <w:widowControl/>
              <w:suppressLineNumbers w:val="0"/>
              <w:spacing w:before="0" w:beforeAutospacing="0" w:after="0" w:afterAutospacing="0" w:line="240" w:lineRule="exact"/>
              <w:ind w:left="-105" w:leftChars="-50" w:right="-105" w:rightChars="-5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27999F">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65E57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 w:hRule="atLeast"/>
          <w:jc w:val="center"/>
        </w:trPr>
        <w:tc>
          <w:tcPr>
            <w:tcW w:w="1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70FC9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15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D2031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已完成贡献教师激励金发放</w:t>
            </w:r>
          </w:p>
        </w:tc>
      </w:tr>
      <w:tr w14:paraId="08A14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 w:hRule="atLeast"/>
          <w:jc w:val="center"/>
        </w:trPr>
        <w:tc>
          <w:tcPr>
            <w:tcW w:w="1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91935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15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20F45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23A02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1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5F3BD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15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D30CE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0DACA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1789CB36">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项目负责人：胥正英</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FFD9BF3">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6F06C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5D7F51ED">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73B722F7">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7F49185A">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33C15BFB">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20" w:type="dxa"/>
            <w:shd w:val="clear" w:color="auto" w:fill="auto"/>
            <w:vAlign w:val="center"/>
          </w:tcPr>
          <w:p w14:paraId="1CC28A45">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51AA1C4A">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6790F4FD">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5C32C429">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577F810D">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0558019D">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6F4C1AC8">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23ABF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0E0939F2">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3C853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0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B9F74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1692"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3A43C18B">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51320025T000012232867-2024年支持学前教育发展补助资金</w:t>
            </w:r>
          </w:p>
        </w:tc>
      </w:tr>
      <w:tr w14:paraId="1FD08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30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7FDDA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51A418F">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090" w:type="dxa"/>
            <w:gridSpan w:val="3"/>
            <w:shd w:val="clear" w:color="auto" w:fill="auto"/>
            <w:vAlign w:val="center"/>
          </w:tcPr>
          <w:p w14:paraId="414DA413">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411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2FAC9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3868A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B613E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6F39FD3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119A5A2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207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FCAA8">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11A84D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B1EB70C">
            <w:pPr>
              <w:keepNext w:val="0"/>
              <w:keepLines w:val="0"/>
              <w:widowControl/>
              <w:suppressLineNumbers w:val="0"/>
              <w:spacing w:before="0" w:beforeAutospacing="0" w:after="0" w:afterAutospacing="0" w:line="240" w:lineRule="exact"/>
              <w:ind w:left="-105" w:leftChars="-50" w:right="-105" w:rightChars="-50"/>
              <w:jc w:val="center"/>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348F6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88D64">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34FD0">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64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692DB44">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为更好迎接普及普惠检查，确保全体师幼安全顺利迎检，项目的建设能够完善马尔康市的幼儿园基础设施建设，全面提升其教育及服务职能，更好地为广大家长和儿童服务。</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FFA1CC3">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已完成城堡楼改造及屋顶防水，剩余质保金按合同约定支付。</w:t>
            </w:r>
          </w:p>
        </w:tc>
      </w:tr>
      <w:tr w14:paraId="1558F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F02E7">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5C7E5B4">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1692"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58EBD855">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已完成城堡楼改造及屋顶防水</w:t>
            </w:r>
          </w:p>
        </w:tc>
      </w:tr>
      <w:tr w14:paraId="7B967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0D484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2C6A00F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56D05BD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1D54AC2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8B971A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12EA9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DDCAC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9CBAB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1D6B1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28F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CD404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FA4FA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49F40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61A0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7AB09F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0ACC0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62553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100.26</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EB70E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100.26</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B9BB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9C6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5B4AA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403E19">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38FDD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3737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B9216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9CB47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4D3E6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100.26</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9515E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100.26</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5ACB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25B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3389F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51706">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366D6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EFD7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66D81D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5960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B441B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928CC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632D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CC9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92DD5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4F52D">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2398F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0F26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D6A24C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C350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69F7F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71659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20EE0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922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E90DC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B67A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05F1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5704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7BA962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AF9C4">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4DD556">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339EB4">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CD5EE">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389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B2226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AB964">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6E7B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AA10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2185C40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7993CBE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98DF5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EB04A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EC035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839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1C6F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759C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85C6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C24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865AD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F7DB3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201B0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EC1C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C71458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1F11A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质量指标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1F188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质量验收合格率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235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F63E7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DC4F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63ACF">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F49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1E2D5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64168C">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371BB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BB44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C142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70D2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经济效益指标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8ACFB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达到预期目标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FA6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DD86C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85</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0646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DA0286">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75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E70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B2CED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12</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854521">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19CD5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6C21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219B9">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D9CBD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社会效益指标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352B4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师生满意度</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714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586CC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F794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CA8ABF">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B48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FC113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15</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CE9511">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r>
      <w:tr w14:paraId="06B88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65D941A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957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DA915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87</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85F9C7">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r>
      <w:tr w14:paraId="222F7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DE04E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A3BC2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已完成城堡楼改造及屋顶防水</w:t>
            </w:r>
          </w:p>
        </w:tc>
      </w:tr>
      <w:tr w14:paraId="142A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5"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5107C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1657C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04F48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13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9A4EF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431"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701A6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针对项目自评中发现的问题，提出下一步改进完善的意见及有关政策性建议。（200字以内）</w:t>
            </w:r>
          </w:p>
        </w:tc>
      </w:tr>
      <w:tr w14:paraId="035C6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40A8C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项目负责人：班玛初</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36944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0D684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20DF4F63">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68D7006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0E3AB77F">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375C1C61">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20" w:type="dxa"/>
            <w:shd w:val="clear" w:color="auto" w:fill="auto"/>
            <w:vAlign w:val="center"/>
          </w:tcPr>
          <w:p w14:paraId="0549D1CF">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10A9B01B">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67BAF7B0">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48162D92">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15740C1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0A742DA4">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4818AA80">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r>
      <w:tr w14:paraId="166EC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5935C3AC">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6662C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7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16EDC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2048"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4953BE98">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51320025T000012293252-州幼儿园教师节慰问金</w:t>
            </w:r>
          </w:p>
        </w:tc>
      </w:tr>
      <w:tr w14:paraId="7C5B6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E0C5B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84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8B40619">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090" w:type="dxa"/>
            <w:gridSpan w:val="3"/>
            <w:shd w:val="clear" w:color="auto" w:fill="auto"/>
            <w:vAlign w:val="center"/>
          </w:tcPr>
          <w:p w14:paraId="6EECFD7E">
            <w:pPr>
              <w:keepNext w:val="0"/>
              <w:keepLines w:val="0"/>
              <w:widowControl/>
              <w:suppressLineNumbers w:val="0"/>
              <w:spacing w:before="0" w:beforeAutospacing="0" w:after="0" w:afterAutospacing="0" w:line="240" w:lineRule="exact"/>
              <w:ind w:left="-105" w:leftChars="-50" w:right="-105" w:rightChars="-5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411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459D7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325CB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EC8C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20D6432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4E52A4F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171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713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84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8D383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456F6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3754F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108A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541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textAlignment w:val="auto"/>
              <w:rPr>
                <w:rFonts w:hint="default" w:ascii="Times New Roman" w:hAnsi="Times New Roman" w:eastAsia="Times New Roman" w:cs="Times New Roman"/>
                <w:sz w:val="20"/>
                <w:szCs w:val="20"/>
              </w:rPr>
            </w:pPr>
          </w:p>
        </w:tc>
        <w:tc>
          <w:tcPr>
            <w:tcW w:w="684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0A9AC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足额发放到位教师节慰问金</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91D39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2024</w:t>
            </w:r>
            <w:r>
              <w:rPr>
                <w:rFonts w:hint="eastAsia" w:ascii="黑体" w:hAnsi="黑体" w:eastAsia="宋体" w:cs="宋体"/>
                <w:color w:val="000000"/>
                <w:kern w:val="0"/>
                <w:sz w:val="18"/>
                <w:szCs w:val="18"/>
                <w:lang w:val="en-US" w:eastAsia="zh-CN" w:bidi="ar"/>
              </w:rPr>
              <w:t>年已足额发放教师节慰问金</w:t>
            </w:r>
          </w:p>
        </w:tc>
      </w:tr>
      <w:tr w14:paraId="3D1CD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156A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4DED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2048"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09849B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足额发放教师节慰问金</w:t>
            </w:r>
          </w:p>
        </w:tc>
      </w:tr>
      <w:tr w14:paraId="69BF6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6114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4B0AE49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62FB9AD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24D4959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19168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444E7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F46F5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44894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6DA2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0A5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87B72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EE9A3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0C35E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5CA7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6ECB0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0A9EB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B573D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1.35</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B8A14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1.35</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2836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F7A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A16A8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E20C0">
            <w:pPr>
              <w:keepNext w:val="0"/>
              <w:keepLines w:val="0"/>
              <w:widowControl/>
              <w:suppressLineNumbers w:val="0"/>
              <w:spacing w:before="0" w:beforeAutospacing="0" w:after="0" w:afterAutospacing="0"/>
              <w:ind w:left="0" w:right="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10E6C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A9D2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CA2F68">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91507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DAEB7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1.35</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7A0AD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1.35</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5F6B1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6B4E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005DF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4DB27">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6BA0E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BCA7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A9C08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7072A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9E6B9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17FAC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2FD2A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970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5DFB7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21F7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5264F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07A1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7263E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B5F44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AD67C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079FE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472AD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F175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A95FD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38D6E">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37656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9A52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596C8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A20607">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0E8A45">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D2B6C8">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4C00D">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94D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A72CD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ECEDB">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5505F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83E4F">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2640BB7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6B9840F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E82A8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20977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AC1F2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5C0B">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F3940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1F4C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6FEE9">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1B16">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4F2B4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00E82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29011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EEAE4">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FD580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C1734">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数量指标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FA9DB2">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发放覆盖率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F89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B21DCC">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7E26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0FE8E5">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D6D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066757">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840D4C">
            <w:pPr>
              <w:keepNext w:val="0"/>
              <w:keepLines w:val="0"/>
              <w:widowControl/>
              <w:suppressLineNumbers w:val="0"/>
              <w:spacing w:before="0" w:beforeAutospacing="0" w:after="0" w:afterAutospacing="0"/>
              <w:ind w:left="0" w:right="0"/>
              <w:jc w:val="center"/>
              <w:rPr>
                <w:rFonts w:hint="eastAsia" w:ascii="微软雅黑" w:hAnsi="微软雅黑" w:eastAsia="微软雅黑" w:cs="宋体"/>
                <w:i/>
                <w:iCs/>
                <w:color w:val="000000"/>
                <w:kern w:val="0"/>
                <w:sz w:val="16"/>
                <w:szCs w:val="16"/>
                <w:lang w:val="en-US"/>
              </w:rPr>
            </w:pPr>
          </w:p>
        </w:tc>
      </w:tr>
      <w:tr w14:paraId="72B06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5D45F">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39CC6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943A3E">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社会效益指标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B27CA0">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足额保障率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9F35">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B7F94D">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2DFA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7C3F2E">
            <w:pPr>
              <w:keepNext w:val="0"/>
              <w:keepLines w:val="0"/>
              <w:widowControl/>
              <w:suppressLineNumbers w:val="0"/>
              <w:spacing w:before="0" w:beforeAutospacing="0" w:after="0" w:afterAutospacing="0" w:line="240" w:lineRule="exact"/>
              <w:ind w:left="-105" w:leftChars="-50" w:right="-105" w:rightChars="-5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F31A">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F504D1">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E71355">
            <w:pPr>
              <w:keepNext w:val="0"/>
              <w:keepLines w:val="0"/>
              <w:widowControl/>
              <w:suppressLineNumbers w:val="0"/>
              <w:spacing w:before="0" w:beforeAutospacing="0" w:after="0" w:afterAutospacing="0"/>
              <w:ind w:left="0" w:right="0"/>
              <w:jc w:val="center"/>
              <w:rPr>
                <w:rFonts w:hint="eastAsia" w:ascii="微软雅黑" w:hAnsi="微软雅黑" w:eastAsia="微软雅黑" w:cs="宋体"/>
                <w:i/>
                <w:iCs/>
                <w:color w:val="000000"/>
                <w:kern w:val="0"/>
                <w:sz w:val="16"/>
                <w:szCs w:val="16"/>
                <w:lang w:val="en-US"/>
              </w:rPr>
            </w:pPr>
          </w:p>
        </w:tc>
      </w:tr>
      <w:tr w14:paraId="2539E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E14DCF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5DC3">
            <w:pPr>
              <w:keepNext w:val="0"/>
              <w:keepLines w:val="0"/>
              <w:widowControl/>
              <w:suppressLineNumbers w:val="0"/>
              <w:spacing w:before="0" w:beforeAutospacing="0" w:after="0" w:afterAutospacing="0" w:line="240" w:lineRule="exact"/>
              <w:ind w:left="-105" w:leftChars="-50" w:right="-105" w:rightChars="-5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5DF140">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6A2AB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r>
      <w:tr w14:paraId="2FDC2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 w:hRule="atLeast"/>
          <w:jc w:val="center"/>
        </w:trPr>
        <w:tc>
          <w:tcPr>
            <w:tcW w:w="109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2202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666"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469506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已完成教师节慰问金发放</w:t>
            </w:r>
          </w:p>
        </w:tc>
      </w:tr>
      <w:tr w14:paraId="3B8DA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jc w:val="center"/>
        </w:trPr>
        <w:tc>
          <w:tcPr>
            <w:tcW w:w="109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D971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666"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0A7CFE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无</w:t>
            </w:r>
          </w:p>
        </w:tc>
      </w:tr>
      <w:tr w14:paraId="11B6D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jc w:val="center"/>
        </w:trPr>
        <w:tc>
          <w:tcPr>
            <w:tcW w:w="109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5A09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666"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492EAE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无</w:t>
            </w:r>
          </w:p>
        </w:tc>
      </w:tr>
      <w:tr w14:paraId="34A57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2F0B5F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项目负责人：胥正英</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10793E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3E88A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74DC69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7C3DE3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0BDC54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0A7ED0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p>
        </w:tc>
        <w:tc>
          <w:tcPr>
            <w:tcW w:w="520" w:type="dxa"/>
            <w:shd w:val="clear" w:color="auto" w:fill="auto"/>
            <w:vAlign w:val="center"/>
          </w:tcPr>
          <w:p w14:paraId="617CD0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782B8A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5DAB46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auto"/>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2BF61004">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306469EE">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31E09723">
            <w:pPr>
              <w:keepNext w:val="0"/>
              <w:keepLines w:val="0"/>
              <w:widowControl/>
              <w:suppressLineNumbers w:val="0"/>
              <w:spacing w:before="0" w:beforeAutospacing="0" w:after="0" w:afterAutospacing="0" w:line="240" w:lineRule="exact"/>
              <w:ind w:left="-105" w:leftChars="-50" w:right="-105" w:rightChars="-5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4BC6DE1F">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r>
      <w:tr w14:paraId="19E15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1A530170">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341E0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7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1EAE3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2048"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0CC358D3">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51320025T000012356864-2024年教育发展大会激励资金</w:t>
            </w:r>
          </w:p>
        </w:tc>
      </w:tr>
      <w:tr w14:paraId="5D925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70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DE494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84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A735459">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090" w:type="dxa"/>
            <w:gridSpan w:val="3"/>
            <w:shd w:val="clear" w:color="auto" w:fill="auto"/>
            <w:vAlign w:val="center"/>
          </w:tcPr>
          <w:p w14:paraId="79C753BA">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411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4D387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3F78D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243D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07A510D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1C3740F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171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FEF47">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84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251E7F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B196ACC">
            <w:pPr>
              <w:keepNext w:val="0"/>
              <w:keepLines w:val="0"/>
              <w:widowControl/>
              <w:suppressLineNumbers w:val="0"/>
              <w:spacing w:before="0" w:beforeAutospacing="0" w:after="0" w:afterAutospacing="0" w:line="240" w:lineRule="exact"/>
              <w:ind w:left="0" w:right="0"/>
              <w:jc w:val="center"/>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786F0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78B15">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8311A">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684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F033EF3">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足额发放激励资金</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90994D7">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已完成教师发展大会激励资金支付</w:t>
            </w:r>
          </w:p>
        </w:tc>
      </w:tr>
      <w:tr w14:paraId="45D03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2903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18741C">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2048"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0F5B090F">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足额发放激励资金</w:t>
            </w:r>
          </w:p>
        </w:tc>
      </w:tr>
      <w:tr w14:paraId="7A84C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ED41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6982392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73B8372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03C2208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01271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50FCB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079D9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15AAD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EB3C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825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22E71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DCAC9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5923A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AD3A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A4F58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53E32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E3660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1.20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39DFC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1.20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9639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9C1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E65AD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59F40">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7236F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5448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EDD4F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EECCB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7616B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1.20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F5F42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1.20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42B2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259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C9332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5AE6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180C0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DB18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6AE3E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2C617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97868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3AE36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71A7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429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3ED90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810F9">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3C0EA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C427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E5968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AC284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D1B6D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59336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CEF2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D30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EB609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F223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43861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29AE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4C201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08E116">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31CC6A">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4E76A5">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12C81">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7B2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702D5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08272">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785BC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7149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绩效指标（90分）</w:t>
            </w: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E8CF0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EEB65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91EF3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128C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1E41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68C7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F159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DFF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47C98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3C501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531F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5A62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8CB70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C5D46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数量指标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FD366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发放覆盖率</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3B25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5390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5EE4E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D8070">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411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17C57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70B797">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21B81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452D1">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1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3339D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7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C58D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社会效益指标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65A4F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足额保障率</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08CD3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4C7B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34E8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B8592">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C69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47E5E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114F21">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4756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29DB8AF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F8E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C95A0A">
            <w:pPr>
              <w:keepNext w:val="0"/>
              <w:keepLines w:val="0"/>
              <w:widowControl/>
              <w:suppressLineNumbers w:val="0"/>
              <w:spacing w:before="0" w:beforeAutospacing="0" w:after="0" w:afterAutospacing="0" w:line="240" w:lineRule="exact"/>
              <w:ind w:left="0" w:right="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A3B256">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p>
        </w:tc>
      </w:tr>
      <w:tr w14:paraId="5263D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jc w:val="center"/>
        </w:trPr>
        <w:tc>
          <w:tcPr>
            <w:tcW w:w="109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D73C9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666"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30435408">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足额发放到位激励金</w:t>
            </w:r>
          </w:p>
        </w:tc>
      </w:tr>
      <w:tr w14:paraId="486AB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jc w:val="center"/>
        </w:trPr>
        <w:tc>
          <w:tcPr>
            <w:tcW w:w="109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86188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666"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0B6C571D">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043AD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109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3C723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666"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01F13313">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6C45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E0A424E">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项目负责人：胥正英</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18657556">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281D2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990" w:type="dxa"/>
            <w:gridSpan w:val="4"/>
            <w:shd w:val="clear" w:color="auto" w:fill="auto"/>
            <w:vAlign w:val="center"/>
          </w:tcPr>
          <w:p w14:paraId="60BA19AE">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19" w:type="dxa"/>
            <w:gridSpan w:val="5"/>
            <w:shd w:val="clear" w:color="auto" w:fill="auto"/>
            <w:vAlign w:val="center"/>
          </w:tcPr>
          <w:p w14:paraId="39CC48B3">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777" w:type="dxa"/>
            <w:gridSpan w:val="5"/>
            <w:shd w:val="clear" w:color="auto" w:fill="auto"/>
            <w:vAlign w:val="center"/>
          </w:tcPr>
          <w:p w14:paraId="078656A2">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2304" w:type="dxa"/>
            <w:gridSpan w:val="4"/>
            <w:shd w:val="clear" w:color="auto" w:fill="auto"/>
            <w:vAlign w:val="center"/>
          </w:tcPr>
          <w:p w14:paraId="7AD6C924">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20" w:type="dxa"/>
            <w:shd w:val="clear" w:color="auto" w:fill="auto"/>
            <w:vAlign w:val="center"/>
          </w:tcPr>
          <w:p w14:paraId="107C677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674" w:type="dxa"/>
            <w:gridSpan w:val="5"/>
            <w:shd w:val="clear" w:color="auto" w:fill="auto"/>
            <w:vAlign w:val="center"/>
          </w:tcPr>
          <w:p w14:paraId="6D26E58F">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73" w:type="dxa"/>
            <w:gridSpan w:val="2"/>
            <w:shd w:val="clear" w:color="auto" w:fill="auto"/>
            <w:vAlign w:val="center"/>
          </w:tcPr>
          <w:p w14:paraId="02540B2A">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1090" w:type="dxa"/>
            <w:gridSpan w:val="3"/>
            <w:shd w:val="clear" w:color="auto" w:fill="auto"/>
            <w:vAlign w:val="center"/>
          </w:tcPr>
          <w:p w14:paraId="1261780E">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505" w:type="dxa"/>
            <w:shd w:val="clear" w:color="auto" w:fill="auto"/>
            <w:vAlign w:val="center"/>
          </w:tcPr>
          <w:p w14:paraId="5E348C3A">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487" w:type="dxa"/>
            <w:gridSpan w:val="5"/>
            <w:shd w:val="clear" w:color="auto" w:fill="auto"/>
            <w:vAlign w:val="center"/>
          </w:tcPr>
          <w:p w14:paraId="00F43B73">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c>
          <w:tcPr>
            <w:tcW w:w="3118" w:type="dxa"/>
            <w:gridSpan w:val="4"/>
            <w:shd w:val="clear" w:color="auto" w:fill="auto"/>
            <w:vAlign w:val="center"/>
          </w:tcPr>
          <w:p w14:paraId="09296923">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p>
        </w:tc>
      </w:tr>
      <w:tr w14:paraId="61C6A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jc w:val="center"/>
        </w:trPr>
        <w:tc>
          <w:tcPr>
            <w:tcW w:w="14757" w:type="dxa"/>
            <w:gridSpan w:val="39"/>
            <w:tcBorders>
              <w:top w:val="single" w:color="000000" w:sz="4" w:space="0"/>
              <w:left w:val="single" w:color="000000" w:sz="4" w:space="0"/>
              <w:bottom w:val="single" w:color="000000" w:sz="4" w:space="0"/>
              <w:right w:val="single" w:color="000000" w:sz="4" w:space="0"/>
            </w:tcBorders>
            <w:shd w:val="clear" w:color="auto" w:fill="auto"/>
            <w:vAlign w:val="center"/>
          </w:tcPr>
          <w:p w14:paraId="229CEB10">
            <w:pPr>
              <w:keepNext w:val="0"/>
              <w:keepLines w:val="0"/>
              <w:widowControl/>
              <w:suppressLineNumbers w:val="0"/>
              <w:spacing w:before="0" w:beforeAutospacing="0" w:after="0" w:afterAutospacing="0"/>
              <w:ind w:left="0" w:right="0"/>
              <w:jc w:val="center"/>
              <w:rPr>
                <w:rFonts w:hint="eastAsia" w:ascii="黑体" w:hAnsi="宋体" w:eastAsia="黑体" w:cs="宋体"/>
                <w:b/>
                <w:bCs/>
                <w:color w:val="000000"/>
                <w:kern w:val="0"/>
                <w:sz w:val="30"/>
                <w:szCs w:val="30"/>
                <w:lang w:val="en-US"/>
              </w:rPr>
            </w:pPr>
            <w:r>
              <w:rPr>
                <w:rFonts w:hint="eastAsia" w:ascii="黑体" w:hAnsi="宋体" w:eastAsia="黑体" w:cs="宋体"/>
                <w:b/>
                <w:bCs/>
                <w:color w:val="000000"/>
                <w:kern w:val="0"/>
                <w:sz w:val="30"/>
                <w:szCs w:val="30"/>
                <w:lang w:val="en-US" w:eastAsia="zh-CN" w:bidi="ar"/>
              </w:rPr>
              <w:t>部门预算项目支出绩效自评表（2024年度）</w:t>
            </w:r>
          </w:p>
        </w:tc>
      </w:tr>
      <w:tr w14:paraId="10BA0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307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45BCB0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项目名称</w:t>
            </w:r>
          </w:p>
        </w:tc>
        <w:tc>
          <w:tcPr>
            <w:tcW w:w="11682"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14:paraId="72F86E5D">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51320025T000012645791-学生公用经费追加</w:t>
            </w:r>
          </w:p>
        </w:tc>
      </w:tr>
      <w:tr w14:paraId="49A27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307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CF4E69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主管部门</w:t>
            </w:r>
          </w:p>
        </w:tc>
        <w:tc>
          <w:tcPr>
            <w:tcW w:w="6482"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28BA859">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州教育局部门</w:t>
            </w:r>
          </w:p>
        </w:tc>
        <w:tc>
          <w:tcPr>
            <w:tcW w:w="1890" w:type="dxa"/>
            <w:gridSpan w:val="8"/>
            <w:shd w:val="clear" w:color="auto" w:fill="auto"/>
            <w:vAlign w:val="center"/>
          </w:tcPr>
          <w:p w14:paraId="70BA78EE">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实施单位</w:t>
            </w:r>
            <w:r>
              <w:rPr>
                <w:rFonts w:hint="eastAsia" w:ascii="黑体" w:hAnsi="黑体" w:eastAsia="黑体" w:cs="宋体"/>
                <w:color w:val="000000"/>
                <w:kern w:val="0"/>
                <w:sz w:val="18"/>
                <w:szCs w:val="18"/>
                <w:lang w:val="en-US" w:eastAsia="zh-CN" w:bidi="ar"/>
              </w:rPr>
              <w:t xml:space="preserve"> </w:t>
            </w:r>
            <w:r>
              <w:rPr>
                <w:rFonts w:hint="eastAsia" w:ascii="黑体" w:hAnsi="黑体" w:eastAsia="宋体" w:cs="宋体"/>
                <w:color w:val="000000"/>
                <w:kern w:val="0"/>
                <w:sz w:val="18"/>
                <w:szCs w:val="18"/>
                <w:lang w:val="en-US" w:eastAsia="zh-CN" w:bidi="ar"/>
              </w:rPr>
              <w:t>（盖章）</w:t>
            </w:r>
          </w:p>
        </w:tc>
        <w:tc>
          <w:tcPr>
            <w:tcW w:w="33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626A1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州幼儿园</w:t>
            </w:r>
          </w:p>
        </w:tc>
      </w:tr>
      <w:tr w14:paraId="6AFB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54E1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项目</w:t>
            </w:r>
          </w:p>
          <w:p w14:paraId="6C248B5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基本</w:t>
            </w:r>
          </w:p>
          <w:p w14:paraId="5F1E822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情况</w:t>
            </w:r>
          </w:p>
        </w:tc>
        <w:tc>
          <w:tcPr>
            <w:tcW w:w="2085"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2486B">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1.项目年度目标完成情况</w:t>
            </w:r>
          </w:p>
        </w:tc>
        <w:tc>
          <w:tcPr>
            <w:tcW w:w="6482"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6D5AB9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项目年度目标</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5284E20">
            <w:pPr>
              <w:keepNext w:val="0"/>
              <w:keepLines w:val="0"/>
              <w:widowControl/>
              <w:suppressLineNumbers w:val="0"/>
              <w:spacing w:before="0" w:beforeAutospacing="0" w:after="0" w:afterAutospacing="0" w:line="240" w:lineRule="exact"/>
              <w:ind w:left="0" w:right="0"/>
              <w:jc w:val="center"/>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年度目标完成情况</w:t>
            </w:r>
          </w:p>
        </w:tc>
      </w:tr>
      <w:tr w14:paraId="0AEE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CB6D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23C38">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6482"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003E4C4">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学生公用经费追加</w:t>
            </w:r>
          </w:p>
        </w:tc>
        <w:tc>
          <w:tcPr>
            <w:tcW w:w="52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9EFE921">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已完成学生公用经费追加</w:t>
            </w:r>
          </w:p>
        </w:tc>
      </w:tr>
      <w:tr w14:paraId="776DA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FDBA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0A8B8F">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2.项目实施内容及过程概述</w:t>
            </w:r>
          </w:p>
        </w:tc>
        <w:tc>
          <w:tcPr>
            <w:tcW w:w="11682"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14:paraId="11F06FFB">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1.按实际支出进度完成支付。2.建立政策执行台账，进行政策宣贯，确保政策全面贯彻。</w:t>
            </w:r>
          </w:p>
        </w:tc>
      </w:tr>
      <w:tr w14:paraId="7AA05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C11A7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预算</w:t>
            </w:r>
          </w:p>
          <w:p w14:paraId="40B8FBC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执行</w:t>
            </w:r>
          </w:p>
          <w:p w14:paraId="6027B24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情况</w:t>
            </w:r>
          </w:p>
          <w:p w14:paraId="65B8D9F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（10分）</w:t>
            </w: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1A258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年度预算数（万元）</w:t>
            </w:r>
          </w:p>
        </w:tc>
        <w:tc>
          <w:tcPr>
            <w:tcW w:w="1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055F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年初预算</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15161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调整后预算数</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219B6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预算执行数</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4A5B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D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CEAF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105" w:leftChars="-50" w:right="-105" w:rightChars="-50"/>
              <w:jc w:val="center"/>
              <w:textAlignment w:val="auto"/>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EE0BB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原因</w:t>
            </w:r>
          </w:p>
        </w:tc>
      </w:tr>
      <w:tr w14:paraId="2FEE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3542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385D0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总额</w:t>
            </w:r>
          </w:p>
        </w:tc>
        <w:tc>
          <w:tcPr>
            <w:tcW w:w="1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9B2F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76EAC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0.55</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63346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0.55</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3A802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37F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54545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w:t>
            </w:r>
          </w:p>
        </w:tc>
        <w:tc>
          <w:tcPr>
            <w:tcW w:w="31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B2219">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黑体" w:cs="宋体"/>
                <w:color w:val="000000"/>
                <w:kern w:val="0"/>
                <w:sz w:val="18"/>
                <w:szCs w:val="18"/>
                <w:lang w:val="en-US" w:eastAsia="zh-CN" w:bidi="ar"/>
              </w:rPr>
              <w:t>1.</w:t>
            </w:r>
            <w:r>
              <w:rPr>
                <w:rFonts w:hint="eastAsia" w:ascii="黑体" w:hAnsi="黑体" w:eastAsia="宋体" w:cs="宋体"/>
                <w:color w:val="000000"/>
                <w:kern w:val="0"/>
                <w:sz w:val="18"/>
                <w:szCs w:val="18"/>
                <w:lang w:val="en-US" w:eastAsia="zh-CN" w:bidi="ar"/>
              </w:rPr>
              <w:t>预算执行率</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预算执行数</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调整后预算数，预算执行率未达到</w:t>
            </w:r>
            <w:r>
              <w:rPr>
                <w:rFonts w:hint="eastAsia" w:ascii="黑体" w:hAnsi="黑体" w:eastAsia="黑体" w:cs="宋体"/>
                <w:color w:val="000000"/>
                <w:kern w:val="0"/>
                <w:sz w:val="18"/>
                <w:szCs w:val="18"/>
                <w:lang w:val="en-US" w:eastAsia="zh-CN" w:bidi="ar"/>
              </w:rPr>
              <w:t>90%</w:t>
            </w:r>
            <w:r>
              <w:rPr>
                <w:rFonts w:hint="eastAsia" w:ascii="黑体" w:hAnsi="黑体" w:eastAsia="宋体" w:cs="宋体"/>
                <w:color w:val="000000"/>
                <w:kern w:val="0"/>
                <w:sz w:val="18"/>
                <w:szCs w:val="18"/>
                <w:lang w:val="en-US" w:eastAsia="zh-CN" w:bidi="ar"/>
              </w:rPr>
              <w:t>的需说明原因（</w:t>
            </w:r>
            <w:r>
              <w:rPr>
                <w:rFonts w:hint="eastAsia" w:ascii="黑体" w:hAnsi="黑体" w:eastAsia="黑体" w:cs="宋体"/>
                <w:color w:val="000000"/>
                <w:kern w:val="0"/>
                <w:sz w:val="18"/>
                <w:szCs w:val="18"/>
                <w:lang w:val="en-US" w:eastAsia="zh-CN" w:bidi="ar"/>
              </w:rPr>
              <w:t>100</w:t>
            </w:r>
            <w:r>
              <w:rPr>
                <w:rFonts w:hint="eastAsia" w:ascii="黑体" w:hAnsi="黑体" w:eastAsia="宋体" w:cs="宋体"/>
                <w:color w:val="000000"/>
                <w:kern w:val="0"/>
                <w:sz w:val="18"/>
                <w:szCs w:val="18"/>
                <w:lang w:val="en-US" w:eastAsia="zh-CN" w:bidi="ar"/>
              </w:rPr>
              <w:t>字以内）</w:t>
            </w:r>
            <w:r>
              <w:rPr>
                <w:rFonts w:hint="eastAsia" w:ascii="黑体" w:hAnsi="黑体" w:eastAsia="黑体" w:cs="宋体"/>
                <w:color w:val="000000"/>
                <w:kern w:val="0"/>
                <w:sz w:val="18"/>
                <w:szCs w:val="18"/>
                <w:lang w:val="en-US" w:eastAsia="zh-CN" w:bidi="ar"/>
              </w:rPr>
              <w:t>;2.</w:t>
            </w:r>
            <w:r>
              <w:rPr>
                <w:rFonts w:hint="eastAsia" w:ascii="黑体" w:hAnsi="黑体" w:eastAsia="宋体" w:cs="宋体"/>
                <w:color w:val="000000"/>
                <w:kern w:val="0"/>
                <w:sz w:val="18"/>
                <w:szCs w:val="18"/>
                <w:lang w:val="en-US" w:eastAsia="zh-CN" w:bidi="ar"/>
              </w:rPr>
              <w:t>年中发生预算调整的（追加或调减）</w:t>
            </w:r>
            <w:r>
              <w:rPr>
                <w:rFonts w:hint="eastAsia" w:ascii="黑体" w:hAnsi="黑体" w:eastAsia="黑体" w:cs="宋体"/>
                <w:color w:val="000000"/>
                <w:kern w:val="0"/>
                <w:sz w:val="18"/>
                <w:szCs w:val="18"/>
                <w:lang w:val="en-US" w:eastAsia="zh-CN" w:bidi="ar"/>
              </w:rPr>
              <w:t>,</w:t>
            </w:r>
            <w:r>
              <w:rPr>
                <w:rFonts w:hint="eastAsia" w:ascii="黑体" w:hAnsi="黑体" w:eastAsia="宋体" w:cs="宋体"/>
                <w:color w:val="000000"/>
                <w:kern w:val="0"/>
                <w:sz w:val="18"/>
                <w:szCs w:val="18"/>
                <w:lang w:val="en-US" w:eastAsia="zh-CN" w:bidi="ar"/>
              </w:rPr>
              <w:t>应单独说明理由；</w:t>
            </w:r>
            <w:r>
              <w:rPr>
                <w:rFonts w:hint="eastAsia" w:ascii="黑体" w:hAnsi="黑体" w:eastAsia="黑体" w:cs="宋体"/>
                <w:color w:val="000000"/>
                <w:kern w:val="0"/>
                <w:sz w:val="18"/>
                <w:szCs w:val="18"/>
                <w:lang w:val="en-US" w:eastAsia="zh-CN" w:bidi="ar"/>
              </w:rPr>
              <w:t>3.</w:t>
            </w:r>
            <w:r>
              <w:rPr>
                <w:rFonts w:hint="eastAsia" w:ascii="黑体" w:hAnsi="黑体" w:eastAsia="宋体" w:cs="宋体"/>
                <w:color w:val="000000"/>
                <w:kern w:val="0"/>
                <w:sz w:val="18"/>
                <w:szCs w:val="18"/>
                <w:lang w:val="en-US" w:eastAsia="zh-CN" w:bidi="ar"/>
              </w:rPr>
              <w:t>其他资金包括：社会投入资金、银行贷款</w:t>
            </w:r>
            <w:r>
              <w:rPr>
                <w:rFonts w:hint="eastAsia" w:ascii="黑体" w:hAnsi="黑体" w:eastAsia="黑体" w:cs="宋体"/>
                <w:color w:val="000000"/>
                <w:kern w:val="0"/>
                <w:sz w:val="18"/>
                <w:szCs w:val="18"/>
                <w:lang w:val="en-US" w:eastAsia="zh-CN" w:bidi="ar"/>
              </w:rPr>
              <w:t>.</w:t>
            </w:r>
          </w:p>
        </w:tc>
      </w:tr>
      <w:tr w14:paraId="4156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9449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A6F63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其中：财政资金</w:t>
            </w:r>
          </w:p>
        </w:tc>
        <w:tc>
          <w:tcPr>
            <w:tcW w:w="1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4750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6CF84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0.55</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D2EF1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0.55</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ED2B7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A48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BD031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E2F0C">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0C19C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AED8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30F3C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财政专户管理资金</w:t>
            </w:r>
          </w:p>
        </w:tc>
        <w:tc>
          <w:tcPr>
            <w:tcW w:w="1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D4AA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2E9D6">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77DD55">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9879F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618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644DD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72AFD">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2EAC8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B36F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7B916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单位资金</w:t>
            </w:r>
          </w:p>
        </w:tc>
        <w:tc>
          <w:tcPr>
            <w:tcW w:w="1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020D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D5917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25595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D102E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52A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1B1C5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EF3ED">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6E54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D9F05">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sz w:val="20"/>
                <w:szCs w:val="20"/>
              </w:rPr>
            </w:pP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2EBC8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其他资金</w:t>
            </w:r>
          </w:p>
        </w:tc>
        <w:tc>
          <w:tcPr>
            <w:tcW w:w="1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9630D">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EF0544">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27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0DCE6D">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67FAA">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86E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DD785F">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31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39FFD">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r>
      <w:tr w14:paraId="0956C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99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5A6A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绩效</w:t>
            </w:r>
          </w:p>
          <w:p w14:paraId="2CDBAB5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指标</w:t>
            </w:r>
          </w:p>
          <w:p w14:paraId="63C1232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（90分）</w:t>
            </w: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AFD15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一级指标</w:t>
            </w:r>
          </w:p>
        </w:tc>
        <w:tc>
          <w:tcPr>
            <w:tcW w:w="1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3907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二级指标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2EB911">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三级指标</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4FCB5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指标性质</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8E36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指标值</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6C1B02">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度量单位</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3C18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DA8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权重</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7C79D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得分</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62C2B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未完成原因分析</w:t>
            </w:r>
          </w:p>
        </w:tc>
      </w:tr>
      <w:tr w14:paraId="6D105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F2476">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429CC0">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产出指标</w:t>
            </w:r>
          </w:p>
        </w:tc>
        <w:tc>
          <w:tcPr>
            <w:tcW w:w="1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E7C7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数量指标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ABD82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发放覆盖率</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C959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2E01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B9601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58A881">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76BC">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6BA19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60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9C4FC5">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66F9C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99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24E3F">
            <w:pPr>
              <w:keepNext w:val="0"/>
              <w:keepLines w:val="0"/>
              <w:suppressLineNumbers w:val="0"/>
              <w:spacing w:before="0" w:beforeAutospacing="0" w:after="0" w:afterAutospacing="0"/>
              <w:ind w:left="0" w:right="0"/>
              <w:rPr>
                <w:rFonts w:hint="default" w:ascii="Times New Roman" w:hAnsi="Times New Roman" w:eastAsia="Times New Roman" w:cs="Times New Roman"/>
                <w:sz w:val="20"/>
                <w:szCs w:val="20"/>
              </w:rPr>
            </w:pPr>
          </w:p>
        </w:tc>
        <w:tc>
          <w:tcPr>
            <w:tcW w:w="20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BCB4B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效益指标</w:t>
            </w:r>
          </w:p>
        </w:tc>
        <w:tc>
          <w:tcPr>
            <w:tcW w:w="1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A27E7">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社会效益指标</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72BA5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足额保障率</w:t>
            </w:r>
          </w:p>
        </w:tc>
        <w:tc>
          <w:tcPr>
            <w:tcW w:w="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80B538">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0E969">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F882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w:t>
            </w:r>
          </w:p>
        </w:tc>
        <w:tc>
          <w:tcPr>
            <w:tcW w:w="1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98D04D">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r>
              <w:rPr>
                <w:rFonts w:hint="eastAsia" w:ascii="微软雅黑" w:hAnsi="微软雅黑" w:eastAsia="微软雅黑" w:cs="宋体"/>
                <w:i/>
                <w:iCs/>
                <w:color w:val="000000"/>
                <w:kern w:val="0"/>
                <w:sz w:val="16"/>
                <w:szCs w:val="16"/>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B00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1EFFCB">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30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88DE37">
            <w:pPr>
              <w:keepNext w:val="0"/>
              <w:keepLines w:val="0"/>
              <w:widowControl/>
              <w:suppressLineNumbers w:val="0"/>
              <w:spacing w:before="0" w:beforeAutospacing="0" w:after="0" w:afterAutospacing="0" w:line="240" w:lineRule="exact"/>
              <w:ind w:left="0" w:right="0"/>
              <w:jc w:val="center"/>
              <w:rPr>
                <w:rFonts w:hint="eastAsia" w:ascii="微软雅黑" w:hAnsi="微软雅黑" w:eastAsia="微软雅黑" w:cs="宋体"/>
                <w:i/>
                <w:iCs/>
                <w:color w:val="000000"/>
                <w:kern w:val="0"/>
                <w:sz w:val="16"/>
                <w:szCs w:val="16"/>
                <w:lang w:val="en-US"/>
              </w:rPr>
            </w:pPr>
          </w:p>
        </w:tc>
      </w:tr>
      <w:tr w14:paraId="15DD8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4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4502E613">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E19D">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4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A37700">
            <w:pPr>
              <w:keepNext w:val="0"/>
              <w:keepLines w:val="0"/>
              <w:widowControl/>
              <w:suppressLineNumbers w:val="0"/>
              <w:spacing w:before="0" w:beforeAutospacing="0" w:after="0" w:afterAutospacing="0" w:line="240" w:lineRule="exact"/>
              <w:ind w:left="0" w:right="0"/>
              <w:jc w:val="righ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100</w:t>
            </w:r>
          </w:p>
        </w:tc>
        <w:tc>
          <w:tcPr>
            <w:tcW w:w="31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519CF9">
            <w:pPr>
              <w:keepNext w:val="0"/>
              <w:keepLines w:val="0"/>
              <w:widowControl/>
              <w:suppressLineNumbers w:val="0"/>
              <w:spacing w:before="0" w:beforeAutospacing="0" w:after="0" w:afterAutospacing="0" w:line="240" w:lineRule="exact"/>
              <w:ind w:left="0" w:right="0"/>
              <w:jc w:val="left"/>
              <w:rPr>
                <w:rFonts w:hint="eastAsia" w:ascii="宋体" w:hAnsi="宋体" w:eastAsia="宋体" w:cs="宋体"/>
                <w:color w:val="000000"/>
                <w:kern w:val="0"/>
                <w:sz w:val="18"/>
                <w:szCs w:val="18"/>
                <w:lang w:val="en-US"/>
              </w:rPr>
            </w:pPr>
          </w:p>
        </w:tc>
      </w:tr>
      <w:tr w14:paraId="45162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1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593E04">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评价结论</w:t>
            </w:r>
          </w:p>
        </w:tc>
        <w:tc>
          <w:tcPr>
            <w:tcW w:w="1315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390412FE">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按实际支出进度完成支付。</w:t>
            </w:r>
          </w:p>
        </w:tc>
      </w:tr>
      <w:tr w14:paraId="21153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jc w:val="center"/>
        </w:trPr>
        <w:tc>
          <w:tcPr>
            <w:tcW w:w="1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C58A6A">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存在问题</w:t>
            </w:r>
          </w:p>
        </w:tc>
        <w:tc>
          <w:tcPr>
            <w:tcW w:w="1315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FDDD386">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64A4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 w:hRule="atLeast"/>
          <w:jc w:val="center"/>
        </w:trPr>
        <w:tc>
          <w:tcPr>
            <w:tcW w:w="16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F11A5E">
            <w:pPr>
              <w:keepNext w:val="0"/>
              <w:keepLines w:val="0"/>
              <w:widowControl/>
              <w:suppressLineNumbers w:val="0"/>
              <w:spacing w:before="0" w:beforeAutospacing="0" w:after="0" w:afterAutospacing="0" w:line="240" w:lineRule="exact"/>
              <w:ind w:left="0" w:right="0"/>
              <w:jc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改进措施</w:t>
            </w:r>
          </w:p>
        </w:tc>
        <w:tc>
          <w:tcPr>
            <w:tcW w:w="13152"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A0086D8">
            <w:pPr>
              <w:keepNext w:val="0"/>
              <w:keepLines w:val="0"/>
              <w:widowControl/>
              <w:suppressLineNumbers w:val="0"/>
              <w:spacing w:before="0" w:beforeAutospacing="0" w:after="0" w:afterAutospacing="0" w:line="240" w:lineRule="exact"/>
              <w:ind w:left="0" w:right="0"/>
              <w:jc w:val="left"/>
              <w:rPr>
                <w:rFonts w:hint="eastAsia" w:ascii="微软雅黑" w:hAnsi="微软雅黑" w:eastAsia="微软雅黑" w:cs="宋体"/>
                <w:iCs/>
                <w:color w:val="000000"/>
                <w:kern w:val="0"/>
                <w:sz w:val="16"/>
                <w:szCs w:val="16"/>
                <w:lang w:val="en-US"/>
              </w:rPr>
            </w:pPr>
            <w:r>
              <w:rPr>
                <w:rFonts w:hint="eastAsia" w:ascii="微软雅黑" w:hAnsi="微软雅黑" w:eastAsia="微软雅黑" w:cs="宋体"/>
                <w:iCs/>
                <w:color w:val="000000"/>
                <w:kern w:val="0"/>
                <w:sz w:val="16"/>
                <w:szCs w:val="16"/>
                <w:lang w:val="en-US" w:eastAsia="zh-CN" w:bidi="ar"/>
              </w:rPr>
              <w:t>无</w:t>
            </w:r>
          </w:p>
        </w:tc>
      </w:tr>
      <w:tr w14:paraId="125F7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731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A3C2976">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项目负责人：</w:t>
            </w:r>
          </w:p>
        </w:tc>
        <w:tc>
          <w:tcPr>
            <w:tcW w:w="744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A6D2525">
            <w:pPr>
              <w:keepNext w:val="0"/>
              <w:keepLines w:val="0"/>
              <w:widowControl/>
              <w:suppressLineNumbers w:val="0"/>
              <w:spacing w:before="0" w:beforeAutospacing="0" w:after="0" w:afterAutospacing="0" w:line="240" w:lineRule="exact"/>
              <w:ind w:left="0" w:right="0"/>
              <w:jc w:val="left"/>
              <w:rPr>
                <w:rFonts w:hint="eastAsia" w:ascii="黑体" w:hAnsi="黑体" w:eastAsia="黑体" w:cs="宋体"/>
                <w:color w:val="000000"/>
                <w:kern w:val="0"/>
                <w:sz w:val="18"/>
                <w:szCs w:val="18"/>
                <w:lang w:val="en-US"/>
              </w:rPr>
            </w:pPr>
            <w:r>
              <w:rPr>
                <w:rFonts w:hint="eastAsia" w:ascii="黑体" w:hAnsi="黑体" w:eastAsia="宋体" w:cs="宋体"/>
                <w:color w:val="000000"/>
                <w:kern w:val="0"/>
                <w:sz w:val="18"/>
                <w:szCs w:val="18"/>
                <w:lang w:val="en-US" w:eastAsia="zh-CN" w:bidi="ar"/>
              </w:rPr>
              <w:t>财务负责人：丁熠</w:t>
            </w:r>
          </w:p>
        </w:tc>
      </w:tr>
      <w:tr w14:paraId="605ED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4757" w:type="dxa"/>
            <w:gridSpan w:val="39"/>
            <w:shd w:val="clear" w:color="auto" w:fill="auto"/>
            <w:vAlign w:val="center"/>
          </w:tcPr>
          <w:p w14:paraId="1759E15B">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1、报表说明:该报表查询项目信息、绩效目标信息、预算及执行情况，用于预算单位查询导出开展项目自评。</w:t>
            </w:r>
          </w:p>
        </w:tc>
      </w:tr>
      <w:tr w14:paraId="2488F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4757" w:type="dxa"/>
            <w:gridSpan w:val="39"/>
            <w:shd w:val="clear" w:color="auto" w:fill="auto"/>
            <w:vAlign w:val="center"/>
          </w:tcPr>
          <w:p w14:paraId="6B4274FC">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2、取数口径：部门项目绩效目标表信息，包括年初预算、追加预算、结转预算和调整预算的绩效目标（以项目的最终绩效目标为准）。</w:t>
            </w:r>
          </w:p>
        </w:tc>
      </w:tr>
      <w:tr w14:paraId="173A5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4757" w:type="dxa"/>
            <w:gridSpan w:val="39"/>
            <w:shd w:val="clear" w:color="auto" w:fill="auto"/>
            <w:vAlign w:val="center"/>
          </w:tcPr>
          <w:p w14:paraId="506B06F7">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适用地区：全省范围</w:t>
            </w:r>
          </w:p>
        </w:tc>
      </w:tr>
      <w:tr w14:paraId="0FD24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4757" w:type="dxa"/>
            <w:gridSpan w:val="39"/>
            <w:shd w:val="clear" w:color="auto" w:fill="auto"/>
            <w:vAlign w:val="center"/>
          </w:tcPr>
          <w:p w14:paraId="08807037">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bidi="ar"/>
              </w:rPr>
              <w:t>适用用户：部门用户、单位用户</w:t>
            </w:r>
          </w:p>
        </w:tc>
      </w:tr>
    </w:tbl>
    <w:p w14:paraId="6F01DB20">
      <w:pPr>
        <w:pStyle w:val="16"/>
        <w:keepNext w:val="0"/>
        <w:keepLines w:val="0"/>
        <w:pageBreakBefore w:val="0"/>
        <w:widowControl/>
        <w:shd w:val="clear" w:color="auto" w:fill="FFFFFF"/>
        <w:kinsoku/>
        <w:wordWrap/>
        <w:overflowPunct/>
        <w:topLinePunct w:val="0"/>
        <w:autoSpaceDE/>
        <w:autoSpaceDN/>
        <w:bidi w:val="0"/>
        <w:spacing w:beforeAutospacing="0" w:afterAutospacing="0" w:line="576" w:lineRule="exact"/>
        <w:jc w:val="both"/>
        <w:textAlignment w:val="auto"/>
        <w:rPr>
          <w:rFonts w:ascii="Times New Roman" w:hAnsi="Times New Roman" w:cs="Times New Roman"/>
          <w:color w:val="000000"/>
          <w:kern w:val="0"/>
          <w:szCs w:val="32"/>
          <w:highlight w:val="none"/>
          <w:shd w:val="clear" w:color="auto" w:fill="FFFFFF"/>
          <w:lang w:val="zh-CN" w:eastAsia="zh-CN"/>
        </w:rPr>
        <w:sectPr>
          <w:footerReference r:id="rId7" w:type="first"/>
          <w:footerReference r:id="rId6" w:type="default"/>
          <w:pgSz w:w="16838" w:h="11906" w:orient="landscape"/>
          <w:pgMar w:top="1417" w:right="1417" w:bottom="1417" w:left="1417" w:header="851" w:footer="992" w:gutter="0"/>
          <w:paperSrc/>
          <w:pgNumType w:start="31"/>
          <w:cols w:space="0" w:num="1"/>
          <w:titlePg/>
          <w:rtlGutter w:val="0"/>
          <w:docGrid w:type="lines" w:linePitch="312" w:charSpace="0"/>
        </w:sectPr>
      </w:pPr>
    </w:p>
    <w:p w14:paraId="0BA90D51">
      <w:pPr>
        <w:rPr>
          <w:rFonts w:hint="eastAsia"/>
        </w:rPr>
      </w:pPr>
    </w:p>
    <w:p w14:paraId="2AD1D09A">
      <w:pPr>
        <w:rPr>
          <w:rFonts w:hint="eastAsia"/>
        </w:rPr>
      </w:pPr>
    </w:p>
    <w:p w14:paraId="26C0F135">
      <w:pPr>
        <w:spacing w:line="600" w:lineRule="exact"/>
        <w:ind w:firstLine="1320" w:firstLineChars="300"/>
        <w:jc w:val="center"/>
        <w:outlineLvl w:val="0"/>
      </w:pPr>
      <w:r>
        <w:rPr>
          <w:rStyle w:val="21"/>
          <w:rFonts w:hint="eastAsia" w:ascii="黑体" w:eastAsia="黑体"/>
          <w:b w:val="0"/>
        </w:rPr>
        <w:t>五部分 附表</w:t>
      </w:r>
    </w:p>
    <w:p w14:paraId="64953957">
      <w:pPr>
        <w:pStyle w:val="4"/>
        <w:rPr>
          <w:rFonts w:ascii="仿宋" w:eastAsia="仿宋"/>
        </w:rPr>
      </w:pPr>
      <w:r>
        <w:rPr>
          <w:rFonts w:hint="eastAsia" w:ascii="仿宋" w:eastAsia="仿宋"/>
          <w:b w:val="0"/>
        </w:rPr>
        <w:t>一、收</w:t>
      </w:r>
      <w:r>
        <w:rPr>
          <w:rStyle w:val="22"/>
          <w:rFonts w:hint="eastAsia" w:ascii="仿宋" w:eastAsia="仿宋"/>
          <w:b w:val="0"/>
          <w:bCs w:val="0"/>
        </w:rPr>
        <w:t>入支出决算总表</w:t>
      </w:r>
      <w:bookmarkEnd w:id="54"/>
    </w:p>
    <w:p w14:paraId="3B43621F">
      <w:pPr>
        <w:pStyle w:val="4"/>
        <w:rPr>
          <w:rFonts w:ascii="仿宋" w:eastAsia="仿宋"/>
        </w:rPr>
      </w:pPr>
      <w:bookmarkStart w:id="55" w:name="_Toc15396620"/>
      <w:r>
        <w:rPr>
          <w:rFonts w:hint="eastAsia" w:ascii="仿宋" w:eastAsia="仿宋"/>
          <w:b w:val="0"/>
        </w:rPr>
        <w:t>二、收</w:t>
      </w:r>
      <w:r>
        <w:rPr>
          <w:rStyle w:val="22"/>
          <w:rFonts w:hint="eastAsia" w:ascii="仿宋" w:eastAsia="仿宋"/>
          <w:b w:val="0"/>
          <w:bCs w:val="0"/>
        </w:rPr>
        <w:t>入决算表</w:t>
      </w:r>
      <w:bookmarkEnd w:id="55"/>
    </w:p>
    <w:p w14:paraId="48A9B21B">
      <w:pPr>
        <w:pStyle w:val="4"/>
        <w:rPr>
          <w:rFonts w:ascii="仿宋" w:eastAsia="仿宋"/>
        </w:rPr>
      </w:pPr>
      <w:bookmarkStart w:id="56" w:name="_Toc15396621"/>
      <w:r>
        <w:rPr>
          <w:rStyle w:val="22"/>
          <w:rFonts w:hint="eastAsia" w:ascii="仿宋" w:eastAsia="仿宋"/>
          <w:b w:val="0"/>
          <w:bCs w:val="0"/>
        </w:rPr>
        <w:t>三、</w:t>
      </w:r>
      <w:r>
        <w:rPr>
          <w:rFonts w:hint="eastAsia" w:ascii="仿宋" w:eastAsia="仿宋"/>
          <w:b w:val="0"/>
        </w:rPr>
        <w:t>支</w:t>
      </w:r>
      <w:r>
        <w:rPr>
          <w:rStyle w:val="22"/>
          <w:rFonts w:hint="eastAsia" w:ascii="仿宋" w:eastAsia="仿宋"/>
          <w:b w:val="0"/>
          <w:bCs w:val="0"/>
        </w:rPr>
        <w:t>出决算表</w:t>
      </w:r>
      <w:bookmarkEnd w:id="56"/>
    </w:p>
    <w:p w14:paraId="4EAF3D82">
      <w:pPr>
        <w:pStyle w:val="4"/>
        <w:rPr>
          <w:rFonts w:ascii="仿宋" w:eastAsia="仿宋"/>
          <w:b w:val="0"/>
        </w:rPr>
      </w:pPr>
      <w:bookmarkStart w:id="57" w:name="_Toc15396622"/>
      <w:r>
        <w:rPr>
          <w:rStyle w:val="22"/>
          <w:rFonts w:hint="eastAsia" w:ascii="仿宋" w:eastAsia="仿宋"/>
          <w:b w:val="0"/>
          <w:bCs w:val="0"/>
        </w:rPr>
        <w:t>四、</w:t>
      </w:r>
      <w:r>
        <w:rPr>
          <w:rFonts w:hint="eastAsia" w:ascii="仿宋" w:eastAsia="仿宋"/>
          <w:b w:val="0"/>
        </w:rPr>
        <w:t>财</w:t>
      </w:r>
      <w:r>
        <w:rPr>
          <w:rStyle w:val="22"/>
          <w:rFonts w:hint="eastAsia" w:ascii="仿宋" w:eastAsia="仿宋"/>
          <w:b w:val="0"/>
          <w:bCs w:val="0"/>
        </w:rPr>
        <w:t>政拨款收入支出决算总表</w:t>
      </w:r>
      <w:bookmarkEnd w:id="57"/>
    </w:p>
    <w:p w14:paraId="56FCF7BB">
      <w:pPr>
        <w:pStyle w:val="4"/>
        <w:rPr>
          <w:rStyle w:val="22"/>
          <w:rFonts w:ascii="仿宋" w:eastAsia="仿宋"/>
          <w:b w:val="0"/>
          <w:bCs w:val="0"/>
        </w:rPr>
      </w:pPr>
      <w:bookmarkStart w:id="58" w:name="_Toc15396623"/>
      <w:r>
        <w:rPr>
          <w:rStyle w:val="22"/>
          <w:rFonts w:hint="eastAsia" w:ascii="仿宋" w:eastAsia="仿宋"/>
          <w:b w:val="0"/>
          <w:bCs w:val="0"/>
        </w:rPr>
        <w:t>五、</w:t>
      </w:r>
      <w:r>
        <w:rPr>
          <w:rFonts w:hint="eastAsia" w:ascii="仿宋" w:eastAsia="仿宋"/>
          <w:b w:val="0"/>
        </w:rPr>
        <w:t>财</w:t>
      </w:r>
      <w:r>
        <w:rPr>
          <w:rStyle w:val="22"/>
          <w:rFonts w:hint="eastAsia" w:ascii="仿宋" w:eastAsia="仿宋"/>
          <w:b w:val="0"/>
          <w:bCs w:val="0"/>
        </w:rPr>
        <w:t>政拨款支出决算明细表</w:t>
      </w:r>
      <w:bookmarkEnd w:id="58"/>
      <w:bookmarkStart w:id="59" w:name="_Toc15396624"/>
    </w:p>
    <w:p w14:paraId="1C932B05">
      <w:pPr>
        <w:pStyle w:val="4"/>
        <w:rPr>
          <w:rFonts w:ascii="仿宋" w:eastAsia="仿宋"/>
        </w:rPr>
      </w:pPr>
      <w:r>
        <w:rPr>
          <w:rStyle w:val="22"/>
          <w:rFonts w:hint="eastAsia" w:ascii="仿宋" w:eastAsia="仿宋"/>
          <w:b w:val="0"/>
          <w:bCs w:val="0"/>
        </w:rPr>
        <w:t>六、</w:t>
      </w:r>
      <w:r>
        <w:rPr>
          <w:rFonts w:hint="eastAsia" w:ascii="仿宋" w:eastAsia="仿宋"/>
          <w:b w:val="0"/>
        </w:rPr>
        <w:t>一</w:t>
      </w:r>
      <w:r>
        <w:rPr>
          <w:rStyle w:val="22"/>
          <w:rFonts w:hint="eastAsia" w:ascii="仿宋" w:eastAsia="仿宋"/>
          <w:b w:val="0"/>
          <w:bCs w:val="0"/>
        </w:rPr>
        <w:t>般公共预算财政拨款支出决算表</w:t>
      </w:r>
      <w:bookmarkEnd w:id="59"/>
    </w:p>
    <w:p w14:paraId="1E1B6110">
      <w:pPr>
        <w:pStyle w:val="4"/>
        <w:rPr>
          <w:rFonts w:ascii="仿宋" w:eastAsia="仿宋"/>
        </w:rPr>
      </w:pPr>
      <w:bookmarkStart w:id="60" w:name="_Toc15396625"/>
      <w:r>
        <w:rPr>
          <w:rStyle w:val="22"/>
          <w:rFonts w:hint="eastAsia" w:ascii="仿宋" w:eastAsia="仿宋"/>
          <w:b w:val="0"/>
          <w:bCs w:val="0"/>
        </w:rPr>
        <w:t>七、</w:t>
      </w:r>
      <w:r>
        <w:rPr>
          <w:rFonts w:hint="eastAsia" w:ascii="仿宋" w:eastAsia="仿宋"/>
          <w:b w:val="0"/>
        </w:rPr>
        <w:t>一</w:t>
      </w:r>
      <w:r>
        <w:rPr>
          <w:rStyle w:val="22"/>
          <w:rFonts w:hint="eastAsia" w:ascii="仿宋" w:eastAsia="仿宋"/>
          <w:b w:val="0"/>
          <w:bCs w:val="0"/>
        </w:rPr>
        <w:t>般公共预算财政拨款支出决算明细表</w:t>
      </w:r>
      <w:bookmarkEnd w:id="60"/>
    </w:p>
    <w:p w14:paraId="6E8F5890">
      <w:pPr>
        <w:pStyle w:val="4"/>
        <w:rPr>
          <w:rFonts w:ascii="仿宋" w:eastAsia="仿宋"/>
        </w:rPr>
      </w:pPr>
      <w:bookmarkStart w:id="61" w:name="_Toc15396626"/>
      <w:r>
        <w:rPr>
          <w:rStyle w:val="22"/>
          <w:rFonts w:hint="eastAsia" w:ascii="仿宋" w:eastAsia="仿宋"/>
          <w:b w:val="0"/>
          <w:bCs w:val="0"/>
        </w:rPr>
        <w:t>八、</w:t>
      </w:r>
      <w:r>
        <w:rPr>
          <w:rFonts w:hint="eastAsia" w:ascii="仿宋" w:eastAsia="仿宋"/>
          <w:b w:val="0"/>
        </w:rPr>
        <w:t>一</w:t>
      </w:r>
      <w:r>
        <w:rPr>
          <w:rStyle w:val="22"/>
          <w:rFonts w:hint="eastAsia" w:ascii="仿宋" w:eastAsia="仿宋"/>
          <w:b w:val="0"/>
          <w:bCs w:val="0"/>
        </w:rPr>
        <w:t>般公共预算财政拨款基本支出决算表</w:t>
      </w:r>
      <w:bookmarkEnd w:id="61"/>
    </w:p>
    <w:p w14:paraId="076B5391">
      <w:pPr>
        <w:pStyle w:val="4"/>
        <w:rPr>
          <w:rFonts w:ascii="仿宋" w:eastAsia="仿宋"/>
        </w:rPr>
      </w:pPr>
      <w:bookmarkStart w:id="62" w:name="_Toc15396627"/>
      <w:r>
        <w:rPr>
          <w:rStyle w:val="22"/>
          <w:rFonts w:hint="eastAsia" w:ascii="仿宋" w:eastAsia="仿宋"/>
          <w:b w:val="0"/>
          <w:bCs w:val="0"/>
        </w:rPr>
        <w:t>九、</w:t>
      </w:r>
      <w:r>
        <w:rPr>
          <w:rFonts w:hint="eastAsia" w:ascii="仿宋" w:eastAsia="仿宋"/>
          <w:b w:val="0"/>
        </w:rPr>
        <w:t>一</w:t>
      </w:r>
      <w:r>
        <w:rPr>
          <w:rStyle w:val="22"/>
          <w:rFonts w:hint="eastAsia" w:ascii="仿宋" w:eastAsia="仿宋"/>
          <w:b w:val="0"/>
          <w:bCs w:val="0"/>
        </w:rPr>
        <w:t>般公共预算财政拨款项目支出决算表</w:t>
      </w:r>
      <w:bookmarkEnd w:id="62"/>
    </w:p>
    <w:p w14:paraId="002AFFB6">
      <w:pPr>
        <w:pStyle w:val="4"/>
        <w:rPr>
          <w:rFonts w:ascii="仿宋" w:eastAsia="仿宋"/>
        </w:rPr>
      </w:pPr>
      <w:bookmarkStart w:id="63" w:name="_Toc15396628"/>
      <w:r>
        <w:rPr>
          <w:rStyle w:val="22"/>
          <w:rFonts w:hint="eastAsia" w:ascii="仿宋" w:eastAsia="仿宋"/>
          <w:b w:val="0"/>
          <w:bCs w:val="0"/>
        </w:rPr>
        <w:t>十、</w:t>
      </w:r>
      <w:r>
        <w:rPr>
          <w:rFonts w:hint="eastAsia" w:ascii="仿宋" w:eastAsia="仿宋"/>
          <w:b w:val="0"/>
        </w:rPr>
        <w:t>一</w:t>
      </w:r>
      <w:r>
        <w:rPr>
          <w:rStyle w:val="22"/>
          <w:rFonts w:hint="eastAsia" w:ascii="仿宋" w:eastAsia="仿宋"/>
          <w:b w:val="0"/>
          <w:bCs w:val="0"/>
        </w:rPr>
        <w:t>般公共预算财政拨款“三公”经费支出决算表</w:t>
      </w:r>
      <w:bookmarkEnd w:id="63"/>
    </w:p>
    <w:p w14:paraId="72CDC878">
      <w:pPr>
        <w:pStyle w:val="4"/>
        <w:rPr>
          <w:rFonts w:ascii="仿宋" w:eastAsia="仿宋"/>
        </w:rPr>
      </w:pPr>
      <w:bookmarkStart w:id="64" w:name="_Toc15396629"/>
      <w:r>
        <w:rPr>
          <w:rStyle w:val="22"/>
          <w:rFonts w:hint="eastAsia" w:ascii="仿宋" w:eastAsia="仿宋"/>
          <w:b w:val="0"/>
          <w:bCs w:val="0"/>
        </w:rPr>
        <w:t>十一、</w:t>
      </w:r>
      <w:r>
        <w:rPr>
          <w:rFonts w:hint="eastAsia" w:ascii="仿宋" w:eastAsia="仿宋"/>
          <w:b w:val="0"/>
        </w:rPr>
        <w:t>政</w:t>
      </w:r>
      <w:r>
        <w:rPr>
          <w:rStyle w:val="22"/>
          <w:rFonts w:hint="eastAsia" w:ascii="仿宋" w:eastAsia="仿宋"/>
          <w:b w:val="0"/>
          <w:bCs w:val="0"/>
        </w:rPr>
        <w:t>府性基金预算财政拨款收入支出决算表</w:t>
      </w:r>
      <w:bookmarkEnd w:id="64"/>
    </w:p>
    <w:p w14:paraId="24B28D9A">
      <w:pPr>
        <w:pStyle w:val="4"/>
        <w:rPr>
          <w:rFonts w:ascii="仿宋" w:eastAsia="仿宋"/>
        </w:rPr>
      </w:pPr>
      <w:bookmarkStart w:id="65" w:name="_Toc15396630"/>
      <w:r>
        <w:rPr>
          <w:rStyle w:val="22"/>
          <w:rFonts w:hint="eastAsia" w:ascii="仿宋" w:eastAsia="仿宋"/>
          <w:b w:val="0"/>
          <w:bCs w:val="0"/>
        </w:rPr>
        <w:t>十二、</w:t>
      </w:r>
      <w:r>
        <w:rPr>
          <w:rFonts w:hint="eastAsia" w:ascii="仿宋" w:eastAsia="仿宋"/>
          <w:b w:val="0"/>
        </w:rPr>
        <w:t>政</w:t>
      </w:r>
      <w:r>
        <w:rPr>
          <w:rStyle w:val="22"/>
          <w:rFonts w:hint="eastAsia" w:ascii="仿宋" w:eastAsia="仿宋"/>
          <w:b w:val="0"/>
          <w:bCs w:val="0"/>
        </w:rPr>
        <w:t>府性基金预算财政拨款“三公”经费支出决算表</w:t>
      </w:r>
      <w:bookmarkEnd w:id="65"/>
    </w:p>
    <w:p w14:paraId="53CFA3CE">
      <w:pPr>
        <w:pStyle w:val="4"/>
        <w:rPr>
          <w:rStyle w:val="22"/>
          <w:rFonts w:ascii="仿宋" w:eastAsia="仿宋"/>
          <w:b w:val="0"/>
          <w:bCs w:val="0"/>
        </w:rPr>
      </w:pPr>
      <w:bookmarkStart w:id="66" w:name="_Toc15396631"/>
      <w:r>
        <w:rPr>
          <w:rStyle w:val="22"/>
          <w:rFonts w:hint="eastAsia" w:ascii="仿宋" w:eastAsia="仿宋"/>
          <w:b w:val="0"/>
          <w:bCs w:val="0"/>
        </w:rPr>
        <w:t>十三、</w:t>
      </w:r>
      <w:r>
        <w:rPr>
          <w:rFonts w:hint="eastAsia" w:ascii="仿宋" w:eastAsia="仿宋"/>
          <w:b w:val="0"/>
        </w:rPr>
        <w:t>国</w:t>
      </w:r>
      <w:r>
        <w:rPr>
          <w:rStyle w:val="22"/>
          <w:rFonts w:hint="eastAsia" w:ascii="仿宋" w:eastAsia="仿宋"/>
          <w:b w:val="0"/>
          <w:bCs w:val="0"/>
        </w:rPr>
        <w:t>有资本经营预算财政拨款收入支出决算表</w:t>
      </w:r>
      <w:bookmarkEnd w:id="66"/>
    </w:p>
    <w:p w14:paraId="66A117FF">
      <w:pPr>
        <w:rPr>
          <w:rFonts w:eastAsia="仿宋"/>
        </w:rPr>
      </w:pPr>
      <w:r>
        <w:rPr>
          <w:rStyle w:val="22"/>
          <w:rFonts w:hint="eastAsia" w:ascii="仿宋" w:eastAsia="仿宋"/>
          <w:b w:val="0"/>
          <w:bCs w:val="0"/>
        </w:rPr>
        <w:t>十四、国有资本经营预算财政拨款支出决算表</w:t>
      </w:r>
    </w:p>
    <w:sectPr>
      <w:pgSz w:w="11906" w:h="16838"/>
      <w:pgMar w:top="1440" w:right="1800" w:bottom="1440" w:left="1800" w:header="851" w:footer="992" w:gutter="0"/>
      <w:pgNumType w:start="3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CE05A">
    <w:pPr>
      <w:pStyle w:val="10"/>
      <w:jc w:val="center"/>
    </w:pPr>
  </w:p>
  <w:p w14:paraId="51D254F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6FC5B">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64DA08">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ZjX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zZjXE5AgAAcQQAAA4AAAAAAAAAAQAgAAAAHwEAAGRycy9lMm9Eb2Mu&#10;eG1sUEsFBgAAAAAGAAYAWQEAAMoFAAAAAA==&#10;">
              <v:fill on="f" focussize="0,0"/>
              <v:stroke on="f" weight="0.5pt"/>
              <v:imagedata o:title=""/>
              <o:lock v:ext="edit" aspectratio="f"/>
              <v:textbox inset="0mm,0mm,0mm,0mm" style="mso-fit-shape-to-text:t;">
                <w:txbxContent>
                  <w:p w14:paraId="3964DA08">
                    <w:pPr>
                      <w:pStyle w:val="10"/>
                    </w:pPr>
                    <w:r>
                      <w:fldChar w:fldCharType="begin"/>
                    </w:r>
                    <w:r>
                      <w:instrText xml:space="preserve"> PAGE  \* MERGEFORMAT </w:instrText>
                    </w:r>
                    <w:r>
                      <w:fldChar w:fldCharType="separate"/>
                    </w:r>
                    <w:r>
                      <w:t>2</w:t>
                    </w:r>
                    <w:r>
                      <w:fldChar w:fldCharType="end"/>
                    </w:r>
                  </w:p>
                </w:txbxContent>
              </v:textbox>
            </v:shape>
          </w:pict>
        </mc:Fallback>
      </mc:AlternateContent>
    </w:r>
  </w:p>
  <w:p w14:paraId="1E2860EC">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7DB94">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E65D375">
                          <w:pPr>
                            <w:pStyle w:val="10"/>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Fazzc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RWs83NwIAAHEEAAAOAAAAAAAAAAEAIAAAAB8BAABkcnMvZTJvRG9jLnht&#10;bFBLBQYAAAAABgAGAFkBAADIBQAAAAA=&#10;">
              <v:fill on="f" focussize="0,0"/>
              <v:stroke on="f" weight="0.5pt"/>
              <v:imagedata o:title=""/>
              <o:lock v:ext="edit" aspectratio="f"/>
              <v:textbox inset="0mm,0mm,0mm,0mm" style="mso-fit-shape-to-text:t;">
                <w:txbxContent>
                  <w:p w14:paraId="4E65D375">
                    <w:pPr>
                      <w:pStyle w:val="10"/>
                    </w:pPr>
                    <w:r>
                      <w:fldChar w:fldCharType="begin"/>
                    </w:r>
                    <w:r>
                      <w:instrText xml:space="preserve"> PAGE  \* MERGEFORMAT </w:instrText>
                    </w:r>
                    <w:r>
                      <w:fldChar w:fldCharType="separate"/>
                    </w:r>
                    <w:r>
                      <w:t>31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A15B2">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4B93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ind w:left="0" w:firstLine="0"/>
      </w:pPr>
      <w:rPr>
        <w:rFonts w:hint="eastAsia"/>
      </w:rPr>
    </w:lvl>
  </w:abstractNum>
  <w:abstractNum w:abstractNumId="1">
    <w:nsid w:val="D9A3AD02"/>
    <w:multiLevelType w:val="singleLevel"/>
    <w:tmpl w:val="D9A3AD02"/>
    <w:lvl w:ilvl="0" w:tentative="0">
      <w:start w:val="1"/>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pPr>
        <w:ind w:left="0" w:firstLine="0"/>
      </w:pPr>
      <w:rPr>
        <w:rFonts w:hint="eastAsia" w:ascii="黑体" w:hAnsi="黑体" w:eastAsia="黑体" w:cs="黑体"/>
        <w:sz w:val="44"/>
        <w:szCs w:val="44"/>
      </w:rPr>
    </w:lvl>
  </w:abstractNum>
  <w:abstractNum w:abstractNumId="3">
    <w:nsid w:val="032E7C0E"/>
    <w:multiLevelType w:val="singleLevel"/>
    <w:tmpl w:val="032E7C0E"/>
    <w:lvl w:ilvl="0" w:tentative="0">
      <w:start w:val="3"/>
      <w:numFmt w:val="chineseCounting"/>
      <w:suff w:val="nothing"/>
      <w:lvlText w:val="（%1）"/>
      <w:lvlJc w:val="left"/>
      <w:rPr>
        <w:rFonts w:hint="eastAsia" w:ascii="楷体" w:hAnsi="楷体" w:eastAsia="楷体" w:cs="楷体"/>
        <w:sz w:val="32"/>
        <w:szCs w:val="32"/>
      </w:rPr>
    </w:lvl>
  </w:abstractNum>
  <w:abstractNum w:abstractNumId="4">
    <w:nsid w:val="04727495"/>
    <w:multiLevelType w:val="singleLevel"/>
    <w:tmpl w:val="04727495"/>
    <w:lvl w:ilvl="0" w:tentative="0">
      <w:start w:val="2"/>
      <w:numFmt w:val="chineseCounting"/>
      <w:suff w:val="nothing"/>
      <w:lvlText w:val="（%1）"/>
      <w:lvlJc w:val="left"/>
      <w:rPr>
        <w:rFonts w:hint="eastAsia"/>
      </w:r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5"/>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dit="readOnly" w:enforcement="0"/>
  <w:defaultTabStop w:val="420"/>
  <w:drawingGridHorizontalSpacing w:val="105"/>
  <w:drawingGridVerticalSpacing w:val="156"/>
  <w:displayVerticalDrawingGridEvery w:val="2"/>
  <w:noPunctuationKerning w:val="1"/>
  <w:characterSpacingControl w:val="compressPunctuation"/>
  <w:hdrShapeDefaults>
    <o:shapelayout v:ext="edit">
      <o:idmap v:ext="edit" data="1"/>
    </o:shapelayout>
  </w:hdrShapeDefaults>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iN2FmYmM3MDJkZWYzNDJjOGZmMWI0NjNkOWRkMWQifQ=="/>
  </w:docVars>
  <w:rsids>
    <w:rsidRoot w:val="008C6A67"/>
    <w:rsid w:val="00004FF3"/>
    <w:rsid w:val="0001102D"/>
    <w:rsid w:val="000B6B7A"/>
    <w:rsid w:val="00126B62"/>
    <w:rsid w:val="00136F03"/>
    <w:rsid w:val="00190606"/>
    <w:rsid w:val="001D7C08"/>
    <w:rsid w:val="00336189"/>
    <w:rsid w:val="003A6E01"/>
    <w:rsid w:val="00440633"/>
    <w:rsid w:val="004500A8"/>
    <w:rsid w:val="00462F8A"/>
    <w:rsid w:val="00467805"/>
    <w:rsid w:val="004F482C"/>
    <w:rsid w:val="00501225"/>
    <w:rsid w:val="00557611"/>
    <w:rsid w:val="005B1139"/>
    <w:rsid w:val="0060251A"/>
    <w:rsid w:val="006B483B"/>
    <w:rsid w:val="006F7AF7"/>
    <w:rsid w:val="007567EF"/>
    <w:rsid w:val="00776BF8"/>
    <w:rsid w:val="00801D49"/>
    <w:rsid w:val="008567C1"/>
    <w:rsid w:val="00897373"/>
    <w:rsid w:val="008C6A67"/>
    <w:rsid w:val="009A4224"/>
    <w:rsid w:val="00AE188C"/>
    <w:rsid w:val="00B206CE"/>
    <w:rsid w:val="00B43252"/>
    <w:rsid w:val="00BA2578"/>
    <w:rsid w:val="00BA6988"/>
    <w:rsid w:val="00C978A5"/>
    <w:rsid w:val="00CE6F19"/>
    <w:rsid w:val="00D6114D"/>
    <w:rsid w:val="00DA5769"/>
    <w:rsid w:val="00E0615F"/>
    <w:rsid w:val="00E30A3C"/>
    <w:rsid w:val="00E4765E"/>
    <w:rsid w:val="00ED41BD"/>
    <w:rsid w:val="00F27CBE"/>
    <w:rsid w:val="011C67D9"/>
    <w:rsid w:val="090715AF"/>
    <w:rsid w:val="09464C57"/>
    <w:rsid w:val="0CF30068"/>
    <w:rsid w:val="0D870F11"/>
    <w:rsid w:val="11D706B9"/>
    <w:rsid w:val="12777FFA"/>
    <w:rsid w:val="13D44784"/>
    <w:rsid w:val="141A663B"/>
    <w:rsid w:val="16CE1E06"/>
    <w:rsid w:val="181D494B"/>
    <w:rsid w:val="19972E80"/>
    <w:rsid w:val="1A695262"/>
    <w:rsid w:val="1C913B5A"/>
    <w:rsid w:val="1F0B7BF4"/>
    <w:rsid w:val="20EC610A"/>
    <w:rsid w:val="251B7EFD"/>
    <w:rsid w:val="2C0968D7"/>
    <w:rsid w:val="32300460"/>
    <w:rsid w:val="34B955A4"/>
    <w:rsid w:val="34D864A0"/>
    <w:rsid w:val="357E0CC8"/>
    <w:rsid w:val="37B65003"/>
    <w:rsid w:val="3C3A6FCB"/>
    <w:rsid w:val="3E98013E"/>
    <w:rsid w:val="414601C0"/>
    <w:rsid w:val="41B86AE1"/>
    <w:rsid w:val="42220C2D"/>
    <w:rsid w:val="43F3194C"/>
    <w:rsid w:val="44450DE5"/>
    <w:rsid w:val="45435142"/>
    <w:rsid w:val="489932CB"/>
    <w:rsid w:val="491E7B08"/>
    <w:rsid w:val="4A5B4CAF"/>
    <w:rsid w:val="4C3E6663"/>
    <w:rsid w:val="4C7B78B7"/>
    <w:rsid w:val="4CF07983"/>
    <w:rsid w:val="4F193855"/>
    <w:rsid w:val="523E5E65"/>
    <w:rsid w:val="52D52070"/>
    <w:rsid w:val="533A5D99"/>
    <w:rsid w:val="534D53DE"/>
    <w:rsid w:val="55465810"/>
    <w:rsid w:val="55E9191D"/>
    <w:rsid w:val="5AE57464"/>
    <w:rsid w:val="5DC3244A"/>
    <w:rsid w:val="62A17C51"/>
    <w:rsid w:val="634C30DC"/>
    <w:rsid w:val="64981419"/>
    <w:rsid w:val="67AE2497"/>
    <w:rsid w:val="6D642E67"/>
    <w:rsid w:val="6D8B4657"/>
    <w:rsid w:val="70875026"/>
    <w:rsid w:val="71A21BD3"/>
    <w:rsid w:val="72D1319F"/>
    <w:rsid w:val="72D913E9"/>
    <w:rsid w:val="771511FD"/>
    <w:rsid w:val="77550A18"/>
    <w:rsid w:val="78FE1F5F"/>
    <w:rsid w:val="7B4707E1"/>
    <w:rsid w:val="7FC658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2"/>
    <w:autoRedefine/>
    <w:unhideWhenUsed/>
    <w:qFormat/>
    <w:uiPriority w:val="9"/>
    <w:pPr>
      <w:keepNext/>
      <w:keepLines/>
      <w:spacing w:before="260" w:after="260" w:line="415" w:lineRule="auto"/>
      <w:outlineLvl w:val="1"/>
    </w:pPr>
    <w:rPr>
      <w:rFonts w:ascii="Cambria" w:hAnsi="Cambria"/>
      <w:b/>
      <w:bCs/>
      <w:sz w:val="32"/>
      <w:szCs w:val="32"/>
    </w:rPr>
  </w:style>
  <w:style w:type="paragraph" w:styleId="5">
    <w:name w:val="heading 3"/>
    <w:basedOn w:val="1"/>
    <w:next w:val="1"/>
    <w:autoRedefine/>
    <w:semiHidden/>
    <w:unhideWhenUsed/>
    <w:qFormat/>
    <w:uiPriority w:val="9"/>
    <w:pPr>
      <w:keepNext/>
      <w:keepLines/>
      <w:spacing w:before="260" w:after="260" w:line="415"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autoRedefine/>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autoRedefine/>
    <w:qFormat/>
    <w:uiPriority w:val="0"/>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autoRedefine/>
    <w:qFormat/>
    <w:uiPriority w:val="0"/>
    <w:pPr>
      <w:tabs>
        <w:tab w:val="right" w:leader="dot" w:pos="8296"/>
      </w:tabs>
      <w:ind w:left="400" w:leftChars="400"/>
    </w:pPr>
  </w:style>
  <w:style w:type="paragraph" w:styleId="9">
    <w:name w:val="Balloon Text"/>
    <w:basedOn w:val="1"/>
    <w:autoRedefine/>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autoRedefine/>
    <w:qFormat/>
    <w:uiPriority w:val="0"/>
    <w:pPr>
      <w:tabs>
        <w:tab w:val="right" w:leader="dot" w:pos="8296"/>
      </w:tabs>
      <w:spacing w:before="93"/>
      <w:jc w:val="center"/>
    </w:pPr>
    <w:rPr>
      <w:rFonts w:asci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unhideWhenUsed/>
    <w:qFormat/>
    <w:uiPriority w:val="99"/>
    <w:pPr>
      <w:ind w:firstLine="420" w:firstLineChars="200"/>
    </w:pPr>
  </w:style>
  <w:style w:type="paragraph" w:styleId="15">
    <w:name w:val="toc 2"/>
    <w:basedOn w:val="1"/>
    <w:next w:val="1"/>
    <w:autoRedefine/>
    <w:qFormat/>
    <w:uiPriority w:val="0"/>
    <w:pPr>
      <w:tabs>
        <w:tab w:val="right" w:leader="dot" w:pos="8296"/>
      </w:tabs>
      <w:ind w:left="200" w:leftChars="200"/>
    </w:pPr>
  </w:style>
  <w:style w:type="paragraph" w:styleId="16">
    <w:name w:val="Normal (Web)"/>
    <w:basedOn w:val="1"/>
    <w:autoRedefine/>
    <w:qFormat/>
    <w:uiPriority w:val="0"/>
    <w:pPr>
      <w:widowControl/>
      <w:spacing w:line="598" w:lineRule="exact"/>
      <w:ind w:firstLine="491" w:firstLineChars="234"/>
      <w:jc w:val="left"/>
    </w:pPr>
    <w:rPr>
      <w:rFonts w:ascii="宋体" w:hAnsi="宋体" w:cs="仿宋_GB2312"/>
      <w:color w:val="333333"/>
      <w:kern w:val="0"/>
      <w:szCs w:val="21"/>
    </w:rPr>
  </w:style>
  <w:style w:type="character" w:styleId="19">
    <w:name w:val="Strong"/>
    <w:basedOn w:val="18"/>
    <w:autoRedefine/>
    <w:qFormat/>
    <w:uiPriority w:val="22"/>
    <w:rPr>
      <w:b/>
    </w:rPr>
  </w:style>
  <w:style w:type="character" w:styleId="20">
    <w:name w:val="Hyperlink"/>
    <w:basedOn w:val="18"/>
    <w:autoRedefine/>
    <w:qFormat/>
    <w:uiPriority w:val="0"/>
    <w:rPr>
      <w:color w:val="0000FF"/>
      <w:u w:val="single"/>
    </w:rPr>
  </w:style>
  <w:style w:type="character" w:customStyle="1" w:styleId="21">
    <w:name w:val="标题 1 Char"/>
    <w:basedOn w:val="18"/>
    <w:link w:val="3"/>
    <w:autoRedefine/>
    <w:qFormat/>
    <w:uiPriority w:val="0"/>
    <w:rPr>
      <w:rFonts w:ascii="Times New Roman" w:hAnsi="Times New Roman" w:eastAsia="宋体" w:cs="Times New Roman"/>
      <w:b/>
      <w:bCs/>
      <w:kern w:val="44"/>
      <w:sz w:val="44"/>
      <w:szCs w:val="44"/>
      <w:lang w:val="en-US" w:eastAsia="zh-CN" w:bidi="ar-SA"/>
    </w:rPr>
  </w:style>
  <w:style w:type="character" w:customStyle="1" w:styleId="22">
    <w:name w:val="标题 2 Char"/>
    <w:basedOn w:val="18"/>
    <w:link w:val="4"/>
    <w:autoRedefine/>
    <w:qFormat/>
    <w:uiPriority w:val="0"/>
    <w:rPr>
      <w:rFonts w:ascii="Cambria" w:hAnsi="Cambria" w:eastAsia="宋体" w:cs="Times New Roman"/>
      <w:b/>
      <w:bCs/>
      <w:kern w:val="2"/>
      <w:sz w:val="32"/>
      <w:szCs w:val="32"/>
      <w:lang w:val="en-US" w:eastAsia="zh-CN" w:bidi="ar-SA"/>
    </w:rPr>
  </w:style>
  <w:style w:type="character" w:customStyle="1" w:styleId="23">
    <w:name w:val="Header Char"/>
    <w:basedOn w:val="18"/>
    <w:autoRedefine/>
    <w:qFormat/>
    <w:uiPriority w:val="0"/>
    <w:rPr>
      <w:rFonts w:ascii="Times New Roman" w:hAnsi="Times New Roman"/>
      <w:sz w:val="18"/>
      <w:szCs w:val="18"/>
    </w:rPr>
  </w:style>
  <w:style w:type="character" w:customStyle="1" w:styleId="24">
    <w:name w:val="Footer Char"/>
    <w:basedOn w:val="18"/>
    <w:autoRedefine/>
    <w:qFormat/>
    <w:uiPriority w:val="0"/>
    <w:rPr>
      <w:rFonts w:ascii="Times New Roman" w:hAnsi="Times New Roman"/>
      <w:sz w:val="18"/>
      <w:szCs w:val="18"/>
    </w:rPr>
  </w:style>
  <w:style w:type="character" w:customStyle="1" w:styleId="25">
    <w:name w:val="Body Text Char"/>
    <w:basedOn w:val="18"/>
    <w:autoRedefine/>
    <w:qFormat/>
    <w:uiPriority w:val="0"/>
    <w:rPr>
      <w:rFonts w:ascii="Times New Roman" w:hAnsi="Times New Roman"/>
      <w:szCs w:val="24"/>
    </w:rPr>
  </w:style>
  <w:style w:type="paragraph" w:customStyle="1" w:styleId="26">
    <w:name w:val="Default"/>
    <w:autoRedefine/>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7">
    <w:name w:val="List Paragraph"/>
    <w:basedOn w:val="1"/>
    <w:autoRedefine/>
    <w:qFormat/>
    <w:uiPriority w:val="0"/>
    <w:pPr>
      <w:ind w:firstLine="200" w:firstLineChars="200"/>
    </w:pPr>
  </w:style>
  <w:style w:type="paragraph" w:customStyle="1" w:styleId="28">
    <w:name w:val="TOC 标题1"/>
    <w:basedOn w:val="3"/>
    <w:next w:val="1"/>
    <w:autoRedefine/>
    <w:qFormat/>
    <w:uiPriority w:val="0"/>
    <w:pPr>
      <w:widowControl/>
      <w:spacing w:before="480" w:after="0" w:line="276" w:lineRule="auto"/>
      <w:jc w:val="left"/>
      <w:outlineLvl w:val="9"/>
    </w:pPr>
    <w:rPr>
      <w:rFonts w:ascii="Cambria" w:hAnsi="Cambria"/>
      <w:color w:val="376092"/>
      <w:kern w:val="0"/>
      <w:sz w:val="28"/>
      <w:szCs w:val="28"/>
    </w:rPr>
  </w:style>
  <w:style w:type="paragraph" w:customStyle="1" w:styleId="29">
    <w:name w:val="TOC 标题2"/>
    <w:basedOn w:val="3"/>
    <w:next w:val="1"/>
    <w:autoRedefine/>
    <w:qFormat/>
    <w:uiPriority w:val="0"/>
    <w:pPr>
      <w:widowControl/>
      <w:spacing w:before="480" w:after="0" w:line="276" w:lineRule="auto"/>
      <w:jc w:val="left"/>
      <w:outlineLvl w:val="9"/>
    </w:pPr>
    <w:rPr>
      <w:rFonts w:ascii="Cambria" w:hAnsi="Cambria"/>
      <w:color w:val="376092"/>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收入支出表</c:v>
                </c:pt>
              </c:strCache>
            </c:strRef>
          </c:tx>
          <c:spPr>
            <a:solidFill>
              <a:schemeClr val="accent1"/>
            </a:solidFill>
            <a:ln w="19050">
              <a:solidFill>
                <a:schemeClr val="lt1"/>
              </a:solidFill>
            </a:ln>
            <a:effectLst/>
          </c:spPr>
          <c:invertIfNegative val="0"/>
          <c:dLbls>
            <c:delete val="1"/>
          </c:dLbls>
          <c:cat>
            <c:strRef>
              <c:f>Sheet1!$A$2:$A$5</c:f>
              <c:strCache>
                <c:ptCount val="4"/>
                <c:pt idx="0">
                  <c:v>2024年收入</c:v>
                </c:pt>
                <c:pt idx="1">
                  <c:v>2023年收入</c:v>
                </c:pt>
                <c:pt idx="2">
                  <c:v>2024年支出</c:v>
                </c:pt>
                <c:pt idx="3">
                  <c:v>2023年支出</c:v>
                </c:pt>
              </c:strCache>
            </c:strRef>
          </c:cat>
          <c:val>
            <c:numRef>
              <c:f>Sheet1!$B$2:$B$5</c:f>
              <c:numCache>
                <c:formatCode>General</c:formatCode>
                <c:ptCount val="4"/>
                <c:pt idx="0">
                  <c:v>2528.67</c:v>
                </c:pt>
                <c:pt idx="1">
                  <c:v>2016.59</c:v>
                </c:pt>
                <c:pt idx="2">
                  <c:v>2639.08</c:v>
                </c:pt>
                <c:pt idx="3">
                  <c:v>2016.59</c:v>
                </c:pt>
              </c:numCache>
            </c:numRef>
          </c:val>
        </c:ser>
        <c:dLbls>
          <c:showLegendKey val="0"/>
          <c:showVal val="0"/>
          <c:showCatName val="0"/>
          <c:showSerName val="0"/>
          <c:showPercent val="0"/>
          <c:showBubbleSize val="0"/>
        </c:dLbls>
        <c:gapWidth val="150"/>
        <c:axId val="92703744"/>
        <c:axId val="92710784"/>
      </c:barChart>
      <c:catAx>
        <c:axId val="92703744"/>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10784"/>
        <c:crosses val="autoZero"/>
        <c:auto val="1"/>
        <c:lblAlgn val="ctr"/>
        <c:lblOffset val="100"/>
        <c:noMultiLvlLbl val="0"/>
      </c:catAx>
      <c:valAx>
        <c:axId val="927107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037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2c47c05-7fdb-491b-a0b0-05bfda5b114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a:t>
            </a:r>
            <a:r>
              <a:rPr lang="en-US" altLang="zh-CN"/>
              <a:t>4</a:t>
            </a:r>
            <a:r>
              <a:t>年收入情况表</a:t>
            </a:r>
          </a:p>
        </c:rich>
      </c:tx>
      <c:layout/>
      <c:overlay val="0"/>
      <c:spPr>
        <a:noFill/>
        <a:ln>
          <a:noFill/>
        </a:ln>
        <a:effectLst/>
      </c:spPr>
    </c:title>
    <c:autoTitleDeleted val="0"/>
    <c:plotArea>
      <c:layout/>
      <c:pieChart>
        <c:varyColors val="1"/>
        <c:ser>
          <c:idx val="0"/>
          <c:order val="0"/>
          <c:tx>
            <c:strRef>
              <c:f>Sheet1!$B$1</c:f>
              <c:strCache>
                <c:ptCount val="1"/>
                <c:pt idx="0">
                  <c:v>2024年收入情况表</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一般公共预算财政拨款收入</c:v>
                </c:pt>
                <c:pt idx="1">
                  <c:v>其他收入</c:v>
                </c:pt>
                <c:pt idx="2">
                  <c:v>事业收入</c:v>
                </c:pt>
                <c:pt idx="3">
                  <c:v>上级补助收入</c:v>
                </c:pt>
              </c:strCache>
            </c:strRef>
          </c:cat>
          <c:val>
            <c:numRef>
              <c:f>Sheet1!$B$2:$B$5</c:f>
              <c:numCache>
                <c:formatCode>General</c:formatCode>
                <c:ptCount val="4"/>
                <c:pt idx="0">
                  <c:v>2449.88</c:v>
                </c:pt>
                <c:pt idx="1">
                  <c:v>78.79</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aad54ea3-0299-4be4-af7f-150178c3db0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2024</a:t>
            </a:r>
            <a:r>
              <a:t>年本年支出</a:t>
            </a:r>
          </a:p>
        </c:rich>
      </c:tx>
      <c:layout/>
      <c:overlay val="0"/>
      <c:spPr>
        <a:noFill/>
        <a:ln>
          <a:noFill/>
        </a:ln>
        <a:effectLst/>
      </c:spPr>
    </c:title>
    <c:autoTitleDeleted val="0"/>
    <c:plotArea>
      <c:layout/>
      <c:pieChart>
        <c:varyColors val="1"/>
        <c:ser>
          <c:idx val="0"/>
          <c:order val="0"/>
          <c:tx>
            <c:strRef>
              <c:f>Sheet1!$B$1</c:f>
              <c:strCache>
                <c:ptCount val="1"/>
                <c:pt idx="0">
                  <c:v>2023年本年支出</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基本支出</c:v>
                </c:pt>
                <c:pt idx="1">
                  <c:v>项目支出</c:v>
                </c:pt>
                <c:pt idx="2">
                  <c:v>上缴上级支出</c:v>
                </c:pt>
                <c:pt idx="3">
                  <c:v>对附属单位补助支出</c:v>
                </c:pt>
              </c:strCache>
            </c:strRef>
          </c:cat>
          <c:val>
            <c:numRef>
              <c:f>Sheet1!$B$2:$B$5</c:f>
              <c:numCache>
                <c:formatCode>General</c:formatCode>
                <c:ptCount val="4"/>
                <c:pt idx="0">
                  <c:v>1204.4</c:v>
                </c:pt>
                <c:pt idx="1">
                  <c:v>1384.54</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976d13e5-4d3e-4c89-925b-2b08808de0e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Sheet1!$A$2:$A$3</c:f>
              <c:strCache>
                <c:ptCount val="2"/>
                <c:pt idx="0">
                  <c:v>财政拨款收入</c:v>
                </c:pt>
                <c:pt idx="1">
                  <c:v>财政拨款支出</c:v>
                </c:pt>
              </c:strCache>
            </c:strRef>
          </c:cat>
          <c:val>
            <c:numRef>
              <c:f>Sheet1!$B$2:$B$3</c:f>
              <c:numCache>
                <c:formatCode>General</c:formatCode>
                <c:ptCount val="2"/>
                <c:pt idx="0">
                  <c:v>2528.67</c:v>
                </c:pt>
                <c:pt idx="1">
                  <c:v>2639.08</c:v>
                </c:pt>
              </c:numCache>
            </c:numRef>
          </c:val>
        </c:ser>
        <c:ser>
          <c:idx val="1"/>
          <c:order val="1"/>
          <c:tx>
            <c:strRef>
              <c:f>Sheet1!$C$1</c:f>
              <c:strCache>
                <c:ptCount val="1"/>
                <c:pt idx="0">
                  <c:v>2023</c:v>
                </c:pt>
              </c:strCache>
            </c:strRef>
          </c:tx>
          <c:spPr>
            <a:solidFill>
              <a:schemeClr val="accent2"/>
            </a:solidFill>
            <a:ln>
              <a:noFill/>
            </a:ln>
            <a:effectLst/>
          </c:spPr>
          <c:invertIfNegative val="0"/>
          <c:dLbls>
            <c:delete val="1"/>
          </c:dLbls>
          <c:cat>
            <c:strRef>
              <c:f>Sheet1!$A$2:$A$3</c:f>
              <c:strCache>
                <c:ptCount val="2"/>
                <c:pt idx="0">
                  <c:v>财政拨款收入</c:v>
                </c:pt>
                <c:pt idx="1">
                  <c:v>财政拨款支出</c:v>
                </c:pt>
              </c:strCache>
            </c:strRef>
          </c:cat>
          <c:val>
            <c:numRef>
              <c:f>Sheet1!$C$2:$C$3</c:f>
              <c:numCache>
                <c:formatCode>General</c:formatCode>
                <c:ptCount val="2"/>
                <c:pt idx="0">
                  <c:v>2016.59</c:v>
                </c:pt>
                <c:pt idx="1">
                  <c:v>2016.59</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Sheet1!$A$2:$A$3</c:f>
              <c:strCache>
                <c:ptCount val="2"/>
                <c:pt idx="0">
                  <c:v>财政拨款收入</c:v>
                </c:pt>
                <c:pt idx="1">
                  <c:v>财政拨款支出</c:v>
                </c:pt>
              </c:strCache>
            </c:strRef>
          </c:cat>
          <c:val>
            <c:numRef>
              <c:f>Sheet1!$D$2:$D$3</c:f>
              <c:numCache>
                <c:formatCode>General</c:formatCode>
                <c:ptCount val="2"/>
                <c:pt idx="0">
                  <c:v>0</c:v>
                </c:pt>
                <c:pt idx="1">
                  <c:v>0</c:v>
                </c:pt>
              </c:numCache>
            </c:numRef>
          </c:val>
        </c:ser>
        <c:dLbls>
          <c:showLegendKey val="0"/>
          <c:showVal val="0"/>
          <c:showCatName val="0"/>
          <c:showSerName val="0"/>
          <c:showPercent val="0"/>
          <c:showBubbleSize val="0"/>
        </c:dLbls>
        <c:gapWidth val="219"/>
        <c:overlap val="-27"/>
        <c:axId val="79686656"/>
        <c:axId val="79717120"/>
      </c:barChart>
      <c:catAx>
        <c:axId val="796866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717120"/>
        <c:crosses val="autoZero"/>
        <c:auto val="1"/>
        <c:lblAlgn val="ctr"/>
        <c:lblOffset val="100"/>
        <c:noMultiLvlLbl val="0"/>
      </c:catAx>
      <c:valAx>
        <c:axId val="797171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866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34023f9-22d8-45cc-82c1-a4bb40344de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delete val="1"/>
          </c:dLbls>
          <c:cat>
            <c:strRef>
              <c:f>Sheet1!$A$2</c:f>
              <c:strCache>
                <c:ptCount val="1"/>
                <c:pt idx="0">
                  <c:v>一般公共预算财政拨款支出</c:v>
                </c:pt>
              </c:strCache>
            </c:strRef>
          </c:cat>
          <c:val>
            <c:numRef>
              <c:f>Sheet1!$B$2</c:f>
              <c:numCache>
                <c:formatCode>General</c:formatCode>
                <c:ptCount val="1"/>
                <c:pt idx="0">
                  <c:v>2449.88</c:v>
                </c:pt>
              </c:numCache>
            </c:numRef>
          </c:val>
        </c:ser>
        <c:ser>
          <c:idx val="1"/>
          <c:order val="1"/>
          <c:tx>
            <c:strRef>
              <c:f>Sheet1!$C$1</c:f>
              <c:strCache>
                <c:ptCount val="1"/>
                <c:pt idx="0">
                  <c:v>2023</c:v>
                </c:pt>
              </c:strCache>
            </c:strRef>
          </c:tx>
          <c:spPr>
            <a:solidFill>
              <a:schemeClr val="accent2"/>
            </a:solidFill>
            <a:ln>
              <a:noFill/>
            </a:ln>
            <a:effectLst/>
          </c:spPr>
          <c:invertIfNegative val="0"/>
          <c:dLbls>
            <c:delete val="1"/>
          </c:dLbls>
          <c:cat>
            <c:strRef>
              <c:f>Sheet1!$A$2</c:f>
              <c:strCache>
                <c:ptCount val="1"/>
                <c:pt idx="0">
                  <c:v>一般公共预算财政拨款支出</c:v>
                </c:pt>
              </c:strCache>
            </c:strRef>
          </c:cat>
          <c:val>
            <c:numRef>
              <c:f>Sheet1!$C$2</c:f>
              <c:numCache>
                <c:formatCode>General</c:formatCode>
                <c:ptCount val="1"/>
                <c:pt idx="0">
                  <c:v>2016.59</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一般公共预算财政拨款支出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76941568"/>
        <c:axId val="76951552"/>
      </c:barChart>
      <c:catAx>
        <c:axId val="769415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51552"/>
        <c:crosses val="autoZero"/>
        <c:auto val="1"/>
        <c:lblAlgn val="ctr"/>
        <c:lblOffset val="100"/>
        <c:noMultiLvlLbl val="0"/>
      </c:catAx>
      <c:valAx>
        <c:axId val="769515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415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965c32d-0558-47e5-8d79-a326847710c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a:t>
            </a:r>
            <a:r>
              <a:rPr lang="en-US" altLang="zh-CN"/>
              <a:t>4</a:t>
            </a:r>
            <a:r>
              <a:t>年一般公共预算财政拨款支出</a:t>
            </a:r>
          </a:p>
        </c:rich>
      </c:tx>
      <c:layout/>
      <c:overlay val="0"/>
      <c:spPr>
        <a:noFill/>
        <a:ln>
          <a:noFill/>
        </a:ln>
        <a:effectLst/>
      </c:spPr>
    </c:title>
    <c:autoTitleDeleted val="0"/>
    <c:plotArea>
      <c:layout/>
      <c:pieChart>
        <c:varyColors val="1"/>
        <c:ser>
          <c:idx val="0"/>
          <c:order val="0"/>
          <c:tx>
            <c:strRef>
              <c:f>Sheet1!$B$1</c:f>
              <c:strCache>
                <c:ptCount val="1"/>
                <c:pt idx="0">
                  <c:v>2024年一般公共预算财政拨款支出</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教育支出（类）</c:v>
                </c:pt>
                <c:pt idx="1">
                  <c:v>社会保障和就业（类）</c:v>
                </c:pt>
                <c:pt idx="2">
                  <c:v>卫生健康支出</c:v>
                </c:pt>
                <c:pt idx="3">
                  <c:v>住房保障支出</c:v>
                </c:pt>
              </c:strCache>
            </c:strRef>
          </c:cat>
          <c:val>
            <c:numRef>
              <c:f>Sheet1!$B$2:$B$5</c:f>
              <c:numCache>
                <c:formatCode>General</c:formatCode>
                <c:ptCount val="4"/>
                <c:pt idx="0">
                  <c:v>2142.24</c:v>
                </c:pt>
                <c:pt idx="1">
                  <c:v>154.94</c:v>
                </c:pt>
                <c:pt idx="2">
                  <c:v>71.09</c:v>
                </c:pt>
                <c:pt idx="3">
                  <c:v>81.61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1e6ed790-fb5e-49eb-ab22-4082246c9b9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41</Pages>
  <Words>7880</Words>
  <Characters>8769</Characters>
  <Lines>120</Lines>
  <Paragraphs>33</Paragraphs>
  <TotalTime>4</TotalTime>
  <ScaleCrop>false</ScaleCrop>
  <LinksUpToDate>false</LinksUpToDate>
  <CharactersWithSpaces>8797</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2023-09-10T02:01:00Z</dcterms:created>
  <dc:creator>曹颖</dc:creator>
  <cp:lastModifiedBy>Admin</cp:lastModifiedBy>
  <cp:lastPrinted>2024-09-09T01:16:00Z</cp:lastPrinted>
  <dcterms:modified xsi:type="dcterms:W3CDTF">2025-09-15T07:54:05Z</dcterms:modified>
  <dc:title>四川省***</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B2DF05998FB14BDEA68CA1E95237324F_13</vt:lpwstr>
  </property>
  <property fmtid="{D5CDD505-2E9C-101B-9397-08002B2CF9AE}" pid="4" name="KSOTemplateDocerSaveRecord">
    <vt:lpwstr>eyJoZGlkIjoiNjFkMjIzYWQ5MjVmNzMyODI1NzY1NWVjZjU5ZDFmYWMifQ==</vt:lpwstr>
  </property>
</Properties>
</file>