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DBEB81">
      <w:pPr>
        <w:pStyle w:val="9"/>
        <w:spacing w:before="93" w:beforeLines="0"/>
      </w:pPr>
      <w:bookmarkStart w:id="0" w:name="_Toc15306267"/>
    </w:p>
    <w:p w14:paraId="3672DD1B">
      <w:pPr>
        <w:spacing w:line="600" w:lineRule="exact"/>
        <w:jc w:val="center"/>
        <w:outlineLvl w:val="0"/>
        <w:rPr>
          <w:rFonts w:ascii="方正小标宋简体" w:eastAsia="方正小标宋简体"/>
          <w:sz w:val="72"/>
          <w:szCs w:val="72"/>
        </w:rPr>
      </w:pPr>
    </w:p>
    <w:p w14:paraId="0B113E43">
      <w:pPr>
        <w:spacing w:line="600" w:lineRule="exact"/>
        <w:jc w:val="center"/>
        <w:outlineLvl w:val="0"/>
        <w:rPr>
          <w:rFonts w:ascii="方正小标宋简体" w:eastAsia="方正小标宋简体"/>
          <w:sz w:val="72"/>
          <w:szCs w:val="72"/>
        </w:rPr>
      </w:pPr>
    </w:p>
    <w:p w14:paraId="37B7B421">
      <w:pPr>
        <w:adjustRightInd w:val="0"/>
        <w:snapToGrid w:val="0"/>
        <w:spacing w:line="360" w:lineRule="auto"/>
        <w:jc w:val="center"/>
        <w:outlineLvl w:val="0"/>
        <w:rPr>
          <w:rFonts w:ascii="方正小标宋简体" w:eastAsia="方正小标宋简体" w:cs="方正小标宋简体"/>
          <w:sz w:val="72"/>
          <w:szCs w:val="72"/>
        </w:rPr>
      </w:pPr>
      <w:bookmarkStart w:id="1" w:name="_Toc12014"/>
      <w:bookmarkStart w:id="2" w:name="_Toc15396475"/>
      <w:bookmarkStart w:id="3" w:name="_Toc17791"/>
      <w:bookmarkStart w:id="4" w:name="_Toc15377193"/>
      <w:bookmarkStart w:id="5" w:name="_Toc15396597"/>
      <w:bookmarkStart w:id="6" w:name="_Toc15378441"/>
      <w:bookmarkStart w:id="7" w:name="_Toc15377425"/>
      <w:bookmarkStart w:id="8" w:name="_Toc6199"/>
      <w:bookmarkStart w:id="9" w:name="_Toc25079"/>
      <w:r>
        <w:rPr>
          <w:rFonts w:hint="eastAsia" w:ascii="方正小标宋简体" w:eastAsia="方正小标宋简体" w:cs="方正小标宋简体"/>
          <w:sz w:val="72"/>
          <w:szCs w:val="72"/>
        </w:rPr>
        <w:t>202</w:t>
      </w:r>
      <w:r>
        <w:rPr>
          <w:rFonts w:hint="eastAsia" w:ascii="方正小标宋简体" w:eastAsia="方正小标宋简体" w:cs="方正小标宋简体"/>
          <w:sz w:val="72"/>
          <w:szCs w:val="72"/>
          <w:lang w:val="en-US" w:eastAsia="zh-CN"/>
        </w:rPr>
        <w:t>4</w:t>
      </w:r>
      <w:r>
        <w:rPr>
          <w:rFonts w:hint="eastAsia" w:ascii="方正小标宋简体" w:eastAsia="方正小标宋简体" w:cs="方正小标宋简体"/>
          <w:sz w:val="72"/>
          <w:szCs w:val="72"/>
        </w:rPr>
        <w:t>年度</w:t>
      </w:r>
      <w:bookmarkEnd w:id="1"/>
      <w:bookmarkEnd w:id="2"/>
      <w:bookmarkEnd w:id="3"/>
      <w:bookmarkEnd w:id="4"/>
      <w:bookmarkEnd w:id="5"/>
      <w:bookmarkEnd w:id="6"/>
      <w:bookmarkEnd w:id="7"/>
      <w:bookmarkEnd w:id="8"/>
      <w:bookmarkEnd w:id="9"/>
    </w:p>
    <w:p w14:paraId="5CE42D2F">
      <w:pPr>
        <w:adjustRightInd w:val="0"/>
        <w:snapToGrid w:val="0"/>
        <w:spacing w:line="360" w:lineRule="auto"/>
        <w:jc w:val="center"/>
        <w:outlineLvl w:val="0"/>
        <w:rPr>
          <w:rFonts w:ascii="方正小标宋简体" w:eastAsia="方正小标宋简体" w:cs="方正小标宋简体"/>
          <w:sz w:val="72"/>
          <w:szCs w:val="72"/>
        </w:rPr>
      </w:pPr>
      <w:bookmarkStart w:id="10" w:name="_Toc2797"/>
      <w:bookmarkStart w:id="11" w:name="_Toc15377426"/>
      <w:bookmarkStart w:id="12" w:name="_Toc15377194"/>
      <w:bookmarkStart w:id="13" w:name="_Toc15396598"/>
      <w:bookmarkStart w:id="14" w:name="_Toc3857"/>
      <w:bookmarkStart w:id="15" w:name="_Toc15378442"/>
      <w:bookmarkStart w:id="16" w:name="_Toc7783"/>
      <w:bookmarkStart w:id="17" w:name="_Toc15396476"/>
      <w:bookmarkStart w:id="18" w:name="_Toc18277"/>
      <w:r>
        <w:rPr>
          <w:rFonts w:hint="eastAsia" w:ascii="方正小标宋简体" w:eastAsia="方正小标宋简体" w:cs="方正小标宋简体"/>
          <w:sz w:val="72"/>
          <w:szCs w:val="72"/>
        </w:rPr>
        <w:t>四川省</w:t>
      </w:r>
      <w:bookmarkEnd w:id="0"/>
      <w:bookmarkStart w:id="19" w:name="_Toc15306268"/>
      <w:r>
        <w:rPr>
          <w:rFonts w:hint="eastAsia" w:ascii="方正小标宋简体" w:eastAsia="方正小标宋简体" w:cs="方正小标宋简体"/>
          <w:sz w:val="72"/>
          <w:szCs w:val="72"/>
        </w:rPr>
        <w:t>阿坝州青少年校外教育活动中心决算</w:t>
      </w:r>
      <w:bookmarkEnd w:id="10"/>
      <w:bookmarkEnd w:id="11"/>
      <w:bookmarkEnd w:id="12"/>
      <w:bookmarkEnd w:id="13"/>
      <w:bookmarkEnd w:id="14"/>
      <w:bookmarkEnd w:id="15"/>
      <w:bookmarkEnd w:id="16"/>
      <w:bookmarkEnd w:id="17"/>
      <w:bookmarkEnd w:id="18"/>
      <w:bookmarkEnd w:id="19"/>
    </w:p>
    <w:p w14:paraId="49382123">
      <w:pPr>
        <w:adjustRightInd w:val="0"/>
        <w:snapToGrid w:val="0"/>
        <w:spacing w:line="360" w:lineRule="auto"/>
        <w:jc w:val="center"/>
        <w:outlineLvl w:val="0"/>
        <w:rPr>
          <w:rFonts w:ascii="方正小标宋简体" w:eastAsia="方正小标宋简体"/>
          <w:sz w:val="52"/>
          <w:szCs w:val="52"/>
        </w:rPr>
      </w:pPr>
      <w:bookmarkStart w:id="20" w:name="_Toc27261"/>
      <w:bookmarkStart w:id="21" w:name="_Toc25105"/>
      <w:bookmarkStart w:id="22" w:name="_Toc2259"/>
      <w:bookmarkStart w:id="23" w:name="_Toc18425"/>
      <w:r>
        <w:rPr>
          <w:rFonts w:hint="eastAsia" w:ascii="方正小标宋简体" w:eastAsia="方正小标宋简体"/>
          <w:sz w:val="52"/>
          <w:szCs w:val="52"/>
        </w:rPr>
        <w:t>(单位公开)</w:t>
      </w:r>
      <w:bookmarkEnd w:id="20"/>
      <w:bookmarkEnd w:id="21"/>
      <w:bookmarkEnd w:id="22"/>
      <w:bookmarkEnd w:id="23"/>
    </w:p>
    <w:p w14:paraId="34BFC591">
      <w:pPr>
        <w:pStyle w:val="15"/>
        <w:adjustRightInd w:val="0"/>
        <w:snapToGrid w:val="0"/>
        <w:spacing w:line="440" w:lineRule="exact"/>
        <w:jc w:val="left"/>
        <w:outlineLvl w:val="1"/>
        <w:rPr>
          <w:rFonts w:ascii="方正小标宋简体" w:eastAsia="方正小标宋简体"/>
          <w:sz w:val="36"/>
          <w:szCs w:val="36"/>
        </w:rPr>
      </w:pPr>
    </w:p>
    <w:p w14:paraId="725C363F">
      <w:pPr>
        <w:pStyle w:val="15"/>
        <w:adjustRightInd w:val="0"/>
        <w:snapToGrid w:val="0"/>
        <w:spacing w:line="440" w:lineRule="exact"/>
        <w:jc w:val="left"/>
        <w:outlineLvl w:val="1"/>
        <w:rPr>
          <w:rFonts w:ascii="方正小标宋简体" w:eastAsia="方正小标宋简体"/>
          <w:sz w:val="36"/>
          <w:szCs w:val="36"/>
        </w:rPr>
      </w:pPr>
    </w:p>
    <w:p w14:paraId="5D1C1D5C">
      <w:pPr>
        <w:rPr>
          <w:rFonts w:ascii="方正小标宋简体" w:eastAsia="方正小标宋简体"/>
          <w:sz w:val="36"/>
          <w:szCs w:val="36"/>
        </w:rPr>
      </w:pPr>
    </w:p>
    <w:p w14:paraId="3D336619">
      <w:pPr>
        <w:pStyle w:val="25"/>
        <w:rPr>
          <w:rFonts w:ascii="方正小标宋简体" w:eastAsia="方正小标宋简体"/>
          <w:sz w:val="36"/>
          <w:szCs w:val="36"/>
        </w:rPr>
      </w:pPr>
    </w:p>
    <w:p w14:paraId="3EE5127D">
      <w:pPr>
        <w:rPr>
          <w:rFonts w:ascii="方正小标宋简体" w:eastAsia="方正小标宋简体"/>
          <w:sz w:val="36"/>
          <w:szCs w:val="36"/>
        </w:rPr>
      </w:pPr>
    </w:p>
    <w:p w14:paraId="3179F8B7">
      <w:pPr>
        <w:autoSpaceDE w:val="0"/>
        <w:autoSpaceDN w:val="0"/>
        <w:adjustRightInd w:val="0"/>
        <w:ind w:left="420" w:leftChars="200"/>
        <w:jc w:val="left"/>
        <w:rPr>
          <w:rFonts w:ascii="宋体"/>
          <w:sz w:val="32"/>
          <w:szCs w:val="32"/>
        </w:rPr>
      </w:pPr>
      <w:r>
        <w:rPr>
          <w:rFonts w:hint="eastAsia" w:ascii="宋体" w:cs="仿宋_GB2312"/>
          <w:sz w:val="32"/>
          <w:szCs w:val="32"/>
        </w:rPr>
        <w:t>保密审查情况：已审查，内容审定</w:t>
      </w:r>
    </w:p>
    <w:p w14:paraId="41D90D06">
      <w:pPr>
        <w:autoSpaceDE w:val="0"/>
        <w:autoSpaceDN w:val="0"/>
        <w:adjustRightInd w:val="0"/>
        <w:ind w:left="420" w:leftChars="200"/>
        <w:jc w:val="left"/>
        <w:rPr>
          <w:rFonts w:ascii="宋体"/>
          <w:sz w:val="32"/>
          <w:szCs w:val="32"/>
        </w:rPr>
      </w:pPr>
      <w:r>
        <w:rPr>
          <w:rFonts w:hint="eastAsia" w:ascii="宋体" w:cs="仿宋_GB2312"/>
          <w:sz w:val="32"/>
          <w:szCs w:val="32"/>
        </w:rPr>
        <w:t>部门主要负责人审签情况：已审签，同意对外公开</w:t>
      </w:r>
    </w:p>
    <w:p w14:paraId="062F9EF4">
      <w:pPr>
        <w:widowControl/>
        <w:jc w:val="center"/>
        <w:rPr>
          <w:rFonts w:ascii="黑体" w:eastAsia="黑体"/>
          <w:sz w:val="48"/>
          <w:szCs w:val="48"/>
        </w:rPr>
      </w:pPr>
    </w:p>
    <w:p w14:paraId="4EDB5FAA">
      <w:pPr>
        <w:pStyle w:val="25"/>
      </w:pPr>
    </w:p>
    <w:p w14:paraId="55EFDCAD">
      <w:pPr>
        <w:pStyle w:val="25"/>
        <w:ind w:left="0" w:right="0" w:firstLine="0"/>
        <w:jc w:val="center"/>
        <w:rPr>
          <w:rFonts w:hint="eastAsia" w:ascii="方正小标宋简体" w:eastAsia="方正小标宋简体"/>
          <w:sz w:val="44"/>
          <w:szCs w:val="44"/>
          <w:lang w:val="en-US" w:eastAsia="zh-CN"/>
        </w:rPr>
      </w:pPr>
      <w:r>
        <w:rPr>
          <w:rFonts w:hint="eastAsia" w:ascii="方正小标宋简体" w:eastAsia="方正小标宋简体"/>
          <w:sz w:val="36"/>
          <w:szCs w:val="36"/>
          <w:lang w:val="en-US" w:eastAsia="zh-CN"/>
        </w:rPr>
        <w:t>目录</w:t>
      </w:r>
    </w:p>
    <w:p w14:paraId="2706C047">
      <w:pPr>
        <w:pStyle w:val="14"/>
        <w:rPr>
          <w:rFonts w:hint="eastAsia" w:ascii="仿宋_GB2312" w:eastAsia="仿宋_GB2312" w:cs="仿宋_GB2312"/>
          <w:b/>
          <w:bCs/>
          <w:sz w:val="32"/>
          <w:szCs w:val="32"/>
        </w:rPr>
      </w:pPr>
      <w:r>
        <w:rPr>
          <w:rFonts w:hint="eastAsia" w:ascii="仿宋_GB2312" w:eastAsia="仿宋_GB2312" w:cs="仿宋_GB2312"/>
          <w:b/>
          <w:bCs/>
          <w:sz w:val="32"/>
          <w:szCs w:val="32"/>
        </w:rPr>
        <w:t>公开时间：202</w:t>
      </w:r>
      <w:r>
        <w:rPr>
          <w:rFonts w:hint="eastAsia" w:ascii="仿宋_GB2312" w:eastAsia="仿宋_GB2312" w:cs="仿宋_GB2312"/>
          <w:b/>
          <w:bCs/>
          <w:sz w:val="32"/>
          <w:szCs w:val="32"/>
          <w:lang w:val="en-US" w:eastAsia="zh-CN"/>
        </w:rPr>
        <w:t>5</w:t>
      </w:r>
      <w:r>
        <w:rPr>
          <w:rFonts w:hint="eastAsia" w:ascii="仿宋_GB2312" w:eastAsia="仿宋_GB2312" w:cs="仿宋_GB2312"/>
          <w:b/>
          <w:bCs/>
          <w:sz w:val="32"/>
          <w:szCs w:val="32"/>
        </w:rPr>
        <w:t>年9月</w:t>
      </w:r>
      <w:r>
        <w:rPr>
          <w:rFonts w:hint="eastAsia" w:ascii="仿宋_GB2312" w:eastAsia="仿宋_GB2312" w:cs="仿宋_GB2312"/>
          <w:b/>
          <w:bCs/>
          <w:sz w:val="32"/>
          <w:szCs w:val="32"/>
          <w:lang w:val="en-US" w:eastAsia="zh-CN"/>
        </w:rPr>
        <w:t>16</w:t>
      </w:r>
      <w:r>
        <w:rPr>
          <w:rFonts w:hint="eastAsia" w:ascii="仿宋_GB2312" w:eastAsia="仿宋_GB2312" w:cs="仿宋_GB2312"/>
          <w:b/>
          <w:bCs/>
          <w:sz w:val="32"/>
          <w:szCs w:val="32"/>
        </w:rPr>
        <w:t>日</w:t>
      </w:r>
    </w:p>
    <w:p w14:paraId="207C8060"/>
    <w:p w14:paraId="722C3911">
      <w:pPr>
        <w:pStyle w:val="14"/>
        <w:tabs>
          <w:tab w:val="right" w:leader="dot" w:pos="8306"/>
          <w:tab w:val="clear" w:pos="8296"/>
        </w:tabs>
      </w:pPr>
      <w:r>
        <w:fldChar w:fldCharType="begin"/>
      </w:r>
      <w:r>
        <w:instrText xml:space="preserve">TOC \o "1-3" \f \h \u </w:instrText>
      </w:r>
      <w:r>
        <w:fldChar w:fldCharType="separate"/>
      </w:r>
      <w:r>
        <w:fldChar w:fldCharType="begin"/>
      </w:r>
      <w:r>
        <w:instrText xml:space="preserve"> HYPERLINK \l _Toc25079 </w:instrText>
      </w:r>
      <w:r>
        <w:fldChar w:fldCharType="separate"/>
      </w:r>
      <w:r>
        <w:rPr>
          <w:rFonts w:hint="eastAsia" w:ascii="方正小标宋简体" w:eastAsia="方正小标宋简体" w:cs="方正小标宋简体"/>
          <w:szCs w:val="72"/>
        </w:rPr>
        <w:t>202</w:t>
      </w:r>
      <w:r>
        <w:rPr>
          <w:rFonts w:hint="eastAsia" w:ascii="方正小标宋简体" w:eastAsia="方正小标宋简体" w:cs="方正小标宋简体"/>
          <w:szCs w:val="72"/>
          <w:lang w:val="en-US" w:eastAsia="zh-CN"/>
        </w:rPr>
        <w:t>4</w:t>
      </w:r>
      <w:r>
        <w:rPr>
          <w:rFonts w:hint="eastAsia" w:ascii="方正小标宋简体" w:eastAsia="方正小标宋简体" w:cs="方正小标宋简体"/>
          <w:szCs w:val="72"/>
        </w:rPr>
        <w:t>年度</w:t>
      </w:r>
      <w:r>
        <w:tab/>
      </w:r>
      <w:r>
        <w:fldChar w:fldCharType="begin"/>
      </w:r>
      <w:r>
        <w:instrText xml:space="preserve"> PAGEREF _Toc25079 \h </w:instrText>
      </w:r>
      <w:r>
        <w:fldChar w:fldCharType="separate"/>
      </w:r>
      <w:r>
        <w:t>- 1 -</w:t>
      </w:r>
      <w:r>
        <w:fldChar w:fldCharType="end"/>
      </w:r>
      <w:r>
        <w:fldChar w:fldCharType="end"/>
      </w:r>
    </w:p>
    <w:p w14:paraId="7EB591D2">
      <w:pPr>
        <w:pStyle w:val="14"/>
        <w:tabs>
          <w:tab w:val="right" w:leader="dot" w:pos="8306"/>
          <w:tab w:val="clear" w:pos="8296"/>
        </w:tabs>
      </w:pPr>
      <w:r>
        <w:fldChar w:fldCharType="begin"/>
      </w:r>
      <w:r>
        <w:instrText xml:space="preserve"> HYPERLINK \l _Toc18277 </w:instrText>
      </w:r>
      <w:r>
        <w:fldChar w:fldCharType="separate"/>
      </w:r>
      <w:r>
        <w:rPr>
          <w:rFonts w:hint="eastAsia" w:ascii="方正小标宋简体" w:eastAsia="方正小标宋简体" w:cs="方正小标宋简体"/>
          <w:szCs w:val="72"/>
        </w:rPr>
        <w:t>四川省阿坝州青少年校外教育活动中心决算</w:t>
      </w:r>
      <w:r>
        <w:tab/>
      </w:r>
      <w:r>
        <w:fldChar w:fldCharType="begin"/>
      </w:r>
      <w:r>
        <w:instrText xml:space="preserve"> PAGEREF _Toc18277 \h </w:instrText>
      </w:r>
      <w:r>
        <w:fldChar w:fldCharType="separate"/>
      </w:r>
      <w:r>
        <w:t>- 1 -</w:t>
      </w:r>
      <w:r>
        <w:fldChar w:fldCharType="end"/>
      </w:r>
      <w:r>
        <w:fldChar w:fldCharType="end"/>
      </w:r>
    </w:p>
    <w:p w14:paraId="55D4DF3C">
      <w:pPr>
        <w:pStyle w:val="14"/>
        <w:tabs>
          <w:tab w:val="right" w:leader="dot" w:pos="8306"/>
          <w:tab w:val="clear" w:pos="8296"/>
        </w:tabs>
      </w:pPr>
      <w:r>
        <w:fldChar w:fldCharType="begin"/>
      </w:r>
      <w:r>
        <w:instrText xml:space="preserve"> HYPERLINK \l _Toc18425 </w:instrText>
      </w:r>
      <w:r>
        <w:fldChar w:fldCharType="separate"/>
      </w:r>
      <w:r>
        <w:rPr>
          <w:rFonts w:hint="eastAsia" w:ascii="方正小标宋简体" w:eastAsia="方正小标宋简体"/>
          <w:szCs w:val="52"/>
        </w:rPr>
        <w:t>(单位公开)</w:t>
      </w:r>
      <w:r>
        <w:tab/>
      </w:r>
      <w:r>
        <w:fldChar w:fldCharType="begin"/>
      </w:r>
      <w:r>
        <w:instrText xml:space="preserve"> PAGEREF _Toc18425 \h </w:instrText>
      </w:r>
      <w:r>
        <w:fldChar w:fldCharType="separate"/>
      </w:r>
      <w:r>
        <w:t>- 1 -</w:t>
      </w:r>
      <w:r>
        <w:fldChar w:fldCharType="end"/>
      </w:r>
      <w:r>
        <w:fldChar w:fldCharType="end"/>
      </w:r>
    </w:p>
    <w:p w14:paraId="0A9DB340">
      <w:pPr>
        <w:pStyle w:val="14"/>
        <w:tabs>
          <w:tab w:val="right" w:leader="dot" w:pos="8306"/>
          <w:tab w:val="clear" w:pos="8296"/>
        </w:tabs>
      </w:pPr>
      <w:r>
        <w:fldChar w:fldCharType="begin"/>
      </w:r>
      <w:r>
        <w:instrText xml:space="preserve"> HYPERLINK \l _Toc469 </w:instrText>
      </w:r>
      <w:r>
        <w:fldChar w:fldCharType="separate"/>
      </w:r>
      <w:r>
        <w:rPr>
          <w:rFonts w:hint="eastAsia" w:ascii="黑体" w:eastAsia="黑体"/>
        </w:rPr>
        <w:t>第一部分 单位</w:t>
      </w:r>
      <w:r>
        <w:rPr>
          <w:rFonts w:hint="eastAsia" w:ascii="黑体" w:eastAsia="黑体"/>
          <w:bCs w:val="0"/>
        </w:rPr>
        <w:t>概况</w:t>
      </w:r>
      <w:r>
        <w:tab/>
      </w:r>
      <w:r>
        <w:fldChar w:fldCharType="begin"/>
      </w:r>
      <w:r>
        <w:instrText xml:space="preserve"> PAGEREF _Toc469 \h </w:instrText>
      </w:r>
      <w:r>
        <w:fldChar w:fldCharType="separate"/>
      </w:r>
      <w:r>
        <w:t>- 3 -</w:t>
      </w:r>
      <w:r>
        <w:fldChar w:fldCharType="end"/>
      </w:r>
      <w:r>
        <w:fldChar w:fldCharType="end"/>
      </w:r>
    </w:p>
    <w:p w14:paraId="368A163C">
      <w:pPr>
        <w:pStyle w:val="15"/>
        <w:tabs>
          <w:tab w:val="right" w:leader="dot" w:pos="8306"/>
          <w:tab w:val="clear" w:pos="8296"/>
        </w:tabs>
      </w:pPr>
      <w:r>
        <w:fldChar w:fldCharType="begin"/>
      </w:r>
      <w:r>
        <w:instrText xml:space="preserve"> HYPERLINK \l _Toc30444 </w:instrText>
      </w:r>
      <w:r>
        <w:fldChar w:fldCharType="separate"/>
      </w:r>
      <w:r>
        <w:rPr>
          <w:rFonts w:hint="eastAsia" w:ascii="黑体" w:eastAsia="黑体"/>
          <w:bCs w:val="0"/>
        </w:rPr>
        <w:t>一、 主要职责</w:t>
      </w:r>
      <w:r>
        <w:tab/>
      </w:r>
      <w:r>
        <w:fldChar w:fldCharType="begin"/>
      </w:r>
      <w:r>
        <w:instrText xml:space="preserve"> PAGEREF _Toc30444 \h </w:instrText>
      </w:r>
      <w:r>
        <w:fldChar w:fldCharType="separate"/>
      </w:r>
      <w:r>
        <w:t>- 3 -</w:t>
      </w:r>
      <w:r>
        <w:fldChar w:fldCharType="end"/>
      </w:r>
      <w:r>
        <w:fldChar w:fldCharType="end"/>
      </w:r>
    </w:p>
    <w:p w14:paraId="507646DB">
      <w:pPr>
        <w:pStyle w:val="15"/>
        <w:tabs>
          <w:tab w:val="right" w:leader="dot" w:pos="8306"/>
          <w:tab w:val="clear" w:pos="8296"/>
        </w:tabs>
      </w:pPr>
      <w:r>
        <w:fldChar w:fldCharType="begin"/>
      </w:r>
      <w:r>
        <w:instrText xml:space="preserve"> HYPERLINK \l _Toc28499 </w:instrText>
      </w:r>
      <w:r>
        <w:fldChar w:fldCharType="separate"/>
      </w:r>
      <w:r>
        <w:rPr>
          <w:rFonts w:hint="eastAsia" w:ascii="黑体" w:eastAsia="黑体"/>
        </w:rPr>
        <w:t>二、 机构设置</w:t>
      </w:r>
      <w:r>
        <w:tab/>
      </w:r>
      <w:r>
        <w:fldChar w:fldCharType="begin"/>
      </w:r>
      <w:r>
        <w:instrText xml:space="preserve"> PAGEREF _Toc28499 \h </w:instrText>
      </w:r>
      <w:r>
        <w:fldChar w:fldCharType="separate"/>
      </w:r>
      <w:r>
        <w:t>- 7 -</w:t>
      </w:r>
      <w:r>
        <w:fldChar w:fldCharType="end"/>
      </w:r>
      <w:r>
        <w:fldChar w:fldCharType="end"/>
      </w:r>
    </w:p>
    <w:p w14:paraId="452B7189">
      <w:pPr>
        <w:pStyle w:val="14"/>
        <w:tabs>
          <w:tab w:val="right" w:leader="dot" w:pos="8306"/>
          <w:tab w:val="clear" w:pos="8296"/>
        </w:tabs>
      </w:pPr>
      <w:r>
        <w:fldChar w:fldCharType="begin"/>
      </w:r>
      <w:r>
        <w:instrText xml:space="preserve"> HYPERLINK \l _Toc10 </w:instrText>
      </w:r>
      <w:r>
        <w:fldChar w:fldCharType="separate"/>
      </w:r>
      <w:r>
        <w:rPr>
          <w:rFonts w:hint="eastAsia" w:ascii="黑体" w:eastAsia="黑体"/>
        </w:rPr>
        <w:t>第二部分 202</w:t>
      </w:r>
      <w:r>
        <w:rPr>
          <w:rFonts w:hint="eastAsia" w:ascii="黑体" w:eastAsia="黑体"/>
          <w:lang w:val="en-US" w:eastAsia="zh-CN"/>
        </w:rPr>
        <w:t>4</w:t>
      </w:r>
      <w:r>
        <w:rPr>
          <w:rFonts w:hint="eastAsia" w:ascii="黑体" w:eastAsia="黑体"/>
        </w:rPr>
        <w:t>年度</w:t>
      </w:r>
      <w:r>
        <w:rPr>
          <w:rFonts w:hint="eastAsia" w:ascii="黑体" w:eastAsia="黑体"/>
          <w:bCs/>
        </w:rPr>
        <w:t>单位决算情况说明</w:t>
      </w:r>
      <w:r>
        <w:tab/>
      </w:r>
      <w:r>
        <w:fldChar w:fldCharType="begin"/>
      </w:r>
      <w:r>
        <w:instrText xml:space="preserve"> PAGEREF _Toc10 \h </w:instrText>
      </w:r>
      <w:r>
        <w:fldChar w:fldCharType="separate"/>
      </w:r>
      <w:r>
        <w:t>- 8 -</w:t>
      </w:r>
      <w:r>
        <w:fldChar w:fldCharType="end"/>
      </w:r>
      <w:r>
        <w:fldChar w:fldCharType="end"/>
      </w:r>
    </w:p>
    <w:p w14:paraId="182D945F">
      <w:pPr>
        <w:pStyle w:val="15"/>
        <w:tabs>
          <w:tab w:val="right" w:leader="dot" w:pos="8306"/>
          <w:tab w:val="clear" w:pos="8296"/>
        </w:tabs>
      </w:pPr>
      <w:r>
        <w:fldChar w:fldCharType="begin"/>
      </w:r>
      <w:r>
        <w:instrText xml:space="preserve"> HYPERLINK \l _Toc7501 </w:instrText>
      </w:r>
      <w:r>
        <w:fldChar w:fldCharType="separate"/>
      </w:r>
      <w:r>
        <w:rPr>
          <w:rFonts w:hint="default" w:ascii="黑体" w:eastAsia="黑体"/>
        </w:rPr>
        <w:t xml:space="preserve">一、 </w:t>
      </w:r>
      <w:r>
        <w:rPr>
          <w:rFonts w:hint="eastAsia" w:ascii="黑体" w:eastAsia="黑体"/>
          <w:szCs w:val="32"/>
        </w:rPr>
        <w:t>收</w:t>
      </w:r>
      <w:r>
        <w:rPr>
          <w:rFonts w:hint="eastAsia" w:ascii="黑体" w:eastAsia="黑体"/>
        </w:rPr>
        <w:t>入支出决算总体情况说明</w:t>
      </w:r>
      <w:r>
        <w:tab/>
      </w:r>
      <w:r>
        <w:fldChar w:fldCharType="begin"/>
      </w:r>
      <w:r>
        <w:instrText xml:space="preserve"> PAGEREF _Toc7501 \h </w:instrText>
      </w:r>
      <w:r>
        <w:fldChar w:fldCharType="separate"/>
      </w:r>
      <w:r>
        <w:t>- 8 -</w:t>
      </w:r>
      <w:r>
        <w:fldChar w:fldCharType="end"/>
      </w:r>
      <w:r>
        <w:fldChar w:fldCharType="end"/>
      </w:r>
    </w:p>
    <w:p w14:paraId="25BE4070">
      <w:pPr>
        <w:pStyle w:val="15"/>
        <w:tabs>
          <w:tab w:val="right" w:leader="dot" w:pos="8306"/>
          <w:tab w:val="clear" w:pos="8296"/>
        </w:tabs>
      </w:pPr>
      <w:r>
        <w:fldChar w:fldCharType="begin"/>
      </w:r>
      <w:r>
        <w:instrText xml:space="preserve"> HYPERLINK \l _Toc24509 </w:instrText>
      </w:r>
      <w:r>
        <w:fldChar w:fldCharType="separate"/>
      </w:r>
      <w:r>
        <w:rPr>
          <w:rFonts w:hint="default" w:ascii="黑体" w:eastAsia="黑体"/>
        </w:rPr>
        <w:t xml:space="preserve">二、 </w:t>
      </w:r>
      <w:r>
        <w:rPr>
          <w:rFonts w:hint="eastAsia" w:ascii="黑体" w:eastAsia="黑体"/>
          <w:szCs w:val="32"/>
        </w:rPr>
        <w:t>收</w:t>
      </w:r>
      <w:r>
        <w:rPr>
          <w:rFonts w:hint="eastAsia" w:ascii="黑体" w:eastAsia="黑体"/>
        </w:rPr>
        <w:t>入决算情况说明</w:t>
      </w:r>
      <w:r>
        <w:tab/>
      </w:r>
      <w:r>
        <w:fldChar w:fldCharType="begin"/>
      </w:r>
      <w:r>
        <w:instrText xml:space="preserve"> PAGEREF _Toc24509 \h </w:instrText>
      </w:r>
      <w:r>
        <w:fldChar w:fldCharType="separate"/>
      </w:r>
      <w:r>
        <w:t>- 8 -</w:t>
      </w:r>
      <w:r>
        <w:fldChar w:fldCharType="end"/>
      </w:r>
      <w:r>
        <w:fldChar w:fldCharType="end"/>
      </w:r>
    </w:p>
    <w:p w14:paraId="527C7AEE">
      <w:pPr>
        <w:pStyle w:val="15"/>
        <w:tabs>
          <w:tab w:val="right" w:leader="dot" w:pos="8306"/>
          <w:tab w:val="clear" w:pos="8296"/>
        </w:tabs>
      </w:pPr>
      <w:r>
        <w:fldChar w:fldCharType="begin"/>
      </w:r>
      <w:r>
        <w:instrText xml:space="preserve"> HYPERLINK \l _Toc28785 </w:instrText>
      </w:r>
      <w:r>
        <w:fldChar w:fldCharType="separate"/>
      </w:r>
      <w:r>
        <w:rPr>
          <w:rFonts w:hint="default" w:ascii="黑体" w:eastAsia="黑体"/>
        </w:rPr>
        <w:t xml:space="preserve">三、 </w:t>
      </w:r>
      <w:r>
        <w:rPr>
          <w:rFonts w:hint="eastAsia" w:ascii="黑体" w:eastAsia="黑体"/>
          <w:szCs w:val="32"/>
        </w:rPr>
        <w:t>支</w:t>
      </w:r>
      <w:r>
        <w:rPr>
          <w:rFonts w:hint="eastAsia" w:ascii="黑体" w:eastAsia="黑体"/>
        </w:rPr>
        <w:t>出决算情况说明</w:t>
      </w:r>
      <w:r>
        <w:tab/>
      </w:r>
      <w:r>
        <w:fldChar w:fldCharType="begin"/>
      </w:r>
      <w:r>
        <w:instrText xml:space="preserve"> PAGEREF _Toc28785 \h </w:instrText>
      </w:r>
      <w:r>
        <w:fldChar w:fldCharType="separate"/>
      </w:r>
      <w:r>
        <w:t>- 9 -</w:t>
      </w:r>
      <w:r>
        <w:fldChar w:fldCharType="end"/>
      </w:r>
      <w:r>
        <w:fldChar w:fldCharType="end"/>
      </w:r>
    </w:p>
    <w:p w14:paraId="1FC4EE34">
      <w:pPr>
        <w:pStyle w:val="15"/>
        <w:tabs>
          <w:tab w:val="right" w:leader="dot" w:pos="8306"/>
          <w:tab w:val="clear" w:pos="8296"/>
        </w:tabs>
      </w:pPr>
      <w:r>
        <w:fldChar w:fldCharType="begin"/>
      </w:r>
      <w:r>
        <w:instrText xml:space="preserve"> HYPERLINK \l _Toc573 </w:instrText>
      </w:r>
      <w:r>
        <w:fldChar w:fldCharType="separate"/>
      </w:r>
      <w:r>
        <w:rPr>
          <w:rFonts w:hint="eastAsia" w:ascii="黑体" w:eastAsia="黑体"/>
          <w:szCs w:val="32"/>
        </w:rPr>
        <w:t>四、财</w:t>
      </w:r>
      <w:r>
        <w:rPr>
          <w:rFonts w:hint="eastAsia" w:ascii="黑体" w:eastAsia="黑体"/>
        </w:rPr>
        <w:t>政拨款收入支出决算总体情况说明</w:t>
      </w:r>
      <w:r>
        <w:tab/>
      </w:r>
      <w:r>
        <w:fldChar w:fldCharType="begin"/>
      </w:r>
      <w:r>
        <w:instrText xml:space="preserve"> PAGEREF _Toc573 \h </w:instrText>
      </w:r>
      <w:r>
        <w:fldChar w:fldCharType="separate"/>
      </w:r>
      <w:r>
        <w:t>- 10 -</w:t>
      </w:r>
      <w:r>
        <w:fldChar w:fldCharType="end"/>
      </w:r>
      <w:r>
        <w:fldChar w:fldCharType="end"/>
      </w:r>
    </w:p>
    <w:p w14:paraId="224569AC">
      <w:pPr>
        <w:pStyle w:val="15"/>
        <w:tabs>
          <w:tab w:val="right" w:leader="dot" w:pos="8306"/>
          <w:tab w:val="clear" w:pos="8296"/>
        </w:tabs>
      </w:pPr>
      <w:r>
        <w:fldChar w:fldCharType="begin"/>
      </w:r>
      <w:r>
        <w:instrText xml:space="preserve"> HYPERLINK \l _Toc23885 </w:instrText>
      </w:r>
      <w:r>
        <w:fldChar w:fldCharType="separate"/>
      </w:r>
      <w:r>
        <w:rPr>
          <w:rFonts w:hint="eastAsia" w:ascii="黑体" w:eastAsia="黑体"/>
          <w:szCs w:val="32"/>
        </w:rPr>
        <w:t>五、一</w:t>
      </w:r>
      <w:r>
        <w:rPr>
          <w:rFonts w:hint="eastAsia" w:ascii="黑体" w:eastAsia="黑体"/>
        </w:rPr>
        <w:t>般公共预算财政拨款支出决算情况说明</w:t>
      </w:r>
      <w:r>
        <w:tab/>
      </w:r>
      <w:r>
        <w:fldChar w:fldCharType="begin"/>
      </w:r>
      <w:r>
        <w:instrText xml:space="preserve"> PAGEREF _Toc23885 \h </w:instrText>
      </w:r>
      <w:r>
        <w:fldChar w:fldCharType="separate"/>
      </w:r>
      <w:r>
        <w:t>- 11 -</w:t>
      </w:r>
      <w:r>
        <w:fldChar w:fldCharType="end"/>
      </w:r>
      <w:r>
        <w:fldChar w:fldCharType="end"/>
      </w:r>
    </w:p>
    <w:p w14:paraId="73AEA32E">
      <w:pPr>
        <w:pStyle w:val="10"/>
        <w:tabs>
          <w:tab w:val="right" w:leader="dot" w:pos="8306"/>
          <w:tab w:val="clear" w:pos="8296"/>
        </w:tabs>
      </w:pPr>
      <w:r>
        <w:fldChar w:fldCharType="begin"/>
      </w:r>
      <w:r>
        <w:instrText xml:space="preserve"> HYPERLINK \l _Toc17968 </w:instrText>
      </w:r>
      <w:r>
        <w:fldChar w:fldCharType="separate"/>
      </w:r>
      <w:r>
        <w:rPr>
          <w:rFonts w:hint="eastAsia" w:ascii="仿宋" w:eastAsia="仿宋"/>
          <w:szCs w:val="32"/>
        </w:rPr>
        <w:t>（一）一般公共预算财政拨款支出决算总体情况</w:t>
      </w:r>
      <w:r>
        <w:tab/>
      </w:r>
      <w:r>
        <w:fldChar w:fldCharType="begin"/>
      </w:r>
      <w:r>
        <w:instrText xml:space="preserve"> PAGEREF _Toc17968 \h </w:instrText>
      </w:r>
      <w:r>
        <w:fldChar w:fldCharType="separate"/>
      </w:r>
      <w:r>
        <w:t>- 11 -</w:t>
      </w:r>
      <w:r>
        <w:fldChar w:fldCharType="end"/>
      </w:r>
      <w:r>
        <w:fldChar w:fldCharType="end"/>
      </w:r>
    </w:p>
    <w:p w14:paraId="1B9B7FDD">
      <w:pPr>
        <w:pStyle w:val="10"/>
        <w:tabs>
          <w:tab w:val="right" w:leader="dot" w:pos="8306"/>
          <w:tab w:val="clear" w:pos="8296"/>
        </w:tabs>
      </w:pPr>
      <w:r>
        <w:fldChar w:fldCharType="begin"/>
      </w:r>
      <w:r>
        <w:instrText xml:space="preserve"> HYPERLINK \l _Toc23292 </w:instrText>
      </w:r>
      <w:r>
        <w:fldChar w:fldCharType="separate"/>
      </w:r>
      <w:r>
        <w:rPr>
          <w:rFonts w:hint="eastAsia" w:ascii="仿宋" w:eastAsia="仿宋"/>
          <w:szCs w:val="32"/>
        </w:rPr>
        <w:t>（二）一般公共预算财政拨款支出决算结构情况</w:t>
      </w:r>
      <w:r>
        <w:tab/>
      </w:r>
      <w:r>
        <w:fldChar w:fldCharType="begin"/>
      </w:r>
      <w:r>
        <w:instrText xml:space="preserve"> PAGEREF _Toc23292 \h </w:instrText>
      </w:r>
      <w:r>
        <w:fldChar w:fldCharType="separate"/>
      </w:r>
      <w:r>
        <w:t>- 12 -</w:t>
      </w:r>
      <w:r>
        <w:fldChar w:fldCharType="end"/>
      </w:r>
      <w:r>
        <w:fldChar w:fldCharType="end"/>
      </w:r>
    </w:p>
    <w:p w14:paraId="7D2DF399">
      <w:pPr>
        <w:pStyle w:val="10"/>
        <w:tabs>
          <w:tab w:val="right" w:leader="dot" w:pos="8306"/>
          <w:tab w:val="clear" w:pos="8296"/>
        </w:tabs>
      </w:pPr>
      <w:r>
        <w:fldChar w:fldCharType="begin"/>
      </w:r>
      <w:r>
        <w:instrText xml:space="preserve"> HYPERLINK \l _Toc13609 </w:instrText>
      </w:r>
      <w:r>
        <w:fldChar w:fldCharType="separate"/>
      </w:r>
      <w:r>
        <w:rPr>
          <w:rFonts w:hint="eastAsia" w:ascii="仿宋" w:eastAsia="仿宋"/>
          <w:szCs w:val="32"/>
        </w:rPr>
        <w:t>（三）一般公共预算财政拨款支出决算具体情况</w:t>
      </w:r>
      <w:r>
        <w:tab/>
      </w:r>
      <w:r>
        <w:fldChar w:fldCharType="begin"/>
      </w:r>
      <w:r>
        <w:instrText xml:space="preserve"> PAGEREF _Toc13609 \h </w:instrText>
      </w:r>
      <w:r>
        <w:fldChar w:fldCharType="separate"/>
      </w:r>
      <w:r>
        <w:t>- 13 -</w:t>
      </w:r>
      <w:r>
        <w:fldChar w:fldCharType="end"/>
      </w:r>
      <w:r>
        <w:fldChar w:fldCharType="end"/>
      </w:r>
    </w:p>
    <w:p w14:paraId="352FBA19">
      <w:pPr>
        <w:pStyle w:val="15"/>
        <w:tabs>
          <w:tab w:val="right" w:leader="dot" w:pos="8306"/>
          <w:tab w:val="clear" w:pos="8296"/>
        </w:tabs>
      </w:pPr>
      <w:r>
        <w:fldChar w:fldCharType="begin"/>
      </w:r>
      <w:r>
        <w:instrText xml:space="preserve"> HYPERLINK \l _Toc2079 </w:instrText>
      </w:r>
      <w:r>
        <w:fldChar w:fldCharType="separate"/>
      </w:r>
      <w:r>
        <w:rPr>
          <w:rFonts w:hint="eastAsia" w:ascii="黑体" w:eastAsia="黑体"/>
          <w:szCs w:val="32"/>
        </w:rPr>
        <w:t>六、一</w:t>
      </w:r>
      <w:r>
        <w:rPr>
          <w:rFonts w:hint="eastAsia" w:ascii="黑体" w:eastAsia="黑体"/>
        </w:rPr>
        <w:t>般公共预算财政拨款基本支出决算情况说明</w:t>
      </w:r>
      <w:r>
        <w:tab/>
      </w:r>
      <w:r>
        <w:fldChar w:fldCharType="begin"/>
      </w:r>
      <w:r>
        <w:instrText xml:space="preserve"> PAGEREF _Toc2079 \h </w:instrText>
      </w:r>
      <w:r>
        <w:fldChar w:fldCharType="separate"/>
      </w:r>
      <w:r>
        <w:t>- 14 -</w:t>
      </w:r>
      <w:r>
        <w:fldChar w:fldCharType="end"/>
      </w:r>
      <w:r>
        <w:fldChar w:fldCharType="end"/>
      </w:r>
    </w:p>
    <w:p w14:paraId="7FD90E09">
      <w:pPr>
        <w:pStyle w:val="15"/>
        <w:tabs>
          <w:tab w:val="right" w:leader="dot" w:pos="8306"/>
          <w:tab w:val="clear" w:pos="8296"/>
        </w:tabs>
      </w:pPr>
      <w:r>
        <w:fldChar w:fldCharType="begin"/>
      </w:r>
      <w:r>
        <w:instrText xml:space="preserve"> HYPERLINK \l _Toc10552 </w:instrText>
      </w:r>
      <w:r>
        <w:fldChar w:fldCharType="separate"/>
      </w:r>
      <w:r>
        <w:rPr>
          <w:rFonts w:hint="eastAsia" w:ascii="黑体" w:eastAsia="黑体"/>
          <w:szCs w:val="32"/>
        </w:rPr>
        <w:t>七、</w:t>
      </w:r>
      <w:r>
        <w:rPr>
          <w:rFonts w:hint="eastAsia" w:ascii="黑体" w:eastAsia="黑体"/>
        </w:rPr>
        <w:t>财政拨款“三公”经费支出决算情况说明</w:t>
      </w:r>
      <w:r>
        <w:tab/>
      </w:r>
      <w:r>
        <w:fldChar w:fldCharType="begin"/>
      </w:r>
      <w:r>
        <w:instrText xml:space="preserve"> PAGEREF _Toc10552 \h </w:instrText>
      </w:r>
      <w:r>
        <w:fldChar w:fldCharType="separate"/>
      </w:r>
      <w:r>
        <w:t>- 15 -</w:t>
      </w:r>
      <w:r>
        <w:fldChar w:fldCharType="end"/>
      </w:r>
      <w:r>
        <w:fldChar w:fldCharType="end"/>
      </w:r>
    </w:p>
    <w:p w14:paraId="373311A2">
      <w:pPr>
        <w:pStyle w:val="10"/>
        <w:tabs>
          <w:tab w:val="right" w:leader="dot" w:pos="8306"/>
          <w:tab w:val="clear" w:pos="8296"/>
        </w:tabs>
      </w:pPr>
      <w:r>
        <w:fldChar w:fldCharType="begin"/>
      </w:r>
      <w:r>
        <w:instrText xml:space="preserve"> HYPERLINK \l _Toc31921 </w:instrText>
      </w:r>
      <w:r>
        <w:fldChar w:fldCharType="separate"/>
      </w:r>
      <w:r>
        <w:rPr>
          <w:rFonts w:hint="eastAsia" w:ascii="仿宋" w:eastAsia="仿宋"/>
          <w:szCs w:val="32"/>
        </w:rPr>
        <w:t>（一）“三公”经费财政拨款支出决算总体情况说明</w:t>
      </w:r>
      <w:r>
        <w:tab/>
      </w:r>
      <w:r>
        <w:fldChar w:fldCharType="begin"/>
      </w:r>
      <w:r>
        <w:instrText xml:space="preserve"> PAGEREF _Toc31921 \h </w:instrText>
      </w:r>
      <w:r>
        <w:fldChar w:fldCharType="separate"/>
      </w:r>
      <w:r>
        <w:t>- 15 -</w:t>
      </w:r>
      <w:r>
        <w:fldChar w:fldCharType="end"/>
      </w:r>
      <w:r>
        <w:fldChar w:fldCharType="end"/>
      </w:r>
    </w:p>
    <w:p w14:paraId="25FB49B7">
      <w:pPr>
        <w:pStyle w:val="10"/>
        <w:tabs>
          <w:tab w:val="right" w:leader="dot" w:pos="8306"/>
          <w:tab w:val="clear" w:pos="8296"/>
        </w:tabs>
      </w:pPr>
      <w:r>
        <w:fldChar w:fldCharType="begin"/>
      </w:r>
      <w:r>
        <w:instrText xml:space="preserve"> HYPERLINK \l _Toc4075 </w:instrText>
      </w:r>
      <w:r>
        <w:fldChar w:fldCharType="separate"/>
      </w:r>
      <w:r>
        <w:rPr>
          <w:rFonts w:hint="eastAsia" w:ascii="仿宋" w:eastAsia="仿宋"/>
          <w:szCs w:val="32"/>
        </w:rPr>
        <w:t>（二）“三公”经费财政拨款支出决算具体情况说明</w:t>
      </w:r>
      <w:r>
        <w:tab/>
      </w:r>
      <w:r>
        <w:fldChar w:fldCharType="begin"/>
      </w:r>
      <w:r>
        <w:instrText xml:space="preserve"> PAGEREF _Toc4075 \h </w:instrText>
      </w:r>
      <w:r>
        <w:fldChar w:fldCharType="separate"/>
      </w:r>
      <w:r>
        <w:t>- 15 -</w:t>
      </w:r>
      <w:r>
        <w:fldChar w:fldCharType="end"/>
      </w:r>
      <w:r>
        <w:fldChar w:fldCharType="end"/>
      </w:r>
    </w:p>
    <w:p w14:paraId="7370638D">
      <w:pPr>
        <w:pStyle w:val="15"/>
        <w:tabs>
          <w:tab w:val="right" w:leader="dot" w:pos="8306"/>
          <w:tab w:val="clear" w:pos="8296"/>
        </w:tabs>
      </w:pPr>
      <w:r>
        <w:fldChar w:fldCharType="begin"/>
      </w:r>
      <w:r>
        <w:instrText xml:space="preserve"> HYPERLINK \l _Toc22397 </w:instrText>
      </w:r>
      <w:r>
        <w:fldChar w:fldCharType="separate"/>
      </w:r>
      <w:r>
        <w:rPr>
          <w:rFonts w:hint="eastAsia" w:ascii="黑体" w:eastAsia="黑体"/>
          <w:szCs w:val="32"/>
        </w:rPr>
        <w:t>八、</w:t>
      </w:r>
      <w:r>
        <w:rPr>
          <w:rFonts w:hint="eastAsia" w:ascii="黑体" w:eastAsia="黑体"/>
        </w:rPr>
        <w:t>政府性基金预算支出决算情况说明</w:t>
      </w:r>
      <w:r>
        <w:tab/>
      </w:r>
      <w:r>
        <w:fldChar w:fldCharType="begin"/>
      </w:r>
      <w:r>
        <w:instrText xml:space="preserve"> PAGEREF _Toc22397 \h </w:instrText>
      </w:r>
      <w:r>
        <w:fldChar w:fldCharType="separate"/>
      </w:r>
      <w:r>
        <w:t>- 16 -</w:t>
      </w:r>
      <w:r>
        <w:fldChar w:fldCharType="end"/>
      </w:r>
      <w:r>
        <w:fldChar w:fldCharType="end"/>
      </w:r>
    </w:p>
    <w:p w14:paraId="56DD4E5B">
      <w:pPr>
        <w:pStyle w:val="15"/>
        <w:tabs>
          <w:tab w:val="right" w:leader="dot" w:pos="8306"/>
          <w:tab w:val="clear" w:pos="8296"/>
        </w:tabs>
      </w:pPr>
      <w:r>
        <w:fldChar w:fldCharType="begin"/>
      </w:r>
      <w:r>
        <w:instrText xml:space="preserve"> HYPERLINK \l _Toc15988 </w:instrText>
      </w:r>
      <w:r>
        <w:fldChar w:fldCharType="separate"/>
      </w:r>
      <w:r>
        <w:rPr>
          <w:rFonts w:hint="eastAsia" w:ascii="黑体" w:eastAsia="黑体"/>
        </w:rPr>
        <w:t>九、 国有资本经营预算支出决算情况说明</w:t>
      </w:r>
      <w:r>
        <w:tab/>
      </w:r>
      <w:r>
        <w:fldChar w:fldCharType="begin"/>
      </w:r>
      <w:r>
        <w:instrText xml:space="preserve"> PAGEREF _Toc15988 \h </w:instrText>
      </w:r>
      <w:r>
        <w:fldChar w:fldCharType="separate"/>
      </w:r>
      <w:r>
        <w:t>- 16 -</w:t>
      </w:r>
      <w:r>
        <w:fldChar w:fldCharType="end"/>
      </w:r>
      <w:r>
        <w:fldChar w:fldCharType="end"/>
      </w:r>
    </w:p>
    <w:p w14:paraId="559CED1A">
      <w:pPr>
        <w:pStyle w:val="15"/>
        <w:tabs>
          <w:tab w:val="right" w:leader="dot" w:pos="8306"/>
          <w:tab w:val="clear" w:pos="8296"/>
        </w:tabs>
      </w:pPr>
      <w:r>
        <w:fldChar w:fldCharType="begin"/>
      </w:r>
      <w:r>
        <w:instrText xml:space="preserve"> HYPERLINK \l _Toc19516 </w:instrText>
      </w:r>
      <w:r>
        <w:fldChar w:fldCharType="separate"/>
      </w:r>
      <w:r>
        <w:rPr>
          <w:rFonts w:hint="eastAsia" w:ascii="黑体" w:eastAsia="黑体"/>
        </w:rPr>
        <w:t>十、 其他重要事项的情况说明</w:t>
      </w:r>
      <w:r>
        <w:tab/>
      </w:r>
      <w:r>
        <w:fldChar w:fldCharType="begin"/>
      </w:r>
      <w:r>
        <w:instrText xml:space="preserve"> PAGEREF _Toc19516 \h </w:instrText>
      </w:r>
      <w:r>
        <w:fldChar w:fldCharType="separate"/>
      </w:r>
      <w:r>
        <w:t>- 16 -</w:t>
      </w:r>
      <w:r>
        <w:fldChar w:fldCharType="end"/>
      </w:r>
      <w:r>
        <w:fldChar w:fldCharType="end"/>
      </w:r>
    </w:p>
    <w:p w14:paraId="099A061B">
      <w:pPr>
        <w:pStyle w:val="10"/>
        <w:tabs>
          <w:tab w:val="right" w:leader="dot" w:pos="8306"/>
          <w:tab w:val="clear" w:pos="8296"/>
        </w:tabs>
      </w:pPr>
      <w:r>
        <w:fldChar w:fldCharType="begin"/>
      </w:r>
      <w:r>
        <w:instrText xml:space="preserve"> HYPERLINK \l _Toc10185 </w:instrText>
      </w:r>
      <w:r>
        <w:fldChar w:fldCharType="separate"/>
      </w:r>
      <w:r>
        <w:rPr>
          <w:rFonts w:hint="eastAsia" w:ascii="仿宋" w:eastAsia="仿宋"/>
          <w:szCs w:val="32"/>
        </w:rPr>
        <w:t>（一）机关运行经费支出情况</w:t>
      </w:r>
      <w:r>
        <w:tab/>
      </w:r>
      <w:r>
        <w:fldChar w:fldCharType="begin"/>
      </w:r>
      <w:r>
        <w:instrText xml:space="preserve"> PAGEREF _Toc10185 \h </w:instrText>
      </w:r>
      <w:r>
        <w:fldChar w:fldCharType="separate"/>
      </w:r>
      <w:r>
        <w:t>- 16 -</w:t>
      </w:r>
      <w:r>
        <w:fldChar w:fldCharType="end"/>
      </w:r>
      <w:r>
        <w:fldChar w:fldCharType="end"/>
      </w:r>
    </w:p>
    <w:p w14:paraId="7C763093">
      <w:pPr>
        <w:pStyle w:val="10"/>
        <w:tabs>
          <w:tab w:val="right" w:leader="dot" w:pos="8306"/>
          <w:tab w:val="clear" w:pos="8296"/>
        </w:tabs>
      </w:pPr>
      <w:r>
        <w:fldChar w:fldCharType="begin"/>
      </w:r>
      <w:r>
        <w:instrText xml:space="preserve"> HYPERLINK \l _Toc24485 </w:instrText>
      </w:r>
      <w:r>
        <w:fldChar w:fldCharType="separate"/>
      </w:r>
      <w:r>
        <w:rPr>
          <w:rFonts w:hint="eastAsia" w:ascii="仿宋" w:eastAsia="仿宋"/>
          <w:szCs w:val="32"/>
        </w:rPr>
        <w:t>（二）政府采购支出情况</w:t>
      </w:r>
      <w:r>
        <w:tab/>
      </w:r>
      <w:r>
        <w:fldChar w:fldCharType="begin"/>
      </w:r>
      <w:r>
        <w:instrText xml:space="preserve"> PAGEREF _Toc24485 \h </w:instrText>
      </w:r>
      <w:r>
        <w:fldChar w:fldCharType="separate"/>
      </w:r>
      <w:r>
        <w:t>- 16 -</w:t>
      </w:r>
      <w:r>
        <w:fldChar w:fldCharType="end"/>
      </w:r>
      <w:r>
        <w:fldChar w:fldCharType="end"/>
      </w:r>
    </w:p>
    <w:p w14:paraId="24E0A4E1">
      <w:pPr>
        <w:pStyle w:val="10"/>
        <w:tabs>
          <w:tab w:val="right" w:leader="dot" w:pos="8306"/>
          <w:tab w:val="clear" w:pos="8296"/>
        </w:tabs>
      </w:pPr>
      <w:r>
        <w:fldChar w:fldCharType="begin"/>
      </w:r>
      <w:r>
        <w:instrText xml:space="preserve"> HYPERLINK \l _Toc3321 </w:instrText>
      </w:r>
      <w:r>
        <w:fldChar w:fldCharType="separate"/>
      </w:r>
      <w:r>
        <w:rPr>
          <w:rFonts w:hint="eastAsia" w:ascii="仿宋" w:eastAsia="仿宋"/>
          <w:szCs w:val="32"/>
        </w:rPr>
        <w:t>（三）国有资产占有使用情况</w:t>
      </w:r>
      <w:r>
        <w:tab/>
      </w:r>
      <w:r>
        <w:fldChar w:fldCharType="begin"/>
      </w:r>
      <w:r>
        <w:instrText xml:space="preserve"> PAGEREF _Toc3321 \h </w:instrText>
      </w:r>
      <w:r>
        <w:fldChar w:fldCharType="separate"/>
      </w:r>
      <w:r>
        <w:t>- 17 -</w:t>
      </w:r>
      <w:r>
        <w:fldChar w:fldCharType="end"/>
      </w:r>
      <w:r>
        <w:fldChar w:fldCharType="end"/>
      </w:r>
    </w:p>
    <w:p w14:paraId="373C7097">
      <w:pPr>
        <w:pStyle w:val="10"/>
        <w:tabs>
          <w:tab w:val="right" w:leader="dot" w:pos="8306"/>
          <w:tab w:val="clear" w:pos="8296"/>
        </w:tabs>
      </w:pPr>
      <w:r>
        <w:fldChar w:fldCharType="begin"/>
      </w:r>
      <w:r>
        <w:instrText xml:space="preserve"> HYPERLINK \l _Toc10483 </w:instrText>
      </w:r>
      <w:r>
        <w:fldChar w:fldCharType="separate"/>
      </w:r>
      <w:r>
        <w:rPr>
          <w:rFonts w:hint="eastAsia" w:ascii="仿宋" w:eastAsia="仿宋"/>
          <w:szCs w:val="32"/>
        </w:rPr>
        <w:t>（四）预算绩效管理情况</w:t>
      </w:r>
      <w:r>
        <w:tab/>
      </w:r>
      <w:r>
        <w:fldChar w:fldCharType="begin"/>
      </w:r>
      <w:r>
        <w:instrText xml:space="preserve"> PAGEREF _Toc10483 \h </w:instrText>
      </w:r>
      <w:r>
        <w:fldChar w:fldCharType="separate"/>
      </w:r>
      <w:r>
        <w:t>- 17 -</w:t>
      </w:r>
      <w:r>
        <w:fldChar w:fldCharType="end"/>
      </w:r>
      <w:r>
        <w:fldChar w:fldCharType="end"/>
      </w:r>
    </w:p>
    <w:p w14:paraId="52BCC3DC">
      <w:pPr>
        <w:pStyle w:val="14"/>
        <w:tabs>
          <w:tab w:val="right" w:leader="dot" w:pos="8306"/>
          <w:tab w:val="clear" w:pos="8296"/>
        </w:tabs>
      </w:pPr>
      <w:r>
        <w:fldChar w:fldCharType="begin"/>
      </w:r>
      <w:r>
        <w:instrText xml:space="preserve"> HYPERLINK \l _Toc16661 </w:instrText>
      </w:r>
      <w:r>
        <w:fldChar w:fldCharType="separate"/>
      </w:r>
      <w:r>
        <w:rPr>
          <w:rFonts w:hint="eastAsia" w:ascii="黑体" w:hAnsi="黑体" w:eastAsia="黑体" w:cs="黑体"/>
          <w:szCs w:val="44"/>
        </w:rPr>
        <w:t xml:space="preserve">第三部分 </w:t>
      </w:r>
      <w:r>
        <w:rPr>
          <w:rFonts w:hint="eastAsia" w:ascii="黑体" w:eastAsia="黑体"/>
          <w:szCs w:val="44"/>
        </w:rPr>
        <w:t>名</w:t>
      </w:r>
      <w:r>
        <w:rPr>
          <w:rFonts w:hint="eastAsia" w:ascii="黑体" w:eastAsia="黑体"/>
        </w:rPr>
        <w:t>词解释</w:t>
      </w:r>
      <w:r>
        <w:tab/>
      </w:r>
      <w:r>
        <w:fldChar w:fldCharType="begin"/>
      </w:r>
      <w:r>
        <w:instrText xml:space="preserve"> PAGEREF _Toc16661 \h </w:instrText>
      </w:r>
      <w:r>
        <w:fldChar w:fldCharType="separate"/>
      </w:r>
      <w:r>
        <w:t>- 20 -</w:t>
      </w:r>
      <w:r>
        <w:fldChar w:fldCharType="end"/>
      </w:r>
      <w:r>
        <w:fldChar w:fldCharType="end"/>
      </w:r>
    </w:p>
    <w:p w14:paraId="282235CB">
      <w:pPr>
        <w:pStyle w:val="14"/>
        <w:tabs>
          <w:tab w:val="right" w:leader="dot" w:pos="8306"/>
          <w:tab w:val="clear" w:pos="8296"/>
        </w:tabs>
      </w:pPr>
      <w:r>
        <w:fldChar w:fldCharType="begin"/>
      </w:r>
      <w:r>
        <w:instrText xml:space="preserve"> HYPERLINK \l _Toc27824 </w:instrText>
      </w:r>
      <w:r>
        <w:fldChar w:fldCharType="separate"/>
      </w:r>
      <w:r>
        <w:rPr>
          <w:rFonts w:hint="eastAsia" w:ascii="黑体" w:eastAsia="黑体"/>
          <w:szCs w:val="44"/>
        </w:rPr>
        <w:t>第</w:t>
      </w:r>
      <w:r>
        <w:rPr>
          <w:rFonts w:hint="eastAsia" w:ascii="黑体" w:eastAsia="黑体"/>
        </w:rPr>
        <w:t>四部分 附件</w:t>
      </w:r>
      <w:r>
        <w:tab/>
      </w:r>
      <w:r>
        <w:fldChar w:fldCharType="begin"/>
      </w:r>
      <w:r>
        <w:instrText xml:space="preserve"> PAGEREF _Toc27824 \h </w:instrText>
      </w:r>
      <w:r>
        <w:fldChar w:fldCharType="separate"/>
      </w:r>
      <w:r>
        <w:t>- 23 -</w:t>
      </w:r>
      <w:r>
        <w:fldChar w:fldCharType="end"/>
      </w:r>
      <w:r>
        <w:fldChar w:fldCharType="end"/>
      </w:r>
    </w:p>
    <w:p w14:paraId="3CC1C7A4">
      <w:pPr>
        <w:pStyle w:val="15"/>
        <w:tabs>
          <w:tab w:val="right" w:leader="dot" w:pos="8306"/>
          <w:tab w:val="clear" w:pos="8296"/>
        </w:tabs>
      </w:pPr>
      <w:r>
        <w:fldChar w:fldCharType="begin"/>
      </w:r>
      <w:r>
        <w:instrText xml:space="preserve"> HYPERLINK \l _Toc9553 </w:instrText>
      </w:r>
      <w:r>
        <w:fldChar w:fldCharType="separate"/>
      </w:r>
      <w:r>
        <w:rPr>
          <w:rFonts w:hint="eastAsia" w:ascii="仿宋" w:eastAsia="仿宋"/>
        </w:rPr>
        <w:t>一、收</w:t>
      </w:r>
      <w:r>
        <w:rPr>
          <w:rFonts w:hint="eastAsia" w:ascii="仿宋" w:eastAsia="仿宋"/>
          <w:bCs w:val="0"/>
        </w:rPr>
        <w:t>入支出决算总表</w:t>
      </w:r>
      <w:r>
        <w:tab/>
      </w:r>
      <w:r>
        <w:fldChar w:fldCharType="begin"/>
      </w:r>
      <w:r>
        <w:instrText xml:space="preserve"> PAGEREF _Toc9553 \h </w:instrText>
      </w:r>
      <w:r>
        <w:fldChar w:fldCharType="separate"/>
      </w:r>
      <w:r>
        <w:t>- 28 -</w:t>
      </w:r>
      <w:r>
        <w:fldChar w:fldCharType="end"/>
      </w:r>
      <w:r>
        <w:fldChar w:fldCharType="end"/>
      </w:r>
    </w:p>
    <w:p w14:paraId="69DD8E3D">
      <w:pPr>
        <w:pStyle w:val="15"/>
        <w:tabs>
          <w:tab w:val="right" w:leader="dot" w:pos="8306"/>
          <w:tab w:val="clear" w:pos="8296"/>
        </w:tabs>
      </w:pPr>
      <w:r>
        <w:fldChar w:fldCharType="begin"/>
      </w:r>
      <w:r>
        <w:instrText xml:space="preserve"> HYPERLINK \l _Toc17092 </w:instrText>
      </w:r>
      <w:r>
        <w:fldChar w:fldCharType="separate"/>
      </w:r>
      <w:r>
        <w:rPr>
          <w:rFonts w:hint="eastAsia" w:ascii="仿宋" w:eastAsia="仿宋"/>
        </w:rPr>
        <w:t>二、收</w:t>
      </w:r>
      <w:r>
        <w:rPr>
          <w:rFonts w:hint="eastAsia" w:ascii="仿宋" w:eastAsia="仿宋"/>
          <w:bCs w:val="0"/>
        </w:rPr>
        <w:t>入决算表</w:t>
      </w:r>
      <w:r>
        <w:tab/>
      </w:r>
      <w:r>
        <w:fldChar w:fldCharType="begin"/>
      </w:r>
      <w:r>
        <w:instrText xml:space="preserve"> PAGEREF _Toc17092 \h </w:instrText>
      </w:r>
      <w:r>
        <w:fldChar w:fldCharType="separate"/>
      </w:r>
      <w:r>
        <w:t>- 28 -</w:t>
      </w:r>
      <w:r>
        <w:fldChar w:fldCharType="end"/>
      </w:r>
      <w:r>
        <w:fldChar w:fldCharType="end"/>
      </w:r>
    </w:p>
    <w:p w14:paraId="6D754C03">
      <w:pPr>
        <w:pStyle w:val="15"/>
        <w:tabs>
          <w:tab w:val="right" w:leader="dot" w:pos="8306"/>
          <w:tab w:val="clear" w:pos="8296"/>
        </w:tabs>
      </w:pPr>
      <w:r>
        <w:fldChar w:fldCharType="begin"/>
      </w:r>
      <w:r>
        <w:instrText xml:space="preserve"> HYPERLINK \l _Toc26451 </w:instrText>
      </w:r>
      <w:r>
        <w:fldChar w:fldCharType="separate"/>
      </w:r>
      <w:r>
        <w:rPr>
          <w:rFonts w:hint="eastAsia" w:ascii="仿宋" w:eastAsia="仿宋"/>
          <w:bCs w:val="0"/>
        </w:rPr>
        <w:t>三、</w:t>
      </w:r>
      <w:r>
        <w:rPr>
          <w:rFonts w:hint="eastAsia" w:ascii="仿宋" w:eastAsia="仿宋"/>
        </w:rPr>
        <w:t>支</w:t>
      </w:r>
      <w:r>
        <w:rPr>
          <w:rFonts w:hint="eastAsia" w:ascii="仿宋" w:eastAsia="仿宋"/>
          <w:bCs w:val="0"/>
        </w:rPr>
        <w:t>出决算表</w:t>
      </w:r>
      <w:r>
        <w:tab/>
      </w:r>
      <w:r>
        <w:fldChar w:fldCharType="begin"/>
      </w:r>
      <w:r>
        <w:instrText xml:space="preserve"> PAGEREF _Toc26451 \h </w:instrText>
      </w:r>
      <w:r>
        <w:fldChar w:fldCharType="separate"/>
      </w:r>
      <w:r>
        <w:t>- 28 -</w:t>
      </w:r>
      <w:r>
        <w:fldChar w:fldCharType="end"/>
      </w:r>
      <w:r>
        <w:fldChar w:fldCharType="end"/>
      </w:r>
    </w:p>
    <w:p w14:paraId="30035404">
      <w:pPr>
        <w:pStyle w:val="15"/>
        <w:tabs>
          <w:tab w:val="right" w:leader="dot" w:pos="8306"/>
          <w:tab w:val="clear" w:pos="8296"/>
        </w:tabs>
      </w:pPr>
      <w:r>
        <w:fldChar w:fldCharType="begin"/>
      </w:r>
      <w:r>
        <w:instrText xml:space="preserve"> HYPERLINK \l _Toc18975 </w:instrText>
      </w:r>
      <w:r>
        <w:fldChar w:fldCharType="separate"/>
      </w:r>
      <w:r>
        <w:rPr>
          <w:rFonts w:hint="eastAsia" w:ascii="仿宋" w:eastAsia="仿宋"/>
          <w:bCs w:val="0"/>
        </w:rPr>
        <w:t>四、</w:t>
      </w:r>
      <w:r>
        <w:rPr>
          <w:rFonts w:hint="eastAsia" w:ascii="仿宋" w:eastAsia="仿宋"/>
        </w:rPr>
        <w:t>财</w:t>
      </w:r>
      <w:r>
        <w:rPr>
          <w:rFonts w:hint="eastAsia" w:ascii="仿宋" w:eastAsia="仿宋"/>
          <w:bCs w:val="0"/>
        </w:rPr>
        <w:t>政拨款收入支出决算总表</w:t>
      </w:r>
      <w:r>
        <w:tab/>
      </w:r>
      <w:r>
        <w:fldChar w:fldCharType="begin"/>
      </w:r>
      <w:r>
        <w:instrText xml:space="preserve"> PAGEREF _Toc18975 \h </w:instrText>
      </w:r>
      <w:r>
        <w:fldChar w:fldCharType="separate"/>
      </w:r>
      <w:r>
        <w:t>- 28 -</w:t>
      </w:r>
      <w:r>
        <w:fldChar w:fldCharType="end"/>
      </w:r>
      <w:r>
        <w:fldChar w:fldCharType="end"/>
      </w:r>
    </w:p>
    <w:p w14:paraId="2E936DD6">
      <w:pPr>
        <w:pStyle w:val="15"/>
        <w:tabs>
          <w:tab w:val="right" w:leader="dot" w:pos="8306"/>
          <w:tab w:val="clear" w:pos="8296"/>
        </w:tabs>
      </w:pPr>
      <w:r>
        <w:fldChar w:fldCharType="begin"/>
      </w:r>
      <w:r>
        <w:instrText xml:space="preserve"> HYPERLINK \l _Toc6851 </w:instrText>
      </w:r>
      <w:r>
        <w:fldChar w:fldCharType="separate"/>
      </w:r>
      <w:r>
        <w:rPr>
          <w:rFonts w:hint="eastAsia" w:ascii="仿宋" w:eastAsia="仿宋"/>
          <w:bCs w:val="0"/>
        </w:rPr>
        <w:t>五、</w:t>
      </w:r>
      <w:r>
        <w:rPr>
          <w:rFonts w:hint="eastAsia" w:ascii="仿宋" w:eastAsia="仿宋"/>
        </w:rPr>
        <w:t>财</w:t>
      </w:r>
      <w:r>
        <w:rPr>
          <w:rFonts w:hint="eastAsia" w:ascii="仿宋" w:eastAsia="仿宋"/>
          <w:bCs w:val="0"/>
        </w:rPr>
        <w:t>政拨款支出决算明细表</w:t>
      </w:r>
      <w:r>
        <w:tab/>
      </w:r>
      <w:r>
        <w:fldChar w:fldCharType="begin"/>
      </w:r>
      <w:r>
        <w:instrText xml:space="preserve"> PAGEREF _Toc6851 \h </w:instrText>
      </w:r>
      <w:r>
        <w:fldChar w:fldCharType="separate"/>
      </w:r>
      <w:r>
        <w:t>- 28 -</w:t>
      </w:r>
      <w:r>
        <w:fldChar w:fldCharType="end"/>
      </w:r>
      <w:r>
        <w:fldChar w:fldCharType="end"/>
      </w:r>
    </w:p>
    <w:p w14:paraId="21E41656">
      <w:pPr>
        <w:pStyle w:val="15"/>
        <w:tabs>
          <w:tab w:val="right" w:leader="dot" w:pos="8306"/>
          <w:tab w:val="clear" w:pos="8296"/>
        </w:tabs>
      </w:pPr>
      <w:r>
        <w:fldChar w:fldCharType="begin"/>
      </w:r>
      <w:r>
        <w:instrText xml:space="preserve"> HYPERLINK \l _Toc15980 </w:instrText>
      </w:r>
      <w:r>
        <w:fldChar w:fldCharType="separate"/>
      </w:r>
      <w:r>
        <w:rPr>
          <w:rFonts w:hint="eastAsia" w:ascii="仿宋" w:eastAsia="仿宋"/>
          <w:bCs w:val="0"/>
        </w:rPr>
        <w:t>六、</w:t>
      </w:r>
      <w:r>
        <w:rPr>
          <w:rFonts w:hint="eastAsia" w:ascii="仿宋" w:eastAsia="仿宋"/>
        </w:rPr>
        <w:t>一</w:t>
      </w:r>
      <w:r>
        <w:rPr>
          <w:rFonts w:hint="eastAsia" w:ascii="仿宋" w:eastAsia="仿宋"/>
          <w:bCs w:val="0"/>
        </w:rPr>
        <w:t>般公共预算财政拨款支出决算表</w:t>
      </w:r>
      <w:r>
        <w:tab/>
      </w:r>
      <w:r>
        <w:fldChar w:fldCharType="begin"/>
      </w:r>
      <w:r>
        <w:instrText xml:space="preserve"> PAGEREF _Toc15980 \h </w:instrText>
      </w:r>
      <w:r>
        <w:fldChar w:fldCharType="separate"/>
      </w:r>
      <w:r>
        <w:t>- 28 -</w:t>
      </w:r>
      <w:r>
        <w:fldChar w:fldCharType="end"/>
      </w:r>
      <w:r>
        <w:fldChar w:fldCharType="end"/>
      </w:r>
    </w:p>
    <w:p w14:paraId="65E00D90">
      <w:pPr>
        <w:pStyle w:val="15"/>
        <w:tabs>
          <w:tab w:val="right" w:leader="dot" w:pos="8306"/>
          <w:tab w:val="clear" w:pos="8296"/>
        </w:tabs>
      </w:pPr>
      <w:r>
        <w:fldChar w:fldCharType="begin"/>
      </w:r>
      <w:r>
        <w:instrText xml:space="preserve"> HYPERLINK \l _Toc20638 </w:instrText>
      </w:r>
      <w:r>
        <w:fldChar w:fldCharType="separate"/>
      </w:r>
      <w:r>
        <w:rPr>
          <w:rFonts w:hint="eastAsia" w:ascii="仿宋" w:eastAsia="仿宋"/>
          <w:bCs w:val="0"/>
        </w:rPr>
        <w:t>七、</w:t>
      </w:r>
      <w:r>
        <w:rPr>
          <w:rFonts w:hint="eastAsia" w:ascii="仿宋" w:eastAsia="仿宋"/>
        </w:rPr>
        <w:t>一</w:t>
      </w:r>
      <w:r>
        <w:rPr>
          <w:rFonts w:hint="eastAsia" w:ascii="仿宋" w:eastAsia="仿宋"/>
          <w:bCs w:val="0"/>
        </w:rPr>
        <w:t>般公共预算财政拨款支出决算明细表</w:t>
      </w:r>
      <w:r>
        <w:tab/>
      </w:r>
      <w:r>
        <w:fldChar w:fldCharType="begin"/>
      </w:r>
      <w:r>
        <w:instrText xml:space="preserve"> PAGEREF _Toc20638 \h </w:instrText>
      </w:r>
      <w:r>
        <w:fldChar w:fldCharType="separate"/>
      </w:r>
      <w:r>
        <w:t>- 28 -</w:t>
      </w:r>
      <w:r>
        <w:fldChar w:fldCharType="end"/>
      </w:r>
      <w:r>
        <w:fldChar w:fldCharType="end"/>
      </w:r>
    </w:p>
    <w:p w14:paraId="30C063C9">
      <w:pPr>
        <w:pStyle w:val="15"/>
        <w:tabs>
          <w:tab w:val="right" w:leader="dot" w:pos="8306"/>
          <w:tab w:val="clear" w:pos="8296"/>
        </w:tabs>
      </w:pPr>
      <w:r>
        <w:fldChar w:fldCharType="begin"/>
      </w:r>
      <w:r>
        <w:instrText xml:space="preserve"> HYPERLINK \l _Toc10423 </w:instrText>
      </w:r>
      <w:r>
        <w:fldChar w:fldCharType="separate"/>
      </w:r>
      <w:r>
        <w:rPr>
          <w:rFonts w:hint="eastAsia" w:ascii="仿宋" w:eastAsia="仿宋"/>
          <w:bCs w:val="0"/>
        </w:rPr>
        <w:t>八、</w:t>
      </w:r>
      <w:r>
        <w:rPr>
          <w:rFonts w:hint="eastAsia" w:ascii="仿宋" w:eastAsia="仿宋"/>
        </w:rPr>
        <w:t>一</w:t>
      </w:r>
      <w:r>
        <w:rPr>
          <w:rFonts w:hint="eastAsia" w:ascii="仿宋" w:eastAsia="仿宋"/>
          <w:bCs w:val="0"/>
        </w:rPr>
        <w:t>般公共预算财政拨款基本支出决算表</w:t>
      </w:r>
      <w:r>
        <w:tab/>
      </w:r>
      <w:r>
        <w:fldChar w:fldCharType="begin"/>
      </w:r>
      <w:r>
        <w:instrText xml:space="preserve"> PAGEREF _Toc10423 \h </w:instrText>
      </w:r>
      <w:r>
        <w:fldChar w:fldCharType="separate"/>
      </w:r>
      <w:r>
        <w:t>- 28 -</w:t>
      </w:r>
      <w:r>
        <w:fldChar w:fldCharType="end"/>
      </w:r>
      <w:r>
        <w:fldChar w:fldCharType="end"/>
      </w:r>
    </w:p>
    <w:p w14:paraId="2B899E1A">
      <w:pPr>
        <w:pStyle w:val="15"/>
        <w:tabs>
          <w:tab w:val="right" w:leader="dot" w:pos="8306"/>
          <w:tab w:val="clear" w:pos="8296"/>
        </w:tabs>
      </w:pPr>
      <w:r>
        <w:fldChar w:fldCharType="begin"/>
      </w:r>
      <w:r>
        <w:instrText xml:space="preserve"> HYPERLINK \l _Toc8661 </w:instrText>
      </w:r>
      <w:r>
        <w:fldChar w:fldCharType="separate"/>
      </w:r>
      <w:r>
        <w:rPr>
          <w:rFonts w:hint="eastAsia" w:ascii="仿宋" w:eastAsia="仿宋"/>
          <w:bCs w:val="0"/>
        </w:rPr>
        <w:t>九、</w:t>
      </w:r>
      <w:r>
        <w:rPr>
          <w:rFonts w:hint="eastAsia" w:ascii="仿宋" w:eastAsia="仿宋"/>
        </w:rPr>
        <w:t>一</w:t>
      </w:r>
      <w:r>
        <w:rPr>
          <w:rFonts w:hint="eastAsia" w:ascii="仿宋" w:eastAsia="仿宋"/>
          <w:bCs w:val="0"/>
        </w:rPr>
        <w:t>般公共预算财政拨款项目支出决算表</w:t>
      </w:r>
      <w:r>
        <w:tab/>
      </w:r>
      <w:r>
        <w:fldChar w:fldCharType="begin"/>
      </w:r>
      <w:r>
        <w:instrText xml:space="preserve"> PAGEREF _Toc8661 \h </w:instrText>
      </w:r>
      <w:r>
        <w:fldChar w:fldCharType="separate"/>
      </w:r>
      <w:r>
        <w:t>- 28 -</w:t>
      </w:r>
      <w:r>
        <w:fldChar w:fldCharType="end"/>
      </w:r>
      <w:r>
        <w:fldChar w:fldCharType="end"/>
      </w:r>
    </w:p>
    <w:p w14:paraId="457A6D3B">
      <w:pPr>
        <w:pStyle w:val="15"/>
        <w:tabs>
          <w:tab w:val="right" w:leader="dot" w:pos="8306"/>
          <w:tab w:val="clear" w:pos="8296"/>
        </w:tabs>
      </w:pPr>
      <w:r>
        <w:fldChar w:fldCharType="begin"/>
      </w:r>
      <w:r>
        <w:instrText xml:space="preserve"> HYPERLINK \l _Toc27114 </w:instrText>
      </w:r>
      <w:r>
        <w:fldChar w:fldCharType="separate"/>
      </w:r>
      <w:r>
        <w:rPr>
          <w:rFonts w:hint="eastAsia" w:ascii="仿宋" w:eastAsia="仿宋"/>
          <w:bCs w:val="0"/>
        </w:rPr>
        <w:t>十、</w:t>
      </w:r>
      <w:r>
        <w:rPr>
          <w:rFonts w:hint="eastAsia" w:ascii="仿宋" w:eastAsia="仿宋"/>
        </w:rPr>
        <w:t>政</w:t>
      </w:r>
      <w:r>
        <w:rPr>
          <w:rFonts w:hint="eastAsia" w:ascii="仿宋" w:eastAsia="仿宋"/>
          <w:bCs w:val="0"/>
        </w:rPr>
        <w:t>府性基金预算财政拨款收入支出决算表</w:t>
      </w:r>
      <w:r>
        <w:tab/>
      </w:r>
      <w:r>
        <w:fldChar w:fldCharType="begin"/>
      </w:r>
      <w:r>
        <w:instrText xml:space="preserve"> PAGEREF _Toc27114 \h </w:instrText>
      </w:r>
      <w:r>
        <w:fldChar w:fldCharType="separate"/>
      </w:r>
      <w:r>
        <w:t>- 28 -</w:t>
      </w:r>
      <w:r>
        <w:fldChar w:fldCharType="end"/>
      </w:r>
      <w:r>
        <w:fldChar w:fldCharType="end"/>
      </w:r>
    </w:p>
    <w:p w14:paraId="50BBE208">
      <w:pPr>
        <w:pStyle w:val="15"/>
        <w:tabs>
          <w:tab w:val="right" w:leader="dot" w:pos="8306"/>
          <w:tab w:val="clear" w:pos="8296"/>
        </w:tabs>
      </w:pPr>
      <w:r>
        <w:fldChar w:fldCharType="begin"/>
      </w:r>
      <w:r>
        <w:instrText xml:space="preserve"> HYPERLINK \l _Toc4167 </w:instrText>
      </w:r>
      <w:r>
        <w:fldChar w:fldCharType="separate"/>
      </w:r>
      <w:r>
        <w:rPr>
          <w:rFonts w:hint="eastAsia" w:ascii="仿宋" w:eastAsia="仿宋"/>
          <w:bCs w:val="0"/>
        </w:rPr>
        <w:t>十一、</w:t>
      </w:r>
      <w:r>
        <w:rPr>
          <w:rFonts w:hint="eastAsia" w:ascii="仿宋" w:eastAsia="仿宋"/>
        </w:rPr>
        <w:t>国</w:t>
      </w:r>
      <w:r>
        <w:rPr>
          <w:rFonts w:hint="eastAsia" w:ascii="仿宋" w:eastAsia="仿宋"/>
          <w:bCs w:val="0"/>
        </w:rPr>
        <w:t>有资本经营预算财政拨款收入支出决算表</w:t>
      </w:r>
      <w:r>
        <w:tab/>
      </w:r>
      <w:r>
        <w:fldChar w:fldCharType="begin"/>
      </w:r>
      <w:r>
        <w:instrText xml:space="preserve"> PAGEREF _Toc4167 \h </w:instrText>
      </w:r>
      <w:r>
        <w:fldChar w:fldCharType="separate"/>
      </w:r>
      <w:r>
        <w:t>- 28 -</w:t>
      </w:r>
      <w:r>
        <w:fldChar w:fldCharType="end"/>
      </w:r>
      <w:r>
        <w:fldChar w:fldCharType="end"/>
      </w:r>
    </w:p>
    <w:p w14:paraId="37AFB2D3">
      <w:pPr>
        <w:pStyle w:val="15"/>
        <w:tabs>
          <w:tab w:val="right" w:leader="dot" w:pos="8306"/>
          <w:tab w:val="clear" w:pos="8296"/>
        </w:tabs>
      </w:pPr>
      <w:r>
        <w:fldChar w:fldCharType="begin"/>
      </w:r>
      <w:r>
        <w:instrText xml:space="preserve"> HYPERLINK \l _Toc5775 </w:instrText>
      </w:r>
      <w:r>
        <w:fldChar w:fldCharType="separate"/>
      </w:r>
      <w:r>
        <w:rPr>
          <w:rFonts w:hint="eastAsia" w:ascii="仿宋" w:eastAsia="仿宋"/>
          <w:bCs w:val="0"/>
        </w:rPr>
        <w:t>十二、国有资本经营预算财政拨</w:t>
      </w:r>
      <w:bookmarkStart w:id="161" w:name="_GoBack"/>
      <w:bookmarkEnd w:id="161"/>
      <w:r>
        <w:rPr>
          <w:rFonts w:hint="eastAsia" w:ascii="仿宋" w:eastAsia="仿宋"/>
          <w:bCs w:val="0"/>
        </w:rPr>
        <w:t>款支出决算表</w:t>
      </w:r>
      <w:r>
        <w:tab/>
      </w:r>
      <w:r>
        <w:fldChar w:fldCharType="begin"/>
      </w:r>
      <w:r>
        <w:instrText xml:space="preserve"> PAGEREF _Toc5775 \h </w:instrText>
      </w:r>
      <w:r>
        <w:fldChar w:fldCharType="separate"/>
      </w:r>
      <w:r>
        <w:t>- 28 -</w:t>
      </w:r>
      <w:r>
        <w:fldChar w:fldCharType="end"/>
      </w:r>
      <w:r>
        <w:fldChar w:fldCharType="end"/>
      </w:r>
    </w:p>
    <w:p w14:paraId="356A2644">
      <w:pPr>
        <w:pStyle w:val="15"/>
        <w:tabs>
          <w:tab w:val="right" w:leader="dot" w:pos="8306"/>
          <w:tab w:val="clear" w:pos="8296"/>
        </w:tabs>
      </w:pPr>
      <w:r>
        <w:fldChar w:fldCharType="begin"/>
      </w:r>
      <w:r>
        <w:instrText xml:space="preserve"> HYPERLINK \l _Toc30736 </w:instrText>
      </w:r>
      <w:r>
        <w:fldChar w:fldCharType="separate"/>
      </w:r>
      <w:r>
        <w:rPr>
          <w:rFonts w:hint="eastAsia" w:ascii="仿宋" w:eastAsia="仿宋"/>
          <w:bCs w:val="0"/>
        </w:rPr>
        <w:t>十三、财政拨款“三公”经费支出决算表</w:t>
      </w:r>
      <w:r>
        <w:tab/>
      </w:r>
      <w:r>
        <w:fldChar w:fldCharType="begin"/>
      </w:r>
      <w:r>
        <w:instrText xml:space="preserve"> PAGEREF _Toc30736 \h </w:instrText>
      </w:r>
      <w:r>
        <w:fldChar w:fldCharType="separate"/>
      </w:r>
      <w:r>
        <w:t>- 28 -</w:t>
      </w:r>
      <w:r>
        <w:fldChar w:fldCharType="end"/>
      </w:r>
      <w:r>
        <w:fldChar w:fldCharType="end"/>
      </w:r>
    </w:p>
    <w:p w14:paraId="0FAFE666">
      <w:r>
        <w:fldChar w:fldCharType="end"/>
      </w:r>
    </w:p>
    <w:p w14:paraId="09735F5C">
      <w:pPr>
        <w:rPr>
          <w:rFonts w:hint="eastAsia"/>
          <w:sz w:val="24"/>
        </w:rPr>
      </w:pPr>
    </w:p>
    <w:p w14:paraId="59D534E3">
      <w:pPr>
        <w:pStyle w:val="16"/>
        <w:rPr>
          <w:rFonts w:hint="eastAsia"/>
          <w:sz w:val="24"/>
        </w:rPr>
      </w:pPr>
    </w:p>
    <w:p w14:paraId="5E9058FB">
      <w:pPr>
        <w:pStyle w:val="5"/>
        <w:ind w:firstLine="2640" w:firstLineChars="600"/>
        <w:jc w:val="both"/>
        <w:rPr>
          <w:rFonts w:ascii="黑体" w:eastAsia="黑体"/>
          <w:sz w:val="32"/>
          <w:szCs w:val="32"/>
        </w:rPr>
      </w:pPr>
      <w:bookmarkStart w:id="24" w:name="_Toc15396599"/>
      <w:bookmarkStart w:id="25" w:name="_Toc15377196"/>
      <w:bookmarkStart w:id="26" w:name="_Toc469"/>
      <w:r>
        <w:rPr>
          <w:rFonts w:hint="eastAsia" w:ascii="黑体" w:eastAsia="黑体"/>
          <w:b w:val="0"/>
        </w:rPr>
        <w:t>第一部分 单位</w:t>
      </w:r>
      <w:r>
        <w:rPr>
          <w:rStyle w:val="23"/>
          <w:rFonts w:hint="eastAsia" w:ascii="黑体" w:eastAsia="黑体"/>
          <w:b w:val="0"/>
          <w:bCs w:val="0"/>
        </w:rPr>
        <w:t>概况</w:t>
      </w:r>
      <w:bookmarkEnd w:id="24"/>
      <w:bookmarkEnd w:id="25"/>
      <w:bookmarkEnd w:id="26"/>
    </w:p>
    <w:p w14:paraId="63F2D70D">
      <w:pPr>
        <w:pStyle w:val="6"/>
        <w:numPr>
          <w:ilvl w:val="0"/>
          <w:numId w:val="1"/>
        </w:numPr>
        <w:rPr>
          <w:rStyle w:val="24"/>
          <w:rFonts w:ascii="黑体" w:eastAsia="黑体"/>
          <w:b w:val="0"/>
          <w:bCs w:val="0"/>
        </w:rPr>
      </w:pPr>
      <w:bookmarkStart w:id="27" w:name="_Toc30444"/>
      <w:bookmarkStart w:id="28" w:name="_Toc15396600"/>
      <w:bookmarkStart w:id="29" w:name="_Toc15377197"/>
      <w:r>
        <w:rPr>
          <w:rStyle w:val="24"/>
          <w:rFonts w:hint="eastAsia" w:ascii="黑体" w:eastAsia="黑体"/>
          <w:b w:val="0"/>
          <w:bCs w:val="0"/>
        </w:rPr>
        <w:t>主要职责</w:t>
      </w:r>
      <w:bookmarkEnd w:id="27"/>
      <w:bookmarkStart w:id="30" w:name="OLE_LINK10"/>
    </w:p>
    <w:p w14:paraId="01A2D1E7">
      <w:r>
        <w:rPr>
          <w:rFonts w:hint="eastAsia" w:ascii="宋体" w:eastAsia="宋体" w:cs="宋体"/>
          <w:kern w:val="0"/>
          <w:sz w:val="28"/>
          <w:szCs w:val="28"/>
        </w:rPr>
        <w:t>（一）主要职能</w:t>
      </w:r>
    </w:p>
    <w:p w14:paraId="14193467">
      <w:pPr>
        <w:pStyle w:val="34"/>
        <w:keepNext w:val="0"/>
        <w:keepLines w:val="0"/>
        <w:widowControl/>
        <w:suppressLineNumbers w:val="0"/>
        <w:ind w:left="0" w:firstLine="640" w:firstLineChars="200"/>
        <w:rPr>
          <w:rFonts w:hint="eastAsia" w:ascii="仿宋" w:eastAsia="仿宋" w:cs="仿宋"/>
          <w:kern w:val="0"/>
          <w:sz w:val="32"/>
          <w:szCs w:val="32"/>
          <w:lang w:val="en-US" w:eastAsia="zh-CN"/>
        </w:rPr>
      </w:pPr>
      <w:bookmarkStart w:id="31" w:name="_Toc32265"/>
      <w:r>
        <w:rPr>
          <w:rFonts w:hint="eastAsia" w:ascii="仿宋" w:eastAsia="仿宋" w:cs="仿宋"/>
          <w:kern w:val="0"/>
          <w:sz w:val="32"/>
          <w:szCs w:val="32"/>
          <w:lang w:val="en-US" w:eastAsia="zh-CN"/>
        </w:rPr>
        <w:t>根据阿编发（2003）89号文件规定，主要职责是：对广大少年儿童进行兴趣培训、在丰富了学生课余生活的同时，使学生学到了课本以外的知识，增长了见识，扩大了视野的下属州教育的公益一类事业单位对广大少年儿童进行兴趣培训。</w:t>
      </w:r>
      <w:bookmarkEnd w:id="30"/>
      <w:bookmarkEnd w:id="31"/>
    </w:p>
    <w:p w14:paraId="1E46C0AF">
      <w:pPr>
        <w:keepNext w:val="0"/>
        <w:keepLines w:val="0"/>
        <w:widowControl/>
        <w:suppressLineNumbers w:val="0"/>
        <w:overflowPunct w:val="0"/>
        <w:autoSpaceDE w:val="0"/>
        <w:autoSpaceDN/>
        <w:spacing w:line="480" w:lineRule="auto"/>
        <w:jc w:val="left"/>
        <w:rPr>
          <w:rFonts w:hint="eastAsia" w:ascii="宋体" w:eastAsia="宋体" w:cs="宋体"/>
          <w:kern w:val="0"/>
          <w:sz w:val="28"/>
          <w:szCs w:val="28"/>
        </w:rPr>
      </w:pPr>
      <w:bookmarkStart w:id="32" w:name="OLE_LINK14"/>
      <w:r>
        <w:rPr>
          <w:rFonts w:hint="eastAsia" w:ascii="宋体" w:eastAsia="宋体" w:cs="宋体"/>
          <w:kern w:val="0"/>
          <w:sz w:val="28"/>
          <w:szCs w:val="28"/>
        </w:rPr>
        <w:t>（二）202</w:t>
      </w:r>
      <w:r>
        <w:rPr>
          <w:rFonts w:hint="eastAsia" w:ascii="宋体" w:cs="宋体"/>
          <w:kern w:val="0"/>
          <w:sz w:val="28"/>
          <w:szCs w:val="28"/>
          <w:lang w:val="en-US" w:eastAsia="zh-CN"/>
        </w:rPr>
        <w:t>4</w:t>
      </w:r>
      <w:r>
        <w:rPr>
          <w:rFonts w:hint="eastAsia" w:ascii="宋体" w:eastAsia="宋体" w:cs="宋体"/>
          <w:kern w:val="0"/>
          <w:sz w:val="28"/>
          <w:szCs w:val="28"/>
        </w:rPr>
        <w:t>年</w:t>
      </w:r>
      <w:r>
        <w:rPr>
          <w:rFonts w:hint="eastAsia" w:ascii="宋体" w:cs="宋体"/>
          <w:kern w:val="0"/>
          <w:sz w:val="28"/>
          <w:szCs w:val="28"/>
          <w:lang w:val="en-US" w:eastAsia="zh-CN"/>
        </w:rPr>
        <w:t>度</w:t>
      </w:r>
      <w:r>
        <w:rPr>
          <w:rFonts w:hint="eastAsia" w:ascii="宋体" w:eastAsia="宋体" w:cs="宋体"/>
          <w:kern w:val="0"/>
          <w:sz w:val="28"/>
          <w:szCs w:val="28"/>
        </w:rPr>
        <w:t>重点工作完成情况</w:t>
      </w:r>
      <w:bookmarkEnd w:id="32"/>
    </w:p>
    <w:p w14:paraId="388ABDD2">
      <w:pPr>
        <w:spacing w:line="576" w:lineRule="exact"/>
        <w:ind w:left="0" w:firstLine="640" w:firstLineChars="200"/>
        <w:rPr>
          <w:rFonts w:hint="eastAsia" w:eastAsia="方正楷体_GB2312" w:cs="Times New Roman"/>
          <w:b w:val="0"/>
          <w:bCs w:val="0"/>
          <w:kern w:val="2"/>
          <w:sz w:val="32"/>
          <w:szCs w:val="32"/>
          <w:lang w:val="en-US" w:eastAsia="zh-CN" w:bidi="ar-SA"/>
        </w:rPr>
      </w:pPr>
      <w:r>
        <w:rPr>
          <w:rFonts w:hint="eastAsia" w:eastAsia="方正楷体_GB2312" w:cs="Times New Roman"/>
          <w:b w:val="0"/>
          <w:bCs w:val="0"/>
          <w:kern w:val="2"/>
          <w:sz w:val="32"/>
          <w:szCs w:val="32"/>
          <w:lang w:val="en-US" w:eastAsia="zh-CN" w:bidi="ar-SA"/>
        </w:rPr>
        <w:t>（1）以活动为载体，以点带面扩大影响力</w:t>
      </w:r>
    </w:p>
    <w:p w14:paraId="1C857D55">
      <w:pPr>
        <w:ind w:firstLine="643" w:firstLineChars="200"/>
        <w:rPr>
          <w:rFonts w:hint="eastAsia" w:ascii="仿宋" w:hAnsi="仿宋" w:eastAsia="仿宋" w:cs="仿宋"/>
          <w:sz w:val="32"/>
          <w:szCs w:val="32"/>
        </w:rPr>
      </w:pPr>
      <w:r>
        <w:rPr>
          <w:rFonts w:hint="eastAsia" w:ascii="仿宋" w:hAnsi="仿宋" w:eastAsia="仿宋" w:cs="仿宋"/>
          <w:b/>
          <w:sz w:val="32"/>
          <w:szCs w:val="32"/>
        </w:rPr>
        <w:t>1、场馆正常运营与学员招收增长</w:t>
      </w:r>
      <w:r>
        <w:rPr>
          <w:rFonts w:hint="eastAsia" w:ascii="仿宋" w:hAnsi="仿宋" w:eastAsia="仿宋" w:cs="仿宋"/>
          <w:sz w:val="32"/>
          <w:szCs w:val="32"/>
        </w:rPr>
        <w:t>。</w:t>
      </w:r>
      <w:r>
        <w:rPr>
          <w:rFonts w:hint="eastAsia" w:ascii="方正仿宋_GB2312" w:eastAsia="方正仿宋_GB2312" w:cs="方正仿宋_GB2312"/>
          <w:sz w:val="32"/>
          <w:szCs w:val="32"/>
        </w:rPr>
        <w:t>新场馆开班之初，我们即设立了13个教学班，吸引了300名学员参与。通过初期的问卷调查及社会反响收集，我们深刻感受到家长与学生们对活动中心的高度期待与热情。基于此，我们在2024年春季进行了学员补录，并于同年9月进一步扩大规模，共开设30个教学班，招收学员619名，成功达到饱和状态，这标志着我中心在服务本地青少年方面迈出了坚实的一步。</w:t>
      </w:r>
    </w:p>
    <w:p w14:paraId="36AE8118">
      <w:pPr>
        <w:ind w:firstLine="643" w:firstLineChars="200"/>
        <w:rPr>
          <w:rFonts w:hint="eastAsia" w:ascii="仿宋" w:hAnsi="仿宋" w:eastAsia="仿宋" w:cs="仿宋"/>
          <w:sz w:val="32"/>
          <w:szCs w:val="32"/>
        </w:rPr>
      </w:pPr>
      <w:r>
        <w:rPr>
          <w:rFonts w:hint="eastAsia" w:ascii="仿宋" w:hAnsi="仿宋" w:eastAsia="仿宋" w:cs="仿宋"/>
          <w:b/>
          <w:sz w:val="32"/>
          <w:szCs w:val="32"/>
        </w:rPr>
        <w:t>2、学生各类活动开展。</w:t>
      </w:r>
      <w:r>
        <w:rPr>
          <w:rFonts w:hint="eastAsia" w:ascii="方正仿宋_GB2312" w:eastAsia="方正仿宋_GB2312" w:cs="方正仿宋_GB2312"/>
          <w:sz w:val="32"/>
          <w:szCs w:val="32"/>
        </w:rPr>
        <w:t>3月组织全体教师和学生开展消防应急演练，增强了中心师生消防安全意识和自我保护意识，为中心全体师生的生命安全提供了有力保障；同月成功举办“AI 时代，智创未来”科技创新活动，激发青少年的科技热情和创新精神，为国家的科技创新事业培养更多优秀的人才。4月举办“清明诵经典 纸鸢寄深情”活动，通过诗歌朗诵和绘画制作风筝，表达对先人的缅怀之情和对美好生活的向往和祝福；在国家安全日来临之际，举办国安活动，提高青少年对国家安全的认识和重视程度，共同守护国家安全；在世界读书日来临之际举办“百日阅读结硕果  书香浸润启新程”读书会，为推动阿坝州青少年阅读文化的发展注入新的活力。5月组织全体师生开展“筑牢安全防线，共护生命之花”安全教育防震应急演练活动，进一步了解地震的危害和应急自救的重要性，掌握基本的应急自救技能；举办“父母学院课堂”活动，通过面对面的研讨交流，使各位家长能够从中受到启发，探索适合自己孩子的教育方法；举办“童心飞扬 筑梦成长”六一儿童节文艺汇演，为青少年们提供了一个展示艺术才华的舞台，也为他们带来了一个快乐、难忘的节日；在六一儿童节来临之际，中心工作人员们带着满满的爱心和精心准备的礼物，到阿坝州康复中心，为这里的小朋友们提前庆祝六一儿童节，传递对特殊儿童群体的关心与爱护。6月与阿坝州关工委、阿坝州教育局关工委联合举办了铸牢中华民族共同体意识第二届“庆六一 唱赞歌”好声音活动，为全州青少年提供展示才华和锻炼能力的平台。7月开展“中医药知识走进阿坝州青少年校外教育活动中心”活动，通过互动、体验的方式，向青少年普及中医药基础知识，传播中医药文化；8月举办“铸牢中华民族共同体意识——石榴籽·国防梦”研学旅行实践活动，增强青少年爱国主义情感和民族自豪感，深刻认识中华民族的伟大和多元文化的魅力，进一步铸牢中华民族共同体意识。11月开展“走进消防世界——阿坝州青少年共筑安全防火墙”消防教室参观活动，通过亲身体验与实地学习，显著提升青少年的消防安全意识，熟练掌握基本的消防安全技能；下旬开展阿坝州第二届“AI 时代，智创未来”科技创新活动，全方位培育青少年科技创新能力，推动青少年科技素养与创新思维的成长，为区域青少年科创教育事业的发展注入新的活力；12月开展艾滋病防治知识宣传教育活动，加强青少年对艾滋病的认识，提高预防意识；举办“围炉煮茶，共话诗书”诗词大会读书活动，通过诗词朗诵、分享与交流，让青少年在品味茶香与书香中，感受诗词的魅力，提升文化素养；举办青少年“友谊杯”首届武术跆拳道交流活动，通过武术和跆拳道这两项传统与现代相结合的体育项目，进一步铸牢中华民族共同体意识，增进青少年之间的友谊与团结。</w:t>
      </w:r>
    </w:p>
    <w:p w14:paraId="09307272">
      <w:pPr>
        <w:rPr>
          <w:rFonts w:hint="eastAsia" w:ascii="仿宋" w:hAnsi="仿宋" w:eastAsia="仿宋" w:cs="仿宋"/>
          <w:sz w:val="32"/>
          <w:szCs w:val="32"/>
        </w:rPr>
      </w:pPr>
      <w:r>
        <w:rPr>
          <w:rFonts w:hint="eastAsia" w:ascii="方正黑体_GBK" w:eastAsia="方正黑体_GBK"/>
          <w:sz w:val="32"/>
          <w:szCs w:val="32"/>
        </w:rPr>
        <w:t xml:space="preserve"> </w:t>
      </w:r>
      <w:r>
        <w:rPr>
          <w:rFonts w:hint="eastAsia" w:ascii="方正黑体_GBK" w:eastAsia="方正黑体_GBK" w:cs="黑体"/>
          <w:sz w:val="32"/>
          <w:szCs w:val="32"/>
        </w:rPr>
        <w:t xml:space="preserve">   </w:t>
      </w:r>
      <w:r>
        <w:rPr>
          <w:rFonts w:hint="eastAsia" w:ascii="仿宋" w:hAnsi="仿宋" w:eastAsia="仿宋" w:cs="仿宋"/>
          <w:b/>
          <w:sz w:val="32"/>
          <w:szCs w:val="32"/>
        </w:rPr>
        <w:t>3、取得的各项荣誉。</w:t>
      </w:r>
      <w:r>
        <w:rPr>
          <w:rFonts w:hint="eastAsia" w:ascii="方正仿宋_GB2312" w:eastAsia="方正仿宋_GB2312" w:cs="方正仿宋_GB2312"/>
          <w:sz w:val="32"/>
          <w:szCs w:val="32"/>
        </w:rPr>
        <w:t>在过去的一年里，我们举办的六一汇报表演、好声音大赛、机器人编程大赛、民族特色美术作品大赛等一系列丰富多彩的活动，得到“四川观察”、“阿坝日报”、“美丽阿坝”、“微阿坝”、“学习强国”等各大平台大力宣传。这些活动的开展不仅丰富了学员们的课余生活，更激发了他们的兴趣爱好与创造力。与阿坝州关工委、阿坝州教育关工委联合打造了包括梦想中心教室、立德大讲堂在内的素养教育空间；与阿坝州消防队联合打造了阿坝州消防培训公益中心，目前第一阶段已结束。</w:t>
      </w:r>
    </w:p>
    <w:p w14:paraId="304E0D1E">
      <w:pPr>
        <w:ind w:firstLine="640" w:firstLineChars="200"/>
        <w:rPr>
          <w:rFonts w:hint="eastAsia" w:ascii="方正仿宋_GB2312" w:eastAsia="方正仿宋_GB2312" w:cs="方正仿宋_GB2312"/>
          <w:sz w:val="32"/>
          <w:szCs w:val="32"/>
        </w:rPr>
      </w:pPr>
      <w:r>
        <w:rPr>
          <w:rFonts w:hint="eastAsia" w:ascii="方正仿宋_GB2312" w:eastAsia="方正仿宋_GB2312" w:cs="方正仿宋_GB2312"/>
          <w:sz w:val="32"/>
          <w:szCs w:val="32"/>
        </w:rPr>
        <w:t>在2023—2024年全国中小学信息技术创新与实践大赛四川省选拔赛中，我中心学员表现出色，荣获多项一等奖，并在全国赛中再次斩获一等奖，展现了阿坝州青少年的卓越风采。此外，我们还获得了阿坝州2024年中华经典诵写讲演系列活动比赛三等奖；在世界机器人大赛中，我中心学员荣获初中组一等奖，成功晋级全国大赛；12月，多名同学在阿坝州青少年武术跆拳道交流赛上获得一等奖；播音主持班的爱国朗诵作品更是被“学习强国”、马尔康在线等平台广泛采用，影响力不断扩大。</w:t>
      </w:r>
    </w:p>
    <w:p w14:paraId="38FC1F81">
      <w:pPr>
        <w:ind w:firstLine="643" w:firstLineChars="200"/>
        <w:rPr>
          <w:rFonts w:hint="eastAsia" w:ascii="方正仿宋_GB2312" w:eastAsia="方正仿宋_GB2312" w:cs="方正仿宋_GB2312"/>
          <w:sz w:val="32"/>
          <w:szCs w:val="32"/>
        </w:rPr>
      </w:pPr>
      <w:r>
        <w:rPr>
          <w:rFonts w:hint="eastAsia" w:ascii="方正仿宋_GB2312" w:eastAsia="方正仿宋_GB2312" w:cs="方正仿宋_GB2312"/>
          <w:b/>
          <w:sz w:val="32"/>
          <w:szCs w:val="32"/>
        </w:rPr>
        <w:t>4、研学实践与教师培训。</w:t>
      </w:r>
      <w:r>
        <w:rPr>
          <w:rFonts w:hint="eastAsia" w:ascii="方正仿宋_GB2312" w:eastAsia="方正仿宋_GB2312" w:cs="方正仿宋_GB2312"/>
          <w:sz w:val="32"/>
          <w:szCs w:val="32"/>
        </w:rPr>
        <w:t>研学教育是我中心的一大特色。我们成功开展了“阿坝州青少年校外教育活动中心暑期研学营”、“铸牢中华民族共同体意识——石榴籽•国防梦夏令营”、“爱启梦想•阿坝行上海-马尔康手拉手友好夏令营”等活动，以及关怀康复中心小朋友的节日慰问，让学员们在实践中学习，在体验中成长。</w:t>
      </w:r>
    </w:p>
    <w:p w14:paraId="1EFD13FE">
      <w:pPr>
        <w:ind w:firstLine="640" w:firstLineChars="200"/>
        <w:rPr>
          <w:rFonts w:hint="eastAsia"/>
        </w:rPr>
      </w:pPr>
      <w:r>
        <w:rPr>
          <w:rFonts w:hint="eastAsia" w:ascii="方正仿宋_GB2312" w:eastAsia="方正仿宋_GB2312" w:cs="方正仿宋_GB2312"/>
          <w:sz w:val="32"/>
          <w:szCs w:val="32"/>
        </w:rPr>
        <w:t>同时，我们重视教师队伍的建设与发展，定期组织教师教研活动，并选派教师参加成都少年宫的专业培训，不断提升教学质量与服务水平。</w:t>
      </w:r>
    </w:p>
    <w:p w14:paraId="5625E264">
      <w:pPr>
        <w:pStyle w:val="6"/>
        <w:numPr>
          <w:ilvl w:val="0"/>
          <w:numId w:val="1"/>
        </w:numPr>
        <w:ind w:left="0" w:firstLine="0"/>
        <w:rPr>
          <w:rFonts w:hint="eastAsia" w:ascii="黑体" w:eastAsia="黑体"/>
          <w:b w:val="0"/>
        </w:rPr>
      </w:pPr>
      <w:bookmarkStart w:id="33" w:name="_Toc28499"/>
      <w:r>
        <w:rPr>
          <w:rFonts w:hint="eastAsia" w:ascii="黑体" w:eastAsia="黑体"/>
          <w:b w:val="0"/>
        </w:rPr>
        <w:t>机构设置</w:t>
      </w:r>
      <w:bookmarkEnd w:id="33"/>
    </w:p>
    <w:p w14:paraId="6C831B6B">
      <w:pPr>
        <w:pStyle w:val="34"/>
        <w:keepNext w:val="0"/>
        <w:keepLines w:val="0"/>
        <w:widowControl/>
        <w:suppressLineNumbers w:val="0"/>
        <w:ind w:left="0" w:firstLine="640" w:firstLineChars="200"/>
        <w:rPr>
          <w:rFonts w:hint="eastAsia" w:ascii="仿宋" w:eastAsia="仿宋" w:cs="仿宋"/>
          <w:kern w:val="0"/>
          <w:sz w:val="32"/>
          <w:szCs w:val="32"/>
          <w:lang w:val="en-US" w:eastAsia="zh-CN"/>
        </w:rPr>
      </w:pPr>
      <w:r>
        <w:rPr>
          <w:rFonts w:hint="eastAsia" w:ascii="仿宋" w:eastAsia="仿宋" w:cs="仿宋"/>
          <w:kern w:val="0"/>
          <w:sz w:val="32"/>
          <w:szCs w:val="32"/>
          <w:lang w:val="en-US" w:eastAsia="zh-CN"/>
        </w:rPr>
        <w:t>本单位属于州教育局下设二级事业单位。内设主任办公室、总务部、教科部、办公室四个部门。本年度纳入本套决算编制范围的独立编制机构数共1个，比上年增加0个；独立核算机构数共1个。年末实有人数为6人，年末实有离退休人数为1人；年末实有其他人数为0人。</w:t>
      </w:r>
    </w:p>
    <w:p w14:paraId="48E3744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560" w:firstLineChars="200"/>
        <w:jc w:val="both"/>
        <w:rPr>
          <w:rFonts w:hint="eastAsia" w:ascii="宋体" w:eastAsia="宋体" w:cs="宋体"/>
          <w:kern w:val="0"/>
          <w:sz w:val="28"/>
          <w:szCs w:val="28"/>
          <w:lang w:val="en-US" w:eastAsia="zh-CN"/>
        </w:rPr>
      </w:pPr>
    </w:p>
    <w:p w14:paraId="01D73F55"/>
    <w:bookmarkEnd w:id="28"/>
    <w:bookmarkEnd w:id="29"/>
    <w:p w14:paraId="28F54405">
      <w:pPr>
        <w:widowControl/>
        <w:jc w:val="left"/>
        <w:rPr>
          <w:rFonts w:ascii="仿宋" w:eastAsia="仿宋"/>
          <w:kern w:val="0"/>
          <w:sz w:val="32"/>
          <w:szCs w:val="32"/>
        </w:rPr>
      </w:pPr>
      <w:r>
        <w:rPr>
          <w:rFonts w:ascii="仿宋" w:eastAsia="仿宋"/>
          <w:sz w:val="32"/>
          <w:szCs w:val="32"/>
        </w:rPr>
        <w:br w:type="page"/>
      </w:r>
    </w:p>
    <w:p w14:paraId="4D199EA9">
      <w:pPr>
        <w:pStyle w:val="5"/>
        <w:ind w:right="440"/>
        <w:jc w:val="center"/>
      </w:pPr>
      <w:bookmarkStart w:id="34" w:name="_Toc15377204"/>
      <w:bookmarkStart w:id="35" w:name="_Toc15396602"/>
      <w:bookmarkStart w:id="36" w:name="_Toc10"/>
      <w:r>
        <w:rPr>
          <w:rFonts w:hint="eastAsia" w:ascii="黑体" w:eastAsia="黑体"/>
          <w:b w:val="0"/>
        </w:rPr>
        <w:t>第二部分 202</w:t>
      </w:r>
      <w:r>
        <w:rPr>
          <w:rFonts w:hint="eastAsia" w:ascii="黑体" w:eastAsia="黑体"/>
          <w:b w:val="0"/>
          <w:lang w:val="en-US" w:eastAsia="zh-CN"/>
        </w:rPr>
        <w:t>4</w:t>
      </w:r>
      <w:r>
        <w:rPr>
          <w:rFonts w:hint="eastAsia" w:ascii="黑体" w:eastAsia="黑体"/>
          <w:b w:val="0"/>
        </w:rPr>
        <w:t>年度</w:t>
      </w:r>
      <w:r>
        <w:rPr>
          <w:rStyle w:val="23"/>
          <w:rFonts w:hint="eastAsia" w:ascii="黑体" w:eastAsia="黑体"/>
          <w:b w:val="0"/>
          <w:bCs/>
        </w:rPr>
        <w:t>单位决算情况说明</w:t>
      </w:r>
      <w:bookmarkEnd w:id="34"/>
      <w:bookmarkEnd w:id="35"/>
      <w:bookmarkEnd w:id="36"/>
    </w:p>
    <w:p w14:paraId="235CBA9B">
      <w:pPr>
        <w:pStyle w:val="30"/>
        <w:numPr>
          <w:ilvl w:val="0"/>
          <w:numId w:val="2"/>
        </w:numPr>
        <w:spacing w:line="600" w:lineRule="exact"/>
        <w:ind w:firstLineChars="0"/>
        <w:outlineLvl w:val="1"/>
        <w:rPr>
          <w:rStyle w:val="24"/>
          <w:rFonts w:ascii="黑体" w:eastAsia="黑体"/>
          <w:b w:val="0"/>
        </w:rPr>
      </w:pPr>
      <w:bookmarkStart w:id="37" w:name="_Toc15377205"/>
      <w:bookmarkStart w:id="38" w:name="_Toc15396603"/>
      <w:bookmarkStart w:id="39" w:name="_Toc7501"/>
      <w:r>
        <w:rPr>
          <w:rFonts w:hint="eastAsia" w:ascii="黑体" w:eastAsia="黑体"/>
          <w:sz w:val="32"/>
          <w:szCs w:val="32"/>
        </w:rPr>
        <w:t>收</w:t>
      </w:r>
      <w:r>
        <w:rPr>
          <w:rStyle w:val="24"/>
          <w:rFonts w:hint="eastAsia" w:ascii="黑体" w:eastAsia="黑体"/>
          <w:b w:val="0"/>
        </w:rPr>
        <w:t>入支出决算总体情况说明</w:t>
      </w:r>
      <w:bookmarkEnd w:id="37"/>
      <w:bookmarkEnd w:id="38"/>
      <w:bookmarkEnd w:id="39"/>
    </w:p>
    <w:p w14:paraId="6F9876A0">
      <w:pPr>
        <w:snapToGrid w:val="0"/>
        <w:spacing w:line="520" w:lineRule="exact"/>
        <w:ind w:firstLine="640" w:firstLineChars="200"/>
        <w:rPr>
          <w:rFonts w:hint="eastAsia" w:ascii="宋体" w:eastAsia="宋体" w:cs="宋体"/>
          <w:kern w:val="0"/>
          <w:sz w:val="28"/>
          <w:szCs w:val="28"/>
        </w:rPr>
      </w:pPr>
      <w:bookmarkStart w:id="40" w:name="OLE_LINK12"/>
      <w:r>
        <w:rPr>
          <w:rFonts w:hint="eastAsia" w:ascii="Times New Roman" w:hAnsi="Times New Roman" w:eastAsia="仿宋_GB2312" w:cs="仿宋_GB2312"/>
          <w:color w:val="auto"/>
          <w:sz w:val="32"/>
          <w:szCs w:val="32"/>
          <w:highlight w:val="none"/>
          <w:lang w:eastAsia="zh-CN"/>
        </w:rPr>
        <w:t>2024年度收入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313.68</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lang w:val="en-US" w:eastAsia="zh-CN"/>
        </w:rPr>
        <w:t>600.12万元</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ascii="Times New Roman" w:hAnsi="Times New Roman" w:eastAsia="仿宋_GB2312" w:cs="仿宋_GB2312"/>
          <w:color w:val="auto"/>
          <w:sz w:val="32"/>
          <w:szCs w:val="32"/>
          <w:highlight w:val="none"/>
          <w:lang w:val="en-US" w:eastAsia="zh-CN"/>
        </w:rPr>
        <w:t>286.44</w:t>
      </w:r>
      <w:r>
        <w:rPr>
          <w:rFonts w:hint="eastAsia" w:ascii="Times New Roman" w:hAnsi="Times New Roman" w:eastAsia="仿宋_GB2312" w:cs="仿宋_GB2312"/>
          <w:color w:val="auto"/>
          <w:sz w:val="32"/>
          <w:szCs w:val="32"/>
          <w:highlight w:val="none"/>
        </w:rPr>
        <w:t>万元，下降</w:t>
      </w:r>
      <w:r>
        <w:rPr>
          <w:rFonts w:hint="eastAsia" w:ascii="Times New Roman" w:hAnsi="Times New Roman" w:eastAsia="仿宋_GB2312" w:cs="仿宋_GB2312"/>
          <w:color w:val="auto"/>
          <w:sz w:val="32"/>
          <w:szCs w:val="32"/>
          <w:highlight w:val="none"/>
          <w:lang w:val="en-US" w:eastAsia="zh-CN"/>
        </w:rPr>
        <w:t>47.73</w:t>
      </w:r>
      <w:r>
        <w:rPr>
          <w:rFonts w:hint="eastAsia" w:ascii="Times New Roman" w:hAnsi="Times New Roman" w:eastAsia="仿宋_GB2312" w:cs="仿宋_GB2312"/>
          <w:color w:val="auto"/>
          <w:sz w:val="32"/>
          <w:szCs w:val="32"/>
          <w:highlight w:val="none"/>
        </w:rPr>
        <w:t>%。主要变动原因是</w:t>
      </w:r>
      <w:r>
        <w:rPr>
          <w:rFonts w:hint="eastAsia" w:ascii="仿宋_GB2312" w:eastAsia="仿宋_GB2312" w:cs="仿宋_GB2312"/>
          <w:kern w:val="0"/>
          <w:sz w:val="32"/>
          <w:szCs w:val="32"/>
          <w:lang w:eastAsia="zh-Hans"/>
        </w:rPr>
        <w:t>本年新场馆基本建设项目结束，资本性支出减少</w:t>
      </w:r>
      <w:r>
        <w:rPr>
          <w:rFonts w:hint="eastAsia" w:ascii="仿宋_GB2312" w:eastAsia="仿宋_GB2312" w:cs="仿宋_GB2312"/>
          <w:kern w:val="0"/>
          <w:sz w:val="32"/>
          <w:szCs w:val="32"/>
          <w:lang w:eastAsia="zh-CN"/>
        </w:rPr>
        <w:t>。</w:t>
      </w:r>
      <w:bookmarkEnd w:id="40"/>
    </w:p>
    <w:p w14:paraId="3A45C28C">
      <w:pPr>
        <w:pStyle w:val="8"/>
        <w:ind w:left="1669" w:leftChars="0" w:hanging="1669" w:hangingChars="795"/>
        <w:jc w:val="both"/>
        <w:rPr>
          <w:rFonts w:hint="eastAsia" w:eastAsia="宋体"/>
          <w:lang w:eastAsia="zh-CN"/>
        </w:rPr>
      </w:pPr>
      <w:r>
        <w:rPr>
          <w:rFonts w:hint="eastAsia" w:eastAsia="宋体"/>
          <w:lang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80105C3">
      <w:pPr>
        <w:spacing w:line="600" w:lineRule="exact"/>
        <w:ind w:firstLine="640" w:firstLineChars="200"/>
        <w:rPr>
          <w:rFonts w:ascii="仿宋_GB2312" w:eastAsia="仿宋_GB2312"/>
          <w:sz w:val="32"/>
          <w:szCs w:val="32"/>
        </w:rPr>
      </w:pPr>
      <w:r>
        <w:rPr>
          <w:rFonts w:hint="eastAsia" w:ascii="仿宋" w:eastAsia="仿宋"/>
          <w:sz w:val="32"/>
          <w:szCs w:val="32"/>
        </w:rPr>
        <w:t>（图</w:t>
      </w:r>
      <w:r>
        <w:rPr>
          <w:rFonts w:ascii="仿宋" w:eastAsia="仿宋"/>
          <w:sz w:val="32"/>
          <w:szCs w:val="32"/>
        </w:rPr>
        <w:t>1</w:t>
      </w:r>
      <w:r>
        <w:rPr>
          <w:rFonts w:hint="eastAsia" w:ascii="仿宋" w:eastAsia="仿宋"/>
          <w:sz w:val="32"/>
          <w:szCs w:val="32"/>
        </w:rPr>
        <w:t>：</w:t>
      </w:r>
      <w:bookmarkStart w:id="41" w:name="OLE_LINK1"/>
      <w:r>
        <w:rPr>
          <w:rFonts w:hint="eastAsia" w:ascii="仿宋" w:eastAsia="仿宋"/>
          <w:sz w:val="32"/>
          <w:szCs w:val="32"/>
        </w:rPr>
        <w:t>收、支决算总计变动情况图</w:t>
      </w:r>
      <w:bookmarkEnd w:id="41"/>
      <w:r>
        <w:rPr>
          <w:rFonts w:hint="eastAsia" w:ascii="仿宋" w:eastAsia="仿宋"/>
          <w:sz w:val="32"/>
          <w:szCs w:val="32"/>
        </w:rPr>
        <w:t>）（柱状图）</w:t>
      </w:r>
    </w:p>
    <w:p w14:paraId="463670A0">
      <w:pPr>
        <w:pStyle w:val="30"/>
        <w:numPr>
          <w:ilvl w:val="0"/>
          <w:numId w:val="2"/>
        </w:numPr>
        <w:spacing w:line="600" w:lineRule="exact"/>
        <w:ind w:firstLineChars="0"/>
        <w:outlineLvl w:val="1"/>
        <w:rPr>
          <w:rStyle w:val="24"/>
          <w:rFonts w:ascii="黑体" w:eastAsia="黑体"/>
          <w:b w:val="0"/>
        </w:rPr>
      </w:pPr>
      <w:bookmarkStart w:id="42" w:name="_Toc15377206"/>
      <w:bookmarkStart w:id="43" w:name="_Toc15396604"/>
      <w:bookmarkStart w:id="44" w:name="_Toc24509"/>
      <w:r>
        <w:rPr>
          <w:rFonts w:hint="eastAsia" w:ascii="黑体" w:eastAsia="黑体"/>
          <w:sz w:val="32"/>
          <w:szCs w:val="32"/>
        </w:rPr>
        <w:t>收</w:t>
      </w:r>
      <w:r>
        <w:rPr>
          <w:rStyle w:val="24"/>
          <w:rFonts w:hint="eastAsia" w:ascii="黑体" w:eastAsia="黑体"/>
          <w:b w:val="0"/>
        </w:rPr>
        <w:t>入决算情况说明</w:t>
      </w:r>
      <w:bookmarkEnd w:id="42"/>
      <w:bookmarkEnd w:id="43"/>
      <w:bookmarkEnd w:id="44"/>
    </w:p>
    <w:p w14:paraId="61E7B691">
      <w:pPr>
        <w:spacing w:line="600" w:lineRule="exact"/>
        <w:ind w:firstLine="640" w:firstLineChars="200"/>
        <w:outlineLvl w:val="9"/>
        <w:rPr>
          <w:rFonts w:hint="eastAsia" w:ascii="仿宋" w:eastAsia="仿宋"/>
          <w:sz w:val="32"/>
          <w:szCs w:val="32"/>
          <w:lang w:eastAsia="zh-CN"/>
        </w:rPr>
      </w:pPr>
      <w:bookmarkStart w:id="45" w:name="_Toc374"/>
      <w:bookmarkStart w:id="46" w:name="_Toc4959"/>
      <w:bookmarkStart w:id="47" w:name="_Toc11630"/>
      <w:r>
        <w:rPr>
          <w:rFonts w:hint="eastAsia" w:ascii="仿宋_GB2312" w:hAnsi="仿宋_GB2312" w:eastAsia="仿宋_GB2312" w:cs="仿宋_GB2312"/>
          <w:color w:val="auto"/>
          <w:sz w:val="32"/>
          <w:szCs w:val="32"/>
          <w:highlight w:val="none"/>
          <w:lang w:eastAsia="zh-CN"/>
        </w:rPr>
        <w:t>2024年度本年收入合计</w:t>
      </w:r>
      <w:r>
        <w:rPr>
          <w:rFonts w:hint="eastAsia" w:ascii="仿宋_GB2312" w:hAnsi="仿宋_GB2312" w:eastAsia="仿宋_GB2312" w:cs="仿宋_GB2312"/>
          <w:sz w:val="32"/>
          <w:szCs w:val="32"/>
        </w:rPr>
        <w:t>288.09万元，其中：一般公共预算财政拨款收入285.28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99.02</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2.81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0.97</w:t>
      </w:r>
      <w:r>
        <w:rPr>
          <w:rFonts w:hint="eastAsia" w:ascii="仿宋_GB2312" w:hAnsi="仿宋_GB2312" w:eastAsia="仿宋_GB2312" w:cs="仿宋_GB2312"/>
          <w:color w:val="auto"/>
          <w:sz w:val="32"/>
          <w:szCs w:val="32"/>
          <w:highlight w:val="none"/>
          <w:lang w:eastAsia="zh-CN"/>
        </w:rPr>
        <w:t>%</w:t>
      </w:r>
      <w:r>
        <w:rPr>
          <w:rFonts w:hint="eastAsia" w:ascii="仿宋" w:eastAsia="仿宋"/>
          <w:sz w:val="32"/>
          <w:szCs w:val="32"/>
          <w:lang w:eastAsia="zh-CN"/>
        </w:rPr>
        <w:t>。</w:t>
      </w:r>
      <w:bookmarkEnd w:id="45"/>
      <w:bookmarkEnd w:id="46"/>
      <w:bookmarkEnd w:id="47"/>
    </w:p>
    <w:p w14:paraId="560B3B3A">
      <w:pPr>
        <w:pStyle w:val="8"/>
        <w:ind w:left="0" w:leftChars="0" w:firstLine="0"/>
        <w:rPr>
          <w:rFonts w:hint="eastAsia"/>
          <w:lang w:eastAsia="zh-CN"/>
        </w:rPr>
      </w:pPr>
    </w:p>
    <w:p w14:paraId="558399C2">
      <w:pPr>
        <w:rPr>
          <w:rFonts w:hint="eastAsia"/>
          <w:lang w:eastAsia="zh-CN"/>
        </w:rPr>
      </w:pPr>
    </w:p>
    <w:p w14:paraId="0A86FE69">
      <w:pPr>
        <w:rPr>
          <w:rFonts w:hint="eastAsia"/>
          <w:lang w:eastAsia="zh-CN"/>
        </w:rPr>
      </w:pPr>
    </w:p>
    <w:p w14:paraId="5334CCAB">
      <w:pPr>
        <w:rPr>
          <w:rFonts w:hint="eastAsia"/>
          <w:lang w:eastAsia="zh-CN"/>
        </w:rPr>
      </w:pPr>
    </w:p>
    <w:p w14:paraId="471866B0">
      <w:pPr>
        <w:rPr>
          <w:rFonts w:hint="eastAsia"/>
          <w:lang w:eastAsia="zh-CN"/>
        </w:rPr>
      </w:pPr>
    </w:p>
    <w:p w14:paraId="7D969106">
      <w:pPr>
        <w:spacing w:line="600" w:lineRule="exact"/>
        <w:ind w:firstLine="8031" w:firstLineChars="2500"/>
        <w:outlineLvl w:val="1"/>
        <w:rPr>
          <w:rFonts w:hint="eastAsia" w:ascii="仿宋" w:eastAsia="仿宋"/>
          <w:b/>
          <w:sz w:val="32"/>
          <w:szCs w:val="32"/>
          <w:lang w:val="en-US" w:eastAsia="zh-CN"/>
        </w:rPr>
      </w:pPr>
      <w:r>
        <w:rPr>
          <w:rFonts w:hint="eastAsia" w:ascii="仿宋" w:eastAsia="仿宋"/>
          <w:b/>
          <w:sz w:val="32"/>
          <w:szCs w:val="32"/>
          <w:lang w:val="en-US" w:eastAsia="zh-CN"/>
        </w:rPr>
        <w:t xml:space="preserve"> </w:t>
      </w:r>
      <w:bookmarkStart w:id="48" w:name="_Toc28371"/>
      <w:bookmarkStart w:id="49" w:name="_Toc18848"/>
      <w:bookmarkStart w:id="50" w:name="_Toc6842"/>
    </w:p>
    <w:p w14:paraId="2AFC5A53">
      <w:pPr>
        <w:spacing w:line="600" w:lineRule="exact"/>
        <w:ind w:firstLine="8031" w:firstLineChars="2500"/>
        <w:outlineLvl w:val="1"/>
        <w:rPr>
          <w:rFonts w:hint="eastAsia" w:ascii="仿宋" w:eastAsia="仿宋"/>
          <w:b/>
          <w:sz w:val="32"/>
          <w:szCs w:val="32"/>
          <w:lang w:val="en-US" w:eastAsia="zh-CN"/>
        </w:rPr>
      </w:pPr>
    </w:p>
    <w:p w14:paraId="1B8C1F75">
      <w:pPr>
        <w:spacing w:line="600" w:lineRule="exact"/>
        <w:ind w:firstLine="8031" w:firstLineChars="2500"/>
        <w:outlineLvl w:val="1"/>
        <w:rPr>
          <w:rFonts w:hint="eastAsia" w:ascii="仿宋" w:eastAsia="仿宋"/>
          <w:b/>
          <w:sz w:val="32"/>
          <w:szCs w:val="32"/>
          <w:lang w:val="en-US" w:eastAsia="zh-CN"/>
        </w:rPr>
      </w:pPr>
    </w:p>
    <w:p w14:paraId="2E1CAB05">
      <w:pPr>
        <w:spacing w:line="600" w:lineRule="exact"/>
        <w:outlineLvl w:val="1"/>
        <w:rPr>
          <w:rFonts w:hint="eastAsia" w:ascii="仿宋" w:eastAsia="仿宋"/>
          <w:b/>
          <w:sz w:val="32"/>
          <w:szCs w:val="32"/>
          <w:lang w:val="en-US" w:eastAsia="zh-CN"/>
        </w:rPr>
      </w:pPr>
    </w:p>
    <w:p w14:paraId="1CDC147D">
      <w:pPr>
        <w:spacing w:line="600" w:lineRule="exact"/>
        <w:outlineLvl w:val="9"/>
        <w:rPr>
          <w:rFonts w:ascii="仿宋" w:eastAsia="仿宋"/>
          <w:b/>
          <w:sz w:val="32"/>
          <w:szCs w:val="32"/>
        </w:rPr>
      </w:pPr>
      <w:bookmarkStart w:id="51" w:name="_Toc23759"/>
      <w:r>
        <w:rPr>
          <w:rFonts w:hint="eastAsia" w:ascii="仿宋_GB2312" w:eastAsia="仿宋_GB2312"/>
          <w:sz w:val="32"/>
          <w:szCs w:val="32"/>
          <w:lang w:eastAsia="zh-CN"/>
        </w:rPr>
        <w:drawing>
          <wp:anchor distT="0" distB="0" distL="114300" distR="114300" simplePos="0" relativeHeight="251660288" behindDoc="0" locked="0" layoutInCell="1" allowOverlap="1">
            <wp:simplePos x="0" y="0"/>
            <wp:positionH relativeFrom="column">
              <wp:posOffset>-4445</wp:posOffset>
            </wp:positionH>
            <wp:positionV relativeFrom="paragraph">
              <wp:posOffset>-728980</wp:posOffset>
            </wp:positionV>
            <wp:extent cx="5256530" cy="2988310"/>
            <wp:effectExtent l="5080" t="4445" r="15240" b="1714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仿宋" w:eastAsia="仿宋"/>
          <w:b/>
          <w:sz w:val="32"/>
          <w:szCs w:val="32"/>
          <w:lang w:val="en-US" w:eastAsia="zh-CN"/>
        </w:rPr>
        <w:t xml:space="preserve"> </w:t>
      </w:r>
      <w:r>
        <w:rPr>
          <w:rFonts w:hint="eastAsia" w:ascii="仿宋" w:eastAsia="仿宋"/>
          <w:b/>
          <w:sz w:val="32"/>
          <w:szCs w:val="32"/>
        </w:rPr>
        <w:t>（注：数据来源于GK02收入决算表，仅罗列本单位涉及的收入。</w:t>
      </w:r>
      <w:r>
        <w:rPr>
          <w:rFonts w:ascii="仿宋" w:eastAsia="仿宋"/>
          <w:b/>
          <w:sz w:val="32"/>
          <w:szCs w:val="32"/>
        </w:rPr>
        <w:t>）</w:t>
      </w:r>
      <w:bookmarkEnd w:id="48"/>
      <w:bookmarkEnd w:id="49"/>
      <w:bookmarkEnd w:id="50"/>
      <w:bookmarkEnd w:id="51"/>
    </w:p>
    <w:p w14:paraId="34E9B139">
      <w:pPr>
        <w:spacing w:line="600" w:lineRule="exact"/>
        <w:rPr>
          <w:rFonts w:hint="eastAsia" w:ascii="仿宋" w:eastAsia="仿宋"/>
          <w:sz w:val="32"/>
          <w:szCs w:val="32"/>
        </w:rPr>
      </w:pPr>
      <w:r>
        <w:rPr>
          <w:rFonts w:hint="eastAsia" w:ascii="仿宋" w:eastAsia="仿宋"/>
          <w:sz w:val="32"/>
          <w:szCs w:val="32"/>
        </w:rPr>
        <w:t>（图2：</w:t>
      </w:r>
      <w:bookmarkStart w:id="52" w:name="OLE_LINK2"/>
      <w:r>
        <w:rPr>
          <w:rFonts w:hint="eastAsia" w:ascii="仿宋" w:eastAsia="仿宋"/>
          <w:sz w:val="32"/>
          <w:szCs w:val="32"/>
        </w:rPr>
        <w:t>收入决算结构图</w:t>
      </w:r>
      <w:bookmarkEnd w:id="52"/>
      <w:r>
        <w:rPr>
          <w:rFonts w:hint="eastAsia" w:ascii="仿宋" w:eastAsia="仿宋"/>
          <w:sz w:val="32"/>
          <w:szCs w:val="32"/>
        </w:rPr>
        <w:t>）（饼状图）</w:t>
      </w:r>
    </w:p>
    <w:p w14:paraId="042422F2">
      <w:pPr>
        <w:spacing w:line="600" w:lineRule="exact"/>
        <w:rPr>
          <w:rFonts w:hint="eastAsia" w:ascii="仿宋" w:eastAsia="仿宋"/>
          <w:sz w:val="32"/>
          <w:szCs w:val="32"/>
          <w:lang w:eastAsia="zh-CN"/>
        </w:rPr>
      </w:pPr>
    </w:p>
    <w:p w14:paraId="22CE0F36">
      <w:pPr>
        <w:pStyle w:val="30"/>
        <w:numPr>
          <w:ilvl w:val="0"/>
          <w:numId w:val="2"/>
        </w:numPr>
        <w:spacing w:line="600" w:lineRule="exact"/>
        <w:ind w:firstLineChars="0"/>
        <w:outlineLvl w:val="1"/>
        <w:rPr>
          <w:rStyle w:val="24"/>
          <w:rFonts w:ascii="黑体" w:eastAsia="黑体"/>
          <w:b w:val="0"/>
        </w:rPr>
      </w:pPr>
      <w:bookmarkStart w:id="53" w:name="_Toc15377207"/>
      <w:bookmarkStart w:id="54" w:name="_Toc15396605"/>
      <w:bookmarkStart w:id="55" w:name="_Toc28785"/>
      <w:r>
        <w:rPr>
          <w:rFonts w:hint="eastAsia" w:ascii="黑体" w:eastAsia="黑体"/>
          <w:sz w:val="32"/>
          <w:szCs w:val="32"/>
        </w:rPr>
        <w:t>支</w:t>
      </w:r>
      <w:r>
        <w:rPr>
          <w:rStyle w:val="24"/>
          <w:rFonts w:hint="eastAsia" w:ascii="黑体" w:eastAsia="黑体"/>
          <w:b w:val="0"/>
        </w:rPr>
        <w:t>出决算情况说明</w:t>
      </w:r>
      <w:bookmarkEnd w:id="53"/>
      <w:bookmarkEnd w:id="54"/>
      <w:bookmarkEnd w:id="55"/>
    </w:p>
    <w:p w14:paraId="00A440B2">
      <w:pPr>
        <w:spacing w:line="600" w:lineRule="exact"/>
        <w:ind w:firstLine="640" w:firstLineChars="200"/>
        <w:outlineLvl w:val="9"/>
        <w:rPr>
          <w:rFonts w:hint="eastAsia" w:ascii="仿宋" w:eastAsia="仿宋"/>
          <w:sz w:val="32"/>
          <w:szCs w:val="32"/>
        </w:rPr>
      </w:pPr>
      <w:bookmarkStart w:id="56" w:name="_Toc27626"/>
      <w:bookmarkStart w:id="57" w:name="_Toc14053"/>
      <w:bookmarkStart w:id="58" w:name="_Toc8959"/>
      <w:r>
        <w:rPr>
          <w:rFonts w:hint="eastAsia" w:ascii="仿宋_GB2312" w:hAnsi="仿宋_GB2312" w:eastAsia="仿宋_GB2312" w:cs="仿宋_GB2312"/>
          <w:color w:val="auto"/>
          <w:sz w:val="32"/>
          <w:szCs w:val="32"/>
          <w:highlight w:val="none"/>
          <w:lang w:eastAsia="zh-CN"/>
        </w:rPr>
        <w:t>2024年度本年支出合计</w:t>
      </w:r>
      <w:r>
        <w:rPr>
          <w:rFonts w:hint="eastAsia" w:ascii="仿宋_GB2312" w:hAnsi="仿宋_GB2312" w:eastAsia="仿宋_GB2312" w:cs="仿宋_GB2312"/>
          <w:sz w:val="32"/>
          <w:szCs w:val="32"/>
        </w:rPr>
        <w:t>298.84</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185.6</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62.1</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113.24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37.89</w:t>
      </w:r>
      <w:r>
        <w:rPr>
          <w:rFonts w:hint="eastAsia" w:ascii="仿宋_GB2312" w:hAnsi="仿宋_GB2312" w:eastAsia="仿宋_GB2312" w:cs="仿宋_GB2312"/>
          <w:color w:val="auto"/>
          <w:sz w:val="32"/>
          <w:szCs w:val="32"/>
          <w:highlight w:val="none"/>
          <w:lang w:eastAsia="zh-CN"/>
        </w:rPr>
        <w:t>%</w:t>
      </w:r>
      <w:r>
        <w:rPr>
          <w:rFonts w:hint="eastAsia" w:ascii="仿宋" w:eastAsia="仿宋"/>
          <w:sz w:val="32"/>
          <w:szCs w:val="32"/>
        </w:rPr>
        <w:t>；</w:t>
      </w:r>
      <w:bookmarkEnd w:id="56"/>
      <w:bookmarkEnd w:id="57"/>
      <w:bookmarkEnd w:id="58"/>
    </w:p>
    <w:p w14:paraId="5E17A810">
      <w:pPr>
        <w:pStyle w:val="8"/>
        <w:ind w:left="0" w:leftChars="0" w:firstLine="0"/>
        <w:rPr>
          <w:rFonts w:hint="eastAsia"/>
        </w:rPr>
      </w:pPr>
    </w:p>
    <w:p w14:paraId="5AA4DCF6">
      <w:pPr>
        <w:rPr>
          <w:rFonts w:hint="eastAsia"/>
        </w:rPr>
      </w:pPr>
    </w:p>
    <w:p w14:paraId="741FC393">
      <w:pPr>
        <w:rPr>
          <w:rFonts w:hint="eastAsia" w:eastAsia="宋体"/>
          <w:lang w:eastAsia="zh-CN"/>
        </w:rPr>
      </w:pPr>
      <w:r>
        <w:rPr>
          <w:rFonts w:hint="eastAsia" w:eastAsia="宋体"/>
          <w:lang w:eastAsia="zh-CN"/>
        </w:rPr>
        <w:drawing>
          <wp:inline distT="0" distB="0" distL="114300" distR="114300">
            <wp:extent cx="5256530" cy="2988310"/>
            <wp:effectExtent l="5080" t="4445" r="1524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6D28C42">
      <w:pPr>
        <w:pStyle w:val="8"/>
        <w:ind w:left="0" w:leftChars="0" w:firstLine="0"/>
      </w:pPr>
    </w:p>
    <w:p w14:paraId="22AF7D40">
      <w:pPr>
        <w:spacing w:line="600" w:lineRule="exact"/>
        <w:outlineLvl w:val="9"/>
        <w:rPr>
          <w:rFonts w:ascii="仿宋" w:eastAsia="仿宋"/>
          <w:b/>
          <w:sz w:val="32"/>
          <w:szCs w:val="32"/>
        </w:rPr>
      </w:pPr>
      <w:bookmarkStart w:id="59" w:name="_Toc13300"/>
      <w:bookmarkStart w:id="60" w:name="_Toc11287"/>
      <w:bookmarkStart w:id="61" w:name="_Toc1626"/>
      <w:bookmarkStart w:id="62" w:name="_Toc28336"/>
      <w:r>
        <w:rPr>
          <w:rFonts w:hint="eastAsia" w:ascii="仿宋" w:eastAsia="仿宋"/>
          <w:b/>
          <w:sz w:val="32"/>
          <w:szCs w:val="32"/>
        </w:rPr>
        <w:t>（注：数据来源于GK03支出决算表，仅罗列本单位涉及的支出。）</w:t>
      </w:r>
      <w:bookmarkEnd w:id="59"/>
      <w:bookmarkEnd w:id="60"/>
      <w:bookmarkEnd w:id="61"/>
      <w:bookmarkEnd w:id="62"/>
    </w:p>
    <w:p w14:paraId="36722D43">
      <w:pPr>
        <w:spacing w:line="600" w:lineRule="exact"/>
        <w:rPr>
          <w:rFonts w:ascii="仿宋_GB2312" w:eastAsia="仿宋_GB2312"/>
          <w:sz w:val="32"/>
          <w:szCs w:val="32"/>
        </w:rPr>
      </w:pPr>
      <w:r>
        <w:rPr>
          <w:rFonts w:hint="eastAsia" w:ascii="仿宋" w:eastAsia="仿宋"/>
          <w:sz w:val="32"/>
          <w:szCs w:val="32"/>
        </w:rPr>
        <w:t>（图3：</w:t>
      </w:r>
      <w:bookmarkStart w:id="63" w:name="OLE_LINK3"/>
      <w:r>
        <w:rPr>
          <w:rFonts w:hint="eastAsia" w:ascii="仿宋" w:eastAsia="仿宋"/>
          <w:sz w:val="32"/>
          <w:szCs w:val="32"/>
        </w:rPr>
        <w:t>支出决算结构图）</w:t>
      </w:r>
      <w:bookmarkEnd w:id="63"/>
      <w:r>
        <w:rPr>
          <w:rFonts w:hint="eastAsia" w:ascii="仿宋" w:eastAsia="仿宋"/>
          <w:sz w:val="32"/>
          <w:szCs w:val="32"/>
        </w:rPr>
        <w:t>（饼状图）</w:t>
      </w:r>
    </w:p>
    <w:p w14:paraId="16AFE5FA">
      <w:pPr>
        <w:spacing w:line="600" w:lineRule="exact"/>
        <w:ind w:firstLine="640" w:firstLineChars="200"/>
        <w:outlineLvl w:val="1"/>
        <w:rPr>
          <w:rStyle w:val="24"/>
          <w:rFonts w:ascii="黑体" w:eastAsia="黑体"/>
          <w:b w:val="0"/>
        </w:rPr>
      </w:pPr>
      <w:bookmarkStart w:id="64" w:name="_Toc15396606"/>
      <w:bookmarkStart w:id="65" w:name="_Toc15377208"/>
      <w:bookmarkStart w:id="66" w:name="_Toc573"/>
      <w:r>
        <w:rPr>
          <w:rFonts w:hint="eastAsia" w:ascii="黑体" w:eastAsia="黑体"/>
          <w:sz w:val="32"/>
          <w:szCs w:val="32"/>
        </w:rPr>
        <w:t>四、财</w:t>
      </w:r>
      <w:r>
        <w:rPr>
          <w:rStyle w:val="24"/>
          <w:rFonts w:hint="eastAsia" w:ascii="黑体" w:eastAsia="黑体"/>
          <w:b w:val="0"/>
        </w:rPr>
        <w:t>政拨款收入支出决算总体情况说明</w:t>
      </w:r>
      <w:bookmarkEnd w:id="64"/>
      <w:bookmarkEnd w:id="65"/>
      <w:bookmarkEnd w:id="66"/>
    </w:p>
    <w:p w14:paraId="2F2D6F2E">
      <w:pPr>
        <w:spacing w:line="600" w:lineRule="exact"/>
        <w:ind w:firstLine="640"/>
        <w:rPr>
          <w:rFonts w:hint="eastAsia" w:eastAsia="仿宋"/>
          <w:b/>
          <w:bCs/>
          <w:lang w:eastAsia="zh-CN"/>
        </w:rPr>
      </w:pPr>
      <w:bookmarkStart w:id="67" w:name="OLE_LINK6"/>
      <w:r>
        <w:rPr>
          <w:rFonts w:hint="eastAsia" w:ascii="Times New Roman" w:hAnsi="Times New Roman" w:eastAsia="仿宋_GB2312" w:cs="仿宋_GB2312"/>
          <w:color w:val="auto"/>
          <w:kern w:val="2"/>
          <w:sz w:val="32"/>
          <w:szCs w:val="32"/>
          <w:highlight w:val="none"/>
          <w:lang w:val="en-US" w:eastAsia="zh-CN" w:bidi="ar-SA"/>
        </w:rPr>
        <w:t>2024年度财政拨款收入、支出总计均为</w:t>
      </w:r>
      <w:r>
        <w:rPr>
          <w:rFonts w:hint="eastAsia" w:ascii="仿宋_GB2312" w:hAnsi="仿宋_GB2312" w:eastAsia="仿宋_GB2312" w:cs="仿宋_GB2312"/>
          <w:sz w:val="32"/>
          <w:szCs w:val="32"/>
        </w:rPr>
        <w:t>285.28</w:t>
      </w:r>
      <w:r>
        <w:rPr>
          <w:rFonts w:hint="eastAsia" w:ascii="Times New Roman" w:hAnsi="Times New Roman" w:eastAsia="仿宋_GB2312" w:cs="仿宋_GB2312"/>
          <w:color w:val="auto"/>
          <w:kern w:val="2"/>
          <w:sz w:val="32"/>
          <w:szCs w:val="32"/>
          <w:highlight w:val="none"/>
          <w:lang w:val="en-US" w:eastAsia="zh-CN" w:bidi="ar-SA"/>
        </w:rPr>
        <w:t>万元。与2023年度326.03万元相比，财政拨款收入总计、支出总计各减少40.75万元，下降12.50%。主要变动原因是</w:t>
      </w:r>
      <w:r>
        <w:rPr>
          <w:rFonts w:hint="eastAsia" w:ascii="仿宋_GB2312" w:eastAsia="仿宋_GB2312" w:cs="仿宋_GB2312"/>
          <w:kern w:val="0"/>
          <w:sz w:val="32"/>
          <w:szCs w:val="32"/>
          <w:lang w:eastAsia="zh-Hans"/>
        </w:rPr>
        <w:t>本年新场馆基本建设项目结束，资本性支出减少</w:t>
      </w:r>
      <w:r>
        <w:rPr>
          <w:rFonts w:hint="eastAsia" w:ascii="仿宋" w:eastAsia="仿宋"/>
          <w:b/>
          <w:bCs/>
          <w:sz w:val="32"/>
          <w:szCs w:val="32"/>
          <w:lang w:eastAsia="zh-CN"/>
        </w:rPr>
        <w:t>。</w:t>
      </w:r>
      <w:bookmarkEnd w:id="67"/>
    </w:p>
    <w:p w14:paraId="430CE662">
      <w:pPr>
        <w:pStyle w:val="34"/>
        <w:spacing w:before="0" w:beforeAutospacing="0"/>
        <w:ind w:left="0" w:leftChars="0" w:firstLine="218" w:firstLineChars="78"/>
        <w:rPr>
          <w:rFonts w:hint="eastAsia" w:ascii="宋体" w:hAnsi="宋体" w:eastAsia="仿宋" w:cs="宋体"/>
          <w:kern w:val="0"/>
          <w:sz w:val="28"/>
          <w:szCs w:val="28"/>
          <w:lang w:val="en-US" w:eastAsia="zh-CN"/>
        </w:rPr>
      </w:pPr>
      <w:r>
        <w:rPr>
          <w:rFonts w:hint="eastAsia" w:ascii="宋体" w:hAnsi="宋体" w:eastAsia="仿宋" w:cs="宋体"/>
          <w:kern w:val="0"/>
          <w:sz w:val="28"/>
          <w:szCs w:val="28"/>
          <w:lang w:val="en-US" w:eastAsia="zh-CN"/>
        </w:rPr>
        <w:drawing>
          <wp:inline distT="0" distB="0" distL="114300" distR="114300">
            <wp:extent cx="5256530" cy="2988310"/>
            <wp:effectExtent l="5080" t="4445" r="15240" b="1714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F1B2A8">
      <w:pPr>
        <w:pStyle w:val="34"/>
        <w:spacing w:before="0" w:beforeAutospacing="0"/>
        <w:rPr>
          <w:rFonts w:hint="eastAsia" w:ascii="宋体" w:eastAsia="宋体" w:cs="宋体"/>
          <w:kern w:val="0"/>
          <w:sz w:val="28"/>
          <w:szCs w:val="28"/>
        </w:rPr>
      </w:pPr>
      <w:r>
        <w:rPr>
          <w:rFonts w:hint="eastAsia" w:ascii="宋体" w:eastAsia="宋体" w:cs="宋体"/>
          <w:kern w:val="0"/>
          <w:sz w:val="28"/>
          <w:szCs w:val="28"/>
        </w:rPr>
        <w:t xml:space="preserve"> </w:t>
      </w:r>
      <w:bookmarkStart w:id="68" w:name="_Toc15079"/>
      <w:bookmarkEnd w:id="68"/>
    </w:p>
    <w:p w14:paraId="7380E6ED">
      <w:pPr>
        <w:pStyle w:val="34"/>
        <w:spacing w:before="0" w:beforeAutospacing="0"/>
        <w:rPr>
          <w:rFonts w:ascii="仿宋" w:eastAsia="仿宋"/>
          <w:b/>
          <w:sz w:val="32"/>
          <w:szCs w:val="32"/>
        </w:rPr>
      </w:pPr>
      <w:r>
        <w:rPr>
          <w:rFonts w:hint="eastAsia" w:ascii="仿宋" w:eastAsia="仿宋"/>
          <w:b/>
          <w:sz w:val="32"/>
          <w:szCs w:val="32"/>
        </w:rPr>
        <w:t>（注：数据来源于GK04财政拨款收入支出决算总表</w:t>
      </w:r>
      <w:r>
        <w:rPr>
          <w:rFonts w:ascii="仿宋" w:eastAsia="仿宋"/>
          <w:b/>
          <w:sz w:val="32"/>
          <w:szCs w:val="32"/>
        </w:rPr>
        <w:t>）</w:t>
      </w:r>
    </w:p>
    <w:p w14:paraId="7A7F8F75">
      <w:pPr>
        <w:pStyle w:val="34"/>
        <w:spacing w:before="0" w:beforeAutospacing="0"/>
        <w:rPr>
          <w:rFonts w:ascii="仿宋" w:eastAsia="仿宋"/>
          <w:sz w:val="32"/>
          <w:szCs w:val="32"/>
        </w:rPr>
      </w:pPr>
      <w:r>
        <w:rPr>
          <w:rFonts w:hint="eastAsia" w:ascii="仿宋" w:eastAsia="仿宋"/>
          <w:sz w:val="32"/>
          <w:szCs w:val="32"/>
        </w:rPr>
        <w:t>（图4：</w:t>
      </w:r>
      <w:bookmarkStart w:id="69" w:name="OLE_LINK4"/>
      <w:r>
        <w:rPr>
          <w:rFonts w:hint="eastAsia" w:ascii="仿宋" w:eastAsia="仿宋"/>
          <w:sz w:val="32"/>
          <w:szCs w:val="32"/>
        </w:rPr>
        <w:t>财政拨款收、支决算总计变动情况</w:t>
      </w:r>
      <w:bookmarkEnd w:id="69"/>
      <w:r>
        <w:rPr>
          <w:rFonts w:hint="eastAsia" w:ascii="仿宋" w:eastAsia="仿宋"/>
          <w:sz w:val="32"/>
          <w:szCs w:val="32"/>
        </w:rPr>
        <w:t>）（柱状图）</w:t>
      </w:r>
    </w:p>
    <w:p w14:paraId="05D4210B">
      <w:pPr>
        <w:spacing w:line="600" w:lineRule="exact"/>
        <w:outlineLvl w:val="1"/>
        <w:rPr>
          <w:rStyle w:val="24"/>
          <w:rFonts w:ascii="黑体" w:eastAsia="黑体"/>
          <w:b w:val="0"/>
        </w:rPr>
      </w:pPr>
      <w:bookmarkStart w:id="70" w:name="_Toc15396607"/>
      <w:bookmarkStart w:id="71" w:name="_Toc15377209"/>
      <w:bookmarkStart w:id="72" w:name="_Toc23885"/>
      <w:r>
        <w:rPr>
          <w:rFonts w:hint="eastAsia" w:ascii="黑体" w:eastAsia="黑体"/>
          <w:sz w:val="32"/>
          <w:szCs w:val="32"/>
        </w:rPr>
        <w:t>五、</w:t>
      </w:r>
      <w:r>
        <w:rPr>
          <w:rFonts w:hint="eastAsia" w:ascii="黑体" w:eastAsia="黑体"/>
          <w:b/>
          <w:sz w:val="32"/>
          <w:szCs w:val="32"/>
        </w:rPr>
        <w:t>一</w:t>
      </w:r>
      <w:r>
        <w:rPr>
          <w:rStyle w:val="24"/>
          <w:rFonts w:hint="eastAsia" w:ascii="黑体" w:eastAsia="黑体"/>
          <w:b w:val="0"/>
        </w:rPr>
        <w:t>般公共预算财政拨款支出决算情况说明</w:t>
      </w:r>
      <w:bookmarkEnd w:id="70"/>
      <w:bookmarkEnd w:id="71"/>
      <w:bookmarkEnd w:id="72"/>
    </w:p>
    <w:p w14:paraId="00EDF298">
      <w:pPr>
        <w:spacing w:line="600" w:lineRule="exact"/>
        <w:ind w:firstLine="643" w:firstLineChars="200"/>
        <w:outlineLvl w:val="2"/>
        <w:rPr>
          <w:rFonts w:ascii="仿宋" w:eastAsia="仿宋"/>
          <w:b/>
          <w:sz w:val="32"/>
          <w:szCs w:val="32"/>
        </w:rPr>
      </w:pPr>
      <w:bookmarkStart w:id="73" w:name="_Toc15377210"/>
      <w:bookmarkStart w:id="74" w:name="_Toc17968"/>
      <w:r>
        <w:rPr>
          <w:rFonts w:hint="eastAsia" w:ascii="仿宋" w:eastAsia="仿宋"/>
          <w:b/>
          <w:sz w:val="32"/>
          <w:szCs w:val="32"/>
        </w:rPr>
        <w:t>（一）一般公共预算财政拨款支出决算总体情况</w:t>
      </w:r>
      <w:bookmarkEnd w:id="73"/>
      <w:bookmarkEnd w:id="74"/>
    </w:p>
    <w:p w14:paraId="3FE8189B">
      <w:pPr>
        <w:spacing w:line="600" w:lineRule="exact"/>
        <w:ind w:firstLine="640" w:firstLineChars="200"/>
        <w:rPr>
          <w:rFonts w:ascii="仿宋" w:eastAsia="仿宋"/>
          <w:b/>
          <w:bCs/>
          <w:sz w:val="32"/>
          <w:szCs w:val="32"/>
        </w:rPr>
      </w:pPr>
      <w:r>
        <w:rPr>
          <w:rFonts w:hint="eastAsia" w:ascii="仿宋_GB2312" w:hAnsi="仿宋_GB2312" w:eastAsia="仿宋_GB2312" w:cs="仿宋_GB2312"/>
          <w:color w:val="auto"/>
          <w:kern w:val="2"/>
          <w:sz w:val="32"/>
          <w:szCs w:val="32"/>
          <w:highlight w:val="none"/>
          <w:lang w:val="en-US" w:eastAsia="zh-CN" w:bidi="ar-SA"/>
        </w:rPr>
        <w:t>2024年度一般公共预算财政拨款支出</w:t>
      </w:r>
      <w:r>
        <w:rPr>
          <w:rFonts w:hint="eastAsia" w:ascii="仿宋_GB2312" w:hAnsi="仿宋_GB2312" w:eastAsia="仿宋_GB2312" w:cs="仿宋_GB2312"/>
          <w:sz w:val="32"/>
          <w:szCs w:val="32"/>
        </w:rPr>
        <w:t>285.28</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95.46</w:t>
      </w:r>
      <w:r>
        <w:rPr>
          <w:rFonts w:hint="eastAsia" w:ascii="仿宋_GB2312" w:hAnsi="仿宋_GB2312" w:eastAsia="仿宋_GB2312" w:cs="仿宋_GB2312"/>
          <w:color w:val="auto"/>
          <w:kern w:val="2"/>
          <w:sz w:val="32"/>
          <w:szCs w:val="32"/>
          <w:highlight w:val="none"/>
          <w:lang w:val="en-US" w:eastAsia="zh-CN" w:bidi="ar-SA"/>
        </w:rPr>
        <w:t>%。与2023年度</w:t>
      </w:r>
      <w:r>
        <w:rPr>
          <w:rFonts w:hint="eastAsia" w:ascii="Times New Roman" w:hAnsi="Times New Roman" w:eastAsia="仿宋_GB2312" w:cs="仿宋_GB2312"/>
          <w:color w:val="auto"/>
          <w:kern w:val="2"/>
          <w:sz w:val="32"/>
          <w:szCs w:val="32"/>
          <w:highlight w:val="none"/>
          <w:lang w:val="en-US" w:eastAsia="zh-CN" w:bidi="ar-SA"/>
        </w:rPr>
        <w:t>326.03万元</w:t>
      </w:r>
      <w:r>
        <w:rPr>
          <w:rFonts w:hint="eastAsia" w:ascii="仿宋_GB2312" w:hAnsi="仿宋_GB2312" w:eastAsia="仿宋_GB2312" w:cs="仿宋_GB2312"/>
          <w:color w:val="auto"/>
          <w:kern w:val="2"/>
          <w:sz w:val="32"/>
          <w:szCs w:val="32"/>
          <w:highlight w:val="none"/>
          <w:lang w:val="en-US" w:eastAsia="zh-CN" w:bidi="ar-SA"/>
        </w:rPr>
        <w:t>相比，一般公共预算财政拨款支出减少</w:t>
      </w:r>
      <w:r>
        <w:rPr>
          <w:rFonts w:hint="eastAsia" w:ascii="Times New Roman" w:hAnsi="Times New Roman" w:eastAsia="仿宋_GB2312" w:cs="仿宋_GB2312"/>
          <w:color w:val="auto"/>
          <w:kern w:val="2"/>
          <w:sz w:val="32"/>
          <w:szCs w:val="32"/>
          <w:highlight w:val="none"/>
          <w:lang w:val="en-US" w:eastAsia="zh-CN" w:bidi="ar-SA"/>
        </w:rPr>
        <w:t>40.75万元</w:t>
      </w:r>
      <w:r>
        <w:rPr>
          <w:rFonts w:hint="eastAsia" w:ascii="仿宋_GB2312" w:hAnsi="仿宋_GB2312" w:eastAsia="仿宋_GB2312" w:cs="仿宋_GB2312"/>
          <w:color w:val="auto"/>
          <w:kern w:val="2"/>
          <w:sz w:val="32"/>
          <w:szCs w:val="32"/>
          <w:highlight w:val="none"/>
          <w:lang w:val="en-US" w:eastAsia="zh-CN" w:bidi="ar-SA"/>
        </w:rPr>
        <w:t>，下降12.5%。主要变动原因是本年</w:t>
      </w:r>
      <w:r>
        <w:rPr>
          <w:rFonts w:hint="eastAsia" w:ascii="仿宋_GB2312" w:eastAsia="仿宋_GB2312" w:cs="仿宋_GB2312"/>
          <w:kern w:val="0"/>
          <w:sz w:val="32"/>
          <w:szCs w:val="32"/>
          <w:lang w:eastAsia="zh-Hans"/>
        </w:rPr>
        <w:t>新场馆基本建设项目结束，资本性支出减少</w:t>
      </w:r>
      <w:r>
        <w:rPr>
          <w:rFonts w:hint="eastAsia" w:ascii="仿宋" w:eastAsia="仿宋"/>
          <w:b/>
          <w:bCs/>
          <w:sz w:val="32"/>
          <w:szCs w:val="32"/>
          <w:lang w:eastAsia="zh-CN"/>
        </w:rPr>
        <w:t>。</w:t>
      </w:r>
    </w:p>
    <w:p w14:paraId="3EF23224">
      <w:pPr>
        <w:spacing w:line="600" w:lineRule="exact"/>
        <w:rPr>
          <w:rFonts w:ascii="仿宋" w:eastAsia="仿宋"/>
          <w:sz w:val="32"/>
          <w:szCs w:val="32"/>
        </w:rPr>
      </w:pPr>
    </w:p>
    <w:p w14:paraId="46D6B1A6">
      <w:pPr>
        <w:pStyle w:val="16"/>
        <w:ind w:left="0" w:leftChars="0" w:firstLine="218" w:firstLineChars="78"/>
      </w:pPr>
      <w:r>
        <w:rPr>
          <w:rFonts w:hint="eastAsia" w:ascii="宋体" w:hAnsi="宋体" w:eastAsia="仿宋" w:cs="宋体"/>
          <w:kern w:val="0"/>
          <w:sz w:val="28"/>
          <w:szCs w:val="28"/>
          <w:lang w:val="en-US" w:eastAsia="zh-CN"/>
        </w:rPr>
        <w:drawing>
          <wp:inline distT="0" distB="0" distL="114300" distR="114300">
            <wp:extent cx="5256530" cy="3016885"/>
            <wp:effectExtent l="4445" t="4445" r="15875" b="762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03C3CD3">
      <w:pPr>
        <w:spacing w:line="600" w:lineRule="exact"/>
        <w:ind w:firstLine="640" w:firstLineChars="200"/>
        <w:rPr>
          <w:rFonts w:ascii="仿宋" w:eastAsia="仿宋"/>
          <w:sz w:val="32"/>
          <w:szCs w:val="32"/>
        </w:rPr>
      </w:pPr>
      <w:r>
        <w:rPr>
          <w:rFonts w:hint="eastAsia" w:ascii="仿宋" w:eastAsia="仿宋"/>
          <w:sz w:val="32"/>
          <w:szCs w:val="32"/>
        </w:rPr>
        <w:t>（图5：</w:t>
      </w:r>
      <w:bookmarkStart w:id="75" w:name="OLE_LINK5"/>
      <w:r>
        <w:rPr>
          <w:rFonts w:hint="eastAsia" w:ascii="仿宋" w:eastAsia="仿宋"/>
          <w:sz w:val="32"/>
          <w:szCs w:val="32"/>
        </w:rPr>
        <w:t>一般公共预算财政拨款支出决算变动情况</w:t>
      </w:r>
      <w:bookmarkEnd w:id="75"/>
      <w:r>
        <w:rPr>
          <w:rFonts w:hint="eastAsia" w:ascii="仿宋" w:eastAsia="仿宋"/>
          <w:sz w:val="32"/>
          <w:szCs w:val="32"/>
        </w:rPr>
        <w:t>）（柱状图）</w:t>
      </w:r>
    </w:p>
    <w:p w14:paraId="336E6B0F">
      <w:pPr>
        <w:spacing w:line="600" w:lineRule="exact"/>
        <w:ind w:firstLine="643" w:firstLineChars="200"/>
        <w:outlineLvl w:val="2"/>
        <w:rPr>
          <w:rFonts w:ascii="仿宋" w:eastAsia="仿宋"/>
          <w:b/>
          <w:sz w:val="32"/>
          <w:szCs w:val="32"/>
        </w:rPr>
      </w:pPr>
      <w:bookmarkStart w:id="76" w:name="_Toc15377211"/>
      <w:bookmarkStart w:id="77" w:name="_Toc23292"/>
      <w:r>
        <w:rPr>
          <w:rFonts w:hint="eastAsia" w:ascii="仿宋" w:eastAsia="仿宋"/>
          <w:b/>
          <w:sz w:val="32"/>
          <w:szCs w:val="32"/>
        </w:rPr>
        <w:t>（二）一般公共预算财政拨款支出决算结构情况</w:t>
      </w:r>
      <w:bookmarkEnd w:id="76"/>
      <w:bookmarkEnd w:id="77"/>
    </w:p>
    <w:p w14:paraId="7158A081">
      <w:pPr>
        <w:spacing w:line="600" w:lineRule="exact"/>
        <w:ind w:firstLine="640"/>
        <w:rPr>
          <w:rFonts w:hint="eastAsia" w:ascii="仿宋" w:eastAsia="仿宋"/>
          <w:sz w:val="32"/>
          <w:szCs w:val="32"/>
          <w:lang w:eastAsia="zh-CN"/>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2024年度一般公共预算财政拨款支出</w:t>
      </w:r>
      <w:r>
        <w:rPr>
          <w:rFonts w:hint="eastAsia" w:ascii="仿宋_GB2312" w:hAnsi="仿宋_GB2312" w:eastAsia="仿宋_GB2312" w:cs="仿宋_GB2312"/>
          <w:sz w:val="32"/>
          <w:szCs w:val="32"/>
        </w:rPr>
        <w:t>285.28</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仿宋" w:eastAsia="仿宋"/>
          <w:b/>
          <w:sz w:val="32"/>
          <w:szCs w:val="32"/>
        </w:rPr>
        <w:t>教育支出</w:t>
      </w:r>
      <w:r>
        <w:rPr>
          <w:rFonts w:hint="eastAsia" w:ascii="仿宋" w:eastAsia="仿宋"/>
          <w:sz w:val="32"/>
          <w:szCs w:val="32"/>
          <w:lang w:val="en-US" w:eastAsia="zh-CN"/>
        </w:rPr>
        <w:t>244.11</w:t>
      </w:r>
      <w:r>
        <w:rPr>
          <w:rFonts w:hint="eastAsia" w:ascii="仿宋" w:eastAsia="仿宋"/>
          <w:sz w:val="32"/>
          <w:szCs w:val="32"/>
        </w:rPr>
        <w:t>万元，占</w:t>
      </w:r>
      <w:r>
        <w:rPr>
          <w:rFonts w:hint="eastAsia" w:ascii="仿宋" w:eastAsia="仿宋"/>
          <w:sz w:val="32"/>
          <w:szCs w:val="32"/>
          <w:lang w:val="en-US" w:eastAsia="zh-CN"/>
        </w:rPr>
        <w:t>85.57</w:t>
      </w:r>
      <w:r>
        <w:rPr>
          <w:rFonts w:ascii="仿宋" w:eastAsia="仿宋"/>
          <w:sz w:val="32"/>
          <w:szCs w:val="32"/>
        </w:rPr>
        <w:t>%</w:t>
      </w:r>
      <w:r>
        <w:rPr>
          <w:rFonts w:hint="eastAsia" w:ascii="仿宋" w:eastAsia="仿宋"/>
          <w:sz w:val="32"/>
          <w:szCs w:val="32"/>
        </w:rPr>
        <w:t>；</w:t>
      </w:r>
      <w:r>
        <w:rPr>
          <w:rFonts w:hint="eastAsia" w:ascii="仿宋" w:eastAsia="仿宋"/>
          <w:b/>
          <w:sz w:val="32"/>
          <w:szCs w:val="32"/>
        </w:rPr>
        <w:t>社会保障和就业</w:t>
      </w:r>
      <w:r>
        <w:rPr>
          <w:rFonts w:hint="eastAsia" w:ascii="仿宋" w:eastAsia="仿宋"/>
          <w:b/>
          <w:bCs/>
          <w:sz w:val="32"/>
          <w:szCs w:val="32"/>
        </w:rPr>
        <w:t>支出</w:t>
      </w:r>
      <w:r>
        <w:rPr>
          <w:rFonts w:hint="eastAsia" w:ascii="仿宋" w:eastAsia="仿宋"/>
          <w:sz w:val="32"/>
          <w:szCs w:val="32"/>
          <w:lang w:val="en-US" w:eastAsia="zh-CN"/>
        </w:rPr>
        <w:t>21.30</w:t>
      </w:r>
      <w:r>
        <w:rPr>
          <w:rFonts w:hint="eastAsia" w:ascii="仿宋" w:eastAsia="仿宋"/>
          <w:sz w:val="32"/>
          <w:szCs w:val="32"/>
        </w:rPr>
        <w:t>万元，占</w:t>
      </w:r>
      <w:r>
        <w:rPr>
          <w:rFonts w:hint="eastAsia" w:ascii="仿宋" w:eastAsia="仿宋"/>
          <w:sz w:val="32"/>
          <w:szCs w:val="32"/>
          <w:lang w:val="en-US" w:eastAsia="zh-CN"/>
        </w:rPr>
        <w:t>7.47</w:t>
      </w:r>
      <w:r>
        <w:rPr>
          <w:rFonts w:ascii="仿宋" w:eastAsia="仿宋"/>
          <w:sz w:val="32"/>
          <w:szCs w:val="32"/>
        </w:rPr>
        <w:t>%</w:t>
      </w:r>
      <w:r>
        <w:rPr>
          <w:rFonts w:hint="eastAsia" w:ascii="仿宋" w:eastAsia="仿宋"/>
          <w:sz w:val="32"/>
          <w:szCs w:val="32"/>
        </w:rPr>
        <w:t>；</w:t>
      </w:r>
      <w:r>
        <w:rPr>
          <w:rFonts w:hint="eastAsia" w:ascii="仿宋" w:eastAsia="仿宋"/>
          <w:b/>
          <w:bCs/>
          <w:sz w:val="32"/>
          <w:szCs w:val="32"/>
        </w:rPr>
        <w:t>卫生健康支出</w:t>
      </w:r>
      <w:r>
        <w:rPr>
          <w:rFonts w:hint="eastAsia" w:ascii="仿宋" w:eastAsia="仿宋"/>
          <w:sz w:val="32"/>
          <w:szCs w:val="32"/>
          <w:lang w:val="en-US" w:eastAsia="zh-CN"/>
        </w:rPr>
        <w:t>8.34</w:t>
      </w:r>
      <w:r>
        <w:rPr>
          <w:rFonts w:hint="eastAsia" w:ascii="仿宋" w:eastAsia="仿宋"/>
          <w:sz w:val="32"/>
          <w:szCs w:val="32"/>
        </w:rPr>
        <w:t>万元，占</w:t>
      </w:r>
      <w:r>
        <w:rPr>
          <w:rFonts w:hint="eastAsia" w:ascii="仿宋" w:eastAsia="仿宋"/>
          <w:sz w:val="32"/>
          <w:szCs w:val="32"/>
          <w:lang w:val="en-US" w:eastAsia="zh-CN"/>
        </w:rPr>
        <w:t>2.92</w:t>
      </w:r>
      <w:r>
        <w:rPr>
          <w:rFonts w:ascii="仿宋" w:eastAsia="仿宋"/>
          <w:sz w:val="32"/>
          <w:szCs w:val="32"/>
        </w:rPr>
        <w:t>%</w:t>
      </w:r>
      <w:r>
        <w:rPr>
          <w:rFonts w:hint="eastAsia" w:ascii="仿宋" w:eastAsia="仿宋"/>
          <w:sz w:val="32"/>
          <w:szCs w:val="32"/>
        </w:rPr>
        <w:t>；</w:t>
      </w:r>
      <w:r>
        <w:rPr>
          <w:rFonts w:hint="eastAsia" w:ascii="仿宋" w:eastAsia="仿宋"/>
          <w:b/>
          <w:bCs/>
          <w:sz w:val="32"/>
          <w:szCs w:val="32"/>
        </w:rPr>
        <w:t>住房保障支出</w:t>
      </w:r>
      <w:r>
        <w:rPr>
          <w:rFonts w:hint="eastAsia" w:ascii="仿宋" w:eastAsia="仿宋"/>
          <w:sz w:val="32"/>
          <w:szCs w:val="32"/>
          <w:lang w:val="en-US" w:eastAsia="zh-CN"/>
        </w:rPr>
        <w:t>11.53</w:t>
      </w:r>
      <w:r>
        <w:rPr>
          <w:rFonts w:hint="eastAsia" w:ascii="仿宋" w:eastAsia="仿宋"/>
          <w:sz w:val="32"/>
          <w:szCs w:val="32"/>
        </w:rPr>
        <w:t>万元，占</w:t>
      </w:r>
      <w:r>
        <w:rPr>
          <w:rFonts w:hint="eastAsia" w:ascii="仿宋" w:eastAsia="仿宋"/>
          <w:sz w:val="32"/>
          <w:szCs w:val="32"/>
          <w:lang w:val="en-US" w:eastAsia="zh-CN"/>
        </w:rPr>
        <w:t>4.04</w:t>
      </w:r>
      <w:r>
        <w:rPr>
          <w:rFonts w:ascii="仿宋" w:eastAsia="仿宋"/>
          <w:sz w:val="32"/>
          <w:szCs w:val="32"/>
        </w:rPr>
        <w:t>%</w:t>
      </w:r>
      <w:r>
        <w:rPr>
          <w:rFonts w:hint="eastAsia" w:ascii="仿宋" w:eastAsia="仿宋"/>
          <w:sz w:val="32"/>
          <w:szCs w:val="32"/>
          <w:lang w:eastAsia="zh-CN"/>
        </w:rPr>
        <w:t>。</w:t>
      </w:r>
    </w:p>
    <w:p w14:paraId="5D50B186">
      <w:pPr>
        <w:pStyle w:val="2"/>
        <w:rPr>
          <w:rFonts w:hint="eastAsia" w:ascii="仿宋" w:eastAsia="仿宋"/>
          <w:sz w:val="32"/>
          <w:szCs w:val="32"/>
          <w:lang w:eastAsia="zh-CN"/>
        </w:rPr>
      </w:pPr>
    </w:p>
    <w:p w14:paraId="102F251E">
      <w:pPr>
        <w:pStyle w:val="3"/>
        <w:ind w:left="0" w:leftChars="0" w:firstLine="420" w:firstLineChars="200"/>
        <w:rPr>
          <w:rFonts w:hint="eastAsia"/>
          <w:lang w:eastAsia="zh-CN"/>
        </w:rPr>
      </w:pPr>
      <w:r>
        <w:rPr>
          <w:rFonts w:hint="eastAsia" w:eastAsia="宋体"/>
          <w:lang w:eastAsia="zh-CN"/>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1FC022C">
      <w:pPr>
        <w:pStyle w:val="16"/>
      </w:pPr>
    </w:p>
    <w:p w14:paraId="371D2559">
      <w:pPr>
        <w:pStyle w:val="16"/>
        <w:rPr>
          <w:rFonts w:ascii="仿宋" w:eastAsia="仿宋"/>
          <w:b/>
          <w:sz w:val="32"/>
          <w:szCs w:val="32"/>
        </w:rPr>
      </w:pPr>
      <w:r>
        <w:rPr>
          <w:rFonts w:hint="eastAsia" w:ascii="仿宋" w:eastAsia="仿宋"/>
          <w:b/>
          <w:sz w:val="32"/>
          <w:szCs w:val="32"/>
        </w:rPr>
        <w:t>（注：数据来源于GK06一般公共预算财政拨款支出决算表，仅罗列本单位涉及的全部功能分类科目，至类级。）</w:t>
      </w:r>
    </w:p>
    <w:p w14:paraId="43AE6F10">
      <w:pPr>
        <w:spacing w:line="600" w:lineRule="exact"/>
        <w:rPr>
          <w:rFonts w:ascii="仿宋" w:eastAsia="仿宋"/>
          <w:sz w:val="32"/>
          <w:szCs w:val="32"/>
        </w:rPr>
      </w:pPr>
      <w:r>
        <w:rPr>
          <w:rFonts w:hint="eastAsia" w:ascii="仿宋" w:eastAsia="仿宋"/>
          <w:sz w:val="32"/>
          <w:szCs w:val="32"/>
        </w:rPr>
        <w:t>（图6：一般公共预算财政拨款支出决算结构）（饼状图）</w:t>
      </w:r>
    </w:p>
    <w:p w14:paraId="67F26F07">
      <w:pPr>
        <w:spacing w:line="600" w:lineRule="exact"/>
        <w:outlineLvl w:val="2"/>
        <w:rPr>
          <w:rFonts w:ascii="仿宋" w:eastAsia="仿宋"/>
          <w:b/>
          <w:sz w:val="32"/>
          <w:szCs w:val="32"/>
        </w:rPr>
      </w:pPr>
      <w:bookmarkStart w:id="78" w:name="_Toc15377212"/>
      <w:bookmarkStart w:id="79" w:name="_Toc13609"/>
      <w:r>
        <w:rPr>
          <w:rFonts w:hint="eastAsia" w:ascii="仿宋" w:eastAsia="仿宋"/>
          <w:b/>
          <w:sz w:val="32"/>
          <w:szCs w:val="32"/>
        </w:rPr>
        <w:t>（三）一般公共预算财政拨款支出决算具体情况</w:t>
      </w:r>
      <w:bookmarkEnd w:id="78"/>
      <w:bookmarkEnd w:id="79"/>
    </w:p>
    <w:p w14:paraId="12538201">
      <w:pPr>
        <w:spacing w:line="600" w:lineRule="exact"/>
        <w:ind w:firstLine="640" w:firstLineChars="200"/>
        <w:outlineLvl w:val="9"/>
        <w:rPr>
          <w:rStyle w:val="21"/>
          <w:rFonts w:hint="eastAsia" w:ascii="仿宋" w:eastAsia="仿宋"/>
          <w:bCs/>
          <w:sz w:val="32"/>
          <w:szCs w:val="32"/>
        </w:rPr>
      </w:pPr>
      <w:bookmarkStart w:id="80" w:name="_Toc15377444"/>
      <w:bookmarkStart w:id="81" w:name="_Toc15377213"/>
      <w:bookmarkStart w:id="82" w:name="_Toc15378460"/>
      <w:bookmarkStart w:id="83" w:name="_Toc2769"/>
      <w:bookmarkStart w:id="84" w:name="_Toc7877"/>
      <w:r>
        <w:rPr>
          <w:rFonts w:hint="eastAsia" w:ascii="Times New Roman" w:hAnsi="Times New Roman" w:eastAsia="仿宋_GB2312" w:cs="仿宋_GB2312"/>
          <w:color w:val="auto"/>
          <w:kern w:val="2"/>
          <w:sz w:val="32"/>
          <w:szCs w:val="32"/>
          <w:highlight w:val="none"/>
          <w:lang w:val="en-US" w:eastAsia="zh-CN" w:bidi="ar-SA"/>
        </w:rPr>
        <w:t>2024年度一般公共预算财政拨款支出决算数为</w:t>
      </w:r>
      <w:r>
        <w:rPr>
          <w:rFonts w:hint="eastAsia" w:ascii="仿宋_GB2312" w:hAnsi="仿宋_GB2312" w:eastAsia="仿宋_GB2312" w:cs="仿宋_GB2312"/>
          <w:sz w:val="32"/>
          <w:szCs w:val="32"/>
        </w:rPr>
        <w:t>285.28</w:t>
      </w:r>
      <w:r>
        <w:rPr>
          <w:rFonts w:hint="eastAsia" w:ascii="仿宋_GB2312" w:hAnsi="仿宋_GB2312" w:eastAsia="仿宋_GB2312" w:cs="仿宋_GB2312"/>
          <w:sz w:val="32"/>
          <w:szCs w:val="32"/>
          <w:lang w:val="en-US" w:eastAsia="zh-CN"/>
        </w:rPr>
        <w:t>万元</w:t>
      </w:r>
      <w:r>
        <w:rPr>
          <w:rFonts w:hint="eastAsia" w:ascii="仿宋" w:eastAsia="仿宋"/>
          <w:b w:val="0"/>
          <w:bCs w:val="0"/>
          <w:sz w:val="32"/>
          <w:szCs w:val="32"/>
        </w:rPr>
        <w:t>，</w:t>
      </w:r>
      <w:r>
        <w:rPr>
          <w:rStyle w:val="21"/>
          <w:rFonts w:hint="eastAsia" w:ascii="仿宋" w:eastAsia="仿宋"/>
          <w:b w:val="0"/>
          <w:bCs w:val="0"/>
          <w:sz w:val="32"/>
          <w:szCs w:val="32"/>
        </w:rPr>
        <w:t>完成预算</w:t>
      </w:r>
      <w:r>
        <w:rPr>
          <w:rStyle w:val="21"/>
          <w:rFonts w:hint="eastAsia" w:ascii="仿宋" w:eastAsia="仿宋"/>
          <w:b w:val="0"/>
          <w:bCs w:val="0"/>
          <w:sz w:val="32"/>
          <w:szCs w:val="32"/>
          <w:lang w:val="en-US" w:eastAsia="zh-CN"/>
        </w:rPr>
        <w:t>100</w:t>
      </w:r>
      <w:r>
        <w:rPr>
          <w:rStyle w:val="21"/>
          <w:rFonts w:ascii="仿宋" w:eastAsia="仿宋"/>
          <w:b w:val="0"/>
          <w:bCs w:val="0"/>
          <w:sz w:val="32"/>
          <w:szCs w:val="32"/>
        </w:rPr>
        <w:t>%</w:t>
      </w:r>
      <w:r>
        <w:rPr>
          <w:rStyle w:val="21"/>
          <w:rFonts w:hint="eastAsia" w:ascii="仿宋" w:eastAsia="仿宋"/>
          <w:b w:val="0"/>
          <w:bCs w:val="0"/>
          <w:sz w:val="32"/>
          <w:szCs w:val="32"/>
        </w:rPr>
        <w:t>。</w:t>
      </w:r>
      <w:r>
        <w:rPr>
          <w:rStyle w:val="21"/>
          <w:rFonts w:hint="eastAsia" w:ascii="仿宋" w:eastAsia="仿宋"/>
          <w:bCs/>
          <w:sz w:val="32"/>
          <w:szCs w:val="32"/>
        </w:rPr>
        <w:t>其中：</w:t>
      </w:r>
      <w:bookmarkEnd w:id="80"/>
      <w:bookmarkEnd w:id="81"/>
      <w:bookmarkEnd w:id="82"/>
      <w:bookmarkEnd w:id="83"/>
      <w:bookmarkEnd w:id="84"/>
    </w:p>
    <w:p w14:paraId="583ADFAD">
      <w:pPr>
        <w:pStyle w:val="34"/>
        <w:numPr>
          <w:ilvl w:val="0"/>
          <w:numId w:val="3"/>
        </w:numPr>
        <w:spacing w:before="0" w:beforeAutospacing="0" w:after="100" w:afterAutospacing="0"/>
        <w:ind w:left="0" w:right="0" w:firstLine="0"/>
        <w:rPr>
          <w:rFonts w:hint="eastAsia" w:ascii="宋体" w:eastAsia="宋体" w:cs="宋体"/>
          <w:b/>
          <w:bCs w:val="0"/>
          <w:kern w:val="0"/>
          <w:sz w:val="24"/>
          <w:szCs w:val="24"/>
          <w:shd w:val="clear" w:color="auto" w:fill="FFFFFF"/>
        </w:rPr>
      </w:pPr>
      <w:r>
        <w:rPr>
          <w:rFonts w:hint="eastAsia" w:ascii="宋体" w:eastAsia="宋体" w:cs="宋体"/>
          <w:b/>
          <w:bCs w:val="0"/>
          <w:color w:val="000000"/>
          <w:kern w:val="0"/>
          <w:sz w:val="28"/>
          <w:szCs w:val="28"/>
          <w:shd w:val="clear" w:color="auto" w:fill="FFFFFF"/>
        </w:rPr>
        <w:t>教育支出（205）普通教育（02） 其他普通教育支出（99）</w:t>
      </w:r>
      <w:r>
        <w:rPr>
          <w:rFonts w:ascii="仿宋_GB2312" w:eastAsia="仿宋_GB2312" w:cs="仿宋_GB2312"/>
          <w:b/>
          <w:bCs w:val="0"/>
          <w:color w:val="000000"/>
          <w:kern w:val="0"/>
          <w:sz w:val="32"/>
          <w:szCs w:val="32"/>
          <w:shd w:val="clear" w:color="auto" w:fill="FFFFFF"/>
        </w:rPr>
        <w:t xml:space="preserve">: </w:t>
      </w:r>
      <w:r>
        <w:rPr>
          <w:rFonts w:hint="eastAsia" w:ascii="宋体" w:eastAsia="宋体" w:cs="宋体"/>
          <w:b/>
          <w:bCs w:val="0"/>
          <w:color w:val="000000"/>
          <w:kern w:val="0"/>
          <w:sz w:val="28"/>
          <w:szCs w:val="28"/>
          <w:shd w:val="clear" w:color="auto" w:fill="FFFFFF"/>
        </w:rPr>
        <w:t>教育支</w:t>
      </w:r>
      <w:r>
        <w:rPr>
          <w:rFonts w:hint="eastAsia" w:cs="宋体"/>
          <w:kern w:val="0"/>
          <w:sz w:val="28"/>
          <w:szCs w:val="28"/>
          <w:lang w:eastAsia="zh-CN"/>
        </w:rPr>
        <w:t>202</w:t>
      </w:r>
      <w:r>
        <w:rPr>
          <w:rFonts w:hint="eastAsia" w:cs="宋体"/>
          <w:kern w:val="0"/>
          <w:sz w:val="28"/>
          <w:szCs w:val="28"/>
          <w:lang w:val="en-US" w:eastAsia="zh-CN"/>
        </w:rPr>
        <w:t>4</w:t>
      </w:r>
      <w:r>
        <w:rPr>
          <w:rFonts w:hint="eastAsia" w:cs="宋体"/>
          <w:kern w:val="0"/>
          <w:sz w:val="28"/>
          <w:szCs w:val="28"/>
          <w:lang w:eastAsia="zh-CN"/>
        </w:rPr>
        <w:t>年度</w:t>
      </w:r>
      <w:r>
        <w:rPr>
          <w:rFonts w:hint="eastAsia" w:ascii="宋体" w:eastAsia="宋体" w:cs="宋体"/>
          <w:kern w:val="0"/>
          <w:sz w:val="28"/>
          <w:szCs w:val="28"/>
        </w:rPr>
        <w:t>支出决算数为</w:t>
      </w:r>
      <w:r>
        <w:rPr>
          <w:rFonts w:hint="eastAsia" w:cs="宋体"/>
          <w:kern w:val="0"/>
          <w:sz w:val="28"/>
          <w:szCs w:val="28"/>
          <w:lang w:val="en-US" w:eastAsia="zh-CN"/>
        </w:rPr>
        <w:t>244.11</w:t>
      </w:r>
      <w:r>
        <w:rPr>
          <w:rFonts w:hint="eastAsia" w:ascii="宋体" w:eastAsia="宋体" w:cs="宋体"/>
          <w:kern w:val="0"/>
          <w:sz w:val="28"/>
          <w:szCs w:val="28"/>
        </w:rPr>
        <w:t>万元，完成预算100%。</w:t>
      </w:r>
    </w:p>
    <w:p w14:paraId="1CD611E8">
      <w:pPr>
        <w:keepNext w:val="0"/>
        <w:keepLines w:val="0"/>
        <w:widowControl/>
        <w:suppressLineNumbers w:val="0"/>
        <w:shd w:val="clear" w:color="auto" w:fill="FFFFFF"/>
        <w:spacing w:before="0" w:beforeAutospacing="1" w:after="0" w:afterAutospacing="1" w:line="560" w:lineRule="exact"/>
        <w:rPr>
          <w:rFonts w:hint="eastAsia" w:ascii="宋体" w:eastAsia="宋体" w:cs="宋体"/>
          <w:color w:val="000000"/>
          <w:kern w:val="0"/>
          <w:sz w:val="28"/>
          <w:szCs w:val="28"/>
          <w:shd w:val="clear" w:color="auto" w:fill="FFFFFF"/>
        </w:rPr>
      </w:pPr>
      <w:r>
        <w:rPr>
          <w:rFonts w:hint="eastAsia" w:ascii="宋体" w:eastAsia="宋体" w:cs="宋体"/>
          <w:b/>
          <w:bCs w:val="0"/>
          <w:color w:val="000000"/>
          <w:kern w:val="0"/>
          <w:sz w:val="28"/>
          <w:szCs w:val="28"/>
          <w:shd w:val="clear" w:color="auto" w:fill="FFFFFF"/>
        </w:rPr>
        <w:t>2.社会保障和就业支出（208）行政事业单位离退休（05）机关事业单位基本养老保险缴费支出（05）</w:t>
      </w:r>
      <w:r>
        <w:rPr>
          <w:rFonts w:hint="eastAsia" w:ascii="宋体" w:cs="宋体"/>
          <w:color w:val="000000"/>
          <w:kern w:val="0"/>
          <w:sz w:val="28"/>
          <w:szCs w:val="28"/>
          <w:shd w:val="clear" w:color="auto" w:fill="FFFFFF"/>
          <w:lang w:eastAsia="zh-CN"/>
        </w:rPr>
        <w:t>202</w:t>
      </w:r>
      <w:r>
        <w:rPr>
          <w:rFonts w:hint="eastAsia" w:ascii="宋体" w:cs="宋体"/>
          <w:color w:val="000000"/>
          <w:kern w:val="0"/>
          <w:sz w:val="28"/>
          <w:szCs w:val="28"/>
          <w:shd w:val="clear" w:color="auto" w:fill="FFFFFF"/>
          <w:lang w:val="en-US" w:eastAsia="zh-CN"/>
        </w:rPr>
        <w:t>4</w:t>
      </w:r>
      <w:r>
        <w:rPr>
          <w:rFonts w:hint="eastAsia" w:ascii="宋体" w:cs="宋体"/>
          <w:color w:val="000000"/>
          <w:kern w:val="0"/>
          <w:sz w:val="28"/>
          <w:szCs w:val="28"/>
          <w:shd w:val="clear" w:color="auto" w:fill="FFFFFF"/>
          <w:lang w:eastAsia="zh-CN"/>
        </w:rPr>
        <w:t>年度</w:t>
      </w:r>
      <w:r>
        <w:rPr>
          <w:rFonts w:hint="eastAsia" w:ascii="宋体" w:eastAsia="宋体" w:cs="宋体"/>
          <w:color w:val="000000"/>
          <w:kern w:val="0"/>
          <w:sz w:val="28"/>
          <w:szCs w:val="28"/>
          <w:shd w:val="clear" w:color="auto" w:fill="FFFFFF"/>
        </w:rPr>
        <w:t>支出决算</w:t>
      </w:r>
      <w:r>
        <w:rPr>
          <w:rFonts w:hint="eastAsia" w:ascii="宋体" w:eastAsia="宋体" w:cs="宋体"/>
          <w:bCs/>
          <w:color w:val="000000"/>
          <w:kern w:val="0"/>
          <w:sz w:val="28"/>
          <w:szCs w:val="28"/>
          <w:shd w:val="clear" w:color="auto" w:fill="FFFFFF"/>
        </w:rPr>
        <w:t>数</w:t>
      </w:r>
      <w:r>
        <w:rPr>
          <w:rFonts w:hint="eastAsia" w:ascii="宋体" w:eastAsia="宋体" w:cs="宋体"/>
          <w:color w:val="000000"/>
          <w:kern w:val="0"/>
          <w:sz w:val="28"/>
          <w:szCs w:val="28"/>
          <w:shd w:val="clear" w:color="auto" w:fill="FFFFFF"/>
        </w:rPr>
        <w:t>为</w:t>
      </w:r>
      <w:r>
        <w:rPr>
          <w:rFonts w:hint="eastAsia" w:ascii="宋体" w:cs="宋体"/>
          <w:color w:val="000000"/>
          <w:kern w:val="0"/>
          <w:sz w:val="28"/>
          <w:szCs w:val="28"/>
          <w:shd w:val="clear" w:color="auto" w:fill="FFFFFF"/>
          <w:lang w:val="en-US" w:eastAsia="zh-CN"/>
        </w:rPr>
        <w:t>14.20</w:t>
      </w:r>
      <w:r>
        <w:rPr>
          <w:rFonts w:hint="eastAsia" w:ascii="宋体" w:eastAsia="宋体" w:cs="宋体"/>
          <w:color w:val="000000"/>
          <w:kern w:val="0"/>
          <w:sz w:val="28"/>
          <w:szCs w:val="28"/>
          <w:shd w:val="clear" w:color="auto" w:fill="FFFFFF"/>
        </w:rPr>
        <w:t>万元，完成预算的100%。</w:t>
      </w:r>
    </w:p>
    <w:p w14:paraId="7BBD1681">
      <w:pPr>
        <w:keepNext w:val="0"/>
        <w:keepLines w:val="0"/>
        <w:widowControl/>
        <w:suppressLineNumbers w:val="0"/>
        <w:shd w:val="clear" w:color="auto" w:fill="FFFFFF"/>
        <w:spacing w:before="0" w:beforeAutospacing="1" w:after="0" w:afterAutospacing="1" w:line="560" w:lineRule="exact"/>
        <w:rPr>
          <w:rFonts w:hint="eastAsia" w:ascii="宋体" w:eastAsia="宋体" w:cs="宋体"/>
          <w:color w:val="000000"/>
          <w:kern w:val="0"/>
          <w:sz w:val="28"/>
          <w:szCs w:val="28"/>
          <w:shd w:val="clear" w:color="auto" w:fill="FFFFFF"/>
        </w:rPr>
      </w:pPr>
      <w:r>
        <w:rPr>
          <w:rFonts w:hint="eastAsia" w:ascii="宋体" w:eastAsia="宋体" w:cs="宋体"/>
          <w:b/>
          <w:bCs w:val="0"/>
          <w:color w:val="000000"/>
          <w:kern w:val="0"/>
          <w:sz w:val="28"/>
          <w:szCs w:val="28"/>
          <w:shd w:val="clear" w:color="auto" w:fill="FFFFFF"/>
        </w:rPr>
        <w:t>3.社会保障和就业支出（208）行政事业单位离退休（05）机关事业单位职业年金缴费支出（06）</w:t>
      </w:r>
      <w:r>
        <w:rPr>
          <w:rFonts w:hint="eastAsia" w:ascii="宋体" w:cs="宋体"/>
          <w:color w:val="000000"/>
          <w:kern w:val="0"/>
          <w:sz w:val="28"/>
          <w:szCs w:val="28"/>
          <w:shd w:val="clear" w:color="auto" w:fill="FFFFFF"/>
          <w:lang w:eastAsia="zh-CN"/>
        </w:rPr>
        <w:t>202</w:t>
      </w:r>
      <w:r>
        <w:rPr>
          <w:rFonts w:hint="eastAsia" w:ascii="宋体" w:cs="宋体"/>
          <w:color w:val="000000"/>
          <w:kern w:val="0"/>
          <w:sz w:val="28"/>
          <w:szCs w:val="28"/>
          <w:shd w:val="clear" w:color="auto" w:fill="FFFFFF"/>
          <w:lang w:val="en-US" w:eastAsia="zh-CN"/>
        </w:rPr>
        <w:t>4</w:t>
      </w:r>
      <w:r>
        <w:rPr>
          <w:rFonts w:hint="eastAsia" w:ascii="宋体" w:cs="宋体"/>
          <w:color w:val="000000"/>
          <w:kern w:val="0"/>
          <w:sz w:val="28"/>
          <w:szCs w:val="28"/>
          <w:shd w:val="clear" w:color="auto" w:fill="FFFFFF"/>
          <w:lang w:eastAsia="zh-CN"/>
        </w:rPr>
        <w:t>年度</w:t>
      </w:r>
      <w:r>
        <w:rPr>
          <w:rFonts w:hint="eastAsia" w:ascii="宋体" w:eastAsia="宋体" w:cs="宋体"/>
          <w:color w:val="000000"/>
          <w:kern w:val="0"/>
          <w:sz w:val="28"/>
          <w:szCs w:val="28"/>
          <w:shd w:val="clear" w:color="auto" w:fill="FFFFFF"/>
        </w:rPr>
        <w:t>支出决算数为</w:t>
      </w:r>
      <w:r>
        <w:rPr>
          <w:rFonts w:hint="eastAsia" w:ascii="宋体" w:cs="宋体"/>
          <w:color w:val="000000"/>
          <w:kern w:val="0"/>
          <w:sz w:val="28"/>
          <w:szCs w:val="28"/>
          <w:shd w:val="clear" w:color="auto" w:fill="FFFFFF"/>
          <w:lang w:val="en-US" w:eastAsia="zh-CN"/>
        </w:rPr>
        <w:t>7.10</w:t>
      </w:r>
      <w:r>
        <w:rPr>
          <w:rFonts w:hint="eastAsia" w:ascii="宋体" w:eastAsia="宋体" w:cs="宋体"/>
          <w:color w:val="000000"/>
          <w:kern w:val="0"/>
          <w:sz w:val="28"/>
          <w:szCs w:val="28"/>
          <w:shd w:val="clear" w:color="auto" w:fill="FFFFFF"/>
        </w:rPr>
        <w:t>万元。完成预算的100%。</w:t>
      </w:r>
    </w:p>
    <w:p w14:paraId="4420C928">
      <w:pPr>
        <w:keepNext w:val="0"/>
        <w:keepLines w:val="0"/>
        <w:widowControl/>
        <w:suppressLineNumbers w:val="0"/>
        <w:shd w:val="clear" w:color="auto" w:fill="FFFFFF"/>
        <w:spacing w:before="0" w:beforeAutospacing="1" w:after="0" w:afterAutospacing="1" w:line="560" w:lineRule="exact"/>
        <w:rPr>
          <w:rFonts w:hint="eastAsia" w:ascii="宋体" w:eastAsia="宋体" w:cs="宋体"/>
          <w:color w:val="000000"/>
          <w:kern w:val="0"/>
          <w:sz w:val="28"/>
          <w:szCs w:val="28"/>
          <w:shd w:val="clear" w:color="auto" w:fill="FFFFFF"/>
        </w:rPr>
      </w:pPr>
      <w:r>
        <w:rPr>
          <w:rFonts w:hint="eastAsia" w:ascii="宋体" w:eastAsia="宋体" w:cs="宋体"/>
          <w:b/>
          <w:bCs w:val="0"/>
          <w:color w:val="000000"/>
          <w:kern w:val="0"/>
          <w:sz w:val="28"/>
          <w:szCs w:val="28"/>
          <w:shd w:val="clear" w:color="auto" w:fill="FFFFFF"/>
        </w:rPr>
        <w:t xml:space="preserve">4. </w:t>
      </w:r>
      <w:r>
        <w:rPr>
          <w:rFonts w:hint="eastAsia" w:ascii="宋体" w:eastAsia="宋体" w:cs="宋体"/>
          <w:b/>
          <w:bCs/>
          <w:color w:val="000000"/>
          <w:kern w:val="0"/>
          <w:sz w:val="28"/>
          <w:szCs w:val="28"/>
          <w:shd w:val="clear" w:color="auto" w:fill="FFFFFF"/>
        </w:rPr>
        <w:t>卫生健康支出（210） 行政事业单位医疗（11）事业单位医疗（02）</w:t>
      </w:r>
      <w:r>
        <w:rPr>
          <w:rFonts w:hint="eastAsia" w:ascii="宋体" w:eastAsia="宋体" w:cs="宋体"/>
          <w:bCs/>
          <w:color w:val="000000"/>
          <w:kern w:val="0"/>
          <w:sz w:val="28"/>
          <w:szCs w:val="28"/>
          <w:shd w:val="clear" w:color="auto" w:fill="FFFFFF"/>
        </w:rPr>
        <w:t>:</w:t>
      </w:r>
      <w:r>
        <w:rPr>
          <w:rFonts w:hint="eastAsia" w:ascii="宋体" w:eastAsia="宋体" w:cs="宋体"/>
          <w:color w:val="000000"/>
          <w:kern w:val="0"/>
          <w:sz w:val="28"/>
          <w:szCs w:val="28"/>
          <w:shd w:val="clear" w:color="auto" w:fill="FFFFFF"/>
        </w:rPr>
        <w:t xml:space="preserve"> </w:t>
      </w:r>
      <w:r>
        <w:rPr>
          <w:rFonts w:hint="eastAsia" w:ascii="宋体" w:cs="宋体"/>
          <w:color w:val="000000"/>
          <w:kern w:val="0"/>
          <w:sz w:val="28"/>
          <w:szCs w:val="28"/>
          <w:shd w:val="clear" w:color="auto" w:fill="FFFFFF"/>
          <w:lang w:eastAsia="zh-CN"/>
        </w:rPr>
        <w:t>202</w:t>
      </w:r>
      <w:r>
        <w:rPr>
          <w:rFonts w:hint="eastAsia" w:ascii="宋体" w:cs="宋体"/>
          <w:color w:val="000000"/>
          <w:kern w:val="0"/>
          <w:sz w:val="28"/>
          <w:szCs w:val="28"/>
          <w:shd w:val="clear" w:color="auto" w:fill="FFFFFF"/>
          <w:lang w:val="en-US" w:eastAsia="zh-CN"/>
        </w:rPr>
        <w:t>4</w:t>
      </w:r>
      <w:r>
        <w:rPr>
          <w:rFonts w:hint="eastAsia" w:ascii="宋体" w:cs="宋体"/>
          <w:color w:val="000000"/>
          <w:kern w:val="0"/>
          <w:sz w:val="28"/>
          <w:szCs w:val="28"/>
          <w:shd w:val="clear" w:color="auto" w:fill="FFFFFF"/>
          <w:lang w:eastAsia="zh-CN"/>
        </w:rPr>
        <w:t>年度</w:t>
      </w:r>
      <w:r>
        <w:rPr>
          <w:rFonts w:hint="eastAsia" w:ascii="宋体" w:eastAsia="宋体" w:cs="宋体"/>
          <w:color w:val="000000"/>
          <w:kern w:val="0"/>
          <w:sz w:val="28"/>
          <w:szCs w:val="28"/>
          <w:shd w:val="clear" w:color="auto" w:fill="FFFFFF"/>
        </w:rPr>
        <w:t>支出决算数为</w:t>
      </w:r>
      <w:r>
        <w:rPr>
          <w:rFonts w:hint="eastAsia" w:ascii="宋体" w:cs="宋体"/>
          <w:color w:val="000000"/>
          <w:kern w:val="0"/>
          <w:sz w:val="28"/>
          <w:szCs w:val="28"/>
          <w:shd w:val="clear" w:color="auto" w:fill="FFFFFF"/>
          <w:lang w:val="en-US" w:eastAsia="zh-CN"/>
        </w:rPr>
        <w:t>6.79</w:t>
      </w:r>
      <w:r>
        <w:rPr>
          <w:rFonts w:hint="eastAsia" w:ascii="宋体" w:eastAsia="宋体" w:cs="宋体"/>
          <w:color w:val="000000"/>
          <w:kern w:val="0"/>
          <w:sz w:val="28"/>
          <w:szCs w:val="28"/>
          <w:shd w:val="clear" w:color="auto" w:fill="FFFFFF"/>
        </w:rPr>
        <w:t>万元。完成预算的100%。</w:t>
      </w:r>
    </w:p>
    <w:p w14:paraId="2E4C45E8">
      <w:pPr>
        <w:pStyle w:val="2"/>
        <w:rPr>
          <w:rFonts w:hint="eastAsia"/>
        </w:rPr>
      </w:pPr>
      <w:r>
        <w:rPr>
          <w:rFonts w:hint="eastAsia" w:ascii="宋体" w:cs="宋体"/>
          <w:b/>
          <w:bCs w:val="0"/>
          <w:color w:val="000000"/>
          <w:kern w:val="0"/>
          <w:sz w:val="28"/>
          <w:szCs w:val="28"/>
          <w:shd w:val="clear" w:color="auto" w:fill="FFFFFF"/>
          <w:lang w:val="en-US" w:eastAsia="zh-CN"/>
        </w:rPr>
        <w:t>5</w:t>
      </w:r>
      <w:r>
        <w:rPr>
          <w:rFonts w:hint="eastAsia" w:ascii="宋体" w:eastAsia="宋体" w:cs="宋体"/>
          <w:b/>
          <w:bCs w:val="0"/>
          <w:color w:val="000000"/>
          <w:kern w:val="0"/>
          <w:sz w:val="28"/>
          <w:szCs w:val="28"/>
          <w:shd w:val="clear" w:color="auto" w:fill="FFFFFF"/>
        </w:rPr>
        <w:t xml:space="preserve">. </w:t>
      </w:r>
      <w:r>
        <w:rPr>
          <w:rFonts w:hint="eastAsia" w:ascii="宋体" w:eastAsia="宋体" w:cs="宋体"/>
          <w:b/>
          <w:bCs/>
          <w:color w:val="000000"/>
          <w:kern w:val="0"/>
          <w:sz w:val="28"/>
          <w:szCs w:val="28"/>
          <w:shd w:val="clear" w:color="auto" w:fill="FFFFFF"/>
        </w:rPr>
        <w:t>卫生健康支出（210） 行政事业单位医疗（11）事业单位医疗（</w:t>
      </w:r>
      <w:r>
        <w:rPr>
          <w:rFonts w:hint="eastAsia" w:ascii="宋体" w:cs="宋体"/>
          <w:b/>
          <w:bCs/>
          <w:color w:val="000000"/>
          <w:kern w:val="0"/>
          <w:sz w:val="28"/>
          <w:szCs w:val="28"/>
          <w:shd w:val="clear" w:color="auto" w:fill="FFFFFF"/>
          <w:lang w:val="en-US" w:eastAsia="zh-CN"/>
        </w:rPr>
        <w:t>99</w:t>
      </w:r>
      <w:r>
        <w:rPr>
          <w:rFonts w:hint="eastAsia" w:ascii="宋体" w:eastAsia="宋体" w:cs="宋体"/>
          <w:b/>
          <w:bCs/>
          <w:color w:val="000000"/>
          <w:kern w:val="0"/>
          <w:sz w:val="28"/>
          <w:szCs w:val="28"/>
          <w:shd w:val="clear" w:color="auto" w:fill="FFFFFF"/>
        </w:rPr>
        <w:t>）</w:t>
      </w:r>
      <w:r>
        <w:rPr>
          <w:rFonts w:hint="eastAsia" w:ascii="宋体" w:eastAsia="宋体" w:cs="宋体"/>
          <w:bCs/>
          <w:color w:val="000000"/>
          <w:kern w:val="0"/>
          <w:sz w:val="28"/>
          <w:szCs w:val="28"/>
          <w:shd w:val="clear" w:color="auto" w:fill="FFFFFF"/>
        </w:rPr>
        <w:t>:</w:t>
      </w:r>
      <w:r>
        <w:rPr>
          <w:rFonts w:hint="eastAsia" w:ascii="宋体" w:eastAsia="宋体" w:cs="宋体"/>
          <w:color w:val="000000"/>
          <w:kern w:val="0"/>
          <w:sz w:val="28"/>
          <w:szCs w:val="28"/>
          <w:shd w:val="clear" w:color="auto" w:fill="FFFFFF"/>
        </w:rPr>
        <w:t xml:space="preserve"> </w:t>
      </w:r>
      <w:r>
        <w:rPr>
          <w:rFonts w:hint="eastAsia" w:ascii="宋体" w:cs="宋体"/>
          <w:color w:val="000000"/>
          <w:kern w:val="0"/>
          <w:sz w:val="28"/>
          <w:szCs w:val="28"/>
          <w:shd w:val="clear" w:color="auto" w:fill="FFFFFF"/>
          <w:lang w:eastAsia="zh-CN"/>
        </w:rPr>
        <w:t>202</w:t>
      </w:r>
      <w:r>
        <w:rPr>
          <w:rFonts w:hint="eastAsia" w:ascii="宋体" w:cs="宋体"/>
          <w:color w:val="000000"/>
          <w:kern w:val="0"/>
          <w:sz w:val="28"/>
          <w:szCs w:val="28"/>
          <w:shd w:val="clear" w:color="auto" w:fill="FFFFFF"/>
          <w:lang w:val="en-US" w:eastAsia="zh-CN"/>
        </w:rPr>
        <w:t>4</w:t>
      </w:r>
      <w:r>
        <w:rPr>
          <w:rFonts w:hint="eastAsia" w:ascii="宋体" w:cs="宋体"/>
          <w:color w:val="000000"/>
          <w:kern w:val="0"/>
          <w:sz w:val="28"/>
          <w:szCs w:val="28"/>
          <w:shd w:val="clear" w:color="auto" w:fill="FFFFFF"/>
          <w:lang w:eastAsia="zh-CN"/>
        </w:rPr>
        <w:t>年度</w:t>
      </w:r>
      <w:r>
        <w:rPr>
          <w:rFonts w:hint="eastAsia" w:ascii="宋体" w:eastAsia="宋体" w:cs="宋体"/>
          <w:color w:val="000000"/>
          <w:kern w:val="0"/>
          <w:sz w:val="28"/>
          <w:szCs w:val="28"/>
          <w:shd w:val="clear" w:color="auto" w:fill="FFFFFF"/>
        </w:rPr>
        <w:t>支出决算数为</w:t>
      </w:r>
      <w:r>
        <w:rPr>
          <w:rFonts w:hint="eastAsia" w:ascii="宋体" w:cs="宋体"/>
          <w:color w:val="000000"/>
          <w:kern w:val="0"/>
          <w:sz w:val="28"/>
          <w:szCs w:val="28"/>
          <w:shd w:val="clear" w:color="auto" w:fill="FFFFFF"/>
          <w:lang w:val="en-US" w:eastAsia="zh-CN"/>
        </w:rPr>
        <w:t>1.55</w:t>
      </w:r>
      <w:r>
        <w:rPr>
          <w:rFonts w:hint="eastAsia" w:ascii="宋体" w:eastAsia="宋体" w:cs="宋体"/>
          <w:color w:val="000000"/>
          <w:kern w:val="0"/>
          <w:sz w:val="28"/>
          <w:szCs w:val="28"/>
          <w:shd w:val="clear" w:color="auto" w:fill="FFFFFF"/>
        </w:rPr>
        <w:t>万元。完成预算的100%。</w:t>
      </w:r>
    </w:p>
    <w:p w14:paraId="43D1A87D">
      <w:pPr>
        <w:keepNext w:val="0"/>
        <w:keepLines w:val="0"/>
        <w:widowControl/>
        <w:suppressLineNumbers w:val="0"/>
        <w:shd w:val="clear" w:color="auto" w:fill="FFFFFF"/>
        <w:spacing w:before="0" w:beforeAutospacing="1" w:after="0" w:afterAutospacing="1" w:line="560" w:lineRule="exact"/>
        <w:rPr>
          <w:rFonts w:hint="eastAsia" w:ascii="宋体" w:eastAsia="宋体" w:cs="宋体"/>
          <w:b/>
          <w:bCs w:val="0"/>
          <w:kern w:val="0"/>
          <w:sz w:val="28"/>
          <w:szCs w:val="28"/>
          <w:shd w:val="clear" w:color="auto" w:fill="FFFFFF"/>
        </w:rPr>
      </w:pPr>
      <w:r>
        <w:rPr>
          <w:rFonts w:hint="eastAsia" w:ascii="宋体" w:cs="宋体"/>
          <w:b/>
          <w:bCs/>
          <w:color w:val="000000"/>
          <w:kern w:val="0"/>
          <w:sz w:val="28"/>
          <w:szCs w:val="28"/>
          <w:shd w:val="clear" w:color="auto" w:fill="FFFFFF"/>
          <w:lang w:val="en-US" w:eastAsia="zh-CN"/>
        </w:rPr>
        <w:t>6</w:t>
      </w:r>
      <w:r>
        <w:rPr>
          <w:rFonts w:hint="eastAsia" w:ascii="宋体" w:eastAsia="宋体" w:cs="宋体"/>
          <w:b/>
          <w:bCs/>
          <w:color w:val="000000"/>
          <w:kern w:val="0"/>
          <w:sz w:val="28"/>
          <w:szCs w:val="28"/>
          <w:shd w:val="clear" w:color="auto" w:fill="FFFFFF"/>
        </w:rPr>
        <w:t>.</w:t>
      </w:r>
      <w:r>
        <w:rPr>
          <w:rFonts w:hint="eastAsia" w:ascii="宋体" w:eastAsia="宋体" w:cs="宋体"/>
          <w:bCs/>
          <w:color w:val="000000"/>
          <w:kern w:val="0"/>
          <w:sz w:val="28"/>
          <w:szCs w:val="28"/>
          <w:shd w:val="clear" w:color="auto" w:fill="FFFFFF"/>
        </w:rPr>
        <w:t xml:space="preserve"> </w:t>
      </w:r>
      <w:r>
        <w:rPr>
          <w:rFonts w:hint="eastAsia" w:ascii="宋体" w:eastAsia="宋体" w:cs="宋体"/>
          <w:b/>
          <w:bCs w:val="0"/>
          <w:color w:val="000000"/>
          <w:kern w:val="0"/>
          <w:sz w:val="28"/>
          <w:szCs w:val="28"/>
          <w:shd w:val="clear" w:color="auto" w:fill="FFFFFF"/>
        </w:rPr>
        <w:t>住房保障支出（221）住房改革支出（02）住房公积金（01）</w:t>
      </w:r>
      <w:r>
        <w:rPr>
          <w:rFonts w:hint="eastAsia" w:ascii="宋体" w:eastAsia="宋体" w:cs="宋体"/>
          <w:color w:val="000000"/>
          <w:kern w:val="0"/>
          <w:sz w:val="28"/>
          <w:szCs w:val="28"/>
          <w:shd w:val="clear" w:color="auto" w:fill="FFFFFF"/>
        </w:rPr>
        <w:t>:</w:t>
      </w:r>
      <w:r>
        <w:rPr>
          <w:rFonts w:hint="eastAsia" w:ascii="宋体" w:eastAsia="宋体" w:cs="宋体"/>
          <w:bCs/>
          <w:color w:val="000000"/>
          <w:kern w:val="0"/>
          <w:sz w:val="28"/>
          <w:szCs w:val="28"/>
          <w:shd w:val="clear" w:color="auto" w:fill="FFFFFF"/>
        </w:rPr>
        <w:t xml:space="preserve"> </w:t>
      </w:r>
      <w:r>
        <w:rPr>
          <w:rFonts w:hint="eastAsia" w:ascii="宋体" w:cs="宋体"/>
          <w:bCs/>
          <w:color w:val="000000"/>
          <w:kern w:val="0"/>
          <w:sz w:val="28"/>
          <w:szCs w:val="28"/>
          <w:shd w:val="clear" w:color="auto" w:fill="FFFFFF"/>
          <w:lang w:eastAsia="zh-CN"/>
        </w:rPr>
        <w:t>202</w:t>
      </w:r>
      <w:r>
        <w:rPr>
          <w:rFonts w:hint="eastAsia" w:ascii="宋体" w:cs="宋体"/>
          <w:bCs/>
          <w:color w:val="000000"/>
          <w:kern w:val="0"/>
          <w:sz w:val="28"/>
          <w:szCs w:val="28"/>
          <w:shd w:val="clear" w:color="auto" w:fill="FFFFFF"/>
          <w:lang w:val="en-US" w:eastAsia="zh-CN"/>
        </w:rPr>
        <w:t>4</w:t>
      </w:r>
      <w:r>
        <w:rPr>
          <w:rFonts w:hint="eastAsia" w:ascii="宋体" w:cs="宋体"/>
          <w:bCs/>
          <w:color w:val="000000"/>
          <w:kern w:val="0"/>
          <w:sz w:val="28"/>
          <w:szCs w:val="28"/>
          <w:shd w:val="clear" w:color="auto" w:fill="FFFFFF"/>
          <w:lang w:eastAsia="zh-CN"/>
        </w:rPr>
        <w:t>年度</w:t>
      </w:r>
      <w:r>
        <w:rPr>
          <w:rFonts w:hint="eastAsia" w:ascii="宋体" w:eastAsia="宋体" w:cs="宋体"/>
          <w:bCs/>
          <w:color w:val="000000"/>
          <w:kern w:val="0"/>
          <w:sz w:val="28"/>
          <w:szCs w:val="28"/>
          <w:shd w:val="clear" w:color="auto" w:fill="FFFFFF"/>
        </w:rPr>
        <w:t>支出决算数</w:t>
      </w:r>
      <w:r>
        <w:rPr>
          <w:rFonts w:hint="eastAsia" w:ascii="宋体" w:cs="宋体"/>
          <w:bCs/>
          <w:color w:val="000000"/>
          <w:kern w:val="0"/>
          <w:sz w:val="28"/>
          <w:szCs w:val="28"/>
          <w:shd w:val="clear" w:color="auto" w:fill="FFFFFF"/>
          <w:lang w:val="en-US" w:eastAsia="zh-CN"/>
        </w:rPr>
        <w:t>11.53</w:t>
      </w:r>
      <w:r>
        <w:rPr>
          <w:rFonts w:hint="eastAsia" w:ascii="宋体" w:eastAsia="宋体" w:cs="宋体"/>
          <w:bCs/>
          <w:color w:val="000000"/>
          <w:kern w:val="0"/>
          <w:sz w:val="28"/>
          <w:szCs w:val="28"/>
          <w:shd w:val="clear" w:color="auto" w:fill="FFFFFF"/>
        </w:rPr>
        <w:t>万元，完成预100%。</w:t>
      </w:r>
    </w:p>
    <w:p w14:paraId="42361128">
      <w:pPr>
        <w:pStyle w:val="36"/>
        <w:keepNext w:val="0"/>
        <w:keepLines w:val="0"/>
        <w:widowControl/>
        <w:suppressLineNumbers w:val="0"/>
        <w:spacing w:before="0" w:beforeAutospacing="0"/>
        <w:ind w:left="0"/>
        <w:jc w:val="left"/>
        <w:rPr>
          <w:rFonts w:hint="eastAsia" w:ascii="宋体" w:eastAsia="宋体" w:cs="宋体"/>
          <w:b/>
          <w:bCs w:val="0"/>
          <w:kern w:val="0"/>
          <w:sz w:val="24"/>
          <w:szCs w:val="24"/>
          <w:shd w:val="clear" w:color="auto" w:fill="FFFFFF"/>
        </w:rPr>
      </w:pPr>
      <w:r>
        <w:rPr>
          <w:rStyle w:val="35"/>
          <w:rFonts w:hint="eastAsia" w:ascii="宋体" w:eastAsia="宋体" w:cs="宋体"/>
          <w:b/>
          <w:bCs w:val="0"/>
          <w:shd w:val="clear" w:color="auto" w:fill="FFFFFF"/>
        </w:rPr>
        <w:t>（注：数据来源于GK07 一般公共预算财政拨款支出决算明细表，仅罗列本部门涉及的全部功能分类科目，至项级。上述“预算”口径为全年预算数。增减变动原因为决算数和全年预算数比较，与预算数持平可以不写原因。）</w:t>
      </w:r>
    </w:p>
    <w:p w14:paraId="4870D42D">
      <w:pPr>
        <w:pStyle w:val="36"/>
        <w:keepNext w:val="0"/>
        <w:keepLines w:val="0"/>
        <w:widowControl/>
        <w:suppressLineNumbers w:val="0"/>
        <w:spacing w:before="0" w:beforeAutospacing="0"/>
        <w:ind w:left="0"/>
        <w:jc w:val="left"/>
        <w:outlineLvl w:val="1"/>
        <w:rPr>
          <w:rFonts w:ascii="仿宋" w:eastAsia="仿宋"/>
          <w:b/>
          <w:sz w:val="32"/>
          <w:szCs w:val="32"/>
        </w:rPr>
      </w:pPr>
      <w:r>
        <w:rPr>
          <w:rFonts w:hint="eastAsia" w:ascii="宋体" w:eastAsia="宋体" w:cs="宋体"/>
          <w:b w:val="0"/>
          <w:bCs/>
          <w:kern w:val="0"/>
          <w:sz w:val="36"/>
          <w:szCs w:val="36"/>
          <w:shd w:val="clear" w:color="auto" w:fill="FFFFFF"/>
        </w:rPr>
        <w:t xml:space="preserve">  </w:t>
      </w:r>
    </w:p>
    <w:p w14:paraId="4EEB0A76">
      <w:pPr>
        <w:tabs>
          <w:tab w:val="right" w:pos="8306"/>
        </w:tabs>
        <w:spacing w:line="600" w:lineRule="exact"/>
        <w:ind w:firstLine="640"/>
        <w:outlineLvl w:val="1"/>
        <w:rPr>
          <w:rStyle w:val="24"/>
        </w:rPr>
      </w:pPr>
      <w:bookmarkStart w:id="85" w:name="_Toc15377214"/>
      <w:bookmarkStart w:id="86" w:name="_Toc15396608"/>
      <w:bookmarkStart w:id="87" w:name="_Toc2079"/>
      <w:r>
        <w:rPr>
          <w:rFonts w:hint="eastAsia" w:ascii="黑体" w:eastAsia="黑体"/>
          <w:sz w:val="32"/>
          <w:szCs w:val="32"/>
        </w:rPr>
        <w:t>六</w:t>
      </w:r>
      <w:r>
        <w:rPr>
          <w:rFonts w:hint="eastAsia" w:ascii="黑体" w:eastAsia="黑体"/>
          <w:b/>
          <w:sz w:val="32"/>
          <w:szCs w:val="32"/>
        </w:rPr>
        <w:t>、一</w:t>
      </w:r>
      <w:r>
        <w:rPr>
          <w:rStyle w:val="24"/>
          <w:rFonts w:hint="eastAsia" w:ascii="黑体" w:eastAsia="黑体"/>
          <w:b w:val="0"/>
        </w:rPr>
        <w:t>般公共预算财政拨款基本支出决算情况说明</w:t>
      </w:r>
      <w:bookmarkEnd w:id="85"/>
      <w:bookmarkEnd w:id="86"/>
      <w:bookmarkEnd w:id="87"/>
      <w:r>
        <w:rPr>
          <w:rStyle w:val="24"/>
          <w:rFonts w:ascii="黑体" w:eastAsia="黑体"/>
          <w:b w:val="0"/>
        </w:rPr>
        <w:tab/>
      </w:r>
    </w:p>
    <w:p w14:paraId="67179D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2024年度一般公共预算财政拨款基本支出</w:t>
      </w:r>
      <w:r>
        <w:rPr>
          <w:rFonts w:hint="eastAsia" w:ascii="仿宋_GB2312" w:hAnsi="仿宋_GB2312" w:eastAsia="仿宋_GB2312" w:cs="仿宋_GB2312"/>
          <w:sz w:val="32"/>
          <w:szCs w:val="32"/>
        </w:rPr>
        <w:t>185.1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26DF0916">
      <w:pPr>
        <w:spacing w:line="600" w:lineRule="exact"/>
        <w:ind w:firstLine="645"/>
        <w:rPr>
          <w:rFonts w:hint="eastAsia" w:ascii="仿宋" w:eastAsia="仿宋"/>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173.18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32.98万元、津贴补贴13.67万元、奖金9.10万元、伙食补助费1.44万元、绩效工资45.88万元、机关事业单位基本养老保险缴费14.20万元、职业年金缴费7.10万元、职工基本医疗保险缴费6.79万元、其他社会保障缴费3.37万元、住房公积金11.53万元、其他对个人和家庭的补助支出3.04万元。</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11.92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元，主要包括：办公费2.99万元、电费1.16万元、差旅费1.81万元、培训费0.17万元、委托业务费3.76万元、福利费1.10万元、办公设备购置0.92万元、。</w:t>
      </w:r>
    </w:p>
    <w:p w14:paraId="2B01BAC3">
      <w:pPr>
        <w:spacing w:line="600" w:lineRule="exact"/>
        <w:ind w:firstLine="645"/>
        <w:rPr>
          <w:rFonts w:ascii="仿宋" w:eastAsia="仿宋"/>
          <w:b/>
          <w:sz w:val="32"/>
          <w:szCs w:val="32"/>
        </w:rPr>
      </w:pPr>
      <w:r>
        <w:rPr>
          <w:rFonts w:hint="eastAsia" w:ascii="仿宋" w:eastAsia="仿宋"/>
          <w:b/>
          <w:sz w:val="32"/>
          <w:szCs w:val="32"/>
        </w:rPr>
        <w:t>（注：数据来源于GK08一般公共预算财政拨款基本支出决算明细表，仅罗列本单位实际支出涉及的经济分类科目。）</w:t>
      </w:r>
    </w:p>
    <w:p w14:paraId="2CA1844E">
      <w:pPr>
        <w:spacing w:line="600" w:lineRule="exact"/>
        <w:ind w:firstLine="640"/>
        <w:rPr>
          <w:rFonts w:ascii="仿宋" w:eastAsia="仿宋"/>
          <w:b/>
          <w:sz w:val="32"/>
          <w:szCs w:val="32"/>
        </w:rPr>
      </w:pPr>
    </w:p>
    <w:p w14:paraId="186FA25C">
      <w:pPr>
        <w:spacing w:line="600" w:lineRule="exact"/>
        <w:ind w:firstLine="640"/>
        <w:outlineLvl w:val="1"/>
        <w:rPr>
          <w:rStyle w:val="24"/>
          <w:rFonts w:ascii="黑体" w:eastAsia="黑体"/>
          <w:b w:val="0"/>
        </w:rPr>
      </w:pPr>
      <w:bookmarkStart w:id="88" w:name="_Toc15377215"/>
      <w:bookmarkStart w:id="89" w:name="_Toc15396609"/>
      <w:bookmarkStart w:id="90" w:name="_Toc10552"/>
      <w:r>
        <w:rPr>
          <w:rFonts w:hint="eastAsia" w:ascii="黑体" w:eastAsia="黑体"/>
          <w:sz w:val="32"/>
          <w:szCs w:val="32"/>
        </w:rPr>
        <w:t>七、</w:t>
      </w:r>
      <w:r>
        <w:rPr>
          <w:rStyle w:val="24"/>
          <w:rFonts w:hint="eastAsia" w:ascii="黑体" w:eastAsia="黑体"/>
          <w:b w:val="0"/>
        </w:rPr>
        <w:t>财政拨款</w:t>
      </w:r>
      <w:r>
        <w:rPr>
          <w:rStyle w:val="24"/>
          <w:rFonts w:hint="eastAsia" w:ascii="黑体" w:eastAsia="黑体"/>
        </w:rPr>
        <w:t>“</w:t>
      </w:r>
      <w:r>
        <w:rPr>
          <w:rStyle w:val="24"/>
          <w:rFonts w:hint="eastAsia" w:ascii="黑体" w:eastAsia="黑体"/>
          <w:b w:val="0"/>
        </w:rPr>
        <w:t>三公”经费支出决算情况说明</w:t>
      </w:r>
      <w:bookmarkEnd w:id="88"/>
      <w:bookmarkEnd w:id="89"/>
      <w:bookmarkEnd w:id="90"/>
    </w:p>
    <w:p w14:paraId="2CD12FD1">
      <w:pPr>
        <w:spacing w:line="600" w:lineRule="exact"/>
        <w:ind w:firstLine="640"/>
        <w:outlineLvl w:val="2"/>
        <w:rPr>
          <w:rFonts w:ascii="仿宋" w:eastAsia="仿宋"/>
          <w:b/>
          <w:sz w:val="32"/>
          <w:szCs w:val="32"/>
        </w:rPr>
      </w:pPr>
      <w:bookmarkStart w:id="91" w:name="_Toc15377216"/>
      <w:bookmarkStart w:id="92" w:name="_Toc31921"/>
      <w:r>
        <w:rPr>
          <w:rFonts w:hint="eastAsia" w:ascii="仿宋" w:eastAsia="仿宋"/>
          <w:b/>
          <w:sz w:val="32"/>
          <w:szCs w:val="32"/>
        </w:rPr>
        <w:t>（一）“三公”经费财政拨款支出决算总体情况说明</w:t>
      </w:r>
      <w:bookmarkEnd w:id="91"/>
      <w:bookmarkEnd w:id="92"/>
    </w:p>
    <w:p w14:paraId="20D5B210">
      <w:pPr>
        <w:spacing w:line="600" w:lineRule="exact"/>
        <w:ind w:firstLine="640"/>
        <w:rPr>
          <w:rFonts w:hint="eastAsia" w:ascii="仿宋" w:eastAsia="仿宋"/>
          <w:sz w:val="32"/>
          <w:szCs w:val="32"/>
          <w:lang w:eastAsia="zh-CN"/>
        </w:rPr>
      </w:pPr>
      <w:r>
        <w:rPr>
          <w:rFonts w:hint="eastAsia" w:ascii="仿宋" w:eastAsia="仿宋"/>
          <w:sz w:val="32"/>
          <w:szCs w:val="32"/>
        </w:rPr>
        <w:t>202</w:t>
      </w:r>
      <w:r>
        <w:rPr>
          <w:rFonts w:hint="eastAsia" w:ascii="仿宋" w:eastAsia="仿宋"/>
          <w:sz w:val="32"/>
          <w:szCs w:val="32"/>
          <w:lang w:val="en-US" w:eastAsia="zh-CN"/>
        </w:rPr>
        <w:t>4</w:t>
      </w:r>
      <w:r>
        <w:rPr>
          <w:rFonts w:hint="eastAsia" w:ascii="仿宋" w:eastAsia="仿宋"/>
          <w:sz w:val="32"/>
          <w:szCs w:val="32"/>
        </w:rPr>
        <w:t>年度“三公”经费财政拨款支出决算为</w:t>
      </w:r>
      <w:r>
        <w:rPr>
          <w:rFonts w:ascii="仿宋" w:eastAsia="仿宋"/>
          <w:b/>
          <w:sz w:val="32"/>
          <w:szCs w:val="32"/>
        </w:rPr>
        <w:t>0</w:t>
      </w:r>
      <w:r>
        <w:rPr>
          <w:rFonts w:hint="eastAsia" w:ascii="仿宋" w:eastAsia="仿宋"/>
          <w:sz w:val="32"/>
          <w:szCs w:val="32"/>
        </w:rPr>
        <w:t>万元，完成预算</w:t>
      </w:r>
      <w:r>
        <w:rPr>
          <w:rFonts w:ascii="仿宋" w:eastAsia="仿宋"/>
          <w:b/>
          <w:sz w:val="32"/>
          <w:szCs w:val="32"/>
        </w:rPr>
        <w:t>0</w:t>
      </w:r>
      <w:r>
        <w:rPr>
          <w:rFonts w:ascii="仿宋" w:eastAsia="仿宋"/>
          <w:sz w:val="32"/>
          <w:szCs w:val="32"/>
        </w:rPr>
        <w:t>%</w:t>
      </w:r>
      <w:r>
        <w:rPr>
          <w:rFonts w:hint="eastAsia" w:ascii="仿宋" w:eastAsia="仿宋"/>
          <w:sz w:val="32"/>
          <w:szCs w:val="32"/>
          <w:lang w:eastAsia="zh-CN"/>
        </w:rPr>
        <w:t>。</w:t>
      </w:r>
    </w:p>
    <w:p w14:paraId="5980222D">
      <w:pPr>
        <w:spacing w:line="600" w:lineRule="exact"/>
        <w:ind w:firstLine="640"/>
        <w:rPr>
          <w:rFonts w:ascii="仿宋" w:eastAsia="仿宋"/>
          <w:b/>
          <w:sz w:val="32"/>
          <w:szCs w:val="32"/>
        </w:rPr>
      </w:pPr>
      <w:r>
        <w:rPr>
          <w:rFonts w:hint="eastAsia" w:ascii="仿宋" w:eastAsia="仿宋"/>
          <w:b/>
          <w:sz w:val="32"/>
          <w:szCs w:val="32"/>
        </w:rPr>
        <w:t>（注：上述“预算”口径为全年预算数，包括一般公共预算和政府性基金预算财政拨款支出决算情况。）</w:t>
      </w:r>
    </w:p>
    <w:p w14:paraId="38D2C995">
      <w:pPr>
        <w:spacing w:line="600" w:lineRule="exact"/>
        <w:ind w:firstLine="640"/>
        <w:outlineLvl w:val="2"/>
        <w:rPr>
          <w:rFonts w:ascii="仿宋" w:eastAsia="仿宋"/>
          <w:b/>
          <w:sz w:val="32"/>
          <w:szCs w:val="32"/>
        </w:rPr>
      </w:pPr>
      <w:bookmarkStart w:id="93" w:name="_Toc15377217"/>
      <w:bookmarkStart w:id="94" w:name="_Toc4075"/>
      <w:r>
        <w:rPr>
          <w:rFonts w:hint="eastAsia" w:ascii="仿宋" w:eastAsia="仿宋"/>
          <w:b/>
          <w:sz w:val="32"/>
          <w:szCs w:val="32"/>
        </w:rPr>
        <w:t>（二）“三公”经费财政拨款支出决算具体情况说明</w:t>
      </w:r>
      <w:bookmarkEnd w:id="93"/>
      <w:bookmarkEnd w:id="94"/>
    </w:p>
    <w:p w14:paraId="7DDE55AB">
      <w:pPr>
        <w:spacing w:line="600" w:lineRule="exact"/>
        <w:ind w:firstLine="640"/>
        <w:rPr>
          <w:rFonts w:ascii="仿宋" w:eastAsia="仿宋"/>
          <w:sz w:val="32"/>
          <w:szCs w:val="32"/>
        </w:rPr>
      </w:pPr>
      <w:r>
        <w:rPr>
          <w:rFonts w:hint="eastAsia" w:ascii="仿宋" w:eastAsia="仿宋"/>
          <w:sz w:val="32"/>
          <w:szCs w:val="32"/>
        </w:rPr>
        <w:t>202</w:t>
      </w:r>
      <w:r>
        <w:rPr>
          <w:rFonts w:hint="eastAsia" w:ascii="仿宋" w:eastAsia="仿宋"/>
          <w:sz w:val="32"/>
          <w:szCs w:val="32"/>
          <w:lang w:val="en-US" w:eastAsia="zh-CN"/>
        </w:rPr>
        <w:t>4</w:t>
      </w:r>
      <w:r>
        <w:rPr>
          <w:rFonts w:hint="eastAsia" w:ascii="仿宋" w:eastAsia="仿宋"/>
          <w:sz w:val="32"/>
          <w:szCs w:val="32"/>
        </w:rPr>
        <w:t>年度“三公”经费财政拨款支出决算中，因公出国（境）费支出决算</w:t>
      </w:r>
      <w:r>
        <w:rPr>
          <w:rFonts w:ascii="仿宋" w:eastAsia="仿宋"/>
          <w:b/>
          <w:sz w:val="32"/>
          <w:szCs w:val="32"/>
        </w:rPr>
        <w:t>0</w:t>
      </w:r>
      <w:r>
        <w:rPr>
          <w:rFonts w:hint="eastAsia" w:ascii="仿宋" w:eastAsia="仿宋"/>
          <w:sz w:val="32"/>
          <w:szCs w:val="32"/>
        </w:rPr>
        <w:t>万元，占</w:t>
      </w:r>
      <w:r>
        <w:rPr>
          <w:rFonts w:ascii="仿宋" w:eastAsia="仿宋"/>
          <w:b/>
          <w:sz w:val="32"/>
          <w:szCs w:val="32"/>
        </w:rPr>
        <w:t>0</w:t>
      </w:r>
      <w:r>
        <w:rPr>
          <w:rFonts w:ascii="仿宋" w:eastAsia="仿宋"/>
          <w:sz w:val="32"/>
          <w:szCs w:val="32"/>
        </w:rPr>
        <w:t>%</w:t>
      </w:r>
      <w:r>
        <w:rPr>
          <w:rFonts w:hint="eastAsia" w:ascii="仿宋" w:eastAsia="仿宋"/>
          <w:sz w:val="32"/>
          <w:szCs w:val="32"/>
        </w:rPr>
        <w:t>；公务用车购置及运行维护费支出决算</w:t>
      </w:r>
      <w:r>
        <w:rPr>
          <w:rFonts w:ascii="仿宋" w:eastAsia="仿宋"/>
          <w:b/>
          <w:sz w:val="32"/>
          <w:szCs w:val="32"/>
        </w:rPr>
        <w:t>0</w:t>
      </w:r>
      <w:r>
        <w:rPr>
          <w:rFonts w:hint="eastAsia" w:ascii="仿宋" w:eastAsia="仿宋"/>
          <w:sz w:val="32"/>
          <w:szCs w:val="32"/>
        </w:rPr>
        <w:t>万元，占</w:t>
      </w:r>
      <w:r>
        <w:rPr>
          <w:rFonts w:ascii="仿宋" w:eastAsia="仿宋"/>
          <w:b/>
          <w:sz w:val="32"/>
          <w:szCs w:val="32"/>
        </w:rPr>
        <w:t>0</w:t>
      </w:r>
      <w:r>
        <w:rPr>
          <w:rFonts w:ascii="仿宋" w:eastAsia="仿宋"/>
          <w:sz w:val="32"/>
          <w:szCs w:val="32"/>
        </w:rPr>
        <w:t>%</w:t>
      </w:r>
      <w:r>
        <w:rPr>
          <w:rFonts w:hint="eastAsia" w:ascii="仿宋" w:eastAsia="仿宋"/>
          <w:sz w:val="32"/>
          <w:szCs w:val="32"/>
        </w:rPr>
        <w:t>；公务接待费支出决算</w:t>
      </w:r>
      <w:r>
        <w:rPr>
          <w:rFonts w:ascii="仿宋" w:eastAsia="仿宋"/>
          <w:b/>
          <w:sz w:val="32"/>
          <w:szCs w:val="32"/>
        </w:rPr>
        <w:t>0</w:t>
      </w:r>
      <w:r>
        <w:rPr>
          <w:rFonts w:hint="eastAsia" w:ascii="仿宋" w:eastAsia="仿宋"/>
          <w:sz w:val="32"/>
          <w:szCs w:val="32"/>
        </w:rPr>
        <w:t>万元，占</w:t>
      </w:r>
      <w:r>
        <w:rPr>
          <w:rFonts w:ascii="仿宋" w:eastAsia="仿宋"/>
          <w:b/>
          <w:sz w:val="32"/>
          <w:szCs w:val="32"/>
        </w:rPr>
        <w:t>0</w:t>
      </w:r>
      <w:r>
        <w:rPr>
          <w:rFonts w:ascii="仿宋" w:eastAsia="仿宋"/>
          <w:sz w:val="32"/>
          <w:szCs w:val="32"/>
        </w:rPr>
        <w:t>%</w:t>
      </w:r>
      <w:r>
        <w:rPr>
          <w:rFonts w:hint="eastAsia" w:ascii="仿宋" w:eastAsia="仿宋"/>
          <w:sz w:val="32"/>
          <w:szCs w:val="32"/>
        </w:rPr>
        <w:t>。具体情况如下：</w:t>
      </w:r>
    </w:p>
    <w:p w14:paraId="68261C67">
      <w:pPr>
        <w:spacing w:line="600" w:lineRule="exact"/>
        <w:ind w:firstLine="640"/>
        <w:rPr>
          <w:rFonts w:ascii="仿宋" w:eastAsia="仿宋"/>
          <w:sz w:val="32"/>
          <w:szCs w:val="32"/>
        </w:rPr>
      </w:pPr>
      <w:r>
        <w:rPr>
          <w:rFonts w:hint="eastAsia" w:ascii="仿宋" w:eastAsia="仿宋"/>
          <w:sz w:val="32"/>
          <w:szCs w:val="32"/>
        </w:rPr>
        <w:t>（图7：“三公”经费财政拨款支出结构）（饼状图）</w:t>
      </w:r>
    </w:p>
    <w:p w14:paraId="056D5231">
      <w:pPr>
        <w:numPr>
          <w:ilvl w:val="0"/>
          <w:numId w:val="4"/>
        </w:numPr>
        <w:spacing w:line="600" w:lineRule="exact"/>
        <w:ind w:left="0" w:firstLine="640"/>
        <w:rPr>
          <w:rFonts w:hint="eastAsia" w:ascii="仿宋_GB2312" w:eastAsia="仿宋_GB2312"/>
          <w:sz w:val="32"/>
          <w:szCs w:val="32"/>
        </w:rPr>
      </w:pPr>
      <w:bookmarkStart w:id="95" w:name="_Toc15396610"/>
      <w:bookmarkStart w:id="96" w:name="_Toc15377218"/>
      <w:r>
        <w:rPr>
          <w:rFonts w:hint="eastAsia" w:ascii="仿宋_GB2312" w:eastAsia="仿宋_GB2312"/>
          <w:b/>
          <w:sz w:val="32"/>
          <w:szCs w:val="32"/>
        </w:rPr>
        <w:t>因公出国（境）经费支出</w:t>
      </w:r>
      <w:r>
        <w:rPr>
          <w:rFonts w:ascii="仿宋" w:eastAsia="仿宋"/>
          <w:b/>
          <w:sz w:val="32"/>
          <w:szCs w:val="32"/>
        </w:rPr>
        <w:t>0</w:t>
      </w:r>
      <w:r>
        <w:rPr>
          <w:rFonts w:hint="eastAsia" w:ascii="仿宋_GB2312" w:eastAsia="仿宋_GB2312"/>
          <w:sz w:val="32"/>
          <w:szCs w:val="32"/>
        </w:rPr>
        <w:t>万元，</w:t>
      </w:r>
      <w:r>
        <w:rPr>
          <w:rStyle w:val="21"/>
          <w:rFonts w:hint="eastAsia" w:ascii="仿宋" w:eastAsia="仿宋"/>
          <w:b w:val="0"/>
          <w:bCs/>
          <w:sz w:val="32"/>
          <w:szCs w:val="32"/>
        </w:rPr>
        <w:t>完成预算</w:t>
      </w:r>
      <w:r>
        <w:rPr>
          <w:rStyle w:val="21"/>
          <w:rFonts w:ascii="仿宋" w:eastAsia="仿宋"/>
          <w:bCs/>
          <w:sz w:val="32"/>
          <w:szCs w:val="32"/>
        </w:rPr>
        <w:t>0</w:t>
      </w:r>
      <w:r>
        <w:rPr>
          <w:rStyle w:val="21"/>
          <w:rFonts w:ascii="仿宋" w:eastAsia="仿宋"/>
          <w:b w:val="0"/>
          <w:bCs/>
          <w:sz w:val="32"/>
          <w:szCs w:val="32"/>
        </w:rPr>
        <w:t>%</w:t>
      </w:r>
      <w:r>
        <w:rPr>
          <w:rStyle w:val="21"/>
          <w:rFonts w:hint="eastAsia" w:ascii="仿宋" w:eastAsia="仿宋"/>
          <w:b w:val="0"/>
          <w:bCs/>
          <w:sz w:val="32"/>
          <w:szCs w:val="32"/>
        </w:rPr>
        <w:t>。</w:t>
      </w:r>
      <w:r>
        <w:rPr>
          <w:rFonts w:hint="eastAsia" w:ascii="仿宋_GB2312" w:eastAsia="仿宋_GB2312"/>
          <w:sz w:val="32"/>
          <w:szCs w:val="32"/>
        </w:rPr>
        <w:t>全年安排因公出国（境）团组</w:t>
      </w:r>
      <w:r>
        <w:rPr>
          <w:rFonts w:ascii="仿宋_GB2312" w:eastAsia="仿宋_GB2312"/>
          <w:b/>
          <w:sz w:val="32"/>
          <w:szCs w:val="32"/>
        </w:rPr>
        <w:t>0</w:t>
      </w:r>
      <w:r>
        <w:rPr>
          <w:rFonts w:hint="eastAsia" w:ascii="仿宋_GB2312" w:eastAsia="仿宋_GB2312"/>
          <w:sz w:val="32"/>
          <w:szCs w:val="32"/>
        </w:rPr>
        <w:t>次，出国（境）</w:t>
      </w:r>
      <w:r>
        <w:rPr>
          <w:rFonts w:ascii="仿宋_GB2312" w:eastAsia="仿宋_GB2312"/>
          <w:b/>
          <w:sz w:val="32"/>
          <w:szCs w:val="32"/>
        </w:rPr>
        <w:t>0</w:t>
      </w:r>
      <w:r>
        <w:rPr>
          <w:rFonts w:hint="eastAsia" w:ascii="仿宋_GB2312" w:eastAsia="仿宋_GB2312"/>
          <w:sz w:val="32"/>
          <w:szCs w:val="32"/>
        </w:rPr>
        <w:t>人。</w:t>
      </w:r>
    </w:p>
    <w:p w14:paraId="175CA00D">
      <w:pPr>
        <w:numPr>
          <w:ilvl w:val="0"/>
          <w:numId w:val="4"/>
        </w:numPr>
        <w:spacing w:line="600" w:lineRule="exact"/>
        <w:ind w:left="0" w:firstLine="640"/>
        <w:rPr>
          <w:rFonts w:ascii="仿宋_GB2312" w:eastAsia="仿宋_GB2312"/>
          <w:b/>
          <w:sz w:val="32"/>
          <w:szCs w:val="32"/>
        </w:rPr>
      </w:pPr>
      <w:r>
        <w:rPr>
          <w:rFonts w:hint="eastAsia" w:ascii="仿宋_GB2312" w:eastAsia="仿宋_GB2312"/>
          <w:b/>
          <w:sz w:val="32"/>
          <w:szCs w:val="32"/>
        </w:rPr>
        <w:t>公务用车购置及运行维护费支出</w:t>
      </w:r>
      <w:r>
        <w:rPr>
          <w:rFonts w:ascii="仿宋" w:eastAsia="仿宋"/>
          <w:b/>
          <w:sz w:val="32"/>
          <w:szCs w:val="32"/>
        </w:rPr>
        <w:t>0</w:t>
      </w:r>
      <w:r>
        <w:rPr>
          <w:rFonts w:hint="eastAsia" w:ascii="仿宋_GB2312" w:eastAsia="仿宋_GB2312"/>
          <w:sz w:val="32"/>
          <w:szCs w:val="32"/>
        </w:rPr>
        <w:t>万元</w:t>
      </w:r>
      <w:r>
        <w:rPr>
          <w:rStyle w:val="21"/>
          <w:rFonts w:hint="eastAsia" w:ascii="仿宋" w:eastAsia="仿宋"/>
          <w:b w:val="0"/>
          <w:bCs/>
          <w:sz w:val="32"/>
          <w:szCs w:val="32"/>
        </w:rPr>
        <w:t>。</w:t>
      </w:r>
    </w:p>
    <w:p w14:paraId="7A7D3F30">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ascii="仿宋" w:eastAsia="仿宋"/>
          <w:b/>
          <w:sz w:val="32"/>
          <w:szCs w:val="32"/>
        </w:rPr>
        <w:t>0</w:t>
      </w:r>
      <w:r>
        <w:rPr>
          <w:rFonts w:hint="eastAsia" w:ascii="仿宋_GB2312" w:eastAsia="仿宋_GB2312"/>
          <w:sz w:val="32"/>
          <w:szCs w:val="32"/>
        </w:rPr>
        <w:t>万元。全年按规定更新购置公务用车</w:t>
      </w:r>
      <w:r>
        <w:rPr>
          <w:rFonts w:hint="eastAsia" w:ascii="仿宋_GB2312" w:eastAsia="仿宋_GB2312"/>
          <w:sz w:val="32"/>
          <w:szCs w:val="32"/>
          <w:lang w:val="en-US" w:eastAsia="zh-CN"/>
        </w:rPr>
        <w:t>0</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万元，越野车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万元，载客汽车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val="en-US" w:eastAsia="zh-CN"/>
        </w:rPr>
        <w:t>0</w:t>
      </w:r>
      <w:r>
        <w:rPr>
          <w:rFonts w:hint="eastAsia" w:ascii="仿宋_GB2312" w:eastAsia="仿宋_GB2312"/>
          <w:sz w:val="32"/>
          <w:szCs w:val="32"/>
        </w:rPr>
        <w:t>。截至2023年</w:t>
      </w:r>
      <w:r>
        <w:rPr>
          <w:rFonts w:ascii="仿宋_GB2312" w:eastAsia="仿宋_GB2312"/>
          <w:sz w:val="32"/>
          <w:szCs w:val="32"/>
        </w:rPr>
        <w:t>12</w:t>
      </w:r>
      <w:r>
        <w:rPr>
          <w:rFonts w:hint="eastAsia" w:ascii="仿宋_GB2312" w:eastAsia="仿宋_GB2312"/>
          <w:sz w:val="32"/>
          <w:szCs w:val="32"/>
        </w:rPr>
        <w:t>月31日，单位共有公务用车</w:t>
      </w:r>
      <w:r>
        <w:rPr>
          <w:rFonts w:hint="eastAsia" w:ascii="仿宋_GB2312" w:eastAsia="仿宋_GB2312"/>
          <w:sz w:val="32"/>
          <w:szCs w:val="32"/>
          <w:lang w:val="en-US" w:eastAsia="zh-CN"/>
        </w:rPr>
        <w:t>0</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辆、越野车</w:t>
      </w:r>
      <w:r>
        <w:rPr>
          <w:rFonts w:hint="eastAsia" w:ascii="仿宋_GB2312" w:eastAsia="仿宋_GB2312"/>
          <w:sz w:val="32"/>
          <w:szCs w:val="32"/>
          <w:lang w:val="en-US" w:eastAsia="zh-CN"/>
        </w:rPr>
        <w:t>0</w:t>
      </w:r>
      <w:r>
        <w:rPr>
          <w:rFonts w:hint="eastAsia" w:ascii="仿宋_GB2312" w:eastAsia="仿宋_GB2312"/>
          <w:sz w:val="32"/>
          <w:szCs w:val="32"/>
        </w:rPr>
        <w:t>辆、载客汽车</w:t>
      </w:r>
      <w:r>
        <w:rPr>
          <w:rFonts w:hint="eastAsia" w:ascii="仿宋_GB2312" w:eastAsia="仿宋_GB2312"/>
          <w:sz w:val="32"/>
          <w:szCs w:val="32"/>
          <w:lang w:val="en-US" w:eastAsia="zh-CN"/>
        </w:rPr>
        <w:t>0</w:t>
      </w:r>
      <w:r>
        <w:rPr>
          <w:rFonts w:hint="eastAsia" w:ascii="仿宋_GB2312" w:eastAsia="仿宋_GB2312"/>
          <w:sz w:val="32"/>
          <w:szCs w:val="32"/>
        </w:rPr>
        <w:t>辆。</w:t>
      </w:r>
    </w:p>
    <w:p w14:paraId="37C673CA">
      <w:pPr>
        <w:spacing w:line="600" w:lineRule="exact"/>
        <w:ind w:firstLine="640"/>
        <w:rPr>
          <w:rFonts w:hint="eastAsia" w:ascii="仿宋_GB2312" w:eastAsia="仿宋_GB2312"/>
          <w:sz w:val="32"/>
          <w:szCs w:val="32"/>
        </w:rPr>
      </w:pPr>
      <w:r>
        <w:rPr>
          <w:rFonts w:hint="eastAsia" w:ascii="仿宋_GB2312" w:eastAsia="仿宋_GB2312"/>
          <w:b/>
          <w:sz w:val="32"/>
          <w:szCs w:val="32"/>
        </w:rPr>
        <w:t>公务用车运行维护费支出</w:t>
      </w:r>
      <w:r>
        <w:rPr>
          <w:rFonts w:ascii="仿宋" w:eastAsia="仿宋"/>
          <w:b/>
          <w:sz w:val="32"/>
          <w:szCs w:val="32"/>
        </w:rPr>
        <w:t>0</w:t>
      </w:r>
      <w:r>
        <w:rPr>
          <w:rFonts w:hint="eastAsia" w:ascii="仿宋_GB2312" w:eastAsia="仿宋_GB2312"/>
          <w:sz w:val="32"/>
          <w:szCs w:val="32"/>
        </w:rPr>
        <w:t>万元。</w:t>
      </w:r>
    </w:p>
    <w:p w14:paraId="134875B3">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ascii="仿宋" w:eastAsia="仿宋"/>
          <w:b/>
          <w:sz w:val="32"/>
          <w:szCs w:val="32"/>
        </w:rPr>
        <w:t>0</w:t>
      </w:r>
      <w:r>
        <w:rPr>
          <w:rFonts w:hint="eastAsia" w:ascii="仿宋_GB2312" w:eastAsia="仿宋_GB2312"/>
          <w:sz w:val="32"/>
          <w:szCs w:val="32"/>
        </w:rPr>
        <w:t>万元</w:t>
      </w:r>
      <w:r>
        <w:rPr>
          <w:rStyle w:val="21"/>
          <w:rFonts w:hint="eastAsia" w:ascii="仿宋" w:eastAsia="仿宋"/>
          <w:b w:val="0"/>
          <w:bCs/>
          <w:sz w:val="32"/>
          <w:szCs w:val="32"/>
        </w:rPr>
        <w:t>。</w:t>
      </w:r>
      <w:r>
        <w:rPr>
          <w:rFonts w:hint="eastAsia" w:ascii="仿宋_GB2312" w:eastAsia="仿宋_GB2312"/>
          <w:sz w:val="32"/>
          <w:szCs w:val="32"/>
        </w:rPr>
        <w:t>其中：</w:t>
      </w:r>
    </w:p>
    <w:p w14:paraId="1012B99F">
      <w:pPr>
        <w:spacing w:line="600" w:lineRule="exact"/>
        <w:ind w:firstLine="640"/>
      </w:pPr>
      <w:r>
        <w:rPr>
          <w:rFonts w:hint="eastAsia" w:ascii="仿宋" w:eastAsia="仿宋"/>
          <w:b/>
          <w:sz w:val="32"/>
          <w:szCs w:val="32"/>
        </w:rPr>
        <w:t>国内公务接待支出</w:t>
      </w:r>
      <w:r>
        <w:rPr>
          <w:rFonts w:ascii="仿宋" w:eastAsia="仿宋"/>
          <w:b/>
          <w:sz w:val="32"/>
          <w:szCs w:val="32"/>
        </w:rPr>
        <w:t>0</w:t>
      </w:r>
      <w:r>
        <w:rPr>
          <w:rFonts w:hint="eastAsia" w:ascii="仿宋_GB2312" w:eastAsia="仿宋_GB2312"/>
          <w:sz w:val="32"/>
          <w:szCs w:val="32"/>
        </w:rPr>
        <w:t>万元</w:t>
      </w:r>
      <w:r>
        <w:rPr>
          <w:rFonts w:hint="eastAsia" w:ascii="仿宋_GB2312" w:eastAsia="仿宋_GB2312"/>
          <w:sz w:val="32"/>
          <w:szCs w:val="32"/>
          <w:lang w:eastAsia="zh-CN"/>
        </w:rPr>
        <w:t>。</w:t>
      </w:r>
    </w:p>
    <w:p w14:paraId="56CF457B">
      <w:pPr>
        <w:spacing w:line="600" w:lineRule="exact"/>
        <w:ind w:firstLine="643" w:firstLineChars="200"/>
        <w:rPr>
          <w:rFonts w:ascii="黑体" w:eastAsia="黑体"/>
          <w:sz w:val="32"/>
          <w:szCs w:val="32"/>
        </w:rPr>
      </w:pPr>
      <w:r>
        <w:rPr>
          <w:rFonts w:hint="eastAsia" w:ascii="仿宋" w:eastAsia="仿宋"/>
          <w:b/>
          <w:sz w:val="32"/>
          <w:szCs w:val="32"/>
        </w:rPr>
        <w:t>外事接待支出</w:t>
      </w:r>
      <w:r>
        <w:rPr>
          <w:rFonts w:ascii="仿宋" w:eastAsia="仿宋"/>
          <w:b/>
          <w:sz w:val="32"/>
          <w:szCs w:val="32"/>
        </w:rPr>
        <w:t>0</w:t>
      </w:r>
      <w:r>
        <w:rPr>
          <w:rFonts w:hint="eastAsia" w:ascii="仿宋_GB2312" w:eastAsia="仿宋_GB2312"/>
          <w:sz w:val="32"/>
          <w:szCs w:val="32"/>
        </w:rPr>
        <w:t>万元</w:t>
      </w:r>
      <w:r>
        <w:rPr>
          <w:rFonts w:hint="eastAsia" w:ascii="仿宋_GB2312" w:eastAsia="仿宋_GB2312"/>
          <w:sz w:val="32"/>
          <w:szCs w:val="32"/>
          <w:lang w:eastAsia="zh-CN"/>
        </w:rPr>
        <w:t>。</w:t>
      </w:r>
    </w:p>
    <w:p w14:paraId="193D6F53">
      <w:pPr>
        <w:spacing w:line="600" w:lineRule="exact"/>
        <w:ind w:firstLine="640"/>
        <w:outlineLvl w:val="1"/>
        <w:rPr>
          <w:rStyle w:val="24"/>
          <w:rFonts w:ascii="黑体" w:eastAsia="黑体"/>
        </w:rPr>
      </w:pPr>
      <w:bookmarkStart w:id="97" w:name="_Toc22397"/>
      <w:r>
        <w:rPr>
          <w:rFonts w:hint="eastAsia" w:ascii="黑体" w:eastAsia="黑体"/>
          <w:sz w:val="32"/>
          <w:szCs w:val="32"/>
        </w:rPr>
        <w:t>八、</w:t>
      </w:r>
      <w:r>
        <w:rPr>
          <w:rStyle w:val="24"/>
          <w:rFonts w:hint="eastAsia" w:ascii="黑体" w:eastAsia="黑体"/>
          <w:b w:val="0"/>
        </w:rPr>
        <w:t>政府性基金预算支出决算情况说明</w:t>
      </w:r>
      <w:bookmarkEnd w:id="95"/>
      <w:bookmarkEnd w:id="96"/>
      <w:bookmarkEnd w:id="97"/>
    </w:p>
    <w:p w14:paraId="7F454886">
      <w:pPr>
        <w:spacing w:line="600" w:lineRule="exact"/>
        <w:ind w:firstLine="64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年度政府性基金预算财政拨款支出</w:t>
      </w:r>
      <w:r>
        <w:rPr>
          <w:rFonts w:ascii="仿宋" w:eastAsia="仿宋"/>
          <w:b/>
          <w:sz w:val="32"/>
          <w:szCs w:val="32"/>
        </w:rPr>
        <w:t>0</w:t>
      </w:r>
      <w:r>
        <w:rPr>
          <w:rFonts w:hint="eastAsia" w:ascii="仿宋_GB2312" w:eastAsia="仿宋_GB2312"/>
          <w:sz w:val="32"/>
          <w:szCs w:val="32"/>
        </w:rPr>
        <w:t>万元。</w:t>
      </w:r>
    </w:p>
    <w:p w14:paraId="6D9756D9">
      <w:pPr>
        <w:numPr>
          <w:ilvl w:val="0"/>
          <w:numId w:val="5"/>
        </w:numPr>
        <w:spacing w:line="600" w:lineRule="exact"/>
        <w:ind w:left="0" w:firstLine="640"/>
        <w:outlineLvl w:val="1"/>
        <w:rPr>
          <w:rStyle w:val="24"/>
          <w:rFonts w:ascii="黑体" w:eastAsia="黑体"/>
          <w:b w:val="0"/>
        </w:rPr>
      </w:pPr>
      <w:bookmarkStart w:id="98" w:name="_Toc15396611"/>
      <w:bookmarkStart w:id="99" w:name="_Toc15377219"/>
      <w:bookmarkStart w:id="100" w:name="_Toc15988"/>
      <w:r>
        <w:rPr>
          <w:rStyle w:val="24"/>
          <w:rFonts w:hint="eastAsia" w:ascii="黑体" w:eastAsia="黑体"/>
          <w:b w:val="0"/>
        </w:rPr>
        <w:t>国有资本经营预算支出决算情况说明</w:t>
      </w:r>
      <w:bookmarkEnd w:id="98"/>
      <w:bookmarkEnd w:id="99"/>
      <w:bookmarkEnd w:id="100"/>
    </w:p>
    <w:p w14:paraId="32E5DF79">
      <w:pPr>
        <w:spacing w:line="600" w:lineRule="exact"/>
        <w:ind w:firstLine="64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年度国有资本经营预算财政拨款支出</w:t>
      </w:r>
      <w:r>
        <w:rPr>
          <w:rFonts w:ascii="仿宋" w:eastAsia="仿宋"/>
          <w:b/>
          <w:sz w:val="32"/>
          <w:szCs w:val="32"/>
        </w:rPr>
        <w:t>0</w:t>
      </w:r>
      <w:r>
        <w:rPr>
          <w:rFonts w:hint="eastAsia" w:ascii="仿宋_GB2312" w:eastAsia="仿宋_GB2312"/>
          <w:sz w:val="32"/>
          <w:szCs w:val="32"/>
        </w:rPr>
        <w:t>万元。</w:t>
      </w:r>
    </w:p>
    <w:p w14:paraId="5474FBFC">
      <w:pPr>
        <w:spacing w:line="580" w:lineRule="exact"/>
        <w:jc w:val="center"/>
        <w:rPr>
          <w:rFonts w:ascii="方正小标宋简体" w:eastAsia="方正小标宋简体" w:cs="方正小标宋简体"/>
          <w:sz w:val="44"/>
          <w:szCs w:val="44"/>
        </w:rPr>
      </w:pPr>
    </w:p>
    <w:p w14:paraId="44BCD676">
      <w:pPr>
        <w:numPr>
          <w:ilvl w:val="0"/>
          <w:numId w:val="5"/>
        </w:numPr>
        <w:spacing w:line="600" w:lineRule="exact"/>
        <w:ind w:left="0" w:firstLine="640"/>
        <w:outlineLvl w:val="1"/>
        <w:rPr>
          <w:rStyle w:val="24"/>
          <w:rFonts w:ascii="黑体" w:eastAsia="黑体"/>
          <w:b w:val="0"/>
        </w:rPr>
      </w:pPr>
      <w:bookmarkStart w:id="101" w:name="_Toc15396612"/>
      <w:bookmarkStart w:id="102" w:name="_Toc15377221"/>
      <w:bookmarkStart w:id="103" w:name="_Toc19516"/>
      <w:r>
        <w:rPr>
          <w:rStyle w:val="24"/>
          <w:rFonts w:hint="eastAsia" w:ascii="黑体" w:eastAsia="黑体"/>
          <w:b w:val="0"/>
        </w:rPr>
        <w:t>其他重要事项的情况说明</w:t>
      </w:r>
      <w:bookmarkEnd w:id="101"/>
      <w:bookmarkEnd w:id="102"/>
      <w:bookmarkEnd w:id="103"/>
    </w:p>
    <w:p w14:paraId="625E9002">
      <w:pPr>
        <w:spacing w:line="600" w:lineRule="exact"/>
        <w:ind w:firstLine="643" w:firstLineChars="200"/>
        <w:outlineLvl w:val="2"/>
        <w:rPr>
          <w:rFonts w:ascii="仿宋" w:eastAsia="仿宋"/>
          <w:sz w:val="32"/>
          <w:szCs w:val="32"/>
        </w:rPr>
      </w:pPr>
      <w:bookmarkStart w:id="104" w:name="_Toc15377222"/>
      <w:bookmarkStart w:id="105" w:name="_Toc10185"/>
      <w:r>
        <w:rPr>
          <w:rFonts w:hint="eastAsia" w:ascii="仿宋" w:eastAsia="仿宋"/>
          <w:b/>
          <w:sz w:val="32"/>
          <w:szCs w:val="32"/>
        </w:rPr>
        <w:t>（一）机关运行经费支出情况</w:t>
      </w:r>
      <w:bookmarkEnd w:id="104"/>
      <w:bookmarkEnd w:id="105"/>
    </w:p>
    <w:p w14:paraId="61EA5E7A">
      <w:pPr>
        <w:pStyle w:val="34"/>
        <w:spacing w:before="0" w:beforeAutospacing="0"/>
        <w:ind w:left="0" w:firstLine="640" w:firstLineChars="200"/>
        <w:rPr>
          <w:rFonts w:ascii="仿宋" w:eastAsia="仿宋"/>
          <w:b/>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年度，</w:t>
      </w:r>
      <w:r>
        <w:rPr>
          <w:rFonts w:ascii="仿宋_GB2312" w:eastAsia="仿宋_GB2312"/>
          <w:b/>
          <w:sz w:val="32"/>
          <w:szCs w:val="32"/>
        </w:rPr>
        <w:t>四川省阿坝州青少年校外教育活动中心</w:t>
      </w:r>
      <w:r>
        <w:rPr>
          <w:rFonts w:hint="eastAsia" w:ascii="仿宋_GB2312" w:eastAsia="仿宋_GB2312"/>
          <w:sz w:val="32"/>
          <w:szCs w:val="32"/>
        </w:rPr>
        <w:t>机关运行经费支出</w:t>
      </w:r>
      <w:r>
        <w:rPr>
          <w:rFonts w:hint="eastAsia" w:ascii="仿宋" w:eastAsia="仿宋"/>
          <w:b/>
          <w:sz w:val="32"/>
          <w:szCs w:val="32"/>
          <w:lang w:val="en-US" w:eastAsia="zh-CN"/>
        </w:rPr>
        <w:t>11.92</w:t>
      </w:r>
      <w:r>
        <w:rPr>
          <w:rFonts w:hint="eastAsia" w:ascii="仿宋_GB2312" w:eastAsia="仿宋_GB2312"/>
          <w:sz w:val="32"/>
          <w:szCs w:val="32"/>
        </w:rPr>
        <w:t>万元，比</w:t>
      </w:r>
      <w:r>
        <w:rPr>
          <w:rFonts w:hint="eastAsia" w:ascii="仿宋_GB2312" w:eastAsia="仿宋_GB2312"/>
          <w:sz w:val="32"/>
          <w:szCs w:val="32"/>
          <w:lang w:eastAsia="zh-CN"/>
        </w:rPr>
        <w:t>2023年度</w:t>
      </w:r>
      <w:r>
        <w:rPr>
          <w:rFonts w:hint="eastAsia" w:ascii="仿宋_GB2312" w:eastAsia="仿宋_GB2312"/>
          <w:sz w:val="32"/>
          <w:szCs w:val="32"/>
        </w:rPr>
        <w:t>度增加</w:t>
      </w:r>
      <w:r>
        <w:rPr>
          <w:rFonts w:hint="eastAsia" w:ascii="仿宋_GB2312" w:eastAsia="仿宋_GB2312"/>
          <w:sz w:val="32"/>
          <w:szCs w:val="32"/>
          <w:lang w:val="en-US" w:eastAsia="zh-CN"/>
        </w:rPr>
        <w:t>0.52</w:t>
      </w:r>
      <w:r>
        <w:rPr>
          <w:rFonts w:hint="eastAsia" w:ascii="仿宋_GB2312" w:eastAsia="仿宋_GB2312"/>
          <w:sz w:val="32"/>
          <w:szCs w:val="32"/>
        </w:rPr>
        <w:t>万元，增长</w:t>
      </w:r>
      <w:r>
        <w:rPr>
          <w:rFonts w:hint="eastAsia" w:ascii="仿宋_GB2312" w:eastAsia="仿宋_GB2312"/>
          <w:sz w:val="32"/>
          <w:szCs w:val="32"/>
          <w:lang w:val="en-US" w:eastAsia="zh-CN"/>
        </w:rPr>
        <w:t>4.56</w:t>
      </w:r>
      <w:r>
        <w:rPr>
          <w:rFonts w:hint="eastAsia" w:ascii="仿宋_GB2312" w:eastAsia="仿宋_GB2312"/>
          <w:sz w:val="32"/>
          <w:szCs w:val="32"/>
        </w:rPr>
        <w:t>%。主要原因是新场馆</w:t>
      </w:r>
      <w:r>
        <w:rPr>
          <w:rFonts w:hint="eastAsia" w:ascii="仿宋_GB2312" w:eastAsia="仿宋_GB2312"/>
          <w:sz w:val="32"/>
          <w:szCs w:val="32"/>
          <w:lang w:val="en-US" w:eastAsia="zh-CN"/>
        </w:rPr>
        <w:t>投入使用新增办公设备0.92万元</w:t>
      </w:r>
      <w:r>
        <w:rPr>
          <w:rFonts w:hint="eastAsia" w:ascii="仿宋_GB2312" w:eastAsia="仿宋_GB2312"/>
          <w:sz w:val="32"/>
          <w:szCs w:val="32"/>
        </w:rPr>
        <w:t>。</w:t>
      </w:r>
    </w:p>
    <w:p w14:paraId="62653D90">
      <w:pPr>
        <w:autoSpaceDE w:val="0"/>
        <w:autoSpaceDN w:val="0"/>
        <w:adjustRightInd w:val="0"/>
        <w:spacing w:line="600" w:lineRule="exact"/>
        <w:ind w:firstLine="643" w:firstLineChars="200"/>
        <w:jc w:val="left"/>
        <w:outlineLvl w:val="2"/>
        <w:rPr>
          <w:rFonts w:ascii="仿宋" w:eastAsia="仿宋"/>
          <w:b/>
          <w:sz w:val="32"/>
          <w:szCs w:val="32"/>
        </w:rPr>
      </w:pPr>
      <w:bookmarkStart w:id="106" w:name="_Toc15377223"/>
      <w:bookmarkStart w:id="107" w:name="_Toc24485"/>
      <w:r>
        <w:rPr>
          <w:rFonts w:hint="eastAsia" w:ascii="仿宋" w:eastAsia="仿宋"/>
          <w:b/>
          <w:sz w:val="32"/>
          <w:szCs w:val="32"/>
        </w:rPr>
        <w:t>（二）政府采购支出情况</w:t>
      </w:r>
      <w:bookmarkEnd w:id="106"/>
      <w:bookmarkEnd w:id="107"/>
    </w:p>
    <w:p w14:paraId="486F7D27">
      <w:pPr>
        <w:spacing w:line="600" w:lineRule="exact"/>
        <w:ind w:firstLine="640" w:firstLineChars="200"/>
        <w:rPr>
          <w:rFonts w:ascii="仿宋_GB2312" w:eastAsia="仿宋_GB2312"/>
          <w:sz w:val="32"/>
          <w:szCs w:val="32"/>
        </w:rPr>
      </w:pPr>
      <w:r>
        <w:rPr>
          <w:rFonts w:hint="eastAsia" w:ascii="仿宋_GB2312" w:hAnsi="仿宋_GB2312" w:eastAsia="仿宋_GB2312" w:cs="仿宋_GB2312"/>
          <w:color w:val="auto"/>
          <w:kern w:val="2"/>
          <w:sz w:val="32"/>
          <w:szCs w:val="32"/>
          <w:highlight w:val="none"/>
          <w:lang w:val="en-US" w:eastAsia="zh-CN" w:bidi="ar-SA"/>
        </w:rPr>
        <w:t>2024年度，</w:t>
      </w:r>
      <w:r>
        <w:rPr>
          <w:rFonts w:hint="eastAsia" w:ascii="仿宋_GB2312" w:hAnsi="仿宋_GB2312" w:eastAsia="仿宋_GB2312" w:cs="仿宋_GB2312"/>
          <w:sz w:val="32"/>
          <w:szCs w:val="32"/>
        </w:rPr>
        <w:t>四川省阿坝州青少年校外教育活动中心</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仿宋_GB2312" w:eastAsia="仿宋_GB2312"/>
          <w:sz w:val="32"/>
          <w:szCs w:val="32"/>
        </w:rPr>
        <w:t>。</w:t>
      </w:r>
    </w:p>
    <w:p w14:paraId="3437A0DA">
      <w:pPr>
        <w:spacing w:line="600" w:lineRule="exact"/>
        <w:ind w:firstLine="643" w:firstLineChars="200"/>
        <w:rPr>
          <w:rFonts w:ascii="仿宋" w:eastAsia="仿宋"/>
          <w:b/>
          <w:sz w:val="32"/>
          <w:szCs w:val="32"/>
        </w:rPr>
      </w:pPr>
      <w:r>
        <w:rPr>
          <w:rFonts w:hint="eastAsia" w:ascii="仿宋" w:eastAsia="仿宋"/>
          <w:b/>
          <w:sz w:val="32"/>
          <w:szCs w:val="32"/>
        </w:rPr>
        <w:t>（注：数据来源于财决附</w:t>
      </w:r>
      <w:r>
        <w:rPr>
          <w:rFonts w:ascii="仿宋" w:eastAsia="仿宋"/>
          <w:b/>
          <w:sz w:val="32"/>
          <w:szCs w:val="32"/>
        </w:rPr>
        <w:t>03</w:t>
      </w:r>
      <w:r>
        <w:rPr>
          <w:rFonts w:hint="eastAsia" w:ascii="仿宋" w:eastAsia="仿宋"/>
          <w:b/>
          <w:sz w:val="32"/>
          <w:szCs w:val="32"/>
        </w:rPr>
        <w:t>表）</w:t>
      </w:r>
    </w:p>
    <w:p w14:paraId="11F54A79">
      <w:pPr>
        <w:autoSpaceDE w:val="0"/>
        <w:autoSpaceDN w:val="0"/>
        <w:adjustRightInd w:val="0"/>
        <w:spacing w:line="600" w:lineRule="exact"/>
        <w:ind w:firstLine="643" w:firstLineChars="200"/>
        <w:jc w:val="left"/>
        <w:outlineLvl w:val="2"/>
        <w:rPr>
          <w:rFonts w:ascii="仿宋" w:eastAsia="仿宋"/>
          <w:b/>
          <w:sz w:val="32"/>
          <w:szCs w:val="32"/>
        </w:rPr>
      </w:pPr>
      <w:bookmarkStart w:id="108" w:name="_Toc15377224"/>
      <w:bookmarkStart w:id="109" w:name="_Toc3321"/>
      <w:r>
        <w:rPr>
          <w:rFonts w:hint="eastAsia" w:ascii="仿宋" w:eastAsia="仿宋"/>
          <w:b/>
          <w:sz w:val="32"/>
          <w:szCs w:val="32"/>
        </w:rPr>
        <w:t>（三）国有资产占有使用情况</w:t>
      </w:r>
      <w:bookmarkEnd w:id="108"/>
      <w:bookmarkEnd w:id="109"/>
    </w:p>
    <w:p w14:paraId="6278A52B">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截至202</w:t>
      </w:r>
      <w:r>
        <w:rPr>
          <w:rFonts w:hint="eastAsia" w:ascii="仿宋_GB2312" w:eastAsia="仿宋_GB2312"/>
          <w:sz w:val="32"/>
          <w:szCs w:val="32"/>
          <w:lang w:val="en-US" w:eastAsia="zh-CN"/>
        </w:rPr>
        <w:t>4</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ascii="仿宋_GB2312" w:eastAsia="仿宋_GB2312"/>
          <w:b/>
          <w:sz w:val="32"/>
          <w:szCs w:val="32"/>
        </w:rPr>
        <w:t>四川省阿坝州青少年校外教育活动中心</w:t>
      </w:r>
      <w:r>
        <w:rPr>
          <w:rFonts w:hint="eastAsia" w:ascii="仿宋_GB2312" w:eastAsia="仿宋_GB2312"/>
          <w:sz w:val="32"/>
          <w:szCs w:val="32"/>
        </w:rPr>
        <w:t>共有车辆</w:t>
      </w:r>
      <w:r>
        <w:rPr>
          <w:rFonts w:hint="eastAsia" w:ascii="仿宋_GB2312" w:eastAsia="仿宋_GB2312"/>
          <w:b/>
          <w:sz w:val="32"/>
          <w:szCs w:val="32"/>
        </w:rPr>
        <w:t>0</w:t>
      </w:r>
      <w:r>
        <w:rPr>
          <w:rFonts w:hint="eastAsia" w:ascii="仿宋_GB2312" w:eastAsia="仿宋_GB2312"/>
          <w:sz w:val="32"/>
          <w:szCs w:val="32"/>
        </w:rPr>
        <w:t>辆，其中：主要领导干部用车</w:t>
      </w:r>
      <w:r>
        <w:rPr>
          <w:rFonts w:hint="eastAsia" w:ascii="仿宋_GB2312" w:eastAsia="仿宋_GB2312"/>
          <w:sz w:val="32"/>
          <w:szCs w:val="32"/>
          <w:lang w:val="en-US" w:eastAsia="zh-CN"/>
        </w:rPr>
        <w:t>0</w:t>
      </w:r>
      <w:r>
        <w:rPr>
          <w:rFonts w:hint="eastAsia" w:ascii="仿宋_GB2312" w:eastAsia="仿宋_GB2312"/>
          <w:sz w:val="32"/>
          <w:szCs w:val="32"/>
        </w:rPr>
        <w:t>辆、机要通信用车</w:t>
      </w:r>
      <w:r>
        <w:rPr>
          <w:rFonts w:hint="eastAsia" w:ascii="仿宋_GB2312" w:eastAsia="仿宋_GB2312"/>
          <w:sz w:val="32"/>
          <w:szCs w:val="32"/>
          <w:lang w:val="en-US" w:eastAsia="zh-CN"/>
        </w:rPr>
        <w:t>0</w:t>
      </w:r>
      <w:r>
        <w:rPr>
          <w:rFonts w:hint="eastAsia" w:ascii="仿宋_GB2312" w:eastAsia="仿宋_GB2312"/>
          <w:sz w:val="32"/>
          <w:szCs w:val="32"/>
        </w:rPr>
        <w:t>辆、应急保障用车</w:t>
      </w:r>
      <w:r>
        <w:rPr>
          <w:rFonts w:hint="eastAsia" w:ascii="仿宋_GB2312" w:eastAsia="仿宋_GB2312"/>
          <w:sz w:val="32"/>
          <w:szCs w:val="32"/>
          <w:lang w:val="en-US" w:eastAsia="zh-CN"/>
        </w:rPr>
        <w:t>0</w:t>
      </w:r>
      <w:r>
        <w:rPr>
          <w:rFonts w:hint="eastAsia" w:ascii="仿宋_GB2312" w:eastAsia="仿宋_GB2312"/>
          <w:sz w:val="32"/>
          <w:szCs w:val="32"/>
        </w:rPr>
        <w:t>辆、其他用车</w:t>
      </w:r>
      <w:r>
        <w:rPr>
          <w:rFonts w:hint="eastAsia" w:ascii="仿宋_GB2312" w:eastAsia="仿宋_GB2312"/>
          <w:sz w:val="32"/>
          <w:szCs w:val="32"/>
          <w:lang w:val="en-US" w:eastAsia="zh-CN"/>
        </w:rPr>
        <w:t>0</w:t>
      </w:r>
      <w:r>
        <w:rPr>
          <w:rFonts w:hint="eastAsia" w:ascii="仿宋_GB2312" w:eastAsia="仿宋_GB2312"/>
          <w:sz w:val="32"/>
          <w:szCs w:val="32"/>
        </w:rPr>
        <w:t>辆，单价</w:t>
      </w:r>
      <w:r>
        <w:rPr>
          <w:rFonts w:ascii="仿宋_GB2312" w:eastAsia="仿宋_GB2312"/>
          <w:sz w:val="32"/>
          <w:szCs w:val="32"/>
        </w:rPr>
        <w:t>100</w:t>
      </w:r>
      <w:r>
        <w:rPr>
          <w:rFonts w:hint="eastAsia" w:ascii="仿宋_GB2312" w:eastAsia="仿宋_GB2312"/>
          <w:sz w:val="32"/>
          <w:szCs w:val="32"/>
        </w:rPr>
        <w:t>万元以上设备（不含车辆）</w:t>
      </w:r>
      <w:r>
        <w:rPr>
          <w:rFonts w:ascii="仿宋_GB2312" w:eastAsia="仿宋_GB2312"/>
          <w:b/>
          <w:sz w:val="32"/>
          <w:szCs w:val="32"/>
        </w:rPr>
        <w:t>0</w:t>
      </w:r>
      <w:r>
        <w:rPr>
          <w:rFonts w:hint="eastAsia" w:ascii="仿宋_GB2312" w:eastAsia="仿宋_GB2312"/>
          <w:sz w:val="32"/>
          <w:szCs w:val="32"/>
        </w:rPr>
        <w:t>台（套）。</w:t>
      </w:r>
    </w:p>
    <w:p w14:paraId="66EA2DE1">
      <w:pPr>
        <w:autoSpaceDE w:val="0"/>
        <w:autoSpaceDN w:val="0"/>
        <w:adjustRightInd w:val="0"/>
        <w:spacing w:line="600" w:lineRule="exact"/>
        <w:ind w:firstLine="643" w:firstLineChars="200"/>
        <w:jc w:val="left"/>
        <w:rPr>
          <w:rFonts w:ascii="仿宋" w:eastAsia="仿宋"/>
          <w:b/>
          <w:sz w:val="32"/>
          <w:szCs w:val="32"/>
        </w:rPr>
      </w:pPr>
      <w:r>
        <w:rPr>
          <w:rFonts w:hint="eastAsia" w:ascii="仿宋" w:eastAsia="仿宋"/>
          <w:b/>
          <w:sz w:val="32"/>
          <w:szCs w:val="32"/>
        </w:rPr>
        <w:t>（注：数据来源于财决附</w:t>
      </w:r>
      <w:r>
        <w:rPr>
          <w:rFonts w:ascii="仿宋" w:eastAsia="仿宋"/>
          <w:b/>
          <w:sz w:val="32"/>
          <w:szCs w:val="32"/>
        </w:rPr>
        <w:t>03</w:t>
      </w:r>
      <w:r>
        <w:rPr>
          <w:rFonts w:hint="eastAsia" w:ascii="仿宋" w:eastAsia="仿宋"/>
          <w:b/>
          <w:sz w:val="32"/>
          <w:szCs w:val="32"/>
        </w:rPr>
        <w:t>表，按单位决算报表填报数据罗列车辆情况。）</w:t>
      </w:r>
    </w:p>
    <w:p w14:paraId="29AEFC0C">
      <w:pPr>
        <w:autoSpaceDE w:val="0"/>
        <w:autoSpaceDN w:val="0"/>
        <w:adjustRightInd w:val="0"/>
        <w:spacing w:line="600" w:lineRule="exact"/>
        <w:ind w:firstLine="643" w:firstLineChars="200"/>
        <w:jc w:val="left"/>
        <w:outlineLvl w:val="2"/>
        <w:rPr>
          <w:rFonts w:ascii="仿宋" w:eastAsia="仿宋"/>
          <w:b/>
          <w:sz w:val="32"/>
          <w:szCs w:val="32"/>
        </w:rPr>
      </w:pPr>
      <w:bookmarkStart w:id="110" w:name="_Toc10483"/>
      <w:r>
        <w:rPr>
          <w:rFonts w:hint="eastAsia" w:ascii="仿宋" w:eastAsia="仿宋"/>
          <w:b/>
          <w:sz w:val="32"/>
          <w:szCs w:val="32"/>
        </w:rPr>
        <w:t>（四）预算绩效管理情况</w:t>
      </w:r>
      <w:bookmarkEnd w:id="110"/>
    </w:p>
    <w:p w14:paraId="55E5EDB8">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根据预算绩效管理要求，本单位在202</w:t>
      </w:r>
      <w:r>
        <w:rPr>
          <w:rFonts w:hint="eastAsia" w:ascii="仿宋_GB2312" w:eastAsia="仿宋_GB2312"/>
          <w:sz w:val="32"/>
          <w:szCs w:val="32"/>
          <w:lang w:val="en-US" w:eastAsia="zh-CN"/>
        </w:rPr>
        <w:t>4</w:t>
      </w:r>
      <w:r>
        <w:rPr>
          <w:rFonts w:hint="eastAsia" w:ascii="仿宋_GB2312" w:eastAsia="仿宋_GB2312"/>
          <w:sz w:val="32"/>
          <w:szCs w:val="32"/>
        </w:rPr>
        <w:t>年度预算编制阶段，组织对</w:t>
      </w:r>
      <w:r>
        <w:rPr>
          <w:rFonts w:hint="eastAsia" w:ascii="仿宋_GB2312" w:eastAsia="仿宋_GB2312"/>
          <w:sz w:val="32"/>
          <w:szCs w:val="32"/>
          <w:lang w:val="en-US" w:eastAsia="zh-CN"/>
        </w:rPr>
        <w:t>中心</w:t>
      </w:r>
      <w:r>
        <w:rPr>
          <w:rFonts w:hint="eastAsia" w:ascii="仿宋_GB2312" w:eastAsia="仿宋_GB2312"/>
          <w:sz w:val="32"/>
          <w:szCs w:val="32"/>
        </w:rPr>
        <w:t>活动运转经费项目开展了预算事前绩效评估，对项目编制了绩效目标，预算执行过程中，开展项目绩效监控，组织对项目开展绩效自评，</w:t>
      </w:r>
    </w:p>
    <w:p w14:paraId="2C0299FD">
      <w:pPr>
        <w:spacing w:line="600" w:lineRule="exact"/>
        <w:ind w:firstLine="640" w:firstLineChars="200"/>
        <w:rPr>
          <w:rFonts w:ascii="仿宋_GB2312" w:eastAsia="仿宋_GB2312"/>
          <w:sz w:val="32"/>
          <w:szCs w:val="32"/>
          <w:lang w:val="zh-CN"/>
        </w:rPr>
      </w:pPr>
      <w:r>
        <w:rPr>
          <w:rFonts w:ascii="仿宋_GB2312" w:eastAsia="仿宋_GB2312"/>
          <w:sz w:val="32"/>
          <w:szCs w:val="32"/>
          <w:lang w:val="zh-CN"/>
        </w:rPr>
        <w:t>根据部门预算绩效评价指标体系“总体绩效”涉及</w:t>
      </w:r>
      <w:r>
        <w:rPr>
          <w:rFonts w:hint="eastAsia" w:ascii="仿宋_GB2312" w:eastAsia="仿宋_GB2312"/>
          <w:sz w:val="32"/>
          <w:szCs w:val="32"/>
          <w:lang w:val="zh-CN"/>
        </w:rPr>
        <w:t>二、三级</w:t>
      </w:r>
      <w:r>
        <w:rPr>
          <w:rFonts w:ascii="仿宋_GB2312" w:eastAsia="仿宋_GB2312"/>
          <w:sz w:val="32"/>
          <w:szCs w:val="32"/>
          <w:lang w:val="zh-CN"/>
        </w:rPr>
        <w:t>指标进行</w:t>
      </w:r>
      <w:r>
        <w:rPr>
          <w:rFonts w:hint="eastAsia" w:ascii="仿宋_GB2312" w:eastAsia="仿宋_GB2312"/>
          <w:sz w:val="32"/>
          <w:szCs w:val="32"/>
          <w:lang w:val="zh-CN"/>
        </w:rPr>
        <w:t>逐项</w:t>
      </w:r>
      <w:r>
        <w:rPr>
          <w:rFonts w:ascii="仿宋_GB2312" w:eastAsia="仿宋_GB2312"/>
          <w:sz w:val="32"/>
          <w:szCs w:val="32"/>
          <w:lang w:val="zh-CN"/>
        </w:rPr>
        <w:t>绩效分析</w:t>
      </w:r>
      <w:r>
        <w:rPr>
          <w:rFonts w:hint="eastAsia" w:ascii="仿宋_GB2312" w:eastAsia="仿宋_GB2312"/>
          <w:sz w:val="32"/>
          <w:szCs w:val="32"/>
          <w:lang w:val="zh-CN"/>
        </w:rPr>
        <w:t>并评分。</w:t>
      </w:r>
    </w:p>
    <w:p w14:paraId="1EC4BF9C">
      <w:pPr>
        <w:numPr>
          <w:ilvl w:val="0"/>
          <w:numId w:val="6"/>
        </w:numPr>
        <w:spacing w:line="600" w:lineRule="exact"/>
        <w:ind w:left="0" w:firstLine="640" w:firstLineChars="200"/>
        <w:rPr>
          <w:rFonts w:hint="eastAsia" w:ascii="仿宋_GB2312" w:eastAsia="仿宋_GB2312"/>
          <w:sz w:val="32"/>
          <w:szCs w:val="32"/>
          <w:lang w:val="en-US" w:eastAsia="zh-CN"/>
        </w:rPr>
      </w:pPr>
      <w:r>
        <w:rPr>
          <w:rFonts w:hint="eastAsia" w:ascii="仿宋_GB2312" w:eastAsia="仿宋_GB2312"/>
          <w:sz w:val="32"/>
          <w:szCs w:val="32"/>
          <w:lang w:val="zh-CN"/>
        </w:rPr>
        <w:t>履职效能。</w:t>
      </w:r>
      <w:r>
        <w:rPr>
          <w:rFonts w:hint="eastAsia" w:ascii="仿宋_GB2312" w:eastAsia="仿宋_GB2312"/>
          <w:sz w:val="32"/>
          <w:szCs w:val="32"/>
          <w:lang w:val="en-US" w:eastAsia="zh-CN"/>
        </w:rPr>
        <w:t>阿坝州青少年校外教育活动中心在</w:t>
      </w:r>
      <w:r>
        <w:rPr>
          <w:rFonts w:hint="eastAsia" w:ascii="仿宋_GB2312" w:eastAsia="仿宋_GB2312"/>
          <w:sz w:val="32"/>
          <w:szCs w:val="32"/>
          <w:lang w:val="zh-CN"/>
        </w:rPr>
        <w:t>绩效目标中选</w:t>
      </w:r>
      <w:r>
        <w:rPr>
          <w:rFonts w:hint="eastAsia" w:ascii="仿宋_GB2312" w:eastAsia="仿宋_GB2312"/>
          <w:sz w:val="32"/>
          <w:szCs w:val="32"/>
          <w:lang w:val="en-US" w:eastAsia="zh-CN"/>
        </w:rPr>
        <w:t>了</w:t>
      </w:r>
      <w:r>
        <w:rPr>
          <w:rFonts w:hint="eastAsia" w:ascii="仿宋_GB2312" w:eastAsia="仿宋_GB2312"/>
          <w:sz w:val="32"/>
          <w:szCs w:val="32"/>
          <w:lang w:val="zh-CN"/>
        </w:rPr>
        <w:t>核心职能目标，对职能目标完成效果情况绩效分析</w:t>
      </w:r>
      <w:r>
        <w:rPr>
          <w:rFonts w:hint="eastAsia" w:ascii="仿宋_GB2312" w:eastAsia="仿宋_GB2312"/>
          <w:sz w:val="32"/>
          <w:szCs w:val="32"/>
          <w:lang w:val="en-US" w:eastAsia="zh-CN"/>
        </w:rPr>
        <w:t>如下：</w:t>
      </w:r>
      <w:bookmarkStart w:id="111" w:name="OLE_LINK8"/>
    </w:p>
    <w:p w14:paraId="0D45E0E1">
      <w:pPr>
        <w:spacing w:line="600" w:lineRule="exact"/>
        <w:ind w:left="0" w:firstLine="320" w:firstLineChars="100"/>
        <w:rPr>
          <w:rFonts w:hint="eastAsia" w:ascii="仿宋_GB2312" w:eastAsia="仿宋_GB2312"/>
          <w:sz w:val="32"/>
          <w:szCs w:val="32"/>
          <w:lang w:val="en-US" w:eastAsia="zh-CN"/>
        </w:rPr>
      </w:pPr>
      <w:r>
        <w:rPr>
          <w:rFonts w:hint="eastAsia" w:ascii="仿宋_GB2312" w:eastAsia="仿宋_GB2312"/>
          <w:sz w:val="32"/>
          <w:szCs w:val="32"/>
          <w:lang w:val="en-US" w:eastAsia="zh-CN"/>
        </w:rPr>
        <w:t>（1）工资性及单位缴费支出</w:t>
      </w:r>
      <w:bookmarkEnd w:id="111"/>
      <w:r>
        <w:rPr>
          <w:rFonts w:hint="eastAsia" w:ascii="仿宋_GB2312" w:eastAsia="仿宋_GB2312"/>
          <w:sz w:val="32"/>
          <w:szCs w:val="32"/>
          <w:lang w:val="en-US" w:eastAsia="zh-CN"/>
        </w:rPr>
        <w:t>方面</w:t>
      </w:r>
      <w:r>
        <w:rPr>
          <w:rFonts w:hint="eastAsia" w:ascii="仿宋_GB2312" w:eastAsia="仿宋_GB2312"/>
          <w:sz w:val="32"/>
          <w:szCs w:val="32"/>
          <w:lang w:val="zh-CN"/>
        </w:rPr>
        <w:t>严格执行相关政策，保障工资及时、足额发放或社保及时、足额缴纳，预算编制科学合理，减少结余资金。</w:t>
      </w:r>
      <w:bookmarkStart w:id="112" w:name="OLE_LINK11"/>
      <w:r>
        <w:rPr>
          <w:rFonts w:hint="eastAsia" w:ascii="仿宋_GB2312" w:eastAsia="仿宋_GB2312"/>
          <w:sz w:val="32"/>
          <w:szCs w:val="32"/>
          <w:lang w:val="en-US" w:eastAsia="zh-CN"/>
        </w:rPr>
        <w:t>完成值都达到了指标值，预算执行</w:t>
      </w:r>
      <w:bookmarkStart w:id="113" w:name="OLE_LINK9"/>
      <w:r>
        <w:rPr>
          <w:rFonts w:hint="eastAsia" w:ascii="仿宋_GB2312" w:eastAsia="仿宋_GB2312"/>
          <w:sz w:val="32"/>
          <w:szCs w:val="32"/>
          <w:lang w:val="en-US" w:eastAsia="zh-CN"/>
        </w:rPr>
        <w:t>得分</w:t>
      </w:r>
      <w:bookmarkEnd w:id="113"/>
      <w:r>
        <w:rPr>
          <w:rFonts w:hint="eastAsia" w:ascii="仿宋_GB2312" w:eastAsia="仿宋_GB2312"/>
          <w:sz w:val="32"/>
          <w:szCs w:val="32"/>
          <w:lang w:val="en-US" w:eastAsia="zh-CN"/>
        </w:rPr>
        <w:t>10分，绩效指标得分90分，总计得分100分。</w:t>
      </w:r>
    </w:p>
    <w:bookmarkEnd w:id="112"/>
    <w:p w14:paraId="58459036">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（2）日常公用经费支出方面</w:t>
      </w:r>
      <w:r>
        <w:rPr>
          <w:rFonts w:hint="eastAsia" w:ascii="仿宋_GB2312" w:eastAsia="仿宋_GB2312"/>
          <w:sz w:val="32"/>
          <w:szCs w:val="32"/>
          <w:lang w:val="zh-CN"/>
        </w:rPr>
        <w:t>提高预算编制质量，严格执行预算，保障</w:t>
      </w:r>
      <w:r>
        <w:rPr>
          <w:rFonts w:hint="eastAsia" w:ascii="仿宋_GB2312" w:eastAsia="仿宋_GB2312"/>
          <w:sz w:val="32"/>
          <w:szCs w:val="32"/>
          <w:lang w:val="en-US" w:eastAsia="zh-CN"/>
        </w:rPr>
        <w:t>中心</w:t>
      </w:r>
      <w:r>
        <w:rPr>
          <w:rFonts w:hint="eastAsia" w:ascii="仿宋_GB2312" w:eastAsia="仿宋_GB2312"/>
          <w:sz w:val="32"/>
          <w:szCs w:val="32"/>
          <w:lang w:val="zh-CN"/>
        </w:rPr>
        <w:t>日常</w:t>
      </w:r>
      <w:r>
        <w:rPr>
          <w:rFonts w:hint="eastAsia" w:ascii="仿宋_GB2312" w:eastAsia="仿宋_GB2312"/>
          <w:sz w:val="32"/>
          <w:szCs w:val="32"/>
          <w:lang w:val="en-US" w:eastAsia="zh-CN"/>
        </w:rPr>
        <w:t>工作正常</w:t>
      </w:r>
      <w:r>
        <w:rPr>
          <w:rFonts w:hint="eastAsia" w:ascii="仿宋_GB2312" w:eastAsia="仿宋_GB2312"/>
          <w:sz w:val="32"/>
          <w:szCs w:val="32"/>
          <w:lang w:val="zh-CN"/>
        </w:rPr>
        <w:t>运转，</w:t>
      </w:r>
      <w:bookmarkStart w:id="114" w:name="OLE_LINK13"/>
      <w:r>
        <w:rPr>
          <w:rFonts w:hint="eastAsia" w:ascii="仿宋_GB2312" w:eastAsia="仿宋_GB2312"/>
          <w:sz w:val="32"/>
          <w:szCs w:val="32"/>
          <w:lang w:val="en-US" w:eastAsia="zh-CN"/>
        </w:rPr>
        <w:t>完成值都达到了指标值，预算执行得分10分，绩效指标得分90分，总计得分100分。</w:t>
      </w:r>
      <w:bookmarkEnd w:id="114"/>
    </w:p>
    <w:p w14:paraId="7E88527F">
      <w:pPr>
        <w:spacing w:line="600" w:lineRule="exact"/>
        <w:ind w:firstLine="640" w:firstLineChars="200"/>
        <w:rPr>
          <w:rFonts w:ascii="仿宋_GB2312" w:eastAsia="仿宋_GB2312"/>
          <w:sz w:val="32"/>
          <w:szCs w:val="32"/>
        </w:rPr>
      </w:pPr>
      <w:r>
        <w:rPr>
          <w:rFonts w:hint="eastAsia" w:ascii="仿宋_GB2312" w:eastAsia="仿宋_GB2312"/>
          <w:sz w:val="32"/>
          <w:szCs w:val="32"/>
          <w:lang w:val="en-US" w:eastAsia="zh-CN"/>
        </w:rPr>
        <w:t>（3）活动运转经费方面，提高预算编制质量，严格执行预算，保障中心学生活动正常运转。</w:t>
      </w:r>
      <w:r>
        <w:rPr>
          <w:rFonts w:hint="eastAsia" w:ascii="仿宋_GB2312" w:eastAsia="仿宋_GB2312"/>
          <w:sz w:val="32"/>
          <w:szCs w:val="32"/>
          <w:lang w:val="zh-CN"/>
        </w:rPr>
        <w:t>一、新场馆开班之初，中心即设立了13个教学班，吸引了300名学员参与。通过初期的问卷调查及社会反响收集，我们深刻感受到家长与学生们对活动中心的高度期待与热情。基于此，中心在2024年春季进行了学员补录，并于同年9月进一步扩大规模，共开设30个教学班，招收学员619名，成功达到饱和状态。二、学生各类活动顺利开展，3月组织全体教师和学生开展消防应急演练，4月举办“清明诵经典 纸鸢寄深情”活动，。5月组织全体师生开展“筑牢安全防线，共护生命之花”安全教育防震应急演练活动，进一步了解地震的危害和应急自救的重要性，掌握基本的应急自救技能；举办“父母学院课堂”活动；举办“童心飞扬 筑梦成长”六一儿童节文艺汇演，6月与阿坝州关工委、阿坝州教育局关工委联合举办了铸牢中华民族共同体意识第二届“庆六一 唱赞歌”好声音活动，为全州青少年提供展示才华和锻炼能力的平台。7月开展“中医药知识走进阿坝州青少年校外教育活动中心”活动，通过互动、体验的方式，向青少年普及中医药基础知识，传播中医药文化；8月举办“铸牢中华民族共同体意识——石榴籽·国防梦”研学旅行实践活动，增强青少年爱国主义情感和民族自豪感，深刻认识中华民族的伟大和多元文化的魅力，进一步铸牢中华民族共同体意识。11月开展“走进消防世界——阿坝州青少年共筑安全防火墙”消防教室参观活动，通过亲身体验与实地学习，显著提升青少年的消防安全意识，熟练掌握基本的消防安全技能；下旬开展阿坝州第二届“AI 时代，智创未来”科技创新活动，全方位培育青少年科技创新能力，推动青少年科技素养与创新思维的成长，为区域青少年科创教育事业的发展注入新的活力；12月开展艾滋病防治知识宣传教育活动，加强青少年对艾滋病的认识，提高预防意识；举办“围炉煮茶，共话诗书”诗词大会读书活动，通过诗词朗诵、分享与交流，让青少年在品味茶香与书香中，感受诗词的魅力，提升文化素养；举办青少年“友谊杯”首届武术跆拳道交流活动，通过武术和跆拳道这两项传统与现代相结合的体育项目，进一步铸牢中华民族共同体意识，增进青少年之间的友谊与团结。研学教育是我中心的一大特色。我们成功开展了“阿坝州青少年校外教育活动中心暑期研学营”、“铸牢中华民族共同体意识——石榴籽•国防梦夏令营”、“爱启梦想•阿坝行上海-马尔康手拉手友好夏令营”等活动，以及关怀康复中心小朋友的节日慰问，让学员们在实践中学习，在体验中成长</w:t>
      </w:r>
      <w:r>
        <w:rPr>
          <w:rFonts w:hint="eastAsia" w:ascii="仿宋_GB2312" w:eastAsia="仿宋_GB2312"/>
          <w:sz w:val="32"/>
          <w:szCs w:val="32"/>
          <w:lang w:val="en-US" w:eastAsia="zh-CN"/>
        </w:rPr>
        <w:t>。</w:t>
      </w:r>
      <w:r>
        <w:rPr>
          <w:rFonts w:hint="eastAsia" w:ascii="仿宋_GB2312" w:eastAsia="仿宋_GB2312"/>
          <w:sz w:val="32"/>
          <w:szCs w:val="32"/>
        </w:rPr>
        <w:t>绩效自评表详见第四部分附件。</w:t>
      </w:r>
    </w:p>
    <w:p w14:paraId="6CAA9F6E">
      <w:pPr>
        <w:spacing w:line="600" w:lineRule="exact"/>
        <w:ind w:firstLine="640" w:firstLineChars="200"/>
        <w:rPr>
          <w:rFonts w:ascii="仿宋_GB2312" w:eastAsia="仿宋_GB2312"/>
          <w:sz w:val="32"/>
          <w:szCs w:val="32"/>
        </w:rPr>
      </w:pPr>
      <w:r>
        <w:rPr>
          <w:rFonts w:hint="eastAsia" w:ascii="仿宋_GB2312" w:eastAsia="仿宋_GB2312"/>
          <w:sz w:val="32"/>
          <w:szCs w:val="32"/>
        </w:rPr>
        <w:br w:type="page"/>
      </w:r>
    </w:p>
    <w:p w14:paraId="2A2D01E1">
      <w:pPr>
        <w:numPr>
          <w:ilvl w:val="0"/>
          <w:numId w:val="7"/>
        </w:numPr>
        <w:spacing w:line="600" w:lineRule="exact"/>
        <w:ind w:left="0" w:firstLine="660" w:firstLineChars="150"/>
        <w:jc w:val="center"/>
        <w:outlineLvl w:val="0"/>
        <w:rPr>
          <w:rStyle w:val="23"/>
          <w:rFonts w:ascii="黑体" w:eastAsia="黑体"/>
          <w:b w:val="0"/>
        </w:rPr>
      </w:pPr>
      <w:bookmarkStart w:id="115" w:name="_Toc15396613"/>
      <w:bookmarkStart w:id="116" w:name="_Toc15377225"/>
      <w:bookmarkStart w:id="117" w:name="_Toc16661"/>
      <w:r>
        <w:rPr>
          <w:rFonts w:hint="eastAsia" w:ascii="黑体" w:eastAsia="黑体"/>
          <w:sz w:val="44"/>
          <w:szCs w:val="44"/>
        </w:rPr>
        <w:t>名</w:t>
      </w:r>
      <w:r>
        <w:rPr>
          <w:rStyle w:val="23"/>
          <w:rFonts w:hint="eastAsia" w:ascii="黑体" w:eastAsia="黑体"/>
          <w:b w:val="0"/>
        </w:rPr>
        <w:t>词解释</w:t>
      </w:r>
      <w:bookmarkEnd w:id="115"/>
      <w:bookmarkEnd w:id="116"/>
      <w:bookmarkEnd w:id="117"/>
    </w:p>
    <w:p w14:paraId="6DF8EFF0">
      <w:pPr>
        <w:spacing w:line="600" w:lineRule="exact"/>
        <w:jc w:val="left"/>
        <w:rPr>
          <w:rFonts w:ascii="宋体"/>
          <w:b/>
          <w:sz w:val="44"/>
          <w:szCs w:val="44"/>
        </w:rPr>
      </w:pPr>
    </w:p>
    <w:p w14:paraId="4E1F7B5A">
      <w:pPr>
        <w:pStyle w:val="2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7AA8C812">
      <w:pPr>
        <w:pStyle w:val="2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事业收入：指事业单位开展专业业务活动及辅助活动取得的收入。如…（二级预算单位事业收入情况）等。</w:t>
      </w:r>
    </w:p>
    <w:p w14:paraId="520A746D">
      <w:pPr>
        <w:pStyle w:val="2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经营收入：指事业单位在专业业务活动及其辅助活动之外开展非独立核算经营活动取得的收入。如…（二级预算单位经营收入情况）等。</w:t>
      </w:r>
    </w:p>
    <w:p w14:paraId="43348B87">
      <w:pPr>
        <w:pStyle w:val="2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其他收入：指单位取得的除上述收入以外的各项收入。主要是…（收入类型）等。</w:t>
      </w:r>
      <w:r>
        <w:rPr>
          <w:rFonts w:ascii="仿宋_GB2312" w:eastAsia="仿宋_GB2312"/>
          <w:color w:val="auto"/>
          <w:sz w:val="32"/>
          <w:szCs w:val="32"/>
        </w:rPr>
        <w:t xml:space="preserve"> </w:t>
      </w:r>
    </w:p>
    <w:p w14:paraId="430CCB4C">
      <w:pPr>
        <w:pStyle w:val="2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sz w:val="32"/>
          <w:szCs w:val="32"/>
        </w:rPr>
        <w:t>使用非财政拨款结余（含专用结余）</w:t>
      </w:r>
      <w:r>
        <w:rPr>
          <w:rFonts w:hint="eastAsia" w:ascii="仿宋_GB2312" w:eastAsia="仿宋_GB2312"/>
          <w:color w:val="auto"/>
          <w:sz w:val="32"/>
          <w:szCs w:val="32"/>
        </w:rPr>
        <w:t>：指事业单位使用以前年度积累的非财政拨款结余弥补当年收支差额的金额。</w:t>
      </w:r>
      <w:r>
        <w:rPr>
          <w:rFonts w:ascii="仿宋_GB2312" w:eastAsia="仿宋_GB2312"/>
          <w:color w:val="auto"/>
          <w:sz w:val="32"/>
          <w:szCs w:val="32"/>
        </w:rPr>
        <w:t xml:space="preserve"> </w:t>
      </w:r>
    </w:p>
    <w:p w14:paraId="16DAC04E">
      <w:pPr>
        <w:pStyle w:val="2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4A15C931">
      <w:pPr>
        <w:pStyle w:val="2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602316DC">
      <w:pPr>
        <w:pStyle w:val="2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3B852304">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9.教育支出205（类）02（项）99其他普通教育支出：指用于其他普通教育方面的支出。</w:t>
      </w:r>
    </w:p>
    <w:p w14:paraId="659F7E27">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10.社会保障和就业208（类）05（款）05（项）机关事业单位基本养老保险缴费支出：指反映机关事业单位实施养老保险制度由单位缴纳的基本养老保险费支出。</w:t>
      </w:r>
    </w:p>
    <w:p w14:paraId="4EDDA53A">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11.社会保障和就业208（类）05（款）06（项）机关事业单位职业年金缴费支出：指反映机关事业单位实施养老保险制度由单位缴纳的职业年金支出。</w:t>
      </w:r>
    </w:p>
    <w:p w14:paraId="28878E96">
      <w:pPr>
        <w:pStyle w:val="29"/>
        <w:spacing w:line="560" w:lineRule="exact"/>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12.卫生健康支出210（类）行政事业单位医疗11（款）行政单位医疗02（项）:指财政部门集中安排的事业人员基本医疗保险缴费经费，未参加医疗保险的行政单位的公费医疗经费，按国家规定享受离休人员、红军老战士待遇人员的医疗经费。</w:t>
      </w:r>
    </w:p>
    <w:p w14:paraId="4E655885">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13.卫生健康支出210（类）行政事业单位医疗11（款）其他行政事业单位医疗支出99（项）：其他用于行政事业单位医疗方面的支出。</w:t>
      </w:r>
    </w:p>
    <w:p w14:paraId="401A9242">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14.住房保障（类）221（款）02（项）01：指反映行政事业单位按人力资源和社会保障部、财政部规定的基本工资和津贴补贴以及规定比例为职工缴纳的住房公积金。</w:t>
      </w:r>
    </w:p>
    <w:p w14:paraId="46874C4D">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15.基本支出：指为保障机构正常运转、完成日常工作任务而发生的人员支出和公用支出。</w:t>
      </w:r>
    </w:p>
    <w:p w14:paraId="6B805DB7">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 xml:space="preserve">16.项目支出：指在基本支出之外为完成特定行政任务和事业发展目标所发生的支出。 </w:t>
      </w:r>
    </w:p>
    <w:p w14:paraId="3D28235F">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17.经营支出：指事业单位在专业业务活动及其辅助活动之外开展非独立核算经营活动发生的支出。</w:t>
      </w:r>
    </w:p>
    <w:p w14:paraId="56BABF6C">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EACD28C">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BB1357D">
      <w:pPr>
        <w:ind w:firstLine="643" w:firstLineChars="200"/>
        <w:rPr>
          <w:rFonts w:ascii="仿宋" w:eastAsia="仿宋"/>
          <w:b/>
          <w:sz w:val="32"/>
          <w:szCs w:val="32"/>
        </w:rPr>
      </w:pPr>
      <w:r>
        <w:rPr>
          <w:rFonts w:hint="eastAsia" w:ascii="仿宋" w:eastAsia="仿宋"/>
          <w:b/>
          <w:sz w:val="32"/>
          <w:szCs w:val="32"/>
        </w:rPr>
        <w:t>（名词解释部分请根据各单位实际列支情况罗列，并根据本单位职责职能增减名词解释内容。）</w:t>
      </w:r>
    </w:p>
    <w:p w14:paraId="4C3DE4BD">
      <w:pPr>
        <w:rPr>
          <w:rFonts w:ascii="宋体"/>
          <w:b/>
          <w:sz w:val="44"/>
          <w:szCs w:val="44"/>
        </w:rPr>
      </w:pPr>
      <w:bookmarkStart w:id="118" w:name="_Toc15377226"/>
      <w:r>
        <w:rPr>
          <w:rFonts w:ascii="宋体"/>
          <w:b/>
          <w:sz w:val="44"/>
          <w:szCs w:val="44"/>
        </w:rPr>
        <w:br w:type="page"/>
      </w:r>
    </w:p>
    <w:p w14:paraId="0CBFB122">
      <w:pPr>
        <w:spacing w:line="600" w:lineRule="exact"/>
        <w:jc w:val="both"/>
        <w:outlineLvl w:val="0"/>
        <w:rPr>
          <w:rFonts w:hint="eastAsia" w:ascii="黑体" w:eastAsia="黑体"/>
          <w:sz w:val="44"/>
          <w:szCs w:val="44"/>
        </w:rPr>
        <w:sectPr>
          <w:footerReference r:id="rId5" w:type="first"/>
          <w:headerReference r:id="rId3" w:type="default"/>
          <w:footerReference r:id="rId4" w:type="default"/>
          <w:pgSz w:w="11906" w:h="16838"/>
          <w:pgMar w:top="1440" w:right="1800" w:bottom="1440" w:left="1800" w:header="851" w:footer="992" w:gutter="0"/>
          <w:pgNumType w:fmt="numberInDash" w:start="1"/>
          <w:cols w:space="720" w:num="1"/>
          <w:titlePg/>
          <w:docGrid w:type="lines" w:linePitch="312" w:charSpace="0"/>
        </w:sectPr>
      </w:pPr>
      <w:bookmarkStart w:id="119" w:name="_Toc15396614"/>
    </w:p>
    <w:p w14:paraId="4E49DF96">
      <w:pPr>
        <w:spacing w:line="600" w:lineRule="exact"/>
        <w:ind w:left="0" w:right="0" w:firstLine="0"/>
        <w:jc w:val="center"/>
        <w:outlineLvl w:val="0"/>
        <w:rPr>
          <w:rStyle w:val="23"/>
          <w:rFonts w:hint="eastAsia" w:ascii="黑体" w:eastAsia="黑体"/>
          <w:b w:val="0"/>
        </w:rPr>
      </w:pPr>
      <w:bookmarkStart w:id="120" w:name="_Toc27824"/>
      <w:r>
        <w:rPr>
          <w:rFonts w:hint="eastAsia" w:ascii="黑体" w:eastAsia="黑体"/>
          <w:sz w:val="44"/>
          <w:szCs w:val="44"/>
        </w:rPr>
        <w:t>第</w:t>
      </w:r>
      <w:r>
        <w:rPr>
          <w:rStyle w:val="23"/>
          <w:rFonts w:hint="eastAsia" w:ascii="黑体" w:eastAsia="黑体"/>
          <w:b w:val="0"/>
        </w:rPr>
        <w:t>四部分 附件</w:t>
      </w:r>
      <w:bookmarkEnd w:id="119"/>
      <w:bookmarkEnd w:id="120"/>
      <w:bookmarkStart w:id="121" w:name="_Toc15396618"/>
    </w:p>
    <w:tbl>
      <w:tblPr>
        <w:tblStyle w:val="1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7"/>
        <w:gridCol w:w="807"/>
        <w:gridCol w:w="1724"/>
        <w:gridCol w:w="2142"/>
        <w:gridCol w:w="888"/>
        <w:gridCol w:w="862"/>
        <w:gridCol w:w="888"/>
        <w:gridCol w:w="2363"/>
        <w:gridCol w:w="960"/>
        <w:gridCol w:w="960"/>
        <w:gridCol w:w="1720"/>
      </w:tblGrid>
      <w:tr w14:paraId="48059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FB17BC">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1319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4682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F466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51320021T000000188151-活动运转经费</w:t>
            </w:r>
          </w:p>
        </w:tc>
      </w:tr>
      <w:tr w14:paraId="431C3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B1C2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9297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0" w:type="auto"/>
            <w:tcBorders>
              <w:top w:val="nil"/>
              <w:left w:val="nil"/>
              <w:bottom w:val="nil"/>
              <w:right w:val="nil"/>
            </w:tcBorders>
            <w:shd w:val="clear" w:color="auto" w:fill="auto"/>
            <w:vAlign w:val="center"/>
          </w:tcPr>
          <w:p w14:paraId="3BB3DDB2">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102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州青少年校外教育活动中心</w:t>
            </w:r>
          </w:p>
        </w:tc>
      </w:tr>
      <w:tr w14:paraId="48F27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0967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AA7C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A0C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C2872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671C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6EA76">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C0814">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4195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中心新建场地“三馆一中心”在2023年9月投入使用，继续利用青少年校外教育活动中心网络平台，面向全州中小学生青少年，在春夏季3-8月举办共7期主题为《保护母亲河》、《新时代好少年 中华文明校园》《红色阿坝进校园》、《一键记录·最美阿坝》、《雪域霓裳·川西高原》阿坝州少数民族服饰风尚视频大赛、《红歌进校园》、《我的家乡》诗歌朗诵大赛的网络比赛活动，中心将继续利用网络平台，建立自己的网络社区，利用公众号等开启网络综合信息服务，提升“信息化”“智能化”管理。同时，积极宣传中心开展的各项活动和有关校外教育发展的动态，展示所取得的成绩，力争取得良好的社会效益。</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新场馆投入使用后，为丰富广大学生的业余生活，发展兴趣爱好，提高艺术素养，面向辖区内青少年开展各类兴趣爱好特长技能培训活动。新场馆投入使用后在秋季学期9-12月开展4期主题为《草地音乐节》、《国庆亲子乐》、《非遗大赏“羌历年”》、学期汇报演出《了不起的我们》学生活动，2024年（春、秋季）学期计划开班22个，招收学员675人；（寒、暑）期计划开班22个，招收学员735人。其中播音主持班2个、钢琴班2个、美术班2个、少儿舞蹈班2个、幼儿舞蹈班2个、少儿芭蕾班1个、国画班2个、机器人编程班3个、钢琴班2个、电子琴班1个、武术班2个、梦想课班1个。结合推进新一轮课程改革，充分利用校外活动场所开展现场教学，做好阿坝州、马尔康地区各中小学、幼儿园的第二课堂。</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A12C5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中心开展线下各类主题活动17次，参与学生人数700余人次，在2023—2024年全国中小学信息技术创新与实践大赛四川省选拔赛中，我中心学员表现出色，荣获多项一等奖，并在全国赛中再次斩获一等奖，展现了阿坝州青少年的卓越风采。此外，我们还获得了阿坝州2024年中华经典诵写讲演系列活动比赛三等奖；在世界机器人大赛中，我中心学员荣获初中组一等奖，成功晋级全国大赛；12月，多名同学在阿坝州青少年武术跆拳道交流赛上获得一等奖；播音主持班的爱国朗诵作品更是被“学习强国”、马尔康在线等平台广泛采用，影响力不断扩大。共涉及13门课程30个教学班班覆盖了艺术、体育、科创、文化等各个领域，开设了国画、幼儿美术、少儿美术、书法、机器人编程、电钢琴、播音主持、幼儿舞蹈、少儿舞蹈、少儿芭蕾、幼儿武术、少儿武术、梦想课程兴趣班满足了各阶段青少年的兴趣需求。</w:t>
            </w:r>
          </w:p>
        </w:tc>
      </w:tr>
      <w:tr w14:paraId="1F37A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F465A">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5EA4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5587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新场馆开班之初，中心即设立了13个教学班，吸引了300名学员参与。通过初期的问卷调查及社会反响收集，我们深刻感受到家长与学生们对活动中心的高度期待与热情。基于此，中心在2024年春季进行了学员补录，并于同年9月进一步扩大规模，共开设30个教学班，招收学员619名，成功达到饱和状态。二、学生各类活动顺利开展，3月组织全体教师和学生开展消防应急演练，4月举办“清明诵经典 纸鸢寄深情”活动，。5月组织全体师生开展“筑牢安全防线，共护生命之花”安全教育防震应急演练活动，进一步了解地震的危害和应急自救的重要性，掌握基本的应急自救技能；举办“父母学院课堂”活动；举办“童心飞扬 筑梦成长”六一儿童节文艺汇演，6月与阿坝州关工委、阿坝州教育局关工委联合举办了铸牢中华民族共同体意识第二届“庆六一 唱赞歌”好声音活动，为全州青少年提供展示才华和锻炼能力的平台。7月开展“中医药知识走进阿坝州青少年校外教育活动中心”活动，通过互动、体验的方式，向青少年普及中医药基础知识，传播中医药文化；8月举办“铸牢中华民族共同体意识——石榴籽·国防梦”研学旅行实践活动，增强青少年爱国主义情感和民族自豪感，深刻认识中华民族的伟大和多元文化的魅力，进一步铸牢中华民族共同体意识。11月开展“走进消防世界——阿坝州青少年共筑安全防火墙”消防教室参观活动，通过亲身体验与实地学习，显著提升青少年的消防安全意识，熟练掌握基本的消防安全技能；下旬开展阿坝州第二届“AI 时代，智创未来”科技创新活动，全方位培育青少年科技创新能力，推动青少年科技素养与创新思维的成长，为区域青少年科创教育事业的发展注入新的活力；12月开展艾滋病防治知识宣传教育活动，加强青少年对艾滋病的认识，提高预防意识；举办“围炉煮茶，共话诗书”诗词大会读书活动，通过诗词朗诵、分享与交流，让青少年在品味茶香与书香中，感受诗词的魅力，提升文化素养；举办青少年“友谊杯”首届武术跆拳道交流活动，通过武术和跆拳道这两项传统与现代相结合的体育项目，进一步铸牢中华民族共同体意识，增进青少年之间的友谊与团结。研学教育是我中心的一大特色。我们成功开展了“阿坝州青少年校外教育活动中心暑期研学营”、“铸牢中华民族共同体意识——石榴籽•国防梦夏令营”、“爱启梦想•阿坝行上海-马尔康手拉手友好夏令营”等活动，以及关怀康复中心小朋友的节日慰问，让学员们在实践中学习，在体验中成长。</w:t>
            </w:r>
          </w:p>
        </w:tc>
      </w:tr>
      <w:tr w14:paraId="18FFE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C4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84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109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CC1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CD0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89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C69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80A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F7D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E546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E06D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A78D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938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65C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7A4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ACC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DAA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9C5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800A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22934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847F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89B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3C6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247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87D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9A7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C38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489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2A6CB">
            <w:pPr>
              <w:rPr>
                <w:rFonts w:hint="eastAsia" w:ascii="黑体" w:hAnsi="黑体" w:eastAsia="黑体" w:cs="黑体"/>
                <w:i/>
                <w:iCs/>
                <w:color w:val="000000"/>
                <w:sz w:val="18"/>
                <w:szCs w:val="18"/>
                <w:u w:val="none"/>
              </w:rPr>
            </w:pPr>
          </w:p>
        </w:tc>
      </w:tr>
      <w:tr w14:paraId="39C81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343D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3CF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660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96F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D6A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B80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104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6AC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D076D">
            <w:pPr>
              <w:rPr>
                <w:rFonts w:hint="eastAsia" w:ascii="黑体" w:hAnsi="黑体" w:eastAsia="黑体" w:cs="黑体"/>
                <w:i/>
                <w:iCs/>
                <w:color w:val="000000"/>
                <w:sz w:val="18"/>
                <w:szCs w:val="18"/>
                <w:u w:val="none"/>
              </w:rPr>
            </w:pPr>
          </w:p>
        </w:tc>
      </w:tr>
      <w:tr w14:paraId="4DBEE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ADB5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E92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7FC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34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093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543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E50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D523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D43FA">
            <w:pPr>
              <w:rPr>
                <w:rFonts w:hint="eastAsia" w:ascii="黑体" w:hAnsi="黑体" w:eastAsia="黑体" w:cs="黑体"/>
                <w:i/>
                <w:iCs/>
                <w:color w:val="000000"/>
                <w:sz w:val="18"/>
                <w:szCs w:val="18"/>
                <w:u w:val="none"/>
              </w:rPr>
            </w:pPr>
          </w:p>
        </w:tc>
      </w:tr>
      <w:tr w14:paraId="4E0FD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DAFF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33E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AB20B">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760F0">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CAA938">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8AE59A">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3F4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EAE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70E8F">
            <w:pPr>
              <w:rPr>
                <w:rFonts w:hint="eastAsia" w:ascii="黑体" w:hAnsi="黑体" w:eastAsia="黑体" w:cs="黑体"/>
                <w:i/>
                <w:iCs/>
                <w:color w:val="000000"/>
                <w:sz w:val="18"/>
                <w:szCs w:val="18"/>
                <w:u w:val="none"/>
              </w:rPr>
            </w:pPr>
          </w:p>
        </w:tc>
      </w:tr>
      <w:tr w14:paraId="54C28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93D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3C3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085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D5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58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182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9DC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2CD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00B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D0F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B9D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E002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9BA1E">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6C9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0A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14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各项活动覆盖率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83F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CFC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850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B5EEE9">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CEF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1AB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D61AB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C58E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7D7E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042D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F55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0FF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学生兴趣爱好特长教学质量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29E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9A1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02858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1DDC9">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47B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69E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973E0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ADFA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5C97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42FB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404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DBE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各项活动完成及时率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094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299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57B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73516C">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86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B85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31EC0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10AB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4BD5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CF5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C5F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78B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受训学生兴趣爱好特长提高率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51E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C5C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6CC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71CA59">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8D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EC8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93C45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FC67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E610A">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64D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754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9E2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师生满意度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FF9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F62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1C0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456FFF">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1E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6E3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3DB05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B3F6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F518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21AD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530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13F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5CA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370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D12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281F83">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58F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A28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CBEF1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EA58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8A3E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2BE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2E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3AF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952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2D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B86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0BC7C2">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622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F79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D7345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79F5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C52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125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D7C47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757656">
            <w:pPr>
              <w:rPr>
                <w:rFonts w:hint="eastAsia" w:ascii="宋体" w:hAnsi="宋体" w:eastAsia="宋体" w:cs="宋体"/>
                <w:i w:val="0"/>
                <w:iCs w:val="0"/>
                <w:color w:val="000000"/>
                <w:sz w:val="18"/>
                <w:szCs w:val="18"/>
                <w:u w:val="none"/>
              </w:rPr>
            </w:pPr>
          </w:p>
        </w:tc>
      </w:tr>
      <w:tr w14:paraId="00D32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DA7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608A4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提高预算编制质量，严格执行预算，保障中心学生活动正常运转，项目自评得分100分。</w:t>
            </w:r>
          </w:p>
        </w:tc>
      </w:tr>
      <w:tr w14:paraId="00552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7C9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97312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受场地受限等 客观原因影响，未能全面广泛的满足辖区内青少年学生参与开展需求的活动。</w:t>
            </w:r>
          </w:p>
        </w:tc>
      </w:tr>
      <w:tr w14:paraId="13E01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E86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57049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进一步加强项目活动的组织和开发，让更多更广泛的的青少年有机会参加校外活动。预算编制科学合理，减少结余资金。</w:t>
            </w:r>
          </w:p>
        </w:tc>
      </w:tr>
    </w:tbl>
    <w:p w14:paraId="14DE3E3F">
      <w:pPr>
        <w:rPr>
          <w:rFonts w:cs="仿宋"/>
          <w:sz w:val="32"/>
          <w:szCs w:val="32"/>
        </w:rPr>
      </w:pP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86"/>
        <w:gridCol w:w="1290"/>
        <w:gridCol w:w="1287"/>
        <w:gridCol w:w="1287"/>
        <w:gridCol w:w="1290"/>
        <w:gridCol w:w="1287"/>
        <w:gridCol w:w="1290"/>
        <w:gridCol w:w="1287"/>
        <w:gridCol w:w="1287"/>
        <w:gridCol w:w="1287"/>
        <w:gridCol w:w="1296"/>
      </w:tblGrid>
      <w:tr w14:paraId="73D0C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03D86C">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D83A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B61D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93AF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51320025T000012293526-青少年活动中心教师节慰问金</w:t>
            </w:r>
          </w:p>
        </w:tc>
      </w:tr>
      <w:tr w14:paraId="59C06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9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D01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C01C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州教育局部门</w:t>
            </w:r>
          </w:p>
        </w:tc>
        <w:tc>
          <w:tcPr>
            <w:tcW w:w="454" w:type="pct"/>
            <w:tcBorders>
              <w:top w:val="nil"/>
              <w:left w:val="nil"/>
              <w:bottom w:val="nil"/>
              <w:right w:val="nil"/>
            </w:tcBorders>
            <w:shd w:val="clear" w:color="auto" w:fill="auto"/>
            <w:vAlign w:val="center"/>
          </w:tcPr>
          <w:p w14:paraId="2C455FA2">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A14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州青少年校外教育活动中心</w:t>
            </w:r>
          </w:p>
        </w:tc>
      </w:tr>
      <w:tr w14:paraId="23EC8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AD8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383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938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65D0D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8C51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CCB46">
            <w:pP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FA653">
            <w:pPr>
              <w:rPr>
                <w:rFonts w:hint="eastAsia" w:ascii="宋体" w:hAnsi="宋体" w:eastAsia="宋体" w:cs="宋体"/>
                <w:i w:val="0"/>
                <w:iCs w:val="0"/>
                <w:color w:val="000000"/>
                <w:sz w:val="18"/>
                <w:szCs w:val="18"/>
                <w:u w:val="none"/>
              </w:rPr>
            </w:pP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1D6E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足额发放到位教师节慰问金</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872E2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足额发放到位教师节慰问金</w:t>
            </w:r>
          </w:p>
        </w:tc>
      </w:tr>
      <w:tr w14:paraId="55762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945AD">
            <w:pP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86A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E0CD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足额发放到位教师节慰问金</w:t>
            </w:r>
          </w:p>
        </w:tc>
      </w:tr>
      <w:tr w14:paraId="045CD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D2C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63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4A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B5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3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1F1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AC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B0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CC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B6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1FFB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D51A0">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BF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4B4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51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0.18</w:t>
            </w:r>
          </w:p>
        </w:tc>
        <w:tc>
          <w:tcPr>
            <w:tcW w:w="13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0CC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0.18</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BB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F7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74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2F3EEE">
            <w:pPr>
              <w:keepNext w:val="0"/>
              <w:keepLines w:val="0"/>
              <w:widowControl/>
              <w:suppressLineNumbers w:val="0"/>
              <w:jc w:val="left"/>
              <w:textAlignment w:val="center"/>
              <w:rPr>
                <w:rFonts w:hint="eastAsia" w:ascii="宋体" w:hAnsi="宋体" w:eastAsia="宋体" w:cs="宋体"/>
                <w:i/>
                <w:iCs/>
                <w:color w:val="000000"/>
                <w:sz w:val="18"/>
                <w:szCs w:val="18"/>
                <w:u w:val="none"/>
              </w:rPr>
            </w:pPr>
            <w:r>
              <w:rPr>
                <w:rFonts w:hint="eastAsia" w:ascii="宋体" w:hAnsi="宋体" w:eastAsia="宋体" w:cs="宋体"/>
                <w:i/>
                <w:iCs/>
                <w:color w:val="000000"/>
                <w:kern w:val="0"/>
                <w:sz w:val="18"/>
                <w:szCs w:val="18"/>
                <w:u w:val="none"/>
                <w:lang w:val="en-US" w:eastAsia="zh-CN" w:bidi="ar"/>
              </w:rPr>
              <w:t>无</w:t>
            </w:r>
          </w:p>
        </w:tc>
      </w:tr>
      <w:tr w14:paraId="3651E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4FC26">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13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C7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1A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0.18</w:t>
            </w:r>
          </w:p>
        </w:tc>
        <w:tc>
          <w:tcPr>
            <w:tcW w:w="13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5BA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0.18</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0E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5B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7F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83F04">
            <w:pPr>
              <w:rPr>
                <w:rFonts w:hint="eastAsia" w:ascii="宋体" w:hAnsi="宋体" w:eastAsia="宋体" w:cs="宋体"/>
                <w:i/>
                <w:iCs/>
                <w:color w:val="000000"/>
                <w:sz w:val="18"/>
                <w:szCs w:val="18"/>
                <w:u w:val="none"/>
              </w:rPr>
            </w:pPr>
          </w:p>
        </w:tc>
      </w:tr>
      <w:tr w14:paraId="6351E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4562F">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44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CD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93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0D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45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EC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29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1AA3A">
            <w:pPr>
              <w:rPr>
                <w:rFonts w:hint="eastAsia" w:ascii="宋体" w:hAnsi="宋体" w:eastAsia="宋体" w:cs="宋体"/>
                <w:i/>
                <w:iCs/>
                <w:color w:val="000000"/>
                <w:sz w:val="18"/>
                <w:szCs w:val="18"/>
                <w:u w:val="none"/>
              </w:rPr>
            </w:pPr>
          </w:p>
        </w:tc>
      </w:tr>
      <w:tr w14:paraId="38008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2667B">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EA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D8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F1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4E3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FE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82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D9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CAD2B">
            <w:pPr>
              <w:rPr>
                <w:rFonts w:hint="eastAsia" w:ascii="宋体" w:hAnsi="宋体" w:eastAsia="宋体" w:cs="宋体"/>
                <w:i/>
                <w:iCs/>
                <w:color w:val="000000"/>
                <w:sz w:val="18"/>
                <w:szCs w:val="18"/>
                <w:u w:val="none"/>
              </w:rPr>
            </w:pPr>
          </w:p>
        </w:tc>
      </w:tr>
      <w:tr w14:paraId="2E50F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72E3E">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0C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DAE4C">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72BF1">
            <w:pPr>
              <w:jc w:val="center"/>
              <w:rPr>
                <w:rFonts w:hint="eastAsia" w:ascii="微软雅黑" w:hAnsi="微软雅黑" w:eastAsia="微软雅黑" w:cs="微软雅黑"/>
                <w:i/>
                <w:iCs/>
                <w:color w:val="000000"/>
                <w:sz w:val="16"/>
                <w:szCs w:val="16"/>
                <w:u w:val="none"/>
              </w:rPr>
            </w:pPr>
          </w:p>
        </w:tc>
        <w:tc>
          <w:tcPr>
            <w:tcW w:w="13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FD7664">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81082">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1F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95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73C2D">
            <w:pPr>
              <w:rPr>
                <w:rFonts w:hint="eastAsia" w:ascii="宋体" w:hAnsi="宋体" w:eastAsia="宋体" w:cs="宋体"/>
                <w:i/>
                <w:iCs/>
                <w:color w:val="000000"/>
                <w:sz w:val="18"/>
                <w:szCs w:val="18"/>
                <w:u w:val="none"/>
              </w:rPr>
            </w:pPr>
          </w:p>
        </w:tc>
      </w:tr>
      <w:tr w14:paraId="6DD69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481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D7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86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D2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CA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FF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82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69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35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12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A5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DEDD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3CCDF">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CF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B0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E5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发放覆盖率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89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29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6B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965EF">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FE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A2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B759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3F1B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B324F">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8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FE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CD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7A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AE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03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14E70">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F3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94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E3AF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99EA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5C842">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08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23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D3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保质保量率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76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D3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8D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BE767">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FD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84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FF55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DA22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3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9F48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B4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F7D7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2AABC">
            <w:pPr>
              <w:rPr>
                <w:rFonts w:hint="eastAsia" w:ascii="宋体" w:hAnsi="宋体" w:eastAsia="宋体" w:cs="宋体"/>
                <w:i w:val="0"/>
                <w:iCs w:val="0"/>
                <w:color w:val="000000"/>
                <w:sz w:val="18"/>
                <w:szCs w:val="18"/>
                <w:u w:val="none"/>
              </w:rPr>
            </w:pPr>
          </w:p>
        </w:tc>
      </w:tr>
      <w:tr w14:paraId="16DB2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91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652D7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自评分100分</w:t>
            </w:r>
          </w:p>
        </w:tc>
      </w:tr>
      <w:tr w14:paraId="0DB36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A5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403E9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50A0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1F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7CA81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2FEE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D9541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项目负责人：黄强</w:t>
            </w:r>
          </w:p>
        </w:tc>
        <w:tc>
          <w:tcPr>
            <w:tcW w:w="272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C0735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财务负责人：白玛央吉</w:t>
            </w:r>
          </w:p>
        </w:tc>
      </w:tr>
    </w:tbl>
    <w:p w14:paraId="42E09836">
      <w:pPr>
        <w:rPr>
          <w:rFonts w:cs="仿宋"/>
          <w:sz w:val="32"/>
          <w:szCs w:val="32"/>
        </w:rPr>
      </w:pPr>
    </w:p>
    <w:p w14:paraId="526B245A">
      <w:pPr>
        <w:rPr>
          <w:rFonts w:cs="仿宋"/>
          <w:sz w:val="32"/>
          <w:szCs w:val="32"/>
        </w:rPr>
      </w:pPr>
      <w:r>
        <w:rPr>
          <w:rFonts w:cs="仿宋"/>
          <w:sz w:val="32"/>
          <w:szCs w:val="32"/>
        </w:rPr>
        <w:br w:type="page"/>
      </w:r>
    </w:p>
    <w:p w14:paraId="0F0410F2">
      <w:pPr>
        <w:ind w:left="0" w:right="0" w:firstLine="0"/>
        <w:jc w:val="both"/>
        <w:rPr>
          <w:rFonts w:hint="eastAsia" w:ascii="黑体" w:eastAsia="黑体"/>
          <w:sz w:val="44"/>
          <w:szCs w:val="44"/>
        </w:rPr>
        <w:sectPr>
          <w:pgSz w:w="16838" w:h="11906" w:orient="landscape"/>
          <w:pgMar w:top="1800" w:right="1440" w:bottom="1800" w:left="1440" w:header="851" w:footer="992" w:gutter="0"/>
          <w:pgNumType w:fmt="numberInDash"/>
          <w:cols w:space="720" w:num="1"/>
          <w:titlePg/>
          <w:docGrid w:type="lines" w:linePitch="312" w:charSpace="0"/>
        </w:sectPr>
      </w:pPr>
    </w:p>
    <w:p w14:paraId="044BF12D">
      <w:pPr>
        <w:ind w:left="0" w:right="0" w:firstLine="0"/>
        <w:jc w:val="center"/>
        <w:rPr>
          <w:rFonts w:ascii="仿宋" w:eastAsia="仿宋"/>
        </w:rPr>
      </w:pPr>
      <w:r>
        <w:rPr>
          <w:rFonts w:hint="eastAsia" w:ascii="黑体" w:eastAsia="黑体"/>
          <w:sz w:val="44"/>
          <w:szCs w:val="44"/>
        </w:rPr>
        <w:t>第</w:t>
      </w:r>
      <w:r>
        <w:rPr>
          <w:rStyle w:val="23"/>
          <w:rFonts w:hint="eastAsia" w:ascii="黑体" w:eastAsia="黑体"/>
          <w:b w:val="0"/>
        </w:rPr>
        <w:t>五部分 附表</w:t>
      </w:r>
      <w:bookmarkEnd w:id="118"/>
      <w:bookmarkEnd w:id="121"/>
      <w:bookmarkStart w:id="122" w:name="_Toc15396619"/>
    </w:p>
    <w:p w14:paraId="4C597702">
      <w:pPr>
        <w:pStyle w:val="6"/>
        <w:rPr>
          <w:rFonts w:ascii="仿宋" w:eastAsia="仿宋"/>
        </w:rPr>
      </w:pPr>
      <w:bookmarkStart w:id="123" w:name="_Toc8462"/>
      <w:bookmarkStart w:id="124" w:name="_Toc9553"/>
      <w:r>
        <w:rPr>
          <w:rFonts w:hint="eastAsia" w:ascii="仿宋" w:eastAsia="仿宋"/>
          <w:b w:val="0"/>
        </w:rPr>
        <w:t>一、收</w:t>
      </w:r>
      <w:r>
        <w:rPr>
          <w:rStyle w:val="24"/>
          <w:rFonts w:hint="eastAsia" w:ascii="仿宋" w:eastAsia="仿宋"/>
          <w:b w:val="0"/>
          <w:bCs w:val="0"/>
        </w:rPr>
        <w:t>入支出决算总表</w:t>
      </w:r>
      <w:bookmarkEnd w:id="122"/>
      <w:bookmarkEnd w:id="123"/>
      <w:bookmarkEnd w:id="124"/>
    </w:p>
    <w:p w14:paraId="78F62F98">
      <w:pPr>
        <w:pStyle w:val="6"/>
        <w:rPr>
          <w:rFonts w:ascii="仿宋" w:eastAsia="仿宋"/>
        </w:rPr>
      </w:pPr>
      <w:bookmarkStart w:id="125" w:name="_Toc15396620"/>
      <w:bookmarkStart w:id="126" w:name="_Toc4444"/>
      <w:bookmarkStart w:id="127" w:name="_Toc17092"/>
      <w:r>
        <w:rPr>
          <w:rFonts w:hint="eastAsia" w:ascii="仿宋" w:eastAsia="仿宋"/>
          <w:b w:val="0"/>
        </w:rPr>
        <w:t>二、收</w:t>
      </w:r>
      <w:r>
        <w:rPr>
          <w:rStyle w:val="24"/>
          <w:rFonts w:hint="eastAsia" w:ascii="仿宋" w:eastAsia="仿宋"/>
          <w:b w:val="0"/>
          <w:bCs w:val="0"/>
        </w:rPr>
        <w:t>入决算表</w:t>
      </w:r>
      <w:bookmarkEnd w:id="125"/>
      <w:bookmarkEnd w:id="126"/>
      <w:bookmarkEnd w:id="127"/>
    </w:p>
    <w:p w14:paraId="6EF8E0EB">
      <w:pPr>
        <w:pStyle w:val="6"/>
        <w:rPr>
          <w:rFonts w:ascii="仿宋" w:eastAsia="仿宋"/>
        </w:rPr>
      </w:pPr>
      <w:bookmarkStart w:id="128" w:name="_Toc14132"/>
      <w:bookmarkStart w:id="129" w:name="_Toc15396621"/>
      <w:bookmarkStart w:id="130" w:name="_Toc26451"/>
      <w:r>
        <w:rPr>
          <w:rStyle w:val="24"/>
          <w:rFonts w:hint="eastAsia" w:ascii="仿宋" w:eastAsia="仿宋"/>
          <w:b w:val="0"/>
          <w:bCs w:val="0"/>
        </w:rPr>
        <w:t>三、</w:t>
      </w:r>
      <w:r>
        <w:rPr>
          <w:rFonts w:hint="eastAsia" w:ascii="仿宋" w:eastAsia="仿宋"/>
          <w:b w:val="0"/>
        </w:rPr>
        <w:t>支</w:t>
      </w:r>
      <w:r>
        <w:rPr>
          <w:rStyle w:val="24"/>
          <w:rFonts w:hint="eastAsia" w:ascii="仿宋" w:eastAsia="仿宋"/>
          <w:b w:val="0"/>
          <w:bCs w:val="0"/>
        </w:rPr>
        <w:t>出决算表</w:t>
      </w:r>
      <w:bookmarkEnd w:id="128"/>
      <w:bookmarkEnd w:id="129"/>
      <w:bookmarkEnd w:id="130"/>
    </w:p>
    <w:p w14:paraId="6A5D9201">
      <w:pPr>
        <w:pStyle w:val="6"/>
        <w:rPr>
          <w:rFonts w:ascii="仿宋" w:eastAsia="仿宋"/>
          <w:b w:val="0"/>
        </w:rPr>
      </w:pPr>
      <w:bookmarkStart w:id="131" w:name="_Toc25679"/>
      <w:bookmarkStart w:id="132" w:name="_Toc15396622"/>
      <w:bookmarkStart w:id="133" w:name="_Toc18975"/>
      <w:r>
        <w:rPr>
          <w:rStyle w:val="24"/>
          <w:rFonts w:hint="eastAsia" w:ascii="仿宋" w:eastAsia="仿宋"/>
          <w:b w:val="0"/>
          <w:bCs w:val="0"/>
        </w:rPr>
        <w:t>四、</w:t>
      </w:r>
      <w:r>
        <w:rPr>
          <w:rFonts w:hint="eastAsia" w:ascii="仿宋" w:eastAsia="仿宋"/>
          <w:b w:val="0"/>
        </w:rPr>
        <w:t>财</w:t>
      </w:r>
      <w:r>
        <w:rPr>
          <w:rStyle w:val="24"/>
          <w:rFonts w:hint="eastAsia" w:ascii="仿宋" w:eastAsia="仿宋"/>
          <w:b w:val="0"/>
          <w:bCs w:val="0"/>
        </w:rPr>
        <w:t>政拨款收入支出决算总表</w:t>
      </w:r>
      <w:bookmarkEnd w:id="131"/>
      <w:bookmarkEnd w:id="132"/>
      <w:bookmarkEnd w:id="133"/>
    </w:p>
    <w:p w14:paraId="3F802856">
      <w:pPr>
        <w:pStyle w:val="6"/>
        <w:rPr>
          <w:rStyle w:val="24"/>
          <w:rFonts w:ascii="仿宋" w:eastAsia="仿宋"/>
          <w:b w:val="0"/>
          <w:bCs w:val="0"/>
        </w:rPr>
      </w:pPr>
      <w:bookmarkStart w:id="134" w:name="_Toc15396623"/>
      <w:bookmarkStart w:id="135" w:name="_Toc14403"/>
      <w:bookmarkStart w:id="136" w:name="_Toc6851"/>
      <w:r>
        <w:rPr>
          <w:rStyle w:val="24"/>
          <w:rFonts w:hint="eastAsia" w:ascii="仿宋" w:eastAsia="仿宋"/>
          <w:b w:val="0"/>
          <w:bCs w:val="0"/>
        </w:rPr>
        <w:t>五、</w:t>
      </w:r>
      <w:r>
        <w:rPr>
          <w:rFonts w:hint="eastAsia" w:ascii="仿宋" w:eastAsia="仿宋"/>
          <w:b w:val="0"/>
        </w:rPr>
        <w:t>财</w:t>
      </w:r>
      <w:r>
        <w:rPr>
          <w:rStyle w:val="24"/>
          <w:rFonts w:hint="eastAsia" w:ascii="仿宋" w:eastAsia="仿宋"/>
          <w:b w:val="0"/>
          <w:bCs w:val="0"/>
        </w:rPr>
        <w:t>政拨款支出决算明细表</w:t>
      </w:r>
      <w:bookmarkEnd w:id="134"/>
      <w:bookmarkEnd w:id="135"/>
      <w:bookmarkEnd w:id="136"/>
      <w:bookmarkStart w:id="137" w:name="_Toc15396624"/>
    </w:p>
    <w:p w14:paraId="531E8681">
      <w:pPr>
        <w:pStyle w:val="6"/>
        <w:rPr>
          <w:rFonts w:ascii="仿宋" w:eastAsia="仿宋"/>
        </w:rPr>
      </w:pPr>
      <w:bookmarkStart w:id="138" w:name="_Toc17678"/>
      <w:bookmarkStart w:id="139" w:name="_Toc15980"/>
      <w:r>
        <w:rPr>
          <w:rStyle w:val="24"/>
          <w:rFonts w:hint="eastAsia" w:ascii="仿宋" w:eastAsia="仿宋"/>
          <w:b w:val="0"/>
          <w:bCs w:val="0"/>
        </w:rPr>
        <w:t>六、</w:t>
      </w:r>
      <w:r>
        <w:rPr>
          <w:rFonts w:hint="eastAsia" w:ascii="仿宋" w:eastAsia="仿宋"/>
          <w:b w:val="0"/>
        </w:rPr>
        <w:t>一</w:t>
      </w:r>
      <w:r>
        <w:rPr>
          <w:rStyle w:val="24"/>
          <w:rFonts w:hint="eastAsia" w:ascii="仿宋" w:eastAsia="仿宋"/>
          <w:b w:val="0"/>
          <w:bCs w:val="0"/>
        </w:rPr>
        <w:t>般公共预算财政拨款支出决算表</w:t>
      </w:r>
      <w:bookmarkEnd w:id="137"/>
      <w:bookmarkEnd w:id="138"/>
      <w:bookmarkEnd w:id="139"/>
    </w:p>
    <w:p w14:paraId="49FB15A4">
      <w:pPr>
        <w:pStyle w:val="6"/>
        <w:rPr>
          <w:rFonts w:ascii="仿宋" w:eastAsia="仿宋"/>
        </w:rPr>
      </w:pPr>
      <w:bookmarkStart w:id="140" w:name="_Toc15396625"/>
      <w:bookmarkStart w:id="141" w:name="_Toc30063"/>
      <w:bookmarkStart w:id="142" w:name="_Toc20638"/>
      <w:r>
        <w:rPr>
          <w:rStyle w:val="24"/>
          <w:rFonts w:hint="eastAsia" w:ascii="仿宋" w:eastAsia="仿宋"/>
          <w:b w:val="0"/>
          <w:bCs w:val="0"/>
        </w:rPr>
        <w:t>七、</w:t>
      </w:r>
      <w:r>
        <w:rPr>
          <w:rFonts w:hint="eastAsia" w:ascii="仿宋" w:eastAsia="仿宋"/>
          <w:b w:val="0"/>
        </w:rPr>
        <w:t>一</w:t>
      </w:r>
      <w:r>
        <w:rPr>
          <w:rStyle w:val="24"/>
          <w:rFonts w:hint="eastAsia" w:ascii="仿宋" w:eastAsia="仿宋"/>
          <w:b w:val="0"/>
          <w:bCs w:val="0"/>
        </w:rPr>
        <w:t>般公共预算财政拨款支出决算明细表</w:t>
      </w:r>
      <w:bookmarkEnd w:id="140"/>
      <w:bookmarkEnd w:id="141"/>
      <w:bookmarkEnd w:id="142"/>
    </w:p>
    <w:p w14:paraId="54FF479C">
      <w:pPr>
        <w:pStyle w:val="6"/>
        <w:rPr>
          <w:rFonts w:ascii="仿宋" w:eastAsia="仿宋"/>
        </w:rPr>
      </w:pPr>
      <w:bookmarkStart w:id="143" w:name="_Toc15396626"/>
      <w:bookmarkStart w:id="144" w:name="_Toc19954"/>
      <w:bookmarkStart w:id="145" w:name="_Toc10423"/>
      <w:r>
        <w:rPr>
          <w:rStyle w:val="24"/>
          <w:rFonts w:hint="eastAsia" w:ascii="仿宋" w:eastAsia="仿宋"/>
          <w:b w:val="0"/>
          <w:bCs w:val="0"/>
        </w:rPr>
        <w:t>八、</w:t>
      </w:r>
      <w:r>
        <w:rPr>
          <w:rFonts w:hint="eastAsia" w:ascii="仿宋" w:eastAsia="仿宋"/>
          <w:b w:val="0"/>
        </w:rPr>
        <w:t>一</w:t>
      </w:r>
      <w:r>
        <w:rPr>
          <w:rStyle w:val="24"/>
          <w:rFonts w:hint="eastAsia" w:ascii="仿宋" w:eastAsia="仿宋"/>
          <w:b w:val="0"/>
          <w:bCs w:val="0"/>
        </w:rPr>
        <w:t>般公共预算财政拨款基本支出决算表</w:t>
      </w:r>
      <w:bookmarkEnd w:id="143"/>
      <w:bookmarkEnd w:id="144"/>
      <w:bookmarkEnd w:id="145"/>
    </w:p>
    <w:p w14:paraId="2CAA9946">
      <w:pPr>
        <w:pStyle w:val="6"/>
        <w:rPr>
          <w:rFonts w:ascii="仿宋" w:eastAsia="仿宋"/>
        </w:rPr>
      </w:pPr>
      <w:bookmarkStart w:id="146" w:name="_Toc15396627"/>
      <w:bookmarkStart w:id="147" w:name="_Toc32163"/>
      <w:bookmarkStart w:id="148" w:name="_Toc8661"/>
      <w:r>
        <w:rPr>
          <w:rStyle w:val="24"/>
          <w:rFonts w:hint="eastAsia" w:ascii="仿宋" w:eastAsia="仿宋"/>
          <w:b w:val="0"/>
          <w:bCs w:val="0"/>
        </w:rPr>
        <w:t>九、</w:t>
      </w:r>
      <w:r>
        <w:rPr>
          <w:rFonts w:hint="eastAsia" w:ascii="仿宋" w:eastAsia="仿宋"/>
          <w:b w:val="0"/>
        </w:rPr>
        <w:t>一</w:t>
      </w:r>
      <w:r>
        <w:rPr>
          <w:rStyle w:val="24"/>
          <w:rFonts w:hint="eastAsia" w:ascii="仿宋" w:eastAsia="仿宋"/>
          <w:b w:val="0"/>
          <w:bCs w:val="0"/>
        </w:rPr>
        <w:t>般公共预算财政拨款项目支出决算表</w:t>
      </w:r>
      <w:bookmarkEnd w:id="146"/>
      <w:bookmarkEnd w:id="147"/>
      <w:bookmarkEnd w:id="148"/>
    </w:p>
    <w:p w14:paraId="55FC6A4F">
      <w:pPr>
        <w:pStyle w:val="6"/>
        <w:rPr>
          <w:rFonts w:ascii="仿宋" w:eastAsia="仿宋"/>
        </w:rPr>
      </w:pPr>
      <w:bookmarkStart w:id="149" w:name="_Toc15396628"/>
      <w:bookmarkStart w:id="150" w:name="_Toc8277"/>
      <w:bookmarkStart w:id="151" w:name="_Toc27114"/>
      <w:r>
        <w:rPr>
          <w:rStyle w:val="24"/>
          <w:rFonts w:hint="eastAsia" w:ascii="仿宋" w:eastAsia="仿宋"/>
          <w:b w:val="0"/>
          <w:bCs w:val="0"/>
        </w:rPr>
        <w:t>十、</w:t>
      </w:r>
      <w:bookmarkEnd w:id="149"/>
      <w:r>
        <w:rPr>
          <w:rFonts w:hint="eastAsia" w:ascii="仿宋" w:eastAsia="仿宋"/>
          <w:b w:val="0"/>
        </w:rPr>
        <w:t>政</w:t>
      </w:r>
      <w:r>
        <w:rPr>
          <w:rStyle w:val="24"/>
          <w:rFonts w:hint="eastAsia" w:ascii="仿宋" w:eastAsia="仿宋"/>
          <w:b w:val="0"/>
          <w:bCs w:val="0"/>
        </w:rPr>
        <w:t>府性基金预算财政拨款收入支出决算表</w:t>
      </w:r>
      <w:bookmarkEnd w:id="150"/>
      <w:bookmarkEnd w:id="151"/>
    </w:p>
    <w:p w14:paraId="733CF1DE">
      <w:pPr>
        <w:pStyle w:val="6"/>
        <w:rPr>
          <w:rFonts w:ascii="仿宋" w:eastAsia="仿宋"/>
        </w:rPr>
      </w:pPr>
      <w:bookmarkStart w:id="152" w:name="_Toc15396629"/>
      <w:bookmarkStart w:id="153" w:name="_Toc19101"/>
      <w:bookmarkStart w:id="154" w:name="_Toc4167"/>
      <w:r>
        <w:rPr>
          <w:rStyle w:val="24"/>
          <w:rFonts w:hint="eastAsia" w:ascii="仿宋" w:eastAsia="仿宋"/>
          <w:b w:val="0"/>
          <w:bCs w:val="0"/>
        </w:rPr>
        <w:t>十一、</w:t>
      </w:r>
      <w:bookmarkEnd w:id="152"/>
      <w:r>
        <w:rPr>
          <w:rFonts w:hint="eastAsia" w:ascii="仿宋" w:eastAsia="仿宋"/>
          <w:b w:val="0"/>
        </w:rPr>
        <w:t>国</w:t>
      </w:r>
      <w:r>
        <w:rPr>
          <w:rStyle w:val="24"/>
          <w:rFonts w:hint="eastAsia" w:ascii="仿宋" w:eastAsia="仿宋"/>
          <w:b w:val="0"/>
          <w:bCs w:val="0"/>
        </w:rPr>
        <w:t>有资本经营预算财政拨款收入支出决算表</w:t>
      </w:r>
      <w:bookmarkEnd w:id="153"/>
      <w:bookmarkEnd w:id="154"/>
    </w:p>
    <w:p w14:paraId="226309E9">
      <w:pPr>
        <w:pStyle w:val="6"/>
        <w:rPr>
          <w:rFonts w:ascii="仿宋" w:eastAsia="仿宋"/>
        </w:rPr>
      </w:pPr>
      <w:bookmarkStart w:id="155" w:name="_Toc15396630"/>
      <w:bookmarkStart w:id="156" w:name="_Toc23963"/>
      <w:bookmarkStart w:id="157" w:name="_Toc5775"/>
      <w:r>
        <w:rPr>
          <w:rStyle w:val="24"/>
          <w:rFonts w:hint="eastAsia" w:ascii="仿宋" w:eastAsia="仿宋"/>
          <w:b w:val="0"/>
          <w:bCs w:val="0"/>
        </w:rPr>
        <w:t>十二、</w:t>
      </w:r>
      <w:bookmarkEnd w:id="155"/>
      <w:r>
        <w:rPr>
          <w:rStyle w:val="24"/>
          <w:rFonts w:hint="eastAsia" w:ascii="仿宋" w:eastAsia="仿宋"/>
          <w:b w:val="0"/>
          <w:bCs w:val="0"/>
        </w:rPr>
        <w:t>国有资本经营预算财政拨款支出决算表</w:t>
      </w:r>
      <w:bookmarkEnd w:id="156"/>
      <w:bookmarkEnd w:id="157"/>
    </w:p>
    <w:p w14:paraId="5060B0F3">
      <w:pPr>
        <w:pStyle w:val="6"/>
        <w:rPr>
          <w:rFonts w:eastAsia="仿宋"/>
        </w:rPr>
      </w:pPr>
      <w:bookmarkStart w:id="158" w:name="_Toc15396631"/>
      <w:bookmarkStart w:id="159" w:name="_Toc21579"/>
      <w:bookmarkStart w:id="160" w:name="_Toc30736"/>
      <w:r>
        <w:rPr>
          <w:rStyle w:val="24"/>
          <w:rFonts w:hint="eastAsia" w:ascii="仿宋" w:eastAsia="仿宋"/>
          <w:b w:val="0"/>
          <w:bCs w:val="0"/>
        </w:rPr>
        <w:t>十三、</w:t>
      </w:r>
      <w:bookmarkEnd w:id="158"/>
      <w:r>
        <w:rPr>
          <w:rStyle w:val="24"/>
          <w:rFonts w:hint="eastAsia" w:ascii="仿宋" w:eastAsia="仿宋"/>
          <w:b w:val="0"/>
          <w:bCs w:val="0"/>
        </w:rPr>
        <w:t>财政拨款“三公”经费支出决算表</w:t>
      </w:r>
      <w:bookmarkEnd w:id="159"/>
      <w:bookmarkEnd w:id="160"/>
    </w:p>
    <w:sectPr>
      <w:pgSz w:w="11906" w:h="16838"/>
      <w:pgMar w:top="1440" w:right="1800" w:bottom="1440" w:left="1800"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0CA4295-F236-4DEC-804E-42BA48035E4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8A3C61B8-99A0-42F4-8495-A641CC5210F4}"/>
  </w:font>
  <w:font w:name="仿宋_GB2312">
    <w:altName w:val="仿宋"/>
    <w:panose1 w:val="02010609030101010101"/>
    <w:charset w:val="86"/>
    <w:family w:val="modern"/>
    <w:pitch w:val="default"/>
    <w:sig w:usb0="00000000" w:usb1="00000000" w:usb2="00000000" w:usb3="00000000" w:csb0="00040000" w:csb1="00000000"/>
    <w:embedRegular r:id="rId3" w:fontKey="{659AF0F8-59DC-4393-882B-8DA4BFE78E49}"/>
  </w:font>
  <w:font w:name="仿宋">
    <w:panose1 w:val="02010609060101010101"/>
    <w:charset w:val="86"/>
    <w:family w:val="modern"/>
    <w:pitch w:val="default"/>
    <w:sig w:usb0="800002BF" w:usb1="38CF7CFA" w:usb2="00000016" w:usb3="00000000" w:csb0="00040001" w:csb1="00000000"/>
    <w:embedRegular r:id="rId4" w:fontKey="{20605A5D-140C-43B2-9F22-769B658A7182}"/>
  </w:font>
  <w:font w:name="方正小标宋简体">
    <w:altName w:val="黑体"/>
    <w:panose1 w:val="03000509000000000000"/>
    <w:charset w:val="86"/>
    <w:family w:val="script"/>
    <w:pitch w:val="default"/>
    <w:sig w:usb0="00000000" w:usb1="00000000" w:usb2="00000000" w:usb3="00000000" w:csb0="00040000" w:csb1="00000000"/>
    <w:embedRegular r:id="rId5" w:fontKey="{E188D422-B764-4D19-8EB5-3F922A8555B9}"/>
  </w:font>
  <w:font w:name="方正楷体_GB2312">
    <w:panose1 w:val="02000000000000000000"/>
    <w:charset w:val="86"/>
    <w:family w:val="auto"/>
    <w:pitch w:val="default"/>
    <w:sig w:usb0="A00002BF" w:usb1="184F6CFA" w:usb2="00000012" w:usb3="00000000" w:csb0="00040001" w:csb1="00000000"/>
    <w:embedRegular r:id="rId6" w:fontKey="{D94BFF4D-E574-48A0-8230-D54BF7B855BA}"/>
  </w:font>
  <w:font w:name="方正仿宋_GB2312">
    <w:altName w:val="仿宋"/>
    <w:panose1 w:val="02000000000000000000"/>
    <w:charset w:val="86"/>
    <w:family w:val="auto"/>
    <w:pitch w:val="default"/>
    <w:sig w:usb0="00000000" w:usb1="00000000" w:usb2="00000012" w:usb3="00000000" w:csb0="00040001" w:csb1="00000000"/>
    <w:embedRegular r:id="rId7" w:fontKey="{515364F0-F701-49DA-B96A-FB1881A97A9E}"/>
  </w:font>
  <w:font w:name="方正黑体_GBK">
    <w:altName w:val="微软雅黑"/>
    <w:panose1 w:val="00000000000000000000"/>
    <w:charset w:val="86"/>
    <w:family w:val="script"/>
    <w:pitch w:val="default"/>
    <w:sig w:usb0="00000000" w:usb1="00000000" w:usb2="00000010" w:usb3="00000000" w:csb0="00040000" w:csb1="00000000"/>
    <w:embedRegular r:id="rId8" w:fontKey="{2A77DEAC-E9AD-4781-9FC2-37F491C40449}"/>
  </w:font>
  <w:font w:name="微软雅黑">
    <w:panose1 w:val="020B0503020204020204"/>
    <w:charset w:val="86"/>
    <w:family w:val="auto"/>
    <w:pitch w:val="default"/>
    <w:sig w:usb0="80000287" w:usb1="2ACF3C50" w:usb2="00000016" w:usb3="00000000" w:csb0="0004001F" w:csb1="00000000"/>
    <w:embedRegular r:id="rId9" w:fontKey="{9F98AAB7-2C0A-4606-8530-3ECE6FF75C91}"/>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2E019">
    <w:pPr>
      <w:pStyle w:val="12"/>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179705" cy="139700"/>
              <wp:effectExtent l="0" t="0" r="0" b="0"/>
              <wp:wrapNone/>
              <wp:docPr id="1" name="文本框 1"/>
              <wp:cNvGraphicFramePr/>
              <a:graphic xmlns:a="http://schemas.openxmlformats.org/drawingml/2006/main">
                <a:graphicData uri="http://schemas.microsoft.com/office/word/2010/wordprocessingShape">
                  <wps:wsp>
                    <wps:cNvSpPr/>
                    <wps:spPr>
                      <a:xfrm>
                        <a:off x="0" y="0"/>
                        <a:ext cx="179564" cy="139560"/>
                      </a:xfrm>
                      <a:prstGeom prst="rect">
                        <a:avLst/>
                      </a:prstGeom>
                      <a:noFill/>
                      <a:ln w="6350" cap="flat" cmpd="sng">
                        <a:noFill/>
                        <a:prstDash val="solid"/>
                        <a:round/>
                      </a:ln>
                    </wps:spPr>
                    <wps:txbx>
                      <w:txbxContent>
                        <w:p w14:paraId="5D366F78">
                          <w:pPr>
                            <w:pStyle w:val="12"/>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1pt;width:14.15pt;mso-position-horizontal:outside;mso-position-horizontal-relative:margin;mso-wrap-style:none;z-index:251659264;mso-width-relative:page;mso-height-relative:page;" filled="f" stroked="f" coordsize="21600,21600" o:gfxdata="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f/5JX9YAAAADAQAADwAAAAAAAAABACAAAAAiAAAAZHJzL2Rv&#10;d25yZXYueG1sUEsBAhQAFAAAAAgAh07iQNkVjXoDAgAA9AMAAA4AAAAAAAAAAQAgAAAAJQEAAGRy&#10;cy9lMm9Eb2MueG1sUEsFBgAAAAAGAAYAWQEAAJoFAAAAAA==&#10;">
              <v:fill on="f" focussize="0,0"/>
              <v:stroke on="f" weight="0.5pt" joinstyle="round"/>
              <v:imagedata o:title=""/>
              <o:lock v:ext="edit" aspectratio="f"/>
              <v:textbox inset="0mm,0mm,0mm,0mm" style="mso-fit-shape-to-text:t;">
                <w:txbxContent>
                  <w:p w14:paraId="5D366F78">
                    <w:pPr>
                      <w:pStyle w:val="12"/>
                    </w:pPr>
                    <w:r>
                      <w:fldChar w:fldCharType="begin"/>
                    </w:r>
                    <w:r>
                      <w:instrText xml:space="preserve"> PAGE  \* MERGEFORMAT </w:instrText>
                    </w:r>
                    <w:r>
                      <w:fldChar w:fldCharType="separate"/>
                    </w:r>
                    <w:r>
                      <w:t>2</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D3C7E">
    <w:pPr>
      <w:pStyle w:val="12"/>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179705" cy="139700"/>
              <wp:effectExtent l="0" t="0" r="0" b="0"/>
              <wp:wrapNone/>
              <wp:docPr id="4" name="文本框 6"/>
              <wp:cNvGraphicFramePr/>
              <a:graphic xmlns:a="http://schemas.openxmlformats.org/drawingml/2006/main">
                <a:graphicData uri="http://schemas.microsoft.com/office/word/2010/wordprocessingShape">
                  <wps:wsp>
                    <wps:cNvSpPr/>
                    <wps:spPr>
                      <a:xfrm>
                        <a:off x="0" y="0"/>
                        <a:ext cx="179565" cy="139560"/>
                      </a:xfrm>
                      <a:prstGeom prst="rect">
                        <a:avLst/>
                      </a:prstGeom>
                      <a:noFill/>
                      <a:ln w="6350" cap="flat" cmpd="sng">
                        <a:noFill/>
                        <a:prstDash val="solid"/>
                        <a:round/>
                      </a:ln>
                    </wps:spPr>
                    <wps:txbx>
                      <w:txbxContent>
                        <w:p w14:paraId="7A0870A6">
                          <w:pPr>
                            <w:pStyle w:val="1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id="文本框 6" o:spid="_x0000_s1026" o:spt="1" style="position:absolute;left:0pt;margin-top:0pt;height:11pt;width:14.15pt;mso-position-horizontal:outside;mso-position-horizontal-relative:margin;mso-wrap-style:none;z-index:251659264;mso-width-relative:page;mso-height-relative:page;" filled="f" stroked="f" coordsize="21600,21600" o:gfxdata="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SV/WAAAAAwEAAA8AAAAAAAAAAQAgAAAAIgAAAGRycy9k&#10;b3ducmV2LnhtbFBLAQIUABQAAAAIAIdO4kBYLF7vBAIAAPQDAAAOAAAAAAAAAAEAIAAAACUBAABk&#10;cnMvZTJvRG9jLnhtbFBLBQYAAAAABgAGAFkBAACbBQAAAAA=&#10;">
              <v:fill on="f" focussize="0,0"/>
              <v:stroke on="f" weight="0.5pt" joinstyle="round"/>
              <v:imagedata o:title=""/>
              <o:lock v:ext="edit" aspectratio="f"/>
              <v:textbox inset="0mm,0mm,0mm,0mm" style="mso-fit-shape-to-text:t;">
                <w:txbxContent>
                  <w:p w14:paraId="7A0870A6">
                    <w:pPr>
                      <w:pStyle w:val="12"/>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879FE">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pPr>
        <w:ind w:left="0" w:firstLine="0"/>
      </w:pPr>
      <w:rPr>
        <w:rFonts w:hint="eastAsia"/>
      </w:rPr>
    </w:lvl>
  </w:abstractNum>
  <w:abstractNum w:abstractNumId="1">
    <w:nsid w:val="E2FA047D"/>
    <w:multiLevelType w:val="singleLevel"/>
    <w:tmpl w:val="E2FA047D"/>
    <w:lvl w:ilvl="0" w:tentative="0">
      <w:start w:val="3"/>
      <w:numFmt w:val="chineseCounting"/>
      <w:suff w:val="space"/>
      <w:lvlText w:val="第%1部分"/>
      <w:lvlJc w:val="left"/>
      <w:pPr>
        <w:ind w:left="0" w:firstLine="0"/>
      </w:pPr>
      <w:rPr>
        <w:rFonts w:hint="eastAsia" w:ascii="黑体" w:hAnsi="黑体" w:eastAsia="黑体" w:cs="黑体"/>
        <w:sz w:val="44"/>
        <w:szCs w:val="44"/>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195AA5E0"/>
    <w:multiLevelType w:val="singleLevel"/>
    <w:tmpl w:val="195AA5E0"/>
    <w:lvl w:ilvl="0" w:tentative="0">
      <w:start w:val="1"/>
      <w:numFmt w:val="decimal"/>
      <w:lvlText w:val="%1."/>
      <w:lvlJc w:val="left"/>
      <w:pPr>
        <w:ind w:left="0" w:firstLine="0"/>
      </w:pPr>
    </w:lvl>
  </w:abstractNum>
  <w:abstractNum w:abstractNumId="4">
    <w:nsid w:val="2E6CEB61"/>
    <w:multiLevelType w:val="multilevel"/>
    <w:tmpl w:val="2E6CEB61"/>
    <w:lvl w:ilvl="0" w:tentative="0">
      <w:start w:val="1"/>
      <w:numFmt w:val="decimal"/>
      <w:lvlText w:val="%1."/>
      <w:lvlJc w:val="left"/>
      <w:pPr>
        <w:ind w:left="0" w:firstLine="0"/>
      </w:pPr>
      <w:rPr>
        <w:rFonts w:hint="default" w:ascii="Times New Roman" w:hAnsi="Times New Roman" w:cs="Times New Roman"/>
        <w:b/>
        <w:bCs/>
      </w:rPr>
    </w:lvl>
    <w:lvl w:ilvl="1" w:tentative="0">
      <w:start w:val="1"/>
      <w:numFmt w:val="decimal"/>
      <w:lvlText w:val="%2."/>
      <w:lvlJc w:val="left"/>
      <w:pPr>
        <w:ind w:left="1440" w:hanging="360"/>
      </w:pPr>
      <w:rPr>
        <w:rFonts w:hint="default" w:ascii="Times New Roman" w:hAnsi="Times New Roman" w:cs="Times New Roman"/>
      </w:rPr>
    </w:lvl>
    <w:lvl w:ilvl="2" w:tentative="0">
      <w:start w:val="1"/>
      <w:numFmt w:val="decimal"/>
      <w:lvlText w:val="%3."/>
      <w:lvlJc w:val="lef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decimal"/>
      <w:lvlText w:val="%5."/>
      <w:lvlJc w:val="left"/>
      <w:pPr>
        <w:ind w:left="3600" w:hanging="360"/>
      </w:pPr>
      <w:rPr>
        <w:rFonts w:hint="default" w:ascii="Times New Roman" w:hAnsi="Times New Roman" w:cs="Times New Roman"/>
      </w:rPr>
    </w:lvl>
    <w:lvl w:ilvl="5" w:tentative="0">
      <w:start w:val="1"/>
      <w:numFmt w:val="decimal"/>
      <w:lvlText w:val="%6."/>
      <w:lvlJc w:val="lef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decimal"/>
      <w:lvlText w:val="%8."/>
      <w:lvlJc w:val="left"/>
      <w:pPr>
        <w:ind w:left="5760" w:hanging="360"/>
      </w:pPr>
      <w:rPr>
        <w:rFonts w:hint="default" w:ascii="Times New Roman" w:hAnsi="Times New Roman" w:cs="Times New Roman"/>
      </w:rPr>
    </w:lvl>
    <w:lvl w:ilvl="8" w:tentative="0">
      <w:start w:val="1"/>
      <w:numFmt w:val="decimal"/>
      <w:lvlText w:val="%9."/>
      <w:lvlJc w:val="left"/>
      <w:pPr>
        <w:ind w:left="6480" w:hanging="360"/>
      </w:pPr>
      <w:rPr>
        <w:rFonts w:hint="default" w:ascii="Times New Roman" w:hAnsi="Times New Roman" w:cs="Times New Roman"/>
      </w:rPr>
    </w:lvl>
  </w:abstractNum>
  <w:abstractNum w:abstractNumId="5">
    <w:nsid w:val="3818A09A"/>
    <w:multiLevelType w:val="singleLevel"/>
    <w:tmpl w:val="3818A09A"/>
    <w:lvl w:ilvl="0" w:tentative="0">
      <w:start w:val="1"/>
      <w:numFmt w:val="chineseCounting"/>
      <w:suff w:val="nothing"/>
      <w:lvlText w:val="%1、"/>
      <w:lvlJc w:val="left"/>
      <w:pPr>
        <w:ind w:left="0" w:firstLine="0"/>
      </w:pPr>
      <w:rPr>
        <w:rFonts w:hint="eastAsia"/>
      </w:rPr>
    </w:lvl>
  </w:abstractNum>
  <w:abstractNum w:abstractNumId="6">
    <w:nsid w:val="50286023"/>
    <w:multiLevelType w:val="singleLevel"/>
    <w:tmpl w:val="50286023"/>
    <w:lvl w:ilvl="0" w:tentative="0">
      <w:start w:val="1"/>
      <w:numFmt w:val="decimal"/>
      <w:lvlText w:val="%1."/>
      <w:lvlJc w:val="left"/>
      <w:pPr>
        <w:ind w:left="0" w:firstLine="0"/>
      </w:pPr>
    </w:lvl>
  </w:abstractNum>
  <w:num w:numId="1">
    <w:abstractNumId w:val="5"/>
  </w:num>
  <w:num w:numId="2">
    <w:abstractNumId w:val="2"/>
  </w:num>
  <w:num w:numId="3">
    <w:abstractNumId w:val="4"/>
  </w:num>
  <w:num w:numId="4">
    <w:abstractNumId w:val="6"/>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ZDFjYjRlNTg1NTY3MGY2MzU0MDk3YTNkMjY2MGEwMjAifQ=="/>
  </w:docVars>
  <w:rsids>
    <w:rsidRoot w:val="00000000"/>
    <w:rsid w:val="13433851"/>
    <w:rsid w:val="37B101EB"/>
    <w:rsid w:val="3BBA3794"/>
    <w:rsid w:val="3C46241D"/>
    <w:rsid w:val="43A15403"/>
    <w:rsid w:val="52006982"/>
    <w:rsid w:val="6DCF2395"/>
    <w:rsid w:val="6FBA3920"/>
    <w:rsid w:val="724248B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3"/>
    <w:qFormat/>
    <w:uiPriority w:val="0"/>
    <w:pPr>
      <w:keepNext/>
      <w:keepLines/>
      <w:widowControl w:val="0"/>
      <w:spacing w:before="340" w:after="330" w:line="578" w:lineRule="auto"/>
      <w:outlineLvl w:val="0"/>
    </w:pPr>
    <w:rPr>
      <w:b/>
      <w:bCs/>
      <w:kern w:val="44"/>
      <w:sz w:val="44"/>
      <w:szCs w:val="44"/>
    </w:rPr>
  </w:style>
  <w:style w:type="paragraph" w:styleId="6">
    <w:name w:val="heading 2"/>
    <w:basedOn w:val="1"/>
    <w:next w:val="1"/>
    <w:link w:val="24"/>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7">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20">
    <w:name w:val="Default Paragraph Fon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qFormat/>
    <w:uiPriority w:val="0"/>
    <w:pPr>
      <w:ind w:firstLine="200" w:firstLineChars="200"/>
    </w:pPr>
  </w:style>
  <w:style w:type="paragraph" w:styleId="4">
    <w:name w:val="Body Text Indent"/>
    <w:basedOn w:val="1"/>
    <w:next w:val="3"/>
    <w:qFormat/>
    <w:uiPriority w:val="0"/>
    <w:pPr>
      <w:spacing w:after="120"/>
      <w:ind w:left="200" w:leftChars="200"/>
    </w:pPr>
    <w:rPr>
      <w:rFonts w:ascii="仿宋_GB2312" w:hAnsi="仿宋_GB2312"/>
      <w:szCs w:val="32"/>
    </w:rPr>
  </w:style>
  <w:style w:type="paragraph" w:styleId="8">
    <w:name w:val="index 5"/>
    <w:basedOn w:val="1"/>
    <w:next w:val="1"/>
    <w:qFormat/>
    <w:uiPriority w:val="0"/>
    <w:pPr>
      <w:ind w:left="800" w:leftChars="800"/>
    </w:pPr>
  </w:style>
  <w:style w:type="paragraph" w:styleId="9">
    <w:name w:val="Body Text"/>
    <w:basedOn w:val="1"/>
    <w:qFormat/>
    <w:uiPriority w:val="0"/>
    <w:pPr>
      <w:spacing w:before="30" w:beforeLines="30"/>
    </w:pPr>
    <w:rPr>
      <w:rFonts w:ascii="仿宋_GB2312" w:eastAsia="仿宋_GB2312"/>
      <w:kern w:val="0"/>
      <w:sz w:val="30"/>
    </w:rPr>
  </w:style>
  <w:style w:type="paragraph" w:styleId="10">
    <w:name w:val="toc 3"/>
    <w:basedOn w:val="1"/>
    <w:next w:val="1"/>
    <w:qFormat/>
    <w:uiPriority w:val="0"/>
    <w:pPr>
      <w:tabs>
        <w:tab w:val="right" w:leader="dot" w:pos="8296"/>
      </w:tabs>
      <w:ind w:left="400" w:leftChars="400"/>
    </w:pPr>
  </w:style>
  <w:style w:type="paragraph" w:styleId="11">
    <w:name w:val="Balloon Text"/>
    <w:basedOn w:val="1"/>
    <w:qFormat/>
    <w:uiPriority w:val="0"/>
    <w:rPr>
      <w:sz w:val="18"/>
      <w:szCs w:val="18"/>
    </w:rPr>
  </w:style>
  <w:style w:type="paragraph" w:styleId="12">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qFormat/>
    <w:uiPriority w:val="0"/>
    <w:pPr>
      <w:tabs>
        <w:tab w:val="right" w:leader="dot" w:pos="8296"/>
      </w:tabs>
      <w:spacing w:before="93"/>
      <w:jc w:val="center"/>
    </w:pPr>
    <w:rPr>
      <w:rFonts w:ascii="仿宋" w:eastAsia="仿宋"/>
      <w:sz w:val="28"/>
      <w:szCs w:val="28"/>
    </w:rPr>
  </w:style>
  <w:style w:type="paragraph" w:styleId="15">
    <w:name w:val="toc 2"/>
    <w:basedOn w:val="1"/>
    <w:next w:val="1"/>
    <w:qFormat/>
    <w:uiPriority w:val="0"/>
    <w:pPr>
      <w:tabs>
        <w:tab w:val="right" w:leader="dot" w:pos="8296"/>
      </w:tabs>
      <w:ind w:left="200" w:leftChars="200"/>
    </w:pPr>
  </w:style>
  <w:style w:type="paragraph" w:styleId="16">
    <w:name w:val="Body Text 2"/>
    <w:basedOn w:val="1"/>
    <w:qFormat/>
    <w:uiPriority w:val="0"/>
    <w:pPr>
      <w:keepNext w:val="0"/>
      <w:keepLines w:val="0"/>
      <w:widowControl/>
      <w:suppressLineNumbers w:val="0"/>
      <w:spacing w:before="0" w:beforeAutospacing="0" w:after="0" w:afterAutospacing="0" w:line="480" w:lineRule="auto"/>
      <w:ind w:left="0" w:right="0"/>
      <w:jc w:val="left"/>
    </w:pPr>
    <w:rPr>
      <w:rFonts w:ascii="宋体" w:eastAsia="宋体" w:cs="宋体"/>
      <w:kern w:val="0"/>
      <w:sz w:val="24"/>
      <w:szCs w:val="24"/>
      <w:lang w:val="en-US" w:eastAsia="zh-CN"/>
    </w:rPr>
  </w:style>
  <w:style w:type="paragraph" w:styleId="17">
    <w:name w:val="Normal (Web)"/>
    <w:basedOn w:val="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snapToGrid/>
      <w:color w:val="auto"/>
      <w:spacing w:val="0"/>
      <w:w w:val="100"/>
      <w:kern w:val="0"/>
      <w:position w:val="0"/>
      <w:sz w:val="24"/>
      <w:u w:val="none" w:color="auto"/>
      <w:vertAlign w:val="baseline"/>
      <w:lang w:val="en-US" w:eastAsia="zh-CN"/>
    </w:rPr>
  </w:style>
  <w:style w:type="paragraph" w:styleId="18">
    <w:name w:val="Title"/>
    <w:basedOn w:val="1"/>
    <w:next w:val="1"/>
    <w:qFormat/>
    <w:uiPriority w:val="0"/>
    <w:pPr>
      <w:spacing w:before="240" w:after="60"/>
      <w:jc w:val="center"/>
      <w:outlineLvl w:val="0"/>
    </w:pPr>
    <w:rPr>
      <w:rFonts w:ascii="Arial" w:hAnsi="Arial" w:cs="Arial"/>
      <w:b/>
      <w:bCs/>
      <w:szCs w:val="32"/>
    </w:r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character" w:customStyle="1" w:styleId="23">
    <w:name w:val="heading 1 Char"/>
    <w:basedOn w:val="20"/>
    <w:link w:val="5"/>
    <w:qFormat/>
    <w:uiPriority w:val="0"/>
    <w:rPr>
      <w:rFonts w:ascii="Times New Roman" w:hAnsi="Times New Roman" w:eastAsia="宋体" w:cs="Times New Roman"/>
      <w:b/>
      <w:bCs/>
      <w:kern w:val="44"/>
      <w:sz w:val="44"/>
      <w:szCs w:val="44"/>
      <w:lang w:val="en-US" w:eastAsia="zh-CN" w:bidi="ar-SA"/>
    </w:rPr>
  </w:style>
  <w:style w:type="character" w:customStyle="1" w:styleId="24">
    <w:name w:val="heading 2 Char"/>
    <w:basedOn w:val="20"/>
    <w:link w:val="6"/>
    <w:qFormat/>
    <w:uiPriority w:val="0"/>
    <w:rPr>
      <w:rFonts w:ascii="Cambria" w:hAnsi="Cambria" w:eastAsia="宋体" w:cs="Times New Roman"/>
      <w:b/>
      <w:bCs/>
      <w:kern w:val="2"/>
      <w:sz w:val="32"/>
      <w:szCs w:val="32"/>
      <w:lang w:val="en-US" w:eastAsia="zh-CN" w:bidi="ar-SA"/>
    </w:rPr>
  </w:style>
  <w:style w:type="paragraph" w:customStyle="1" w:styleId="25">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6">
    <w:name w:val="Header Char"/>
    <w:basedOn w:val="20"/>
    <w:qFormat/>
    <w:uiPriority w:val="0"/>
    <w:rPr>
      <w:rFonts w:ascii="Times New Roman" w:hAnsi="Times New Roman"/>
      <w:sz w:val="18"/>
      <w:szCs w:val="18"/>
    </w:rPr>
  </w:style>
  <w:style w:type="character" w:customStyle="1" w:styleId="27">
    <w:name w:val="Footer Char"/>
    <w:basedOn w:val="20"/>
    <w:qFormat/>
    <w:uiPriority w:val="0"/>
    <w:rPr>
      <w:rFonts w:ascii="Times New Roman" w:hAnsi="Times New Roman"/>
      <w:sz w:val="18"/>
      <w:szCs w:val="18"/>
    </w:rPr>
  </w:style>
  <w:style w:type="character" w:customStyle="1" w:styleId="28">
    <w:name w:val="Body Text Char"/>
    <w:basedOn w:val="20"/>
    <w:qFormat/>
    <w:uiPriority w:val="0"/>
    <w:rPr>
      <w:rFonts w:ascii="Times New Roman" w:hAnsi="Times New Roman"/>
      <w:szCs w:val="24"/>
    </w:rPr>
  </w:style>
  <w:style w:type="paragraph" w:customStyle="1" w:styleId="29">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30">
    <w:name w:val="List Paragraph"/>
    <w:basedOn w:val="1"/>
    <w:qFormat/>
    <w:uiPriority w:val="0"/>
    <w:pPr>
      <w:ind w:firstLine="200" w:firstLineChars="200"/>
    </w:pPr>
  </w:style>
  <w:style w:type="paragraph" w:customStyle="1" w:styleId="31">
    <w:name w:val="TOC 标题1"/>
    <w:basedOn w:val="5"/>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2">
    <w:name w:val="TOC 标题2"/>
    <w:basedOn w:val="5"/>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character" w:customStyle="1" w:styleId="33">
    <w:name w:val="17"/>
    <w:basedOn w:val="20"/>
    <w:qFormat/>
    <w:uiPriority w:val="0"/>
    <w:rPr>
      <w:rFonts w:ascii="Times New Roman" w:hAnsi="Times New Roman" w:cs="Times New Roman"/>
      <w:b/>
    </w:rPr>
  </w:style>
  <w:style w:type="paragraph" w:customStyle="1" w:styleId="34">
    <w:name w:val="普通(网站) Char"/>
    <w:basedOn w:val="1"/>
    <w:qFormat/>
    <w:uiPriority w:val="0"/>
    <w:pPr>
      <w:keepNext w:val="0"/>
      <w:keepLines w:val="0"/>
      <w:widowControl/>
      <w:suppressLineNumbers w:val="0"/>
      <w:spacing w:before="100" w:beforeAutospacing="1" w:after="100" w:afterAutospacing="1"/>
      <w:ind w:left="0" w:right="0"/>
      <w:jc w:val="left"/>
    </w:pPr>
    <w:rPr>
      <w:rFonts w:ascii="宋体" w:eastAsia="宋体" w:cs="宋体"/>
      <w:kern w:val="0"/>
      <w:sz w:val="24"/>
      <w:szCs w:val="24"/>
      <w:lang w:val="en-US" w:eastAsia="zh-CN"/>
    </w:rPr>
  </w:style>
  <w:style w:type="character" w:customStyle="1" w:styleId="35">
    <w:name w:val="20"/>
    <w:basedOn w:val="20"/>
    <w:qFormat/>
    <w:uiPriority w:val="0"/>
    <w:rPr>
      <w:rFonts w:ascii="Times New Roman" w:hAnsi="Times New Roman" w:cs="Times New Roman"/>
      <w:b/>
    </w:rPr>
  </w:style>
  <w:style w:type="paragraph" w:customStyle="1" w:styleId="36">
    <w:name w:val="普通(网站) Char Char"/>
    <w:basedOn w:val="1"/>
    <w:qFormat/>
    <w:uiPriority w:val="0"/>
    <w:pPr>
      <w:spacing w:before="0" w:beforeAutospacing="1" w:after="0" w:afterAutospacing="1"/>
      <w:ind w:left="0" w:right="0"/>
      <w:jc w:val="left"/>
    </w:pPr>
    <w:rPr>
      <w:rFonts w:ascii="宋体" w:eastAsia="宋体" w:cs="宋体"/>
      <w:kern w:val="0"/>
      <w:sz w:val="24"/>
      <w:szCs w:val="24"/>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2023年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收入总计</c:v>
                </c:pt>
                <c:pt idx="1">
                  <c:v>支出总计</c:v>
                </c:pt>
              </c:strCache>
            </c:strRef>
          </c:cat>
          <c:val>
            <c:numRef>
              <c:f>Sheet1!$B$2:$B$3</c:f>
              <c:numCache>
                <c:formatCode>General</c:formatCode>
                <c:ptCount val="2"/>
                <c:pt idx="0">
                  <c:v>600.12</c:v>
                </c:pt>
                <c:pt idx="1">
                  <c:v>600.12</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收入总计</c:v>
                </c:pt>
                <c:pt idx="1">
                  <c:v>支出总计</c:v>
                </c:pt>
              </c:strCache>
            </c:strRef>
          </c:cat>
          <c:val>
            <c:numRef>
              <c:f>Sheet1!$C$2:$C$3</c:f>
              <c:numCache>
                <c:formatCode>General</c:formatCode>
                <c:ptCount val="2"/>
                <c:pt idx="0">
                  <c:v>313.68</c:v>
                </c:pt>
                <c:pt idx="1">
                  <c:v>313.68</c:v>
                </c:pt>
              </c:numCache>
            </c:numRef>
          </c:val>
        </c:ser>
        <c:dLbls>
          <c:showLegendKey val="0"/>
          <c:showVal val="1"/>
          <c:showCatName val="0"/>
          <c:showSerName val="0"/>
          <c:showPercent val="0"/>
          <c:showBubbleSize val="0"/>
        </c:dLbls>
        <c:gapWidth val="246"/>
        <c:overlap val="-28"/>
        <c:axId val="939349633"/>
        <c:axId val="171162955"/>
      </c:barChart>
      <c:catAx>
        <c:axId val="93934963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1162955"/>
        <c:crosses val="autoZero"/>
        <c:auto val="1"/>
        <c:lblAlgn val="ctr"/>
        <c:lblOffset val="100"/>
        <c:noMultiLvlLbl val="0"/>
      </c:catAx>
      <c:valAx>
        <c:axId val="17116295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9349633"/>
        <c:crosses val="autoZero"/>
        <c:crossBetween val="between"/>
      </c:valAx>
      <c:spPr>
        <a:noFill/>
        <a:ln>
          <a:noFill/>
        </a:ln>
        <a:effectLst/>
      </c:spPr>
    </c:plotArea>
    <c:legend>
      <c:legendPos val="b"/>
      <c:layout>
        <c:manualLayout>
          <c:xMode val="edge"/>
          <c:yMode val="edge"/>
          <c:x val="0.368808891036482"/>
          <c:y val="0.90968975775605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8bd2f9b-a200-40cc-81ec-4888db78d0a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285.28</c:v>
                </c:pt>
                <c:pt idx="1">
                  <c:v>2.81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aa449bd-92fd-452c-9d93-d0d587f8297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185.6</c:v>
                </c:pt>
                <c:pt idx="1">
                  <c:v>113.24</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3bba666-e3f4-4107-aabb-326e2f614a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2023年财政拨款收、支决算总计</c:v>
                </c:pt>
                <c:pt idx="1">
                  <c:v>2024年财政拨款收、支决算总计</c:v>
                </c:pt>
              </c:strCache>
            </c:strRef>
          </c:cat>
          <c:val>
            <c:numRef>
              <c:f>Sheet1!$B$2:$B$3</c:f>
              <c:numCache>
                <c:formatCode>General</c:formatCode>
                <c:ptCount val="2"/>
                <c:pt idx="0">
                  <c:v>326.03</c:v>
                </c:pt>
                <c:pt idx="1">
                  <c:v>285.28</c:v>
                </c:pt>
              </c:numCache>
            </c:numRef>
          </c:val>
        </c:ser>
        <c:dLbls>
          <c:showLegendKey val="0"/>
          <c:showVal val="1"/>
          <c:showCatName val="0"/>
          <c:showSerName val="0"/>
          <c:showPercent val="0"/>
          <c:showBubbleSize val="0"/>
        </c:dLbls>
        <c:gapWidth val="246"/>
        <c:overlap val="-28"/>
        <c:axId val="145943266"/>
        <c:axId val="189609073"/>
        <c:extLst>
          <c:ext xmlns:c15="http://schemas.microsoft.com/office/drawing/2012/chart" uri="{02D57815-91ED-43cb-92C2-25804820EDAC}">
            <c15:filteredBarSeries>
              <c15:ser>
                <c:idx val="1"/>
                <c:order val="1"/>
                <c:tx>
                  <c:strRef>
                    <c:extLst>
                      <c:ext uri="{02D57815-91ED-43cb-92C2-25804820EDAC}">
                        <c15:formulaRef>
                          <c15:sqref>Sheet1!#REF!</c15:sqref>
                        </c15:formulaRef>
                      </c:ext>
                    </c:extLst>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Sheet1!$A$2:$A$3</c15:sqref>
                        </c15:formulaRef>
                      </c:ext>
                    </c:extLst>
                    <c:strCache>
                      <c:ptCount val="2"/>
                      <c:pt idx="0">
                        <c:v>2023年财政拨款收、支决算总计</c:v>
                      </c:pt>
                      <c:pt idx="1">
                        <c:v>2024年财政拨款收、支决算总计</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Sheet1!$A$2:$A$3</c15:sqref>
                        </c15:formulaRef>
                      </c:ext>
                    </c:extLst>
                    <c:strCache>
                      <c:ptCount val="2"/>
                      <c:pt idx="0">
                        <c:v>2023年财政拨款收、支决算总计</c:v>
                      </c:pt>
                      <c:pt idx="1">
                        <c:v>2024年财政拨款收、支决算总计</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14594326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9609073"/>
        <c:crosses val="autoZero"/>
        <c:auto val="1"/>
        <c:lblAlgn val="ctr"/>
        <c:lblOffset val="100"/>
        <c:noMultiLvlLbl val="0"/>
      </c:catAx>
      <c:valAx>
        <c:axId val="1896090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59432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74c688d-3b7c-4bd2-add9-c242f7c3ca7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2023年一般公共预算财政拨款支出</c:v>
                </c:pt>
                <c:pt idx="1">
                  <c:v>2024年一般公共预算财政拨款支出</c:v>
                </c:pt>
              </c:strCache>
            </c:strRef>
          </c:cat>
          <c:val>
            <c:numRef>
              <c:f>Sheet1!$B$2:$B$3</c:f>
              <c:numCache>
                <c:formatCode>General</c:formatCode>
                <c:ptCount val="2"/>
                <c:pt idx="0">
                  <c:v>326.03</c:v>
                </c:pt>
                <c:pt idx="1">
                  <c:v>285.28</c:v>
                </c:pt>
              </c:numCache>
            </c:numRef>
          </c:val>
        </c:ser>
        <c:dLbls>
          <c:showLegendKey val="0"/>
          <c:showVal val="1"/>
          <c:showCatName val="0"/>
          <c:showSerName val="0"/>
          <c:showPercent val="0"/>
          <c:showBubbleSize val="0"/>
        </c:dLbls>
        <c:gapWidth val="246"/>
        <c:overlap val="-28"/>
        <c:axId val="145943266"/>
        <c:axId val="189609073"/>
        <c:extLst>
          <c:ext xmlns:c15="http://schemas.microsoft.com/office/drawing/2012/chart" uri="{02D57815-91ED-43cb-92C2-25804820EDAC}">
            <c15:filteredBarSeries>
              <c15:ser>
                <c:idx val="1"/>
                <c:order val="1"/>
                <c:tx>
                  <c:strRef>
                    <c:extLst>
                      <c:ext uri="{02D57815-91ED-43cb-92C2-25804820EDAC}">
                        <c15:formulaRef>
                          <c15:sqref>Sheet1!#REF!</c15:sqref>
                        </c15:formulaRef>
                      </c:ext>
                    </c:extLst>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Sheet1!$A$2:$A$3</c15:sqref>
                        </c15:formulaRef>
                      </c:ext>
                    </c:extLst>
                    <c:strCache>
                      <c:ptCount val="2"/>
                      <c:pt idx="0">
                        <c:v>2023年一般公共预算财政拨款支出</c:v>
                      </c:pt>
                      <c:pt idx="1">
                        <c:v>2024年一般公共预算财政拨款支出</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Sheet1!$A$2:$A$3</c15:sqref>
                        </c15:formulaRef>
                      </c:ext>
                    </c:extLst>
                    <c:strCache>
                      <c:ptCount val="2"/>
                      <c:pt idx="0">
                        <c:v>2023年一般公共预算财政拨款支出</c:v>
                      </c:pt>
                      <c:pt idx="1">
                        <c:v>2024年一般公共预算财政拨款支出</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14594326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9609073"/>
        <c:crosses val="autoZero"/>
        <c:auto val="1"/>
        <c:lblAlgn val="ctr"/>
        <c:lblOffset val="100"/>
        <c:noMultiLvlLbl val="0"/>
      </c:catAx>
      <c:valAx>
        <c:axId val="1896090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59432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ef9710f-bbd2-4259-b3f4-587e54d937b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教育支出</c:v>
                </c:pt>
                <c:pt idx="1">
                  <c:v>社会保障和就业支出</c:v>
                </c:pt>
                <c:pt idx="2">
                  <c:v>卫生健康支出</c:v>
                </c:pt>
                <c:pt idx="3">
                  <c:v>住房保障支出</c:v>
                </c:pt>
              </c:strCache>
            </c:strRef>
          </c:cat>
          <c:val>
            <c:numRef>
              <c:f>Sheet1!$B$2:$B$5</c:f>
              <c:numCache>
                <c:formatCode>General</c:formatCode>
                <c:ptCount val="4"/>
                <c:pt idx="0">
                  <c:v>244.11</c:v>
                </c:pt>
                <c:pt idx="1">
                  <c:v>21.3</c:v>
                </c:pt>
                <c:pt idx="2">
                  <c:v>8.34</c:v>
                </c:pt>
                <c:pt idx="3">
                  <c:v>11.53</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9d58e5e-f25e-41fe-8525-fbe978b501d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28</Pages>
  <Words>8209</Words>
  <Characters>8836</Characters>
  <Lines>1669</Lines>
  <Paragraphs>1120</Paragraphs>
  <TotalTime>0</TotalTime>
  <ScaleCrop>false</ScaleCrop>
  <LinksUpToDate>false</LinksUpToDate>
  <CharactersWithSpaces>9021</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2020-08-08T01:49:00Z</dcterms:created>
  <dc:creator>曹颖</dc:creator>
  <cp:lastModifiedBy>杨梵圳</cp:lastModifiedBy>
  <cp:lastPrinted>2023-08-03T02:35:00Z</cp:lastPrinted>
  <dcterms:modified xsi:type="dcterms:W3CDTF">2025-09-15T08:57:01Z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7BF7089FC4584563962C9F8E87100E5D_13</vt:lpwstr>
  </property>
  <property fmtid="{D5CDD505-2E9C-101B-9397-08002B2CF9AE}" pid="4" name="KSOTemplateDocerSaveRecord">
    <vt:lpwstr>eyJoZGlkIjoiZDFjYjRlNTg1NTY3MGY2MzU0MDk3YTNkMjY2MGEwMjAiLCJ1c2VySWQiOiIyOTM0MTQ4NDkifQ==</vt:lpwstr>
  </property>
</Properties>
</file>