
<file path=[Content_Types].xml><?xml version="1.0" encoding="utf-8"?>
<Types xmlns="http://schemas.openxmlformats.org/package/2006/content-types">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FEC58">
      <w:pPr>
        <w:pStyle w:val="5"/>
        <w:spacing w:before="93"/>
        <w:rPr>
          <w:rFonts w:ascii="Times New Roman" w:eastAsia="方正小标宋简体"/>
          <w:kern w:val="2"/>
          <w:sz w:val="72"/>
          <w:szCs w:val="72"/>
        </w:rPr>
      </w:pPr>
      <w:bookmarkStart w:id="0" w:name="_Toc15377193"/>
      <w:bookmarkStart w:id="1" w:name="_Toc15396597"/>
      <w:bookmarkStart w:id="2" w:name="_Toc15378441"/>
      <w:bookmarkStart w:id="3" w:name="_Toc15377425"/>
      <w:bookmarkStart w:id="4" w:name="_Toc15396475"/>
      <w:bookmarkStart w:id="5" w:name="_Toc15306267"/>
    </w:p>
    <w:p w14:paraId="0A552027">
      <w:pPr>
        <w:pStyle w:val="5"/>
        <w:spacing w:before="93"/>
        <w:rPr>
          <w:rFonts w:ascii="Times New Roman" w:eastAsia="方正小标宋简体"/>
          <w:kern w:val="2"/>
          <w:sz w:val="72"/>
          <w:szCs w:val="72"/>
        </w:rPr>
      </w:pPr>
    </w:p>
    <w:p w14:paraId="0435FDCD">
      <w:pPr>
        <w:pStyle w:val="5"/>
        <w:spacing w:before="93"/>
        <w:rPr>
          <w:rFonts w:ascii="Times New Roman" w:eastAsia="方正小标宋简体"/>
          <w:kern w:val="2"/>
          <w:sz w:val="72"/>
          <w:szCs w:val="72"/>
        </w:rPr>
      </w:pPr>
    </w:p>
    <w:p w14:paraId="78EB9ED4">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2024年度</w:t>
      </w:r>
    </w:p>
    <w:p w14:paraId="62322AC0">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四川省马尔康中学校</w:t>
      </w:r>
    </w:p>
    <w:p w14:paraId="56C4FD31">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决算公开</w:t>
      </w:r>
    </w:p>
    <w:p w14:paraId="75A4598A">
      <w:pPr>
        <w:spacing w:line="600" w:lineRule="exact"/>
        <w:jc w:val="center"/>
        <w:outlineLvl w:val="0"/>
        <w:rPr>
          <w:rFonts w:eastAsia="方正小标宋简体"/>
          <w:sz w:val="72"/>
          <w:szCs w:val="72"/>
        </w:rPr>
      </w:pPr>
    </w:p>
    <w:p w14:paraId="6E3457FF">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14:paraId="6174362F"/>
    <w:p w14:paraId="0CD6A163">
      <w:pPr>
        <w:pStyle w:val="5"/>
        <w:spacing w:before="93"/>
        <w:jc w:val="center"/>
        <w:rPr>
          <w:rFonts w:ascii="Times New Roman" w:eastAsia="方正小标宋简体"/>
          <w:kern w:val="2"/>
          <w:sz w:val="44"/>
          <w:szCs w:val="44"/>
        </w:rPr>
      </w:pPr>
    </w:p>
    <w:p w14:paraId="7650B9B6">
      <w:pPr>
        <w:pStyle w:val="5"/>
        <w:spacing w:before="93"/>
        <w:jc w:val="center"/>
        <w:rPr>
          <w:rFonts w:ascii="Times New Roman" w:eastAsia="方正小标宋简体"/>
          <w:kern w:val="2"/>
          <w:sz w:val="44"/>
          <w:szCs w:val="44"/>
        </w:rPr>
      </w:pPr>
    </w:p>
    <w:p w14:paraId="461F62CC">
      <w:pPr>
        <w:pStyle w:val="5"/>
        <w:spacing w:before="93"/>
        <w:jc w:val="center"/>
        <w:rPr>
          <w:rFonts w:ascii="Times New Roman" w:eastAsia="方正小标宋简体"/>
          <w:kern w:val="2"/>
          <w:sz w:val="44"/>
          <w:szCs w:val="44"/>
        </w:rPr>
      </w:pPr>
    </w:p>
    <w:p w14:paraId="07839F11">
      <w:pPr>
        <w:pStyle w:val="5"/>
        <w:spacing w:before="93"/>
        <w:jc w:val="center"/>
        <w:rPr>
          <w:rFonts w:ascii="Times New Roman" w:eastAsia="方正小标宋简体"/>
          <w:kern w:val="2"/>
          <w:sz w:val="44"/>
          <w:szCs w:val="44"/>
        </w:rPr>
      </w:pPr>
    </w:p>
    <w:bookmarkEnd w:id="0"/>
    <w:bookmarkEnd w:id="1"/>
    <w:bookmarkEnd w:id="2"/>
    <w:bookmarkEnd w:id="3"/>
    <w:bookmarkEnd w:id="4"/>
    <w:p w14:paraId="3B333CFD">
      <w:pPr>
        <w:pStyle w:val="5"/>
        <w:spacing w:before="93"/>
        <w:jc w:val="center"/>
        <w:rPr>
          <w:rFonts w:ascii="Times New Roman" w:eastAsia="方正小标宋简体"/>
          <w:kern w:val="2"/>
          <w:sz w:val="44"/>
          <w:szCs w:val="44"/>
        </w:rPr>
      </w:pPr>
      <w:bookmarkStart w:id="6" w:name="_Toc15377426"/>
      <w:bookmarkStart w:id="7" w:name="_Toc15396598"/>
      <w:bookmarkStart w:id="8" w:name="_Toc15377194"/>
      <w:bookmarkStart w:id="9" w:name="_Toc15378442"/>
      <w:bookmarkStart w:id="10" w:name="_Toc15396476"/>
      <w:r>
        <w:rPr>
          <w:rFonts w:hint="eastAsia" w:ascii="Times New Roman" w:eastAsia="方正小标宋简体"/>
          <w:kern w:val="2"/>
          <w:sz w:val="44"/>
          <w:szCs w:val="44"/>
        </w:rPr>
        <w:t>2024年度</w:t>
      </w:r>
      <w:bookmarkEnd w:id="5"/>
      <w:bookmarkStart w:id="11" w:name="_Toc15306268"/>
      <w:r>
        <w:rPr>
          <w:rFonts w:hint="eastAsia" w:ascii="Times New Roman" w:eastAsia="方正小标宋简体"/>
          <w:kern w:val="2"/>
          <w:sz w:val="44"/>
          <w:szCs w:val="44"/>
        </w:rPr>
        <w:t>四川省马尔康中学校决算</w:t>
      </w:r>
      <w:bookmarkEnd w:id="6"/>
      <w:bookmarkEnd w:id="7"/>
      <w:bookmarkEnd w:id="8"/>
      <w:bookmarkEnd w:id="9"/>
      <w:bookmarkEnd w:id="10"/>
      <w:bookmarkEnd w:id="11"/>
    </w:p>
    <w:p w14:paraId="5044B2DD">
      <w:pPr>
        <w:widowControl/>
        <w:jc w:val="center"/>
        <w:rPr>
          <w:rFonts w:eastAsia="黑体"/>
          <w:sz w:val="48"/>
          <w:szCs w:val="48"/>
        </w:rPr>
      </w:pPr>
      <w:r>
        <w:rPr>
          <w:rFonts w:eastAsia="方正小标宋简体"/>
          <w:sz w:val="36"/>
          <w:szCs w:val="36"/>
        </w:rPr>
        <w:br w:type="page"/>
      </w:r>
      <w:r>
        <w:rPr>
          <w:rFonts w:hint="eastAsia" w:eastAsia="黑体"/>
          <w:sz w:val="48"/>
          <w:szCs w:val="48"/>
        </w:rPr>
        <w:t>目录</w:t>
      </w:r>
    </w:p>
    <w:p w14:paraId="5C62B879">
      <w:pPr>
        <w:widowControl/>
        <w:jc w:val="center"/>
        <w:rPr>
          <w:rFonts w:eastAsia="黑体" w:cstheme="minorBidi"/>
          <w:sz w:val="28"/>
          <w:szCs w:val="28"/>
        </w:rPr>
      </w:pPr>
    </w:p>
    <w:p w14:paraId="1E5BBF00">
      <w:pPr>
        <w:pStyle w:val="11"/>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年 9 月 1</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 xml:space="preserve"> 日</w:t>
      </w:r>
    </w:p>
    <w:p w14:paraId="727585FC"/>
    <w:p w14:paraId="3C79616B">
      <w:pPr>
        <w:pStyle w:val="11"/>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76EBAC7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p>
    <w:p w14:paraId="4FFAF3F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14:paraId="1ED3F070">
      <w:pPr>
        <w:pStyle w:val="11"/>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2024年度部门决算情况说明</w:t>
      </w:r>
    </w:p>
    <w:p w14:paraId="6ECCA5C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14:paraId="6A083D0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14:paraId="45AEF69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14:paraId="002BC32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14:paraId="7C7DA36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14:paraId="2C5EBDA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14:paraId="571AF59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14:paraId="124E92A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14:paraId="7C9EBF5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14:paraId="052C936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14:paraId="41E71DF2">
      <w:pPr>
        <w:pStyle w:val="11"/>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2CAE0E54">
      <w:pPr>
        <w:pStyle w:val="11"/>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655D2CF7">
      <w:pPr>
        <w:pStyle w:val="11"/>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669461A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304E6B2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2A84A750">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0FF7964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2A103CD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37A8503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43FAB7B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3A17B4F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37A7A99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05A501A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15218BE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662057D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4CE1418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31D48DDB">
      <w:pPr>
        <w:widowControl/>
        <w:spacing w:line="560" w:lineRule="exact"/>
        <w:jc w:val="left"/>
        <w:rPr>
          <w:rFonts w:eastAsia="仿宋_GB2312" w:cs="仿宋_GB2312"/>
          <w:bCs/>
          <w:kern w:val="44"/>
          <w:sz w:val="32"/>
          <w:szCs w:val="32"/>
        </w:rPr>
      </w:pPr>
      <w:bookmarkStart w:id="12" w:name="_Toc15396599"/>
      <w:bookmarkStart w:id="13" w:name="_Toc15377196"/>
      <w:r>
        <w:rPr>
          <w:rFonts w:hint="eastAsia" w:eastAsia="仿宋_GB2312" w:cs="仿宋_GB2312"/>
          <w:b/>
          <w:sz w:val="32"/>
          <w:szCs w:val="32"/>
        </w:rPr>
        <w:br w:type="page"/>
      </w:r>
    </w:p>
    <w:p w14:paraId="37EB63E5">
      <w:pPr>
        <w:pStyle w:val="2"/>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单位概况</w:t>
      </w:r>
      <w:bookmarkEnd w:id="12"/>
      <w:bookmarkEnd w:id="13"/>
    </w:p>
    <w:p w14:paraId="612E0C5A">
      <w:pPr>
        <w:widowControl/>
        <w:jc w:val="left"/>
        <w:rPr>
          <w:rFonts w:eastAsia="黑体"/>
          <w:sz w:val="32"/>
          <w:szCs w:val="32"/>
        </w:rPr>
      </w:pPr>
    </w:p>
    <w:p w14:paraId="04B33309">
      <w:pPr>
        <w:pStyle w:val="3"/>
        <w:numPr>
          <w:ilvl w:val="0"/>
          <w:numId w:val="1"/>
        </w:numPr>
        <w:rPr>
          <w:rFonts w:ascii="黑体" w:eastAsia="黑体"/>
        </w:rPr>
      </w:pPr>
      <w:r>
        <w:rPr>
          <w:rFonts w:hint="eastAsia" w:ascii="Times New Roman" w:hAnsi="Times New Roman" w:eastAsia="黑体"/>
          <w:b w:val="0"/>
        </w:rPr>
        <w:t>单位职责</w:t>
      </w:r>
    </w:p>
    <w:p w14:paraId="26153E28">
      <w:pPr>
        <w:pStyle w:val="3"/>
        <w:ind w:firstLine="640" w:firstLineChars="200"/>
      </w:pPr>
      <w:r>
        <w:rPr>
          <w:rFonts w:hint="eastAsia" w:ascii="仿宋" w:hAnsi="仿宋" w:eastAsia="仿宋" w:cs="仿宋"/>
          <w:b w:val="0"/>
          <w:bCs w:val="0"/>
        </w:rPr>
        <w:t>我校坚决贯彻落实中央省委州委关于教育工作系列决策部署，始终不忘立德树人初心，牢记为党育人为国育才使命，坚持五育并举，秉持“品鉴人性 涵养人心 习修人身”价值追求和“厚德博学 尚美健体”校训，遵循国家“双减”及教育部“五项管理”要求，持续深化党的建设，探索教育改革，拓宽德育路径，注重体育锻炼，培育美育熏陶，创新劳育方式，稳步推进学校各项工作再上新台阶。</w:t>
      </w:r>
    </w:p>
    <w:p w14:paraId="64CD3B3C">
      <w:pPr>
        <w:pStyle w:val="3"/>
        <w:rPr>
          <w:rStyle w:val="29"/>
          <w:rFonts w:ascii="Times New Roman" w:hAnsi="Times New Roman"/>
          <w:b w:val="0"/>
          <w:bCs w:val="0"/>
        </w:rPr>
      </w:pPr>
      <w:bookmarkStart w:id="14" w:name="_Toc15396601"/>
      <w:bookmarkStart w:id="15"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4"/>
      <w:bookmarkEnd w:id="15"/>
    </w:p>
    <w:p w14:paraId="4A11A22A">
      <w:pPr>
        <w:ind w:firstLine="800" w:firstLineChars="250"/>
        <w:rPr>
          <w:rFonts w:eastAsia="仿宋_GB2312" w:cs="仿宋_GB2312"/>
          <w:sz w:val="32"/>
          <w:szCs w:val="32"/>
        </w:rPr>
      </w:pPr>
      <w:r>
        <w:rPr>
          <w:rFonts w:hint="eastAsia" w:ascii="仿宋_GB2312" w:hAnsi="仿宋_GB2312" w:eastAsia="仿宋_GB2312" w:cs="仿宋_GB2312"/>
          <w:sz w:val="32"/>
          <w:szCs w:val="32"/>
        </w:rPr>
        <w:t>四川省马尔康中学校</w:t>
      </w:r>
      <w:r>
        <w:rPr>
          <w:rFonts w:hint="eastAsia" w:eastAsia="仿宋_GB2312" w:cs="仿宋_GB2312"/>
          <w:sz w:val="32"/>
          <w:szCs w:val="32"/>
        </w:rPr>
        <w:t>下属二级预算单位0个，其中行政单位0个，参照公务员法管理的事业单位</w:t>
      </w:r>
      <w:r>
        <w:rPr>
          <w:rFonts w:hint="eastAsia" w:eastAsia="仿宋_GB2312" w:cs="仿宋_GB2312"/>
          <w:bCs/>
          <w:sz w:val="32"/>
          <w:szCs w:val="32"/>
        </w:rPr>
        <w:t>0</w:t>
      </w:r>
      <w:r>
        <w:rPr>
          <w:rFonts w:hint="eastAsia" w:eastAsia="仿宋_GB2312" w:cs="仿宋_GB2312"/>
          <w:sz w:val="32"/>
          <w:szCs w:val="32"/>
        </w:rPr>
        <w:t>个，其他事业单位0个。</w:t>
      </w:r>
    </w:p>
    <w:p w14:paraId="4125B7C2">
      <w:pPr>
        <w:pStyle w:val="5"/>
        <w:adjustRightInd w:val="0"/>
        <w:snapToGrid w:val="0"/>
        <w:spacing w:before="93" w:line="600" w:lineRule="exact"/>
        <w:ind w:firstLine="672" w:firstLineChars="210"/>
        <w:rPr>
          <w:rFonts w:ascii="Times New Roman" w:cs="仿宋_GB2312"/>
          <w:sz w:val="32"/>
          <w:szCs w:val="32"/>
        </w:rPr>
      </w:pPr>
      <w:r>
        <w:rPr>
          <w:rFonts w:hint="eastAsia" w:ascii="Times New Roman" w:cs="仿宋_GB2312"/>
          <w:sz w:val="32"/>
          <w:szCs w:val="32"/>
        </w:rPr>
        <w:t>纳入</w:t>
      </w:r>
      <w:r>
        <w:rPr>
          <w:rFonts w:hint="eastAsia" w:hAnsi="仿宋_GB2312" w:cs="仿宋_GB2312"/>
          <w:sz w:val="32"/>
          <w:szCs w:val="32"/>
        </w:rPr>
        <w:t>四川省马尔康中学校</w:t>
      </w:r>
      <w:r>
        <w:rPr>
          <w:rFonts w:hint="eastAsia" w:ascii="Times New Roman" w:cs="仿宋_GB2312"/>
          <w:sz w:val="32"/>
          <w:szCs w:val="32"/>
        </w:rPr>
        <w:t>2024年度单位决算编制范围的二级预算单位无。</w:t>
      </w:r>
    </w:p>
    <w:p w14:paraId="7C72A000">
      <w:pPr>
        <w:widowControl/>
        <w:jc w:val="left"/>
        <w:rPr>
          <w:rFonts w:eastAsia="仿宋"/>
          <w:kern w:val="0"/>
          <w:sz w:val="32"/>
          <w:szCs w:val="32"/>
        </w:rPr>
      </w:pPr>
      <w:r>
        <w:rPr>
          <w:rFonts w:eastAsia="仿宋"/>
          <w:sz w:val="32"/>
          <w:szCs w:val="32"/>
        </w:rPr>
        <w:br w:type="page"/>
      </w:r>
    </w:p>
    <w:p w14:paraId="71E8A7D2">
      <w:pPr>
        <w:pStyle w:val="2"/>
        <w:jc w:val="center"/>
        <w:rPr>
          <w:rFonts w:eastAsia="方正小标宋简体" w:cs="方正小标宋简体"/>
          <w:b w:val="0"/>
        </w:rPr>
      </w:pPr>
      <w:bookmarkStart w:id="16" w:name="_Toc15377204"/>
      <w:bookmarkStart w:id="17" w:name="_Toc15396602"/>
      <w:r>
        <w:rPr>
          <w:rFonts w:hint="eastAsia" w:eastAsia="方正小标宋简体" w:cs="方正小标宋简体"/>
          <w:b w:val="0"/>
        </w:rPr>
        <w:t>第二部分  2024年度单位决算情况说明</w:t>
      </w:r>
      <w:bookmarkEnd w:id="16"/>
      <w:bookmarkEnd w:id="17"/>
    </w:p>
    <w:p w14:paraId="267332F1"/>
    <w:p w14:paraId="328D3AB1">
      <w:pPr>
        <w:pStyle w:val="27"/>
        <w:spacing w:line="600" w:lineRule="exact"/>
        <w:ind w:firstLine="640"/>
        <w:outlineLvl w:val="1"/>
        <w:rPr>
          <w:rStyle w:val="29"/>
          <w:rFonts w:ascii="Times New Roman" w:hAnsi="Times New Roman" w:eastAsia="黑体"/>
          <w:b w:val="0"/>
        </w:rPr>
      </w:pPr>
      <w:bookmarkStart w:id="18" w:name="_Toc15396603"/>
      <w:bookmarkStart w:id="19" w:name="_Toc15377205"/>
      <w:r>
        <w:rPr>
          <w:rFonts w:hint="eastAsia" w:eastAsia="黑体"/>
          <w:sz w:val="32"/>
          <w:szCs w:val="32"/>
        </w:rPr>
        <w:t>一、收</w:t>
      </w:r>
      <w:r>
        <w:rPr>
          <w:rStyle w:val="29"/>
          <w:rFonts w:hint="eastAsia" w:ascii="Times New Roman" w:hAnsi="Times New Roman" w:eastAsia="黑体"/>
          <w:b w:val="0"/>
        </w:rPr>
        <w:t>入支出决算总体情况说明</w:t>
      </w:r>
      <w:bookmarkEnd w:id="18"/>
      <w:bookmarkEnd w:id="19"/>
    </w:p>
    <w:p w14:paraId="6DED1EF1">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2024年度收入、支出总计均为</w:t>
      </w:r>
      <w:r>
        <w:rPr>
          <w:rFonts w:hint="eastAsia" w:ascii="仿宋_GB2312" w:hAnsi="仿宋_GB2312" w:eastAsia="仿宋_GB2312" w:cs="仿宋_GB2312"/>
          <w:sz w:val="32"/>
          <w:szCs w:val="32"/>
        </w:rPr>
        <w:t>10,442.81</w:t>
      </w:r>
      <w:r>
        <w:rPr>
          <w:rFonts w:hint="eastAsia" w:eastAsia="仿宋_GB2312" w:cs="仿宋_GB2312"/>
          <w:sz w:val="32"/>
          <w:szCs w:val="32"/>
        </w:rPr>
        <w:t>万元。与2023年度相比，收入、支出总计各增加568.35万元，增长5.8%。主要变动原因是西区设备采购、西区边坡治理项目、西区食堂改造项目均在本年开展。</w:t>
      </w:r>
    </w:p>
    <w:p w14:paraId="4D01FE96">
      <w:pPr>
        <w:ind w:firstLine="640" w:firstLineChars="200"/>
        <w:rPr>
          <w:rFonts w:eastAsia="仿宋_GB2312" w:cs="仿宋_GB2312"/>
          <w:sz w:val="32"/>
          <w:szCs w:val="32"/>
        </w:rPr>
      </w:pPr>
      <w:r>
        <w:rPr>
          <w:rFonts w:hint="eastAsia" w:eastAsia="仿宋_GB2312" w:cs="仿宋_GB2312"/>
          <w:sz w:val="32"/>
          <w:szCs w:val="32"/>
        </w:rPr>
        <w:t>（图1：收入、支出决算总计变动情况图）（柱状图）</w:t>
      </w:r>
    </w:p>
    <w:p w14:paraId="33BF8345">
      <w:pPr>
        <w:ind w:firstLine="640" w:firstLineChars="200"/>
        <w:rPr>
          <w:rFonts w:eastAsia="仿宋_GB2312" w:cs="仿宋_GB2312"/>
          <w:sz w:val="32"/>
          <w:szCs w:val="32"/>
        </w:rPr>
      </w:pPr>
      <w:r>
        <w:rPr>
          <w:rFonts w:eastAsia="仿宋_GB2312" w:cs="仿宋_GB2312"/>
          <w:sz w:val="32"/>
          <w:szCs w:val="32"/>
        </w:rPr>
        <w:drawing>
          <wp:inline distT="0" distB="0" distL="0" distR="0">
            <wp:extent cx="5274310" cy="3076575"/>
            <wp:effectExtent l="0" t="0" r="2540" b="952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4456D5F">
      <w:pPr>
        <w:pStyle w:val="27"/>
        <w:spacing w:line="600" w:lineRule="exact"/>
        <w:ind w:firstLine="640"/>
        <w:outlineLvl w:val="1"/>
        <w:rPr>
          <w:rFonts w:eastAsia="黑体"/>
          <w:sz w:val="32"/>
          <w:szCs w:val="32"/>
        </w:rPr>
      </w:pPr>
      <w:bookmarkStart w:id="20" w:name="_Toc15377206"/>
      <w:bookmarkStart w:id="21" w:name="_Toc15396604"/>
      <w:r>
        <w:rPr>
          <w:rFonts w:hint="eastAsia" w:eastAsia="黑体"/>
          <w:sz w:val="32"/>
          <w:szCs w:val="32"/>
        </w:rPr>
        <w:t>二、收入决算情况说明</w:t>
      </w:r>
      <w:bookmarkEnd w:id="20"/>
      <w:bookmarkEnd w:id="21"/>
    </w:p>
    <w:p w14:paraId="2B1AFC74">
      <w:pPr>
        <w:pStyle w:val="27"/>
        <w:spacing w:line="600" w:lineRule="exact"/>
        <w:ind w:firstLine="640"/>
        <w:jc w:val="left"/>
        <w:outlineLvl w:val="1"/>
        <w:rPr>
          <w:rFonts w:eastAsia="仿宋_GB2312" w:cs="仿宋_GB2312"/>
          <w:b/>
          <w:bCs/>
          <w:sz w:val="32"/>
          <w:szCs w:val="32"/>
        </w:rPr>
      </w:pPr>
      <w:r>
        <w:rPr>
          <w:rFonts w:hint="eastAsia" w:ascii="仿宋_GB2312" w:hAnsi="仿宋_GB2312" w:eastAsia="仿宋_GB2312" w:cs="仿宋_GB2312"/>
          <w:sz w:val="32"/>
          <w:szCs w:val="32"/>
        </w:rPr>
        <w:t>2024年度本年收入合计10,442.81万元，其中：一般公共预算财政拨款收入9,639.05万元，占92.3%；政府性基金预算财政拨款收入0万元，占0%；国有资本经营预算财政拨款收入0万元，占0%；上级补助收入0万元，占0%；事业收入0万元，占0%；经营收入0万元，占0%；附属单位上缴收入0万元，占0%；其他收入803.76万元，占7.69%。</w:t>
      </w:r>
    </w:p>
    <w:p w14:paraId="2F5FBC01">
      <w:pPr>
        <w:ind w:firstLine="800" w:firstLineChars="250"/>
        <w:rPr>
          <w:rFonts w:eastAsia="仿宋_GB2312" w:cs="仿宋_GB2312"/>
          <w:sz w:val="32"/>
          <w:szCs w:val="32"/>
        </w:rPr>
      </w:pPr>
      <w:r>
        <w:rPr>
          <w:rFonts w:hint="eastAsia" w:eastAsia="仿宋_GB2312" w:cs="仿宋_GB2312"/>
          <w:sz w:val="32"/>
          <w:szCs w:val="32"/>
        </w:rPr>
        <w:t>（图2：收入决算结构图）（饼状图）</w:t>
      </w:r>
    </w:p>
    <w:p w14:paraId="7ABACD9B">
      <w:pPr>
        <w:ind w:firstLine="800" w:firstLineChars="250"/>
        <w:rPr>
          <w:rFonts w:hint="eastAsia" w:eastAsia="仿宋_GB2312" w:cs="仿宋_GB2312"/>
          <w:sz w:val="32"/>
          <w:szCs w:val="32"/>
        </w:rPr>
      </w:pPr>
      <w:r>
        <w:rPr>
          <w:rFonts w:hint="eastAsia" w:eastAsia="仿宋_GB2312" w:cs="仿宋_GB2312"/>
          <w:sz w:val="32"/>
          <w:szCs w:val="32"/>
        </w:rPr>
        <w:drawing>
          <wp:inline distT="0" distB="0" distL="0" distR="0">
            <wp:extent cx="5274310" cy="3076575"/>
            <wp:effectExtent l="0" t="0" r="2540" b="952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B161077">
      <w:pPr>
        <w:ind w:firstLine="800" w:firstLineChars="250"/>
        <w:rPr>
          <w:rFonts w:eastAsia="仿宋_GB2312" w:cs="仿宋_GB2312"/>
          <w:sz w:val="32"/>
          <w:szCs w:val="32"/>
        </w:rPr>
      </w:pPr>
    </w:p>
    <w:p w14:paraId="2F538078">
      <w:pPr>
        <w:pStyle w:val="27"/>
        <w:spacing w:line="600" w:lineRule="exact"/>
        <w:ind w:firstLine="640"/>
        <w:outlineLvl w:val="1"/>
        <w:rPr>
          <w:rStyle w:val="29"/>
          <w:rFonts w:ascii="Times New Roman" w:hAnsi="Times New Roman" w:eastAsia="黑体"/>
          <w:b w:val="0"/>
        </w:rPr>
      </w:pPr>
      <w:bookmarkStart w:id="22" w:name="_Toc15377207"/>
      <w:bookmarkStart w:id="23" w:name="_Toc15396605"/>
      <w:r>
        <w:rPr>
          <w:rFonts w:hint="eastAsia" w:eastAsia="黑体"/>
          <w:sz w:val="32"/>
          <w:szCs w:val="32"/>
        </w:rPr>
        <w:t>三、支</w:t>
      </w:r>
      <w:r>
        <w:rPr>
          <w:rStyle w:val="29"/>
          <w:rFonts w:hint="eastAsia" w:ascii="Times New Roman" w:hAnsi="Times New Roman" w:eastAsia="黑体"/>
          <w:b w:val="0"/>
        </w:rPr>
        <w:t>出决算情况说明</w:t>
      </w:r>
      <w:bookmarkEnd w:id="22"/>
      <w:bookmarkEnd w:id="23"/>
    </w:p>
    <w:p w14:paraId="62D206BF">
      <w:pPr>
        <w:pStyle w:val="27"/>
        <w:spacing w:line="600" w:lineRule="exact"/>
        <w:ind w:firstLine="640"/>
        <w:jc w:val="left"/>
        <w:outlineLvl w:val="1"/>
        <w:rPr>
          <w:rFonts w:eastAsia="仿宋_GB2312" w:cs="仿宋_GB2312"/>
          <w:sz w:val="32"/>
          <w:szCs w:val="32"/>
        </w:rPr>
      </w:pPr>
      <w:r>
        <w:rPr>
          <w:rFonts w:hint="eastAsia" w:ascii="仿宋_GB2312" w:hAnsi="仿宋_GB2312" w:eastAsia="仿宋_GB2312" w:cs="仿宋_GB2312"/>
          <w:sz w:val="32"/>
          <w:szCs w:val="32"/>
        </w:rPr>
        <w:t>2024年度本年支出合计10,147.83万元，其中：基本支出7,167.18万元，占70.63%；项目支出2,980.65万元，占29.37%；上缴上级支出0万元，占0%；经营支出0万元，占0%；对附属单位补助支出0万元，占0%。</w:t>
      </w:r>
    </w:p>
    <w:p w14:paraId="370243DD">
      <w:pPr>
        <w:ind w:firstLine="800" w:firstLineChars="250"/>
        <w:rPr>
          <w:rFonts w:eastAsia="仿宋_GB2312" w:cs="仿宋_GB2312"/>
          <w:sz w:val="32"/>
          <w:szCs w:val="32"/>
        </w:rPr>
      </w:pPr>
      <w:r>
        <w:rPr>
          <w:rFonts w:hint="eastAsia" w:eastAsia="仿宋_GB2312" w:cs="仿宋_GB2312"/>
          <w:sz w:val="32"/>
          <w:szCs w:val="32"/>
        </w:rPr>
        <w:t>（图3：支出决算结构图）（饼状图）</w:t>
      </w:r>
    </w:p>
    <w:p w14:paraId="0C715749">
      <w:pPr>
        <w:ind w:firstLine="800" w:firstLineChars="250"/>
        <w:rPr>
          <w:rFonts w:eastAsia="仿宋_GB2312" w:cs="仿宋_GB2312"/>
          <w:sz w:val="32"/>
          <w:szCs w:val="32"/>
        </w:rPr>
      </w:pPr>
    </w:p>
    <w:p w14:paraId="55642DF6">
      <w:pPr>
        <w:ind w:firstLine="800" w:firstLineChars="250"/>
        <w:rPr>
          <w:rFonts w:eastAsia="仿宋_GB2312" w:cs="仿宋_GB2312"/>
          <w:sz w:val="32"/>
          <w:szCs w:val="32"/>
        </w:rPr>
      </w:pPr>
    </w:p>
    <w:p w14:paraId="13984796">
      <w:pPr>
        <w:ind w:firstLine="800" w:firstLineChars="250"/>
        <w:rPr>
          <w:rFonts w:hint="eastAsia" w:eastAsia="仿宋_GB2312" w:cs="仿宋_GB2312"/>
          <w:sz w:val="32"/>
          <w:szCs w:val="32"/>
        </w:rPr>
      </w:pPr>
      <w:r>
        <w:rPr>
          <w:rFonts w:hint="eastAsia" w:eastAsia="仿宋_GB2312" w:cs="仿宋_GB2312"/>
          <w:sz w:val="32"/>
          <w:szCs w:val="32"/>
        </w:rPr>
        <w:drawing>
          <wp:inline distT="0" distB="0" distL="0" distR="0">
            <wp:extent cx="5274310" cy="3076575"/>
            <wp:effectExtent l="0" t="0" r="2540" b="952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9F4449A">
      <w:pPr>
        <w:ind w:firstLine="800" w:firstLineChars="250"/>
        <w:rPr>
          <w:rFonts w:hint="eastAsia" w:eastAsia="仿宋_GB2312" w:cs="仿宋_GB2312"/>
          <w:sz w:val="32"/>
          <w:szCs w:val="32"/>
        </w:rPr>
      </w:pPr>
    </w:p>
    <w:p w14:paraId="65C7DF81">
      <w:pPr>
        <w:spacing w:line="600" w:lineRule="exact"/>
        <w:ind w:firstLine="640" w:firstLineChars="200"/>
        <w:outlineLvl w:val="1"/>
        <w:rPr>
          <w:rFonts w:eastAsia="黑体"/>
          <w:sz w:val="32"/>
          <w:szCs w:val="32"/>
        </w:rPr>
      </w:pPr>
      <w:bookmarkStart w:id="24" w:name="_Toc15396606"/>
      <w:bookmarkStart w:id="25" w:name="_Toc15377208"/>
    </w:p>
    <w:p w14:paraId="2D80206C">
      <w:pPr>
        <w:spacing w:line="600" w:lineRule="exact"/>
        <w:ind w:firstLine="640" w:firstLineChars="200"/>
        <w:outlineLvl w:val="1"/>
        <w:rPr>
          <w:rStyle w:val="29"/>
          <w:rFonts w:ascii="Times New Roman" w:hAnsi="Times New Roman" w:eastAsia="黑体"/>
          <w:b w:val="0"/>
        </w:rPr>
      </w:pPr>
      <w:r>
        <w:rPr>
          <w:rFonts w:hint="eastAsia" w:eastAsia="黑体"/>
          <w:sz w:val="32"/>
          <w:szCs w:val="32"/>
        </w:rPr>
        <w:t>四、财</w:t>
      </w:r>
      <w:r>
        <w:rPr>
          <w:rStyle w:val="29"/>
          <w:rFonts w:hint="eastAsia" w:ascii="Times New Roman" w:hAnsi="Times New Roman" w:eastAsia="黑体"/>
          <w:b w:val="0"/>
        </w:rPr>
        <w:t>政拨款收入支出决算总体情况说明</w:t>
      </w:r>
      <w:bookmarkEnd w:id="24"/>
      <w:bookmarkEnd w:id="25"/>
    </w:p>
    <w:p w14:paraId="49C80B9A">
      <w:pPr>
        <w:spacing w:line="600" w:lineRule="exact"/>
        <w:ind w:firstLine="640"/>
        <w:rPr>
          <w:rFonts w:eastAsia="仿宋_GB2312" w:cs="仿宋_GB2312"/>
          <w:sz w:val="32"/>
          <w:szCs w:val="32"/>
        </w:rPr>
      </w:pPr>
      <w:r>
        <w:rPr>
          <w:rFonts w:hint="eastAsia" w:eastAsia="仿宋_GB2312" w:cs="仿宋_GB2312"/>
          <w:sz w:val="32"/>
          <w:szCs w:val="32"/>
        </w:rPr>
        <w:t>2024年度财政拨款收入、支出总计均为</w:t>
      </w:r>
      <w:r>
        <w:rPr>
          <w:rFonts w:hint="eastAsia" w:ascii="仿宋_GB2312" w:hAnsi="仿宋_GB2312" w:eastAsia="仿宋_GB2312" w:cs="仿宋_GB2312"/>
          <w:sz w:val="32"/>
          <w:szCs w:val="32"/>
        </w:rPr>
        <w:t>9,639.05</w:t>
      </w:r>
      <w:r>
        <w:rPr>
          <w:rFonts w:hint="eastAsia" w:eastAsia="仿宋_GB2312" w:cs="仿宋_GB2312"/>
          <w:sz w:val="32"/>
          <w:szCs w:val="32"/>
        </w:rPr>
        <w:t>万元。与2023年度相比，财政拨款收入总计、支出总计各减少235.41万元，下降2.4%。主要变动原因是非同级拨款收支增加。</w:t>
      </w:r>
    </w:p>
    <w:p w14:paraId="4957034F">
      <w:pPr>
        <w:spacing w:line="600" w:lineRule="exact"/>
        <w:ind w:firstLine="640" w:firstLineChars="200"/>
        <w:rPr>
          <w:rFonts w:hint="eastAsia" w:eastAsia="仿宋_GB2312" w:cs="仿宋_GB2312"/>
          <w:sz w:val="32"/>
          <w:szCs w:val="32"/>
        </w:rPr>
      </w:pPr>
      <w:r>
        <w:rPr>
          <w:rFonts w:hint="eastAsia" w:eastAsia="仿宋_GB2312" w:cs="仿宋_GB2312"/>
          <w:sz w:val="32"/>
          <w:szCs w:val="32"/>
        </w:rPr>
        <w:t>（图4：财政拨款收、支决算总计变动情况）（柱状图）</w:t>
      </w:r>
    </w:p>
    <w:p w14:paraId="0B5D728C">
      <w:pPr>
        <w:spacing w:line="600" w:lineRule="exact"/>
        <w:ind w:firstLine="640" w:firstLineChars="200"/>
        <w:rPr>
          <w:rFonts w:hint="eastAsia" w:eastAsia="仿宋_GB2312" w:cs="仿宋_GB2312"/>
          <w:sz w:val="32"/>
          <w:szCs w:val="32"/>
        </w:rPr>
      </w:pPr>
    </w:p>
    <w:p w14:paraId="4446B437">
      <w:pPr>
        <w:spacing w:line="600" w:lineRule="exact"/>
        <w:ind w:firstLine="640" w:firstLineChars="200"/>
        <w:rPr>
          <w:rFonts w:hint="eastAsia" w:eastAsia="仿宋_GB2312" w:cs="仿宋_GB2312"/>
          <w:sz w:val="32"/>
          <w:szCs w:val="32"/>
        </w:rPr>
      </w:pPr>
    </w:p>
    <w:p w14:paraId="4E401E5A">
      <w:pPr>
        <w:spacing w:line="600" w:lineRule="exact"/>
        <w:ind w:firstLine="640" w:firstLineChars="200"/>
        <w:rPr>
          <w:rFonts w:hint="eastAsia" w:eastAsia="仿宋_GB2312" w:cs="仿宋_GB2312"/>
          <w:sz w:val="32"/>
          <w:szCs w:val="32"/>
        </w:rPr>
      </w:pPr>
    </w:p>
    <w:p w14:paraId="6F9596D2">
      <w:pPr>
        <w:spacing w:line="600" w:lineRule="exact"/>
        <w:ind w:firstLine="640" w:firstLineChars="200"/>
        <w:rPr>
          <w:rFonts w:hint="eastAsia" w:eastAsia="仿宋_GB2312" w:cs="仿宋_GB2312"/>
          <w:sz w:val="32"/>
          <w:szCs w:val="32"/>
          <w:lang w:eastAsia="zh-CN"/>
        </w:rPr>
      </w:pPr>
    </w:p>
    <w:p w14:paraId="7F6FB40D">
      <w:pPr>
        <w:spacing w:before="2187" w:beforeLines="701" w:beforeAutospacing="0" w:afterAutospacing="0" w:line="600" w:lineRule="exact"/>
        <w:ind w:firstLine="640" w:firstLineChars="200"/>
        <w:rPr>
          <w:rFonts w:hint="eastAsia" w:eastAsia="仿宋_GB2312" w:cs="仿宋_GB2312"/>
          <w:sz w:val="32"/>
          <w:szCs w:val="32"/>
          <w:lang w:eastAsia="zh-CN"/>
        </w:rPr>
      </w:pPr>
    </w:p>
    <w:p w14:paraId="62BF6B98">
      <w:pPr>
        <w:spacing w:before="6243" w:beforeLines="2000" w:beforeAutospacing="0" w:after="2655" w:afterLines="851" w:afterAutospacing="0" w:line="600" w:lineRule="exact"/>
        <w:rPr>
          <w:rFonts w:eastAsia="仿宋_GB2312" w:cs="仿宋_GB2312"/>
          <w:sz w:val="32"/>
          <w:szCs w:val="32"/>
        </w:rPr>
      </w:pPr>
      <w:r>
        <w:rPr>
          <w:rFonts w:hint="eastAsia" w:eastAsia="仿宋_GB2312" w:cs="仿宋_GB2312"/>
          <w:sz w:val="32"/>
          <w:szCs w:val="32"/>
          <w:lang w:eastAsia="zh-CN"/>
        </w:rPr>
        <w:drawing>
          <wp:inline distT="0" distB="0" distL="114300" distR="114300">
            <wp:extent cx="5256530" cy="2988310"/>
            <wp:effectExtent l="5080" t="4445" r="11430" b="952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5C0EB6D">
      <w:pPr>
        <w:spacing w:line="600" w:lineRule="exact"/>
        <w:ind w:firstLine="640" w:firstLineChars="200"/>
        <w:rPr>
          <w:rFonts w:eastAsia="仿宋_GB2312" w:cs="仿宋_GB2312"/>
          <w:sz w:val="32"/>
          <w:szCs w:val="32"/>
        </w:rPr>
      </w:pPr>
    </w:p>
    <w:p w14:paraId="3AAB7CB6">
      <w:pPr>
        <w:spacing w:line="600" w:lineRule="exact"/>
        <w:ind w:firstLine="640" w:firstLineChars="200"/>
        <w:rPr>
          <w:rFonts w:hint="eastAsia" w:eastAsia="仿宋_GB2312" w:cs="仿宋_GB2312"/>
          <w:sz w:val="32"/>
          <w:szCs w:val="32"/>
        </w:rPr>
      </w:pPr>
    </w:p>
    <w:p w14:paraId="00124DEA">
      <w:pPr>
        <w:spacing w:line="600" w:lineRule="exact"/>
        <w:ind w:firstLine="640"/>
        <w:rPr>
          <w:rFonts w:eastAsia="仿宋_GB2312" w:cs="仿宋_GB2312"/>
          <w:sz w:val="32"/>
          <w:szCs w:val="32"/>
        </w:rPr>
      </w:pPr>
    </w:p>
    <w:p w14:paraId="32A53867">
      <w:pPr>
        <w:spacing w:line="600" w:lineRule="exact"/>
        <w:ind w:firstLine="640" w:firstLineChars="200"/>
        <w:outlineLvl w:val="1"/>
        <w:rPr>
          <w:rStyle w:val="29"/>
          <w:rFonts w:ascii="Times New Roman" w:hAnsi="Times New Roman" w:eastAsia="黑体"/>
          <w:b w:val="0"/>
        </w:rPr>
      </w:pPr>
      <w:bookmarkStart w:id="26" w:name="_Toc15396607"/>
      <w:bookmarkStart w:id="27"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6"/>
      <w:bookmarkEnd w:id="27"/>
    </w:p>
    <w:p w14:paraId="676CBF96">
      <w:pPr>
        <w:spacing w:line="600" w:lineRule="exact"/>
        <w:ind w:firstLine="643" w:firstLineChars="200"/>
        <w:outlineLvl w:val="2"/>
        <w:rPr>
          <w:rFonts w:eastAsia="楷体_GB2312" w:cs="楷体_GB2312"/>
          <w:b/>
          <w:sz w:val="32"/>
          <w:szCs w:val="32"/>
        </w:rPr>
      </w:pPr>
      <w:bookmarkStart w:id="28" w:name="_Toc15377210"/>
      <w:r>
        <w:rPr>
          <w:rFonts w:hint="eastAsia" w:eastAsia="楷体_GB2312" w:cs="楷体_GB2312"/>
          <w:b/>
          <w:sz w:val="32"/>
          <w:szCs w:val="32"/>
        </w:rPr>
        <w:t>（一）一般公共预算财政拨款支出决算总体情况</w:t>
      </w:r>
      <w:bookmarkEnd w:id="28"/>
    </w:p>
    <w:p w14:paraId="146B089B">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2024年度一般公共预算财政拨款支出9,639.05万元，占本年支出合计的94.99%。与2023年度相比，一般公共预算财政拨款支出减少235.41万元，下降</w:t>
      </w:r>
      <w:r>
        <w:rPr>
          <w:rFonts w:hint="eastAsia" w:eastAsia="仿宋_GB2312" w:cs="仿宋_GB2312"/>
          <w:sz w:val="32"/>
          <w:szCs w:val="32"/>
        </w:rPr>
        <w:t>2.4</w:t>
      </w:r>
      <w:r>
        <w:rPr>
          <w:rFonts w:hint="eastAsia" w:ascii="仿宋_GB2312" w:hAnsi="仿宋_GB2312" w:eastAsia="仿宋_GB2312" w:cs="仿宋_GB2312"/>
          <w:sz w:val="32"/>
          <w:szCs w:val="32"/>
        </w:rPr>
        <w:t>%。主要变动原因是</w:t>
      </w:r>
      <w:r>
        <w:rPr>
          <w:rFonts w:hint="eastAsia" w:eastAsia="仿宋_GB2312" w:cs="仿宋_GB2312"/>
          <w:sz w:val="32"/>
          <w:szCs w:val="32"/>
        </w:rPr>
        <w:t>非同级拨款收支增加。</w:t>
      </w:r>
    </w:p>
    <w:p w14:paraId="0F70689E">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008D5577">
      <w:pPr>
        <w:spacing w:afterAutospacing="0" w:line="600" w:lineRule="exact"/>
        <w:ind w:firstLine="640"/>
        <w:rPr>
          <w:rFonts w:eastAsia="仿宋_GB2312" w:cs="仿宋_GB2312"/>
          <w:sz w:val="32"/>
          <w:szCs w:val="32"/>
        </w:rPr>
      </w:pPr>
    </w:p>
    <w:p w14:paraId="54EE9223">
      <w:pPr>
        <w:spacing w:before="5463" w:beforeLines="1750" w:beforeAutospacing="0" w:afterAutospacing="0" w:line="600" w:lineRule="exact"/>
        <w:rPr>
          <w:rFonts w:hint="eastAsia" w:eastAsia="仿宋_GB2312" w:cs="仿宋_GB2312"/>
          <w:sz w:val="32"/>
          <w:szCs w:val="32"/>
        </w:rPr>
      </w:pPr>
      <w:bookmarkStart w:id="73" w:name="_GoBack"/>
      <w:r>
        <w:rPr>
          <w:rFonts w:hint="eastAsia" w:eastAsia="仿宋_GB2312" w:cs="仿宋_GB2312"/>
          <w:sz w:val="32"/>
          <w:szCs w:val="32"/>
        </w:rPr>
        <w:drawing>
          <wp:inline distT="0" distB="0" distL="0" distR="0">
            <wp:extent cx="5274310" cy="3076575"/>
            <wp:effectExtent l="0" t="0" r="2540" b="952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End w:id="73"/>
    </w:p>
    <w:p w14:paraId="589E31CB">
      <w:pPr>
        <w:spacing w:beforeAutospacing="0" w:line="600" w:lineRule="exact"/>
        <w:ind w:firstLine="640"/>
        <w:rPr>
          <w:rFonts w:hint="eastAsia" w:eastAsia="仿宋_GB2312" w:cs="仿宋_GB2312"/>
          <w:sz w:val="32"/>
          <w:szCs w:val="32"/>
        </w:rPr>
      </w:pPr>
    </w:p>
    <w:p w14:paraId="616136B5">
      <w:pPr>
        <w:spacing w:line="600" w:lineRule="exact"/>
        <w:ind w:firstLine="643" w:firstLineChars="200"/>
        <w:outlineLvl w:val="2"/>
        <w:rPr>
          <w:rFonts w:eastAsia="楷体_GB2312" w:cs="楷体_GB2312"/>
          <w:b/>
          <w:sz w:val="32"/>
          <w:szCs w:val="32"/>
        </w:rPr>
      </w:pPr>
      <w:bookmarkStart w:id="29" w:name="_Toc15377211"/>
      <w:r>
        <w:rPr>
          <w:rFonts w:hint="eastAsia" w:eastAsia="楷体_GB2312" w:cs="楷体_GB2312"/>
          <w:b/>
          <w:sz w:val="32"/>
          <w:szCs w:val="32"/>
        </w:rPr>
        <w:t>（二）一般公共预算财政拨款支出决算结构情况</w:t>
      </w:r>
      <w:bookmarkEnd w:id="29"/>
    </w:p>
    <w:p w14:paraId="64D642DC">
      <w:pPr>
        <w:spacing w:line="600" w:lineRule="exact"/>
        <w:ind w:firstLine="640"/>
        <w:rPr>
          <w:rFonts w:eastAsia="仿宋_GB2312" w:cs="仿宋_GB2312"/>
          <w:b/>
          <w:bCs/>
          <w:sz w:val="32"/>
          <w:szCs w:val="32"/>
        </w:rPr>
      </w:pPr>
      <w:r>
        <w:rPr>
          <w:rFonts w:hint="eastAsia" w:eastAsia="仿宋_GB2312" w:cs="仿宋_GB2312"/>
          <w:sz w:val="32"/>
          <w:szCs w:val="32"/>
        </w:rPr>
        <w:t>2024年度一般公共预算财政拨款支出</w:t>
      </w:r>
      <w:r>
        <w:rPr>
          <w:rFonts w:hint="eastAsia" w:ascii="仿宋_GB2312" w:hAnsi="仿宋_GB2312" w:eastAsia="仿宋_GB2312" w:cs="仿宋_GB2312"/>
          <w:sz w:val="32"/>
          <w:szCs w:val="32"/>
        </w:rPr>
        <w:t>9,639.05万元</w:t>
      </w:r>
      <w:r>
        <w:rPr>
          <w:rFonts w:hint="eastAsia" w:eastAsia="仿宋_GB2312" w:cs="仿宋_GB2312"/>
          <w:sz w:val="32"/>
          <w:szCs w:val="32"/>
        </w:rPr>
        <w:t>，主要用于以下方面：教育支出7745.36万元，占80.3%；社会保障和就业支出991.85万元，占10.3%；卫生健康支出392.36万元，占4.1%；住房保障支出509.47万元，占5.3%</w:t>
      </w:r>
    </w:p>
    <w:p w14:paraId="1E323038">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376226A0">
      <w:pPr>
        <w:spacing w:afterAutospacing="0" w:line="600" w:lineRule="exact"/>
        <w:ind w:firstLine="640"/>
        <w:rPr>
          <w:rFonts w:eastAsia="仿宋_GB2312" w:cs="仿宋_GB2312"/>
          <w:sz w:val="32"/>
          <w:szCs w:val="32"/>
        </w:rPr>
      </w:pPr>
    </w:p>
    <w:p w14:paraId="63BD0B18">
      <w:pPr>
        <w:spacing w:before="3681" w:beforeLines="1179" w:beforeAutospacing="0" w:after="2130" w:afterLines="682" w:afterAutospacing="0" w:line="600" w:lineRule="exact"/>
        <w:ind w:firstLine="640"/>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256530" cy="2988310"/>
            <wp:effectExtent l="5080" t="4445" r="11430" b="952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8314147">
      <w:pPr>
        <w:spacing w:beforeAutospacing="0" w:after="5049" w:afterLines="1618" w:afterAutospacing="0" w:line="600" w:lineRule="exact"/>
        <w:ind w:left="0" w:leftChars="0" w:firstLine="0" w:firstLineChars="0"/>
        <w:rPr>
          <w:rFonts w:hint="eastAsia" w:eastAsia="仿宋_GB2312" w:cs="仿宋_GB2312"/>
          <w:sz w:val="32"/>
          <w:szCs w:val="32"/>
          <w:lang w:eastAsia="zh-CN"/>
        </w:rPr>
      </w:pPr>
    </w:p>
    <w:p w14:paraId="0C8E1367">
      <w:pPr>
        <w:spacing w:beforeAutospacing="0" w:line="600" w:lineRule="exact"/>
        <w:ind w:firstLine="643" w:firstLineChars="200"/>
        <w:outlineLvl w:val="2"/>
        <w:rPr>
          <w:rFonts w:eastAsia="楷体_GB2312" w:cs="楷体_GB2312"/>
          <w:b/>
          <w:sz w:val="32"/>
          <w:szCs w:val="32"/>
        </w:rPr>
      </w:pPr>
      <w:bookmarkStart w:id="30" w:name="_Toc15377212"/>
      <w:r>
        <w:rPr>
          <w:rFonts w:hint="eastAsia" w:eastAsia="楷体_GB2312" w:cs="楷体_GB2312"/>
          <w:b/>
          <w:sz w:val="32"/>
          <w:szCs w:val="32"/>
        </w:rPr>
        <w:t>（三）一般公共预算财政拨款支出决算具体情况</w:t>
      </w:r>
      <w:bookmarkEnd w:id="30"/>
    </w:p>
    <w:p w14:paraId="30E51F8C">
      <w:pPr>
        <w:spacing w:line="600" w:lineRule="exact"/>
        <w:ind w:firstLine="640"/>
        <w:rPr>
          <w:rFonts w:eastAsia="仿宋_GB2312" w:cs="仿宋_GB2312"/>
          <w:sz w:val="32"/>
          <w:szCs w:val="32"/>
        </w:rPr>
      </w:pPr>
      <w:bookmarkStart w:id="31" w:name="_Toc15377444"/>
      <w:bookmarkStart w:id="32" w:name="_Toc15378460"/>
      <w:bookmarkStart w:id="33" w:name="_Toc15377213"/>
      <w:r>
        <w:rPr>
          <w:rFonts w:hint="eastAsia" w:eastAsia="仿宋_GB2312" w:cs="仿宋_GB2312"/>
          <w:sz w:val="32"/>
          <w:szCs w:val="32"/>
        </w:rPr>
        <w:t>2024年度一般公共预算财政拨款支出决算数为</w:t>
      </w:r>
      <w:r>
        <w:rPr>
          <w:rFonts w:hint="eastAsia" w:ascii="仿宋_GB2312" w:hAnsi="仿宋_GB2312" w:eastAsia="仿宋_GB2312" w:cs="仿宋_GB2312"/>
          <w:sz w:val="32"/>
          <w:szCs w:val="32"/>
        </w:rPr>
        <w:t>9639.05，</w:t>
      </w:r>
      <w:r>
        <w:rPr>
          <w:rFonts w:hint="eastAsia" w:eastAsia="仿宋_GB2312" w:cs="仿宋_GB2312"/>
          <w:sz w:val="32"/>
          <w:szCs w:val="32"/>
        </w:rPr>
        <w:t>完成预算100%。其中：</w:t>
      </w:r>
      <w:bookmarkEnd w:id="31"/>
      <w:bookmarkEnd w:id="32"/>
      <w:bookmarkEnd w:id="33"/>
    </w:p>
    <w:p w14:paraId="3CEE79C9">
      <w:pPr>
        <w:spacing w:line="600" w:lineRule="exact"/>
        <w:ind w:firstLine="643" w:firstLineChars="200"/>
        <w:rPr>
          <w:rFonts w:ascii="仿宋" w:hAnsi="仿宋" w:eastAsia="仿宋"/>
          <w:b/>
          <w:sz w:val="32"/>
          <w:szCs w:val="32"/>
        </w:rPr>
      </w:pPr>
      <w:r>
        <w:rPr>
          <w:rStyle w:val="17"/>
          <w:rFonts w:ascii="仿宋" w:hAnsi="仿宋" w:eastAsia="仿宋"/>
          <w:bCs/>
          <w:sz w:val="32"/>
          <w:szCs w:val="32"/>
        </w:rPr>
        <w:t>1.</w:t>
      </w:r>
      <w:r>
        <w:rPr>
          <w:rStyle w:val="17"/>
          <w:rFonts w:hint="eastAsia" w:ascii="仿宋" w:hAnsi="仿宋" w:eastAsia="仿宋"/>
          <w:bCs/>
          <w:sz w:val="32"/>
          <w:szCs w:val="32"/>
        </w:rPr>
        <w:t>社会保障和就业支出（208）行政事业单位养老支出（05）机关事业单位基本养老保险缴费支出（05）</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支出决算为619.9万元，完成预算100.00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，决算数等于预算数的主要原因是严格执行预算制度。</w:t>
      </w:r>
    </w:p>
    <w:p w14:paraId="21430067">
      <w:pPr>
        <w:spacing w:line="600" w:lineRule="exact"/>
        <w:ind w:firstLine="643" w:firstLineChars="200"/>
        <w:rPr>
          <w:rStyle w:val="17"/>
          <w:rFonts w:ascii="仿宋" w:hAnsi="仿宋" w:eastAsia="仿宋"/>
          <w:b w:val="0"/>
          <w:bCs/>
          <w:sz w:val="32"/>
          <w:szCs w:val="32"/>
        </w:rPr>
      </w:pPr>
      <w:r>
        <w:rPr>
          <w:rStyle w:val="17"/>
          <w:rFonts w:ascii="仿宋" w:hAnsi="仿宋" w:eastAsia="仿宋"/>
          <w:bCs/>
          <w:sz w:val="32"/>
          <w:szCs w:val="32"/>
        </w:rPr>
        <w:t>2.</w:t>
      </w:r>
      <w:r>
        <w:rPr>
          <w:rStyle w:val="17"/>
          <w:rFonts w:hint="eastAsia" w:ascii="仿宋" w:hAnsi="仿宋" w:eastAsia="仿宋"/>
          <w:bCs/>
          <w:sz w:val="32"/>
          <w:szCs w:val="32"/>
        </w:rPr>
        <w:t>社会保障和就业支出（208）行政事业单位养老支出（05）机关事业单位职业年金缴费支出（06）</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color w:val="000000" w:themeColor="text1"/>
          <w:sz w:val="32"/>
          <w:szCs w:val="32"/>
          <w14:textFill>
            <w14:solidFill>
              <w14:schemeClr w14:val="tx1"/>
            </w14:solidFill>
          </w14:textFill>
        </w:rPr>
        <w:t>302.25</w:t>
      </w:r>
      <w:r>
        <w:rPr>
          <w:rStyle w:val="17"/>
          <w:rFonts w:hint="eastAsia" w:ascii="仿宋" w:hAnsi="仿宋" w:eastAsia="仿宋"/>
          <w:b w:val="0"/>
          <w:bCs/>
          <w:sz w:val="32"/>
          <w:szCs w:val="32"/>
        </w:rPr>
        <w:t>万元，完成预算100.00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，决算数等于预算数的主要原因是严格执行预算制度。</w:t>
      </w:r>
    </w:p>
    <w:p w14:paraId="616FDB95">
      <w:pPr>
        <w:spacing w:line="600" w:lineRule="exact"/>
        <w:ind w:firstLine="643" w:firstLineChars="200"/>
        <w:rPr>
          <w:rStyle w:val="17"/>
          <w:rFonts w:ascii="仿宋" w:hAnsi="仿宋" w:eastAsia="仿宋"/>
          <w:b w:val="0"/>
          <w:bCs/>
          <w:sz w:val="32"/>
          <w:szCs w:val="32"/>
        </w:rPr>
      </w:pPr>
      <w:r>
        <w:rPr>
          <w:rStyle w:val="17"/>
          <w:rFonts w:hint="eastAsia" w:ascii="仿宋" w:hAnsi="仿宋" w:eastAsia="仿宋"/>
          <w:bCs/>
          <w:sz w:val="32"/>
          <w:szCs w:val="32"/>
        </w:rPr>
        <w:t>3</w:t>
      </w:r>
      <w:r>
        <w:rPr>
          <w:rStyle w:val="17"/>
          <w:rFonts w:ascii="仿宋" w:hAnsi="仿宋" w:eastAsia="仿宋"/>
          <w:bCs/>
          <w:sz w:val="32"/>
          <w:szCs w:val="32"/>
        </w:rPr>
        <w:t>.</w:t>
      </w:r>
      <w:r>
        <w:rPr>
          <w:rStyle w:val="17"/>
          <w:rFonts w:hint="eastAsia" w:ascii="仿宋" w:hAnsi="仿宋" w:eastAsia="仿宋"/>
          <w:bCs/>
          <w:sz w:val="32"/>
          <w:szCs w:val="32"/>
        </w:rPr>
        <w:t>社会保障和就业支出（208）行政事业单位养老支出（05）事业单位离退休（02）</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color w:val="000000" w:themeColor="text1"/>
          <w:sz w:val="32"/>
          <w:szCs w:val="32"/>
          <w14:textFill>
            <w14:solidFill>
              <w14:schemeClr w14:val="tx1"/>
            </w14:solidFill>
          </w14:textFill>
        </w:rPr>
        <w:t>69.71</w:t>
      </w:r>
      <w:r>
        <w:rPr>
          <w:rStyle w:val="17"/>
          <w:rFonts w:hint="eastAsia" w:ascii="仿宋" w:hAnsi="仿宋" w:eastAsia="仿宋"/>
          <w:b w:val="0"/>
          <w:bCs/>
          <w:sz w:val="32"/>
          <w:szCs w:val="32"/>
        </w:rPr>
        <w:t>万元，完成预算100.00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，决算数等于预算数的主要原因是严格执行预算制度。</w:t>
      </w:r>
    </w:p>
    <w:p w14:paraId="346E207F">
      <w:pPr>
        <w:spacing w:line="600" w:lineRule="exact"/>
        <w:ind w:firstLine="643" w:firstLineChars="200"/>
        <w:rPr>
          <w:rStyle w:val="17"/>
          <w:rFonts w:ascii="仿宋" w:hAnsi="仿宋" w:eastAsia="仿宋"/>
          <w:b w:val="0"/>
          <w:bCs/>
          <w:sz w:val="32"/>
          <w:szCs w:val="32"/>
        </w:rPr>
      </w:pPr>
      <w:r>
        <w:rPr>
          <w:rStyle w:val="17"/>
          <w:rFonts w:ascii="仿宋" w:hAnsi="仿宋" w:eastAsia="仿宋"/>
          <w:bCs/>
          <w:sz w:val="32"/>
          <w:szCs w:val="32"/>
        </w:rPr>
        <w:t>3.</w:t>
      </w:r>
      <w:r>
        <w:rPr>
          <w:rStyle w:val="17"/>
          <w:rFonts w:hint="eastAsia" w:ascii="仿宋" w:hAnsi="仿宋" w:eastAsia="仿宋"/>
          <w:bCs/>
          <w:sz w:val="32"/>
          <w:szCs w:val="32"/>
        </w:rPr>
        <w:t>卫生健康支出（210）行政事业单位医疗（11）事业单位医疗（02）</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支出决算为340.9万元，完成预算100.00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，决算数等于预算数的主要原因是严格执行预算制度。</w:t>
      </w:r>
    </w:p>
    <w:p w14:paraId="739A4324">
      <w:pPr>
        <w:spacing w:line="600" w:lineRule="exact"/>
        <w:ind w:firstLine="643" w:firstLineChars="200"/>
        <w:rPr>
          <w:rStyle w:val="17"/>
          <w:rFonts w:ascii="仿宋" w:hAnsi="仿宋" w:eastAsia="仿宋"/>
          <w:b w:val="0"/>
          <w:bCs/>
          <w:sz w:val="32"/>
          <w:szCs w:val="32"/>
        </w:rPr>
      </w:pPr>
      <w:r>
        <w:rPr>
          <w:rStyle w:val="17"/>
          <w:rFonts w:hint="eastAsia" w:ascii="仿宋" w:hAnsi="仿宋" w:eastAsia="仿宋"/>
          <w:bCs/>
          <w:sz w:val="32"/>
          <w:szCs w:val="32"/>
        </w:rPr>
        <w:t>4</w:t>
      </w:r>
      <w:r>
        <w:rPr>
          <w:rStyle w:val="17"/>
          <w:rFonts w:ascii="仿宋" w:hAnsi="仿宋" w:eastAsia="仿宋"/>
          <w:bCs/>
          <w:sz w:val="32"/>
          <w:szCs w:val="32"/>
        </w:rPr>
        <w:t>.</w:t>
      </w:r>
      <w:r>
        <w:rPr>
          <w:rStyle w:val="17"/>
          <w:rFonts w:hint="eastAsia" w:ascii="仿宋" w:hAnsi="仿宋" w:eastAsia="仿宋"/>
          <w:bCs/>
          <w:sz w:val="32"/>
          <w:szCs w:val="32"/>
        </w:rPr>
        <w:t>卫生健康支出（210）行政事业单位医疗（11）其他行政事业单位医疗支出（99）</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支出决算为65.4万元，完成预算100.00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，决算数等于预算数的主要原因是严格执行预算制度。</w:t>
      </w:r>
    </w:p>
    <w:p w14:paraId="29F3464D">
      <w:pPr>
        <w:spacing w:line="600" w:lineRule="exact"/>
        <w:ind w:firstLine="643" w:firstLineChars="200"/>
        <w:rPr>
          <w:rStyle w:val="17"/>
          <w:rFonts w:ascii="仿宋" w:hAnsi="仿宋" w:eastAsia="仿宋"/>
          <w:b w:val="0"/>
          <w:bCs/>
          <w:sz w:val="32"/>
          <w:szCs w:val="32"/>
        </w:rPr>
      </w:pPr>
      <w:r>
        <w:rPr>
          <w:rStyle w:val="17"/>
          <w:rFonts w:hint="eastAsia" w:ascii="仿宋" w:hAnsi="仿宋" w:eastAsia="仿宋"/>
          <w:bCs/>
          <w:sz w:val="32"/>
          <w:szCs w:val="32"/>
        </w:rPr>
        <w:t>5</w:t>
      </w:r>
      <w:r>
        <w:rPr>
          <w:rStyle w:val="17"/>
          <w:rFonts w:ascii="仿宋" w:hAnsi="仿宋" w:eastAsia="仿宋"/>
          <w:bCs/>
          <w:sz w:val="32"/>
          <w:szCs w:val="32"/>
        </w:rPr>
        <w:t>.</w:t>
      </w:r>
      <w:r>
        <w:rPr>
          <w:rStyle w:val="17"/>
          <w:rFonts w:hint="eastAsia" w:ascii="仿宋" w:hAnsi="仿宋" w:eastAsia="仿宋"/>
          <w:bCs/>
          <w:sz w:val="32"/>
          <w:szCs w:val="32"/>
        </w:rPr>
        <w:t>卫生健康支出（210）行政事业单位医疗（11）其他行政事业单位医疗支出（02）</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支出决算为326.97万元，完成预算100.00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，决算数等于预算数的主要原因是严格执行预算制度。</w:t>
      </w:r>
    </w:p>
    <w:p w14:paraId="0BEB8B01">
      <w:pPr>
        <w:spacing w:line="600" w:lineRule="exact"/>
        <w:ind w:firstLine="643" w:firstLineChars="200"/>
        <w:rPr>
          <w:rStyle w:val="17"/>
          <w:rFonts w:ascii="仿宋" w:hAnsi="仿宋" w:eastAsia="仿宋"/>
          <w:b w:val="0"/>
          <w:bCs/>
          <w:sz w:val="32"/>
          <w:szCs w:val="32"/>
        </w:rPr>
      </w:pPr>
      <w:r>
        <w:rPr>
          <w:rStyle w:val="17"/>
          <w:rFonts w:hint="eastAsia" w:ascii="仿宋" w:hAnsi="仿宋" w:eastAsia="仿宋"/>
          <w:bCs/>
          <w:sz w:val="32"/>
          <w:szCs w:val="32"/>
        </w:rPr>
        <w:t>6</w:t>
      </w:r>
      <w:r>
        <w:rPr>
          <w:rStyle w:val="17"/>
          <w:rFonts w:ascii="仿宋" w:hAnsi="仿宋" w:eastAsia="仿宋"/>
          <w:bCs/>
          <w:sz w:val="32"/>
          <w:szCs w:val="32"/>
        </w:rPr>
        <w:t>.</w:t>
      </w:r>
      <w:r>
        <w:rPr>
          <w:rStyle w:val="17"/>
          <w:rFonts w:hint="eastAsia" w:ascii="仿宋" w:hAnsi="仿宋" w:eastAsia="仿宋"/>
          <w:bCs/>
          <w:sz w:val="32"/>
          <w:szCs w:val="32"/>
        </w:rPr>
        <w:t>住房保障支出（221）住房改革支出（02）住房公积金（01）</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支出决算为483.87万元，完成预算100.00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，决算数等于预算数的主要原因是严格执行预算制度。</w:t>
      </w:r>
    </w:p>
    <w:p w14:paraId="09E3CD84">
      <w:pPr>
        <w:spacing w:line="600" w:lineRule="exact"/>
        <w:ind w:firstLine="643" w:firstLineChars="200"/>
        <w:rPr>
          <w:rStyle w:val="17"/>
          <w:rFonts w:ascii="仿宋" w:hAnsi="仿宋" w:eastAsia="仿宋"/>
          <w:b w:val="0"/>
          <w:bCs/>
          <w:sz w:val="32"/>
          <w:szCs w:val="32"/>
        </w:rPr>
      </w:pPr>
      <w:r>
        <w:rPr>
          <w:rStyle w:val="17"/>
          <w:rFonts w:hint="eastAsia" w:ascii="仿宋" w:hAnsi="仿宋" w:eastAsia="仿宋"/>
          <w:bCs/>
          <w:sz w:val="32"/>
          <w:szCs w:val="32"/>
        </w:rPr>
        <w:t>6</w:t>
      </w:r>
      <w:r>
        <w:rPr>
          <w:rStyle w:val="17"/>
          <w:rFonts w:ascii="仿宋" w:hAnsi="仿宋" w:eastAsia="仿宋"/>
          <w:bCs/>
          <w:sz w:val="32"/>
          <w:szCs w:val="32"/>
        </w:rPr>
        <w:t>.</w:t>
      </w:r>
      <w:r>
        <w:rPr>
          <w:rStyle w:val="17"/>
          <w:rFonts w:hint="eastAsia" w:ascii="仿宋" w:hAnsi="仿宋" w:eastAsia="仿宋"/>
          <w:bCs/>
          <w:sz w:val="32"/>
          <w:szCs w:val="32"/>
        </w:rPr>
        <w:t>住房保障支出（221）住房改革支出（02）购房补贴（03）</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w:t>
      </w:r>
      <w:r>
        <w:rPr>
          <w:rStyle w:val="17"/>
          <w:rFonts w:hint="eastAsia" w:ascii="仿宋" w:hAnsi="仿宋" w:eastAsia="仿宋"/>
          <w:b w:val="0"/>
          <w:bCs/>
          <w:color w:val="000000" w:themeColor="text1"/>
          <w:sz w:val="32"/>
          <w:szCs w:val="32"/>
          <w14:textFill>
            <w14:solidFill>
              <w14:schemeClr w14:val="tx1"/>
            </w14:solidFill>
          </w14:textFill>
        </w:rPr>
        <w:t>算为25.6万元，完</w:t>
      </w:r>
      <w:r>
        <w:rPr>
          <w:rStyle w:val="17"/>
          <w:rFonts w:hint="eastAsia" w:ascii="仿宋" w:hAnsi="仿宋" w:eastAsia="仿宋"/>
          <w:b w:val="0"/>
          <w:bCs/>
          <w:sz w:val="32"/>
          <w:szCs w:val="32"/>
        </w:rPr>
        <w:t>成预算100.00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，决算数等于预算数的主要原因是严格执行预算制度。</w:t>
      </w:r>
    </w:p>
    <w:p w14:paraId="234FE32F">
      <w:pPr>
        <w:spacing w:line="600" w:lineRule="exact"/>
        <w:ind w:firstLine="643" w:firstLineChars="200"/>
        <w:rPr>
          <w:rFonts w:ascii="仿宋" w:hAnsi="仿宋" w:eastAsia="仿宋"/>
          <w:b/>
          <w:sz w:val="32"/>
          <w:szCs w:val="32"/>
        </w:rPr>
      </w:pPr>
      <w:r>
        <w:rPr>
          <w:rStyle w:val="17"/>
          <w:rFonts w:hint="eastAsia" w:ascii="仿宋" w:hAnsi="仿宋" w:eastAsia="仿宋"/>
          <w:bCs/>
          <w:sz w:val="32"/>
          <w:szCs w:val="32"/>
        </w:rPr>
        <w:t>7</w:t>
      </w:r>
      <w:r>
        <w:rPr>
          <w:rStyle w:val="17"/>
          <w:rFonts w:ascii="仿宋" w:hAnsi="仿宋" w:eastAsia="仿宋"/>
          <w:bCs/>
          <w:sz w:val="32"/>
          <w:szCs w:val="32"/>
        </w:rPr>
        <w:t>.</w:t>
      </w:r>
      <w:r>
        <w:rPr>
          <w:rStyle w:val="17"/>
          <w:rFonts w:hint="eastAsia" w:ascii="仿宋" w:hAnsi="仿宋" w:eastAsia="仿宋"/>
          <w:bCs/>
          <w:sz w:val="32"/>
          <w:szCs w:val="32"/>
        </w:rPr>
        <w:t>教育支出（205）普通教育（02）初中教育（03）</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支出决算为20.35万元，完成预算100.00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，决算数等于预算数的主要原因是严格执行预算制度。</w:t>
      </w:r>
    </w:p>
    <w:p w14:paraId="5B14B2E1">
      <w:pPr>
        <w:spacing w:line="600" w:lineRule="exact"/>
        <w:ind w:firstLine="643" w:firstLineChars="200"/>
        <w:rPr>
          <w:rStyle w:val="17"/>
          <w:rFonts w:ascii="仿宋" w:hAnsi="仿宋" w:eastAsia="仿宋"/>
          <w:b w:val="0"/>
          <w:bCs/>
          <w:sz w:val="32"/>
          <w:szCs w:val="32"/>
        </w:rPr>
      </w:pPr>
      <w:r>
        <w:rPr>
          <w:rStyle w:val="17"/>
          <w:rFonts w:hint="eastAsia" w:ascii="仿宋" w:hAnsi="仿宋" w:eastAsia="仿宋"/>
          <w:bCs/>
          <w:sz w:val="32"/>
          <w:szCs w:val="32"/>
        </w:rPr>
        <w:t>8</w:t>
      </w:r>
      <w:r>
        <w:rPr>
          <w:rStyle w:val="17"/>
          <w:rFonts w:ascii="仿宋" w:hAnsi="仿宋" w:eastAsia="仿宋"/>
          <w:bCs/>
          <w:sz w:val="32"/>
          <w:szCs w:val="32"/>
        </w:rPr>
        <w:t>.</w:t>
      </w:r>
      <w:r>
        <w:rPr>
          <w:rStyle w:val="17"/>
          <w:rFonts w:hint="eastAsia" w:ascii="仿宋" w:hAnsi="仿宋" w:eastAsia="仿宋"/>
          <w:bCs/>
          <w:sz w:val="32"/>
          <w:szCs w:val="32"/>
        </w:rPr>
        <w:t>教育支出（205）普通教育（02） 高中教育（04）</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支出决算为7722.01万元，完成预算100.00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，决算数等于预算数的主要原因是严格执行预算制度。</w:t>
      </w:r>
    </w:p>
    <w:p w14:paraId="434EA366">
      <w:pPr>
        <w:spacing w:line="600" w:lineRule="exact"/>
        <w:ind w:firstLine="643" w:firstLineChars="200"/>
        <w:rPr>
          <w:rFonts w:eastAsia="仿宋_GB2312" w:cs="仿宋_GB2312"/>
          <w:sz w:val="32"/>
          <w:szCs w:val="32"/>
        </w:rPr>
      </w:pPr>
      <w:r>
        <w:rPr>
          <w:rStyle w:val="17"/>
          <w:rFonts w:hint="eastAsia" w:ascii="仿宋" w:hAnsi="仿宋" w:eastAsia="仿宋"/>
          <w:bCs/>
          <w:sz w:val="32"/>
          <w:szCs w:val="32"/>
        </w:rPr>
        <w:t>9</w:t>
      </w:r>
      <w:r>
        <w:rPr>
          <w:rStyle w:val="17"/>
          <w:rFonts w:ascii="仿宋" w:hAnsi="仿宋" w:eastAsia="仿宋"/>
          <w:bCs/>
          <w:sz w:val="32"/>
          <w:szCs w:val="32"/>
        </w:rPr>
        <w:t>.</w:t>
      </w:r>
      <w:r>
        <w:rPr>
          <w:rStyle w:val="17"/>
          <w:rFonts w:hint="eastAsia" w:ascii="仿宋" w:hAnsi="仿宋" w:eastAsia="仿宋"/>
          <w:bCs/>
          <w:sz w:val="32"/>
          <w:szCs w:val="32"/>
        </w:rPr>
        <w:t>教育支出（205）其他教育支出（99） 其他教育支出（99）:</w:t>
      </w:r>
      <w:r>
        <w:rPr>
          <w:rStyle w:val="17"/>
          <w:rFonts w:hint="eastAsia" w:ascii="仿宋" w:hAnsi="仿宋" w:eastAsia="仿宋"/>
          <w:b w:val="0"/>
          <w:bCs/>
          <w:sz w:val="32"/>
          <w:szCs w:val="32"/>
        </w:rPr>
        <w:t xml:space="preserve"> 支出决算为3万元，完成预算100.00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，决算数等于预算数的主要原因是严格执行预算制度。</w:t>
      </w:r>
    </w:p>
    <w:p w14:paraId="1FDD668F">
      <w:pPr>
        <w:tabs>
          <w:tab w:val="right" w:pos="8306"/>
        </w:tabs>
        <w:spacing w:line="600" w:lineRule="exact"/>
        <w:ind w:firstLine="640"/>
        <w:outlineLvl w:val="1"/>
        <w:rPr>
          <w:rStyle w:val="29"/>
          <w:rFonts w:ascii="Times New Roman" w:hAnsi="Times New Roman"/>
        </w:rPr>
      </w:pPr>
      <w:bookmarkStart w:id="34" w:name="_Toc15377214"/>
      <w:bookmarkStart w:id="35"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4"/>
      <w:bookmarkEnd w:id="35"/>
      <w:r>
        <w:rPr>
          <w:rStyle w:val="29"/>
          <w:rFonts w:ascii="Times New Roman" w:hAnsi="Times New Roman" w:eastAsia="黑体"/>
          <w:b w:val="0"/>
        </w:rPr>
        <w:tab/>
      </w:r>
    </w:p>
    <w:p w14:paraId="254B34AC">
      <w:pPr>
        <w:spacing w:line="600" w:lineRule="exact"/>
        <w:ind w:firstLine="640"/>
        <w:rPr>
          <w:rFonts w:eastAsia="仿宋_GB2312" w:cs="仿宋_GB2312"/>
          <w:sz w:val="32"/>
          <w:szCs w:val="32"/>
        </w:rPr>
      </w:pPr>
      <w:r>
        <w:rPr>
          <w:rFonts w:hint="eastAsia" w:eastAsia="仿宋_GB2312" w:cs="仿宋_GB2312"/>
          <w:sz w:val="32"/>
          <w:szCs w:val="32"/>
        </w:rPr>
        <w:t>2024年度一般公共预算财政拨款基本支出7167.18</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02587DA7">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6716.67万</w:t>
      </w:r>
      <w:r>
        <w:rPr>
          <w:rFonts w:hint="eastAsia" w:eastAsia="仿宋_GB2312" w:cs="仿宋_GB2312"/>
          <w:sz w:val="32"/>
          <w:szCs w:val="32"/>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450.51万</w:t>
      </w:r>
      <w:r>
        <w:rPr>
          <w:rFonts w:hint="eastAsia" w:eastAsia="仿宋_GB2312" w:cs="仿宋_GB2312"/>
          <w:sz w:val="32"/>
          <w:szCs w:val="32"/>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48D8A4A">
      <w:pPr>
        <w:spacing w:line="600" w:lineRule="exact"/>
        <w:ind w:firstLine="640"/>
        <w:outlineLvl w:val="1"/>
        <w:rPr>
          <w:rStyle w:val="29"/>
          <w:rFonts w:ascii="Times New Roman" w:hAnsi="Times New Roman" w:eastAsia="黑体"/>
          <w:b w:val="0"/>
        </w:rPr>
      </w:pPr>
      <w:bookmarkStart w:id="36" w:name="_Toc15377215"/>
      <w:bookmarkStart w:id="37"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6"/>
      <w:bookmarkEnd w:id="37"/>
    </w:p>
    <w:p w14:paraId="07B7084B">
      <w:pPr>
        <w:spacing w:line="600" w:lineRule="exact"/>
        <w:ind w:firstLine="643" w:firstLineChars="200"/>
        <w:outlineLvl w:val="2"/>
        <w:rPr>
          <w:rFonts w:eastAsia="楷体_GB2312" w:cs="楷体_GB2312"/>
          <w:b/>
          <w:sz w:val="32"/>
          <w:szCs w:val="32"/>
        </w:rPr>
      </w:pPr>
      <w:bookmarkStart w:id="38" w:name="_Toc15377216"/>
      <w:r>
        <w:rPr>
          <w:rFonts w:hint="eastAsia" w:eastAsia="楷体_GB2312" w:cs="楷体_GB2312"/>
          <w:b/>
          <w:sz w:val="32"/>
          <w:szCs w:val="32"/>
        </w:rPr>
        <w:t>（一）“三公”经费财政拨款支出决算总体情况说明</w:t>
      </w:r>
      <w:bookmarkEnd w:id="38"/>
    </w:p>
    <w:p w14:paraId="13003C18">
      <w:pPr>
        <w:spacing w:line="600" w:lineRule="exact"/>
        <w:ind w:firstLine="640"/>
        <w:rPr>
          <w:rFonts w:eastAsia="仿宋_GB2312" w:cs="仿宋_GB2312"/>
          <w:b/>
          <w:bCs/>
          <w:sz w:val="32"/>
          <w:szCs w:val="32"/>
        </w:rPr>
      </w:pPr>
      <w:r>
        <w:rPr>
          <w:rFonts w:hint="eastAsia" w:eastAsia="仿宋_GB2312" w:cs="仿宋_GB2312"/>
          <w:sz w:val="32"/>
          <w:szCs w:val="32"/>
        </w:rPr>
        <w:t>2024年度“三公”经费财政拨款支出决算为</w:t>
      </w:r>
      <w:r>
        <w:rPr>
          <w:rFonts w:hint="eastAsia" w:ascii="仿宋_GB2312" w:hAnsi="仿宋_GB2312" w:eastAsia="仿宋_GB2312" w:cs="仿宋_GB2312"/>
          <w:sz w:val="32"/>
          <w:szCs w:val="32"/>
        </w:rPr>
        <w:t>19.02万元，完成预算74.41%，</w:t>
      </w:r>
      <w:r>
        <w:rPr>
          <w:rFonts w:hint="eastAsia" w:eastAsia="仿宋_GB2312" w:cs="仿宋_GB2312"/>
          <w:sz w:val="32"/>
          <w:szCs w:val="32"/>
        </w:rPr>
        <w:t>较上年度增加8.47万元，增长80.28%。决算数小于预算数的主要原因是规范公务接待，厉行节约。</w:t>
      </w:r>
    </w:p>
    <w:p w14:paraId="628B73DE">
      <w:pPr>
        <w:spacing w:line="600" w:lineRule="exact"/>
        <w:ind w:firstLine="643" w:firstLineChars="200"/>
        <w:outlineLvl w:val="2"/>
        <w:rPr>
          <w:rFonts w:eastAsia="楷体_GB2312" w:cs="楷体_GB2312"/>
          <w:b/>
          <w:sz w:val="32"/>
          <w:szCs w:val="32"/>
        </w:rPr>
      </w:pPr>
      <w:bookmarkStart w:id="39" w:name="_Toc15377217"/>
      <w:r>
        <w:rPr>
          <w:rFonts w:hint="eastAsia" w:eastAsia="楷体_GB2312" w:cs="楷体_GB2312"/>
          <w:b/>
          <w:sz w:val="32"/>
          <w:szCs w:val="32"/>
        </w:rPr>
        <w:t>（二）“三公”经费财政拨款支出决算具体情况说明</w:t>
      </w:r>
      <w:bookmarkEnd w:id="39"/>
    </w:p>
    <w:p w14:paraId="59051F4D">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2024年度“三公”经费财政拨款支出决算中，因公出国（境）费支出决算0万元，占0%；公务用车购置及运行维护费支出决算18.03万元，占94.79%；公务接待费支出决算0.99万元，占5.2%。具体情况如下：</w:t>
      </w:r>
    </w:p>
    <w:p w14:paraId="553D9CBE">
      <w:pPr>
        <w:spacing w:line="600" w:lineRule="exact"/>
        <w:ind w:firstLine="640"/>
        <w:rPr>
          <w:rFonts w:hint="eastAsia" w:ascii="仿宋_GB2312" w:hAnsi="仿宋_GB2312" w:eastAsia="仿宋_GB2312" w:cs="仿宋_GB2312"/>
          <w:sz w:val="32"/>
          <w:szCs w:val="32"/>
        </w:rPr>
      </w:pPr>
    </w:p>
    <w:p w14:paraId="323D91CE">
      <w:pPr>
        <w:spacing w:line="600" w:lineRule="exact"/>
        <w:ind w:firstLine="640"/>
        <w:rPr>
          <w:rFonts w:hint="eastAsia" w:ascii="仿宋_GB2312" w:hAnsi="仿宋_GB2312" w:eastAsia="仿宋_GB2312" w:cs="仿宋_GB2312"/>
          <w:sz w:val="32"/>
          <w:szCs w:val="32"/>
        </w:rPr>
      </w:pPr>
    </w:p>
    <w:p w14:paraId="65BDE4D3">
      <w:pPr>
        <w:spacing w:line="60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w:t>
      </w:r>
    </w:p>
    <w:p w14:paraId="736650FE">
      <w:pPr>
        <w:spacing w:line="600" w:lineRule="exact"/>
        <w:ind w:firstLine="640"/>
        <w:rPr>
          <w:rFonts w:hint="eastAsia" w:eastAsia="仿宋_GB2312" w:cs="仿宋_GB2312"/>
          <w:sz w:val="32"/>
          <w:szCs w:val="32"/>
        </w:rPr>
      </w:pPr>
      <w:r>
        <w:rPr>
          <w:rFonts w:hint="eastAsia" w:eastAsia="仿宋_GB2312" w:cs="仿宋_GB2312"/>
          <w:sz w:val="32"/>
          <w:szCs w:val="32"/>
        </w:rPr>
        <w:t>（图7：“三公”经费财政拨款支出结构）（饼状图）</w:t>
      </w:r>
    </w:p>
    <w:p w14:paraId="67500311">
      <w:pPr>
        <w:spacing w:line="600" w:lineRule="exact"/>
        <w:ind w:firstLine="640"/>
        <w:rPr>
          <w:rFonts w:hint="eastAsia" w:eastAsia="仿宋_GB2312" w:cs="仿宋_GB2312"/>
          <w:sz w:val="32"/>
          <w:szCs w:val="32"/>
        </w:rPr>
      </w:pPr>
    </w:p>
    <w:p w14:paraId="3D24E8A0">
      <w:pPr>
        <w:spacing w:line="600" w:lineRule="exact"/>
        <w:ind w:firstLine="640"/>
        <w:rPr>
          <w:rFonts w:hint="eastAsia" w:eastAsia="仿宋_GB2312" w:cs="仿宋_GB2312"/>
          <w:sz w:val="32"/>
          <w:szCs w:val="32"/>
        </w:rPr>
      </w:pPr>
    </w:p>
    <w:p w14:paraId="1300F277">
      <w:pPr>
        <w:spacing w:line="600" w:lineRule="exact"/>
        <w:ind w:firstLine="640"/>
        <w:rPr>
          <w:rFonts w:hint="eastAsia" w:eastAsia="仿宋_GB2312" w:cs="仿宋_GB2312"/>
          <w:sz w:val="32"/>
          <w:szCs w:val="32"/>
        </w:rPr>
      </w:pPr>
    </w:p>
    <w:p w14:paraId="6240F0CB">
      <w:pPr>
        <w:spacing w:afterAutospacing="0" w:line="600" w:lineRule="exact"/>
        <w:ind w:firstLine="640"/>
        <w:rPr>
          <w:rFonts w:hint="eastAsia" w:eastAsia="仿宋_GB2312" w:cs="仿宋_GB2312"/>
          <w:sz w:val="32"/>
          <w:szCs w:val="32"/>
        </w:rPr>
      </w:pPr>
    </w:p>
    <w:p w14:paraId="4EE65FC2">
      <w:pPr>
        <w:spacing w:before="5931" w:beforeLines="1900" w:beforeAutospacing="0" w:after="1563" w:afterLines="501" w:afterAutospacing="0" w:line="600" w:lineRule="exact"/>
        <w:ind w:left="960" w:hanging="960" w:hangingChars="300"/>
        <w:rPr>
          <w:rFonts w:eastAsia="仿宋_GB2312" w:cs="仿宋_GB2312"/>
          <w:sz w:val="32"/>
          <w:szCs w:val="32"/>
        </w:rPr>
      </w:pPr>
      <w:r>
        <w:rPr>
          <w:rFonts w:hint="eastAsia" w:eastAsia="仿宋_GB2312" w:cs="仿宋_GB2312"/>
          <w:sz w:val="32"/>
          <w:szCs w:val="32"/>
          <w:lang w:eastAsia="zh-CN"/>
        </w:rPr>
        <w:drawing>
          <wp:inline distT="0" distB="0" distL="114300" distR="114300">
            <wp:extent cx="5668010" cy="3041015"/>
            <wp:effectExtent l="4445" t="4445" r="12065" b="1778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eastAsia" w:eastAsia="仿宋_GB2312" w:cs="仿宋_GB2312"/>
          <w:b/>
          <w:bCs/>
          <w:sz w:val="32"/>
          <w:szCs w:val="32"/>
        </w:rPr>
        <w:t>1.因公出国（境）经费支出0万元，完成预算0%。</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组0</w:t>
      </w:r>
      <w:r>
        <w:rPr>
          <w:rFonts w:hint="eastAsia" w:eastAsia="仿宋_GB2312" w:cs="仿宋_GB2312"/>
          <w:sz w:val="32"/>
          <w:szCs w:val="32"/>
        </w:rPr>
        <w:t>次，出国（境）</w:t>
      </w:r>
      <w:r>
        <w:rPr>
          <w:rFonts w:hint="eastAsia" w:ascii="仿宋_GB2312" w:hAnsi="仿宋_GB2312" w:eastAsia="仿宋_GB2312" w:cs="仿宋_GB2312"/>
          <w:sz w:val="32"/>
          <w:szCs w:val="32"/>
        </w:rPr>
        <w:t>0人</w:t>
      </w:r>
      <w:r>
        <w:rPr>
          <w:rFonts w:hint="eastAsia" w:eastAsia="仿宋_GB2312" w:cs="仿宋_GB2312"/>
          <w:sz w:val="32"/>
          <w:szCs w:val="32"/>
        </w:rPr>
        <w:t>。因公出国（境）支出决算比2023年持平。</w:t>
      </w:r>
    </w:p>
    <w:p w14:paraId="24B441D6">
      <w:pPr>
        <w:spacing w:line="600" w:lineRule="exact"/>
        <w:ind w:firstLine="321" w:firstLineChars="100"/>
        <w:rPr>
          <w:rFonts w:eastAsia="仿宋_GB2312" w:cs="仿宋_GB2312"/>
          <w:sz w:val="32"/>
          <w:szCs w:val="32"/>
        </w:rPr>
      </w:pPr>
      <w:r>
        <w:rPr>
          <w:rFonts w:hint="eastAsia" w:eastAsia="仿宋_GB2312" w:cs="仿宋_GB2312"/>
          <w:b/>
          <w:bCs/>
          <w:sz w:val="32"/>
          <w:szCs w:val="32"/>
        </w:rPr>
        <w:t>2.公务用车购置及运行维护费支出18.03</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元，完成预算99.72%。</w:t>
      </w:r>
      <w:r>
        <w:rPr>
          <w:rFonts w:hint="eastAsia" w:eastAsia="仿宋_GB2312" w:cs="仿宋_GB2312"/>
          <w:sz w:val="32"/>
          <w:szCs w:val="32"/>
        </w:rPr>
        <w:t>公务用车购置及运行维护费支出决算比2023年度增加7.95万元，增长78.86%。主要原因是对外交流合作、培训、会议等增加。</w:t>
      </w:r>
    </w:p>
    <w:p w14:paraId="076E739B">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出0</w:t>
      </w:r>
      <w:r>
        <w:rPr>
          <w:rFonts w:hint="eastAsia" w:eastAsia="仿宋_GB2312" w:cs="仿宋_GB2312"/>
          <w:sz w:val="32"/>
          <w:szCs w:val="32"/>
        </w:rPr>
        <w:t>万元。全年按规定更新购置公务用车0辆，其中：轿车0辆、金额0万元，越野车0辆、金额0万元，载客汽车0辆、金额0万元。</w:t>
      </w:r>
    </w:p>
    <w:p w14:paraId="0CB5C19D">
      <w:pPr>
        <w:spacing w:line="600" w:lineRule="exact"/>
        <w:ind w:firstLine="640"/>
        <w:rPr>
          <w:rFonts w:eastAsia="仿宋_GB2312" w:cs="仿宋_GB2312"/>
          <w:sz w:val="32"/>
          <w:szCs w:val="32"/>
        </w:rPr>
      </w:pPr>
      <w:r>
        <w:rPr>
          <w:rFonts w:hint="eastAsia" w:eastAsia="仿宋_GB2312" w:cs="仿宋_GB2312"/>
          <w:sz w:val="32"/>
          <w:szCs w:val="32"/>
        </w:rPr>
        <w:t>截至2024年12月31日，单位共有公务用车2辆，其中：轿车0辆、越野车2辆、载客汽车0辆。</w:t>
      </w:r>
    </w:p>
    <w:p w14:paraId="7B83E1CC">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出18.03</w:t>
      </w:r>
      <w:r>
        <w:rPr>
          <w:rFonts w:hint="eastAsia" w:eastAsia="仿宋_GB2312" w:cs="仿宋_GB2312"/>
          <w:sz w:val="32"/>
          <w:szCs w:val="32"/>
        </w:rPr>
        <w:t>万元。主要用教育教学相关所需的公务用车燃料费、维修费、过路过桥费、保险费等支出。</w:t>
      </w:r>
    </w:p>
    <w:p w14:paraId="10674892">
      <w:pPr>
        <w:spacing w:line="600" w:lineRule="exact"/>
        <w:ind w:firstLine="640"/>
        <w:rPr>
          <w:rFonts w:eastAsia="仿宋_GB2312" w:cs="仿宋_GB2312"/>
          <w:sz w:val="32"/>
          <w:szCs w:val="32"/>
        </w:rPr>
      </w:pPr>
      <w:r>
        <w:rPr>
          <w:rFonts w:hint="eastAsia" w:eastAsia="仿宋_GB2312" w:cs="仿宋_GB2312"/>
          <w:b/>
          <w:bCs/>
          <w:sz w:val="32"/>
          <w:szCs w:val="32"/>
        </w:rPr>
        <w:t>3.公务接待费支出0.99</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元，完成预算13.23%。</w:t>
      </w:r>
      <w:r>
        <w:rPr>
          <w:rFonts w:hint="eastAsia" w:eastAsia="仿宋_GB2312" w:cs="仿宋_GB2312"/>
          <w:sz w:val="32"/>
          <w:szCs w:val="32"/>
        </w:rPr>
        <w:t>公务接待费支出决算比2023年度增加0.52万元，增长1.11%。主要原因是对外交流合作增加。其中：</w:t>
      </w:r>
    </w:p>
    <w:p w14:paraId="09B6DF4C">
      <w:pPr>
        <w:spacing w:line="600" w:lineRule="exact"/>
        <w:ind w:firstLine="640"/>
        <w:rPr>
          <w:rFonts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出0.99万</w:t>
      </w:r>
      <w:r>
        <w:rPr>
          <w:rFonts w:hint="eastAsia" w:eastAsia="仿宋_GB2312" w:cs="仿宋_GB2312"/>
          <w:sz w:val="32"/>
          <w:szCs w:val="32"/>
        </w:rPr>
        <w:t>元，主要用于执行公务、开展业务活动开支的交通费、住宿费、用餐费等。国内公务接</w:t>
      </w:r>
      <w:r>
        <w:rPr>
          <w:rFonts w:hint="eastAsia" w:ascii="仿宋_GB2312" w:hAnsi="仿宋_GB2312" w:eastAsia="仿宋_GB2312" w:cs="仿宋_GB2312"/>
          <w:sz w:val="32"/>
          <w:szCs w:val="32"/>
        </w:rPr>
        <w:t>待7批次，83</w:t>
      </w:r>
      <w:r>
        <w:rPr>
          <w:rFonts w:hint="eastAsia" w:eastAsia="仿宋_GB2312" w:cs="仿宋_GB2312"/>
          <w:sz w:val="32"/>
          <w:szCs w:val="32"/>
        </w:rPr>
        <w:t>人次（不包括陪同人员），共计支出0.99万元，具体内容包括：</w:t>
      </w:r>
    </w:p>
    <w:p w14:paraId="3A7EC74A">
      <w:pPr>
        <w:spacing w:line="600" w:lineRule="exact"/>
        <w:ind w:firstLine="640"/>
        <w:rPr>
          <w:rFonts w:eastAsia="仿宋_GB2312" w:cs="仿宋_GB2312"/>
          <w:sz w:val="32"/>
          <w:szCs w:val="32"/>
        </w:rPr>
      </w:pPr>
      <w:r>
        <w:rPr>
          <w:rFonts w:hint="eastAsia" w:eastAsia="仿宋_GB2312" w:cs="仿宋_GB2312"/>
          <w:sz w:val="32"/>
          <w:szCs w:val="32"/>
        </w:rPr>
        <w:t>接待崇州崇庆中学对口帮扶交流活动</w:t>
      </w:r>
      <w:r>
        <w:rPr>
          <w:rFonts w:hint="eastAsia" w:eastAsia="仿宋_GB2312" w:cs="仿宋_GB2312"/>
          <w:sz w:val="32"/>
          <w:szCs w:val="32"/>
        </w:rPr>
        <w:tab/>
      </w:r>
      <w:r>
        <w:rPr>
          <w:rFonts w:hint="eastAsia" w:eastAsia="仿宋_GB2312" w:cs="仿宋_GB2312"/>
          <w:sz w:val="32"/>
          <w:szCs w:val="32"/>
        </w:rPr>
        <w:t>640元</w:t>
      </w:r>
    </w:p>
    <w:p w14:paraId="24E2EAC6">
      <w:pPr>
        <w:spacing w:line="600" w:lineRule="exact"/>
        <w:ind w:firstLine="640"/>
        <w:rPr>
          <w:rFonts w:eastAsia="仿宋_GB2312" w:cs="仿宋_GB2312"/>
          <w:sz w:val="32"/>
          <w:szCs w:val="32"/>
        </w:rPr>
      </w:pPr>
      <w:r>
        <w:rPr>
          <w:rFonts w:hint="eastAsia" w:eastAsia="仿宋_GB2312" w:cs="仿宋_GB2312"/>
          <w:sz w:val="32"/>
          <w:szCs w:val="32"/>
        </w:rPr>
        <w:t>崇庆中学对口帮扶交流活动接待费</w:t>
      </w:r>
      <w:r>
        <w:rPr>
          <w:rFonts w:hint="eastAsia" w:eastAsia="仿宋_GB2312" w:cs="仿宋_GB2312"/>
          <w:sz w:val="32"/>
          <w:szCs w:val="32"/>
        </w:rPr>
        <w:tab/>
      </w:r>
      <w:r>
        <w:rPr>
          <w:rFonts w:hint="eastAsia" w:eastAsia="仿宋_GB2312" w:cs="仿宋_GB2312"/>
          <w:sz w:val="32"/>
          <w:szCs w:val="32"/>
        </w:rPr>
        <w:t>1100元</w:t>
      </w:r>
    </w:p>
    <w:p w14:paraId="39A6D77B">
      <w:pPr>
        <w:spacing w:line="600" w:lineRule="exact"/>
        <w:ind w:firstLine="640"/>
        <w:rPr>
          <w:rFonts w:eastAsia="仿宋_GB2312" w:cs="仿宋_GB2312"/>
          <w:sz w:val="32"/>
          <w:szCs w:val="32"/>
        </w:rPr>
      </w:pPr>
      <w:r>
        <w:rPr>
          <w:rFonts w:hint="eastAsia" w:eastAsia="仿宋_GB2312" w:cs="仿宋_GB2312"/>
          <w:sz w:val="32"/>
          <w:szCs w:val="32"/>
        </w:rPr>
        <w:t>接待崇庆中学，理县中学费用</w:t>
      </w:r>
      <w:r>
        <w:rPr>
          <w:rFonts w:hint="eastAsia" w:eastAsia="仿宋_GB2312" w:cs="仿宋_GB2312"/>
          <w:sz w:val="32"/>
          <w:szCs w:val="32"/>
        </w:rPr>
        <w:tab/>
      </w:r>
      <w:r>
        <w:rPr>
          <w:rFonts w:hint="eastAsia" w:eastAsia="仿宋_GB2312" w:cs="仿宋_GB2312"/>
          <w:sz w:val="32"/>
          <w:szCs w:val="32"/>
        </w:rPr>
        <w:t>2192元</w:t>
      </w:r>
    </w:p>
    <w:p w14:paraId="39CF6DF9">
      <w:pPr>
        <w:spacing w:line="600" w:lineRule="exact"/>
        <w:ind w:firstLine="640"/>
        <w:rPr>
          <w:rFonts w:eastAsia="仿宋_GB2312" w:cs="仿宋_GB2312"/>
          <w:sz w:val="32"/>
          <w:szCs w:val="32"/>
        </w:rPr>
      </w:pPr>
      <w:r>
        <w:rPr>
          <w:rFonts w:hint="eastAsia" w:eastAsia="仿宋_GB2312" w:cs="仿宋_GB2312"/>
          <w:sz w:val="32"/>
          <w:szCs w:val="32"/>
        </w:rPr>
        <w:t>接待崇州崇庆中学</w:t>
      </w:r>
      <w:r>
        <w:rPr>
          <w:rFonts w:hint="eastAsia" w:eastAsia="仿宋_GB2312" w:cs="仿宋_GB2312"/>
          <w:sz w:val="32"/>
          <w:szCs w:val="32"/>
        </w:rPr>
        <w:tab/>
      </w:r>
      <w:r>
        <w:rPr>
          <w:rFonts w:hint="eastAsia" w:eastAsia="仿宋_GB2312" w:cs="仿宋_GB2312"/>
          <w:sz w:val="32"/>
          <w:szCs w:val="32"/>
        </w:rPr>
        <w:t>1500元</w:t>
      </w:r>
    </w:p>
    <w:p w14:paraId="5D9BF7AE">
      <w:pPr>
        <w:spacing w:line="600" w:lineRule="exact"/>
        <w:ind w:firstLine="640"/>
        <w:rPr>
          <w:rFonts w:eastAsia="仿宋_GB2312" w:cs="仿宋_GB2312"/>
          <w:sz w:val="32"/>
          <w:szCs w:val="32"/>
        </w:rPr>
      </w:pPr>
      <w:r>
        <w:rPr>
          <w:rFonts w:hint="eastAsia" w:eastAsia="仿宋_GB2312" w:cs="仿宋_GB2312"/>
          <w:sz w:val="32"/>
          <w:szCs w:val="32"/>
        </w:rPr>
        <w:t>接待绵阳中学交流学习费用</w:t>
      </w:r>
      <w:r>
        <w:rPr>
          <w:rFonts w:hint="eastAsia" w:eastAsia="仿宋_GB2312" w:cs="仿宋_GB2312"/>
          <w:sz w:val="32"/>
          <w:szCs w:val="32"/>
        </w:rPr>
        <w:tab/>
      </w:r>
      <w:r>
        <w:rPr>
          <w:rFonts w:hint="eastAsia" w:eastAsia="仿宋_GB2312" w:cs="仿宋_GB2312"/>
          <w:sz w:val="32"/>
          <w:szCs w:val="32"/>
        </w:rPr>
        <w:t>1400元</w:t>
      </w:r>
    </w:p>
    <w:p w14:paraId="3D13CD6F">
      <w:pPr>
        <w:spacing w:line="600" w:lineRule="exact"/>
        <w:ind w:firstLine="640"/>
        <w:rPr>
          <w:rFonts w:eastAsia="仿宋_GB2312" w:cs="仿宋_GB2312"/>
          <w:sz w:val="32"/>
          <w:szCs w:val="32"/>
        </w:rPr>
      </w:pPr>
      <w:r>
        <w:rPr>
          <w:rFonts w:hint="eastAsia" w:eastAsia="仿宋_GB2312" w:cs="仿宋_GB2312"/>
          <w:sz w:val="32"/>
          <w:szCs w:val="32"/>
        </w:rPr>
        <w:t>接待香城中学教学交流</w:t>
      </w:r>
      <w:r>
        <w:rPr>
          <w:rFonts w:hint="eastAsia" w:eastAsia="仿宋_GB2312" w:cs="仿宋_GB2312"/>
          <w:sz w:val="32"/>
          <w:szCs w:val="32"/>
        </w:rPr>
        <w:tab/>
      </w:r>
      <w:r>
        <w:rPr>
          <w:rFonts w:hint="eastAsia" w:eastAsia="仿宋_GB2312" w:cs="仿宋_GB2312"/>
          <w:sz w:val="32"/>
          <w:szCs w:val="32"/>
        </w:rPr>
        <w:t>1700元</w:t>
      </w:r>
    </w:p>
    <w:p w14:paraId="1CACF7B3">
      <w:pPr>
        <w:spacing w:line="600" w:lineRule="exact"/>
        <w:ind w:firstLine="640"/>
        <w:rPr>
          <w:rFonts w:eastAsia="仿宋_GB2312" w:cs="仿宋_GB2312"/>
          <w:sz w:val="32"/>
          <w:szCs w:val="32"/>
        </w:rPr>
      </w:pPr>
      <w:r>
        <w:rPr>
          <w:rFonts w:hint="eastAsia" w:eastAsia="仿宋_GB2312" w:cs="仿宋_GB2312"/>
          <w:sz w:val="32"/>
          <w:szCs w:val="32"/>
        </w:rPr>
        <w:t>接待绵阳中学一中交流</w:t>
      </w:r>
      <w:r>
        <w:rPr>
          <w:rFonts w:hint="eastAsia" w:eastAsia="仿宋_GB2312" w:cs="仿宋_GB2312"/>
          <w:sz w:val="32"/>
          <w:szCs w:val="32"/>
        </w:rPr>
        <w:tab/>
      </w:r>
      <w:r>
        <w:rPr>
          <w:rFonts w:hint="eastAsia" w:eastAsia="仿宋_GB2312" w:cs="仿宋_GB2312"/>
          <w:sz w:val="32"/>
          <w:szCs w:val="32"/>
        </w:rPr>
        <w:t>1396元</w:t>
      </w:r>
    </w:p>
    <w:p w14:paraId="2A14D95E">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出0万元。外事接待0批次，0人次（不包括陪同人员），共计支出0万</w:t>
      </w:r>
      <w:r>
        <w:rPr>
          <w:rFonts w:hint="eastAsia" w:eastAsia="仿宋_GB2312" w:cs="仿宋_GB2312"/>
          <w:sz w:val="32"/>
          <w:szCs w:val="32"/>
        </w:rPr>
        <w:t>元。</w:t>
      </w:r>
    </w:p>
    <w:p w14:paraId="7B4560DC">
      <w:pPr>
        <w:spacing w:line="600" w:lineRule="exact"/>
        <w:ind w:firstLine="640"/>
        <w:rPr>
          <w:rFonts w:eastAsia="仿宋_GB2312" w:cs="仿宋_GB2312"/>
          <w:sz w:val="32"/>
          <w:szCs w:val="32"/>
        </w:rPr>
      </w:pPr>
      <w:bookmarkStart w:id="40" w:name="_Toc15396610"/>
      <w:bookmarkStart w:id="41" w:name="_Toc15377218"/>
    </w:p>
    <w:p w14:paraId="54507796">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0"/>
      <w:bookmarkEnd w:id="41"/>
    </w:p>
    <w:p w14:paraId="57552814">
      <w:pPr>
        <w:spacing w:line="600" w:lineRule="exact"/>
        <w:ind w:firstLine="640"/>
        <w:rPr>
          <w:rFonts w:eastAsia="仿宋_GB2312" w:cs="仿宋_GB2312"/>
          <w:sz w:val="32"/>
          <w:szCs w:val="32"/>
        </w:rPr>
      </w:pPr>
      <w:r>
        <w:rPr>
          <w:rFonts w:hint="eastAsia" w:eastAsia="仿宋_GB2312" w:cs="仿宋_GB2312"/>
          <w:sz w:val="32"/>
          <w:szCs w:val="32"/>
        </w:rPr>
        <w:t>2024年度政府性基金预算财政拨款支出0万元，占本年支出合计的0%。与2023年度相比，政府性基金预算财政拨款支出</w:t>
      </w:r>
      <w:bookmarkStart w:id="42" w:name="_Toc15377219"/>
      <w:bookmarkStart w:id="43" w:name="_Toc15396611"/>
      <w:r>
        <w:rPr>
          <w:rFonts w:hint="eastAsia" w:eastAsia="仿宋_GB2312" w:cs="仿宋_GB2312"/>
          <w:sz w:val="32"/>
          <w:szCs w:val="32"/>
        </w:rPr>
        <w:t>持平。</w:t>
      </w:r>
    </w:p>
    <w:p w14:paraId="0277DB13">
      <w:pPr>
        <w:spacing w:line="600" w:lineRule="exact"/>
        <w:ind w:left="630"/>
        <w:outlineLvl w:val="1"/>
        <w:rPr>
          <w:rStyle w:val="29"/>
          <w:rFonts w:ascii="Times New Roman" w:hAnsi="Times New Roman" w:eastAsia="黑体"/>
          <w:b w:val="0"/>
        </w:rPr>
      </w:pPr>
      <w:r>
        <w:rPr>
          <w:rStyle w:val="29"/>
          <w:rFonts w:hint="eastAsia" w:ascii="Times New Roman" w:hAnsi="Times New Roman" w:eastAsia="黑体"/>
          <w:b w:val="0"/>
        </w:rPr>
        <w:t>九、国有资本经营预算支出决算情况说明</w:t>
      </w:r>
      <w:bookmarkEnd w:id="42"/>
      <w:bookmarkEnd w:id="43"/>
    </w:p>
    <w:p w14:paraId="0E8C47B1">
      <w:pPr>
        <w:spacing w:line="600" w:lineRule="exact"/>
        <w:ind w:firstLine="640"/>
        <w:rPr>
          <w:rFonts w:eastAsia="仿宋_GB2312" w:cs="仿宋_GB2312"/>
          <w:sz w:val="32"/>
          <w:szCs w:val="32"/>
        </w:rPr>
      </w:pPr>
      <w:r>
        <w:rPr>
          <w:rFonts w:hint="eastAsia" w:eastAsia="仿宋_GB2312" w:cs="仿宋_GB2312"/>
          <w:sz w:val="32"/>
          <w:szCs w:val="32"/>
        </w:rPr>
        <w:t>2024年度国有资本经营预算财政拨款支出0万元，占本年支出合计的0%。与2023年度相比，国有资本经营预算财政拨款支出</w:t>
      </w:r>
      <w:bookmarkStart w:id="44" w:name="_Toc15377221"/>
      <w:bookmarkStart w:id="45" w:name="_Toc15396612"/>
      <w:r>
        <w:rPr>
          <w:rFonts w:hint="eastAsia" w:eastAsia="仿宋_GB2312" w:cs="仿宋_GB2312"/>
          <w:sz w:val="32"/>
          <w:szCs w:val="32"/>
        </w:rPr>
        <w:t>持平。</w:t>
      </w:r>
    </w:p>
    <w:p w14:paraId="72A77CC0">
      <w:pPr>
        <w:spacing w:line="600" w:lineRule="exact"/>
        <w:ind w:left="630"/>
        <w:outlineLvl w:val="1"/>
        <w:rPr>
          <w:rStyle w:val="29"/>
          <w:rFonts w:ascii="Times New Roman" w:hAnsi="Times New Roman" w:eastAsia="黑体"/>
          <w:b w:val="0"/>
          <w:color w:val="000000" w:themeColor="text1"/>
          <w14:textFill>
            <w14:solidFill>
              <w14:schemeClr w14:val="tx1"/>
            </w14:solidFill>
          </w14:textFill>
        </w:rPr>
      </w:pPr>
      <w:r>
        <w:rPr>
          <w:rStyle w:val="29"/>
          <w:rFonts w:hint="eastAsia" w:ascii="Times New Roman" w:hAnsi="Times New Roman" w:eastAsia="黑体"/>
          <w:b w:val="0"/>
          <w:color w:val="000000" w:themeColor="text1"/>
          <w14:textFill>
            <w14:solidFill>
              <w14:schemeClr w14:val="tx1"/>
            </w14:solidFill>
          </w14:textFill>
        </w:rPr>
        <w:t>十、其他重要事项的情况说明</w:t>
      </w:r>
      <w:bookmarkEnd w:id="44"/>
      <w:bookmarkEnd w:id="45"/>
    </w:p>
    <w:p w14:paraId="46FEB6C3">
      <w:pPr>
        <w:spacing w:line="600" w:lineRule="exact"/>
        <w:ind w:firstLine="643" w:firstLineChars="200"/>
        <w:outlineLvl w:val="2"/>
        <w:rPr>
          <w:rFonts w:eastAsia="楷体_GB2312" w:cs="楷体_GB2312"/>
          <w:b/>
          <w:sz w:val="32"/>
          <w:szCs w:val="32"/>
        </w:rPr>
      </w:pPr>
      <w:bookmarkStart w:id="46" w:name="_Toc15377222"/>
      <w:r>
        <w:rPr>
          <w:rFonts w:hint="eastAsia" w:eastAsia="楷体_GB2312" w:cs="楷体_GB2312"/>
          <w:b/>
          <w:sz w:val="32"/>
          <w:szCs w:val="32"/>
        </w:rPr>
        <w:t>（一）机关运行经费支出情况</w:t>
      </w:r>
      <w:bookmarkEnd w:id="46"/>
    </w:p>
    <w:p w14:paraId="44FDD3C6">
      <w:pPr>
        <w:spacing w:line="600" w:lineRule="exact"/>
        <w:ind w:firstLine="640"/>
        <w:rPr>
          <w:rFonts w:eastAsia="仿宋_GB2312" w:cs="仿宋_GB2312"/>
          <w:sz w:val="32"/>
          <w:szCs w:val="32"/>
        </w:rPr>
      </w:pPr>
      <w:r>
        <w:rPr>
          <w:rFonts w:hint="eastAsia" w:eastAsia="仿宋_GB2312" w:cs="仿宋_GB2312"/>
          <w:sz w:val="32"/>
          <w:szCs w:val="32"/>
        </w:rPr>
        <w:t>2024年度</w:t>
      </w:r>
      <w:r>
        <w:rPr>
          <w:rFonts w:hint="eastAsia" w:ascii="仿宋_GB2312" w:hAnsi="仿宋_GB2312" w:eastAsia="仿宋_GB2312" w:cs="仿宋_GB2312"/>
          <w:sz w:val="32"/>
          <w:szCs w:val="32"/>
        </w:rPr>
        <w:t>，四川省马尔康中学校机关运行经费支出0万</w:t>
      </w:r>
      <w:r>
        <w:rPr>
          <w:rFonts w:hint="eastAsia" w:eastAsia="仿宋_GB2312" w:cs="仿宋_GB2312"/>
          <w:sz w:val="32"/>
          <w:szCs w:val="32"/>
        </w:rPr>
        <w:t>元，比2023年度持平。</w:t>
      </w:r>
    </w:p>
    <w:p w14:paraId="7FF0DCF7">
      <w:pPr>
        <w:spacing w:line="600" w:lineRule="exact"/>
        <w:ind w:firstLine="643" w:firstLineChars="200"/>
        <w:outlineLvl w:val="2"/>
        <w:rPr>
          <w:rFonts w:eastAsia="楷体_GB2312" w:cs="楷体_GB2312"/>
          <w:b/>
          <w:sz w:val="32"/>
          <w:szCs w:val="32"/>
        </w:rPr>
      </w:pPr>
      <w:bookmarkStart w:id="47" w:name="_Toc15377223"/>
      <w:r>
        <w:rPr>
          <w:rFonts w:hint="eastAsia" w:eastAsia="楷体_GB2312" w:cs="楷体_GB2312"/>
          <w:b/>
          <w:sz w:val="32"/>
          <w:szCs w:val="32"/>
        </w:rPr>
        <w:t>（二）政府采购支出情况</w:t>
      </w:r>
      <w:bookmarkEnd w:id="47"/>
    </w:p>
    <w:p w14:paraId="5BA6A223">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2024年度，四川省马尔康中学校政府采购支出总额</w:t>
      </w:r>
      <w:r>
        <w:rPr>
          <w:rFonts w:hint="eastAsia" w:ascii="仿宋_GB2312" w:hAnsi="仿宋" w:eastAsia="仿宋_GB2312" w:cs="仿宋"/>
          <w:bCs/>
          <w:sz w:val="32"/>
          <w:szCs w:val="32"/>
        </w:rPr>
        <w:t>1533.08</w:t>
      </w:r>
      <w:r>
        <w:rPr>
          <w:rFonts w:hint="eastAsia" w:ascii="仿宋_GB2312" w:hAnsi="仿宋_GB2312" w:eastAsia="仿宋_GB2312" w:cs="仿宋_GB2312"/>
          <w:sz w:val="32"/>
          <w:szCs w:val="32"/>
        </w:rPr>
        <w:t>万元，其中：政府采购货物支出1104.13万元、政府采购工程支出428.95万元、政府采购服务支出0万元。主要用于西区边坡建设项目，西区设备采购项目，西区食堂改建项目。授予中小企业合同金额1533.08万元，占政府采购支出总额的100%，其中：授予小微企业合同金额1533.08万元，占政府采购支出总额的100%。</w:t>
      </w:r>
    </w:p>
    <w:p w14:paraId="7FD43CD8">
      <w:pPr>
        <w:spacing w:line="600" w:lineRule="exact"/>
        <w:ind w:firstLine="643" w:firstLineChars="200"/>
        <w:outlineLvl w:val="2"/>
        <w:rPr>
          <w:rFonts w:eastAsia="楷体_GB2312" w:cs="楷体_GB2312"/>
          <w:b/>
          <w:sz w:val="32"/>
          <w:szCs w:val="32"/>
        </w:rPr>
      </w:pPr>
      <w:bookmarkStart w:id="48" w:name="_Toc15377224"/>
      <w:r>
        <w:rPr>
          <w:rFonts w:hint="eastAsia" w:eastAsia="楷体_GB2312" w:cs="楷体_GB2312"/>
          <w:b/>
          <w:sz w:val="32"/>
          <w:szCs w:val="32"/>
        </w:rPr>
        <w:t>（三）国有资产占有使用情况</w:t>
      </w:r>
      <w:bookmarkEnd w:id="48"/>
    </w:p>
    <w:p w14:paraId="24BF27A9">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截至2024年12月31日，四川省马尔康中学校共有车辆2辆，其中：主要负责人用车2辆、机要通信用车0辆、应急保障用车0辆、其他用车0辆。单价100万元（含）以上设备（不含车辆）0台（套）</w:t>
      </w:r>
      <w:r>
        <w:rPr>
          <w:rFonts w:hint="eastAsia" w:eastAsia="仿宋_GB2312" w:cs="仿宋_GB2312"/>
          <w:sz w:val="32"/>
          <w:szCs w:val="32"/>
        </w:rPr>
        <w:t>。</w:t>
      </w:r>
    </w:p>
    <w:p w14:paraId="6224A7EB">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609264EE">
      <w:pPr>
        <w:spacing w:line="600" w:lineRule="exact"/>
        <w:ind w:firstLine="640"/>
        <w:rPr>
          <w:rFonts w:eastAsia="仿宋_GB2312" w:cs="仿宋_GB2312"/>
          <w:sz w:val="32"/>
          <w:szCs w:val="32"/>
        </w:rPr>
      </w:pPr>
      <w:r>
        <w:rPr>
          <w:rFonts w:hint="eastAsia" w:eastAsia="仿宋_GB2312" w:cs="仿宋_GB2312"/>
          <w:sz w:val="32"/>
          <w:szCs w:val="32"/>
        </w:rPr>
        <w:t>根据预算绩效管理要求，四川省马尔康中学校在2024年度预算编制阶段，组织对国防教育等8个项目开展了预算事前绩效评估，对8个项目编制了绩效目标，预算执行过程中，选取8个项目开展绩效监控。</w:t>
      </w:r>
    </w:p>
    <w:p w14:paraId="11608BD3">
      <w:pPr>
        <w:spacing w:line="600" w:lineRule="exact"/>
        <w:ind w:firstLine="640"/>
        <w:rPr>
          <w:rFonts w:eastAsia="仿宋_GB2312" w:cs="仿宋_GB2312"/>
          <w:sz w:val="32"/>
          <w:szCs w:val="32"/>
        </w:rPr>
      </w:pPr>
      <w:r>
        <w:rPr>
          <w:rFonts w:hint="eastAsia" w:eastAsia="仿宋_GB2312" w:cs="仿宋_GB2312"/>
          <w:sz w:val="32"/>
          <w:szCs w:val="32"/>
        </w:rPr>
        <w:t>组织对2024年度一般公共预算、政府性基金预算、国有资本经营预算、社会保险基金预算以及资本资产、债券资金等全面开展绩效自评，形成四川省马尔康中学校单位整体绩效自评报告、国防教育等专项预算项目绩效自评报告，其中，四川省马尔康中学校单位整体绩效自评得分为86分，绩效自评综述2024年度年初工作计划及重点工作目标管理符合州委、州政府总体经济和社会发展规划及职责，体现当年重点工作，资金投入相匹配。建立完善了内部控制制度和内部管理制度，并得到有效执行。预算执行情况良好，预算支出和决算支出情况相符。圆满完成了州委州政府、州教育局下达的2024年各项目标任务；整体绩效评价及部门预算项目自评表详见附件。</w:t>
      </w:r>
    </w:p>
    <w:p w14:paraId="39420B09">
      <w:pPr>
        <w:spacing w:line="600" w:lineRule="exact"/>
        <w:jc w:val="center"/>
        <w:outlineLvl w:val="0"/>
        <w:rPr>
          <w:rFonts w:eastAsia="黑体"/>
          <w:sz w:val="44"/>
          <w:szCs w:val="44"/>
        </w:rPr>
      </w:pPr>
      <w:bookmarkStart w:id="49" w:name="_Toc15396613"/>
      <w:bookmarkStart w:id="50" w:name="_Toc15377225"/>
      <w:r>
        <w:rPr>
          <w:rFonts w:hint="eastAsia" w:eastAsia="黑体"/>
          <w:sz w:val="44"/>
          <w:szCs w:val="44"/>
        </w:rPr>
        <w:t>第三部分  名词解释</w:t>
      </w:r>
      <w:bookmarkEnd w:id="49"/>
      <w:bookmarkEnd w:id="50"/>
    </w:p>
    <w:p w14:paraId="2429826F">
      <w:pPr>
        <w:spacing w:line="600" w:lineRule="exact"/>
        <w:jc w:val="left"/>
        <w:rPr>
          <w:b/>
          <w:sz w:val="44"/>
          <w:szCs w:val="44"/>
        </w:rPr>
      </w:pPr>
    </w:p>
    <w:p w14:paraId="4AC3785B">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357F5E58">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27D59279">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51C0235F">
      <w:pPr>
        <w:spacing w:line="600" w:lineRule="exact"/>
        <w:ind w:firstLine="640"/>
        <w:rPr>
          <w:rFonts w:eastAsia="仿宋_GB2312" w:cs="仿宋_GB2312"/>
          <w:sz w:val="32"/>
          <w:szCs w:val="32"/>
        </w:rPr>
      </w:pPr>
      <w:r>
        <w:rPr>
          <w:rFonts w:hint="eastAsia" w:eastAsia="仿宋_GB2312" w:cs="仿宋_GB2312"/>
          <w:sz w:val="32"/>
          <w:szCs w:val="32"/>
        </w:rPr>
        <w:t>4.其他收入：指单位取得的除上述收入以外的各项收入。</w:t>
      </w:r>
    </w:p>
    <w:p w14:paraId="3CF31732">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44EA4D65">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294EA36C">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7CEC7610">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0741A0F2">
      <w:pPr>
        <w:ind w:firstLine="640" w:firstLineChars="200"/>
        <w:rPr>
          <w:rFonts w:ascii="仿宋" w:hAnsi="仿宋" w:eastAsia="仿宋" w:cs="仿宋"/>
          <w:sz w:val="32"/>
          <w:szCs w:val="32"/>
        </w:rPr>
      </w:pPr>
      <w:r>
        <w:rPr>
          <w:rStyle w:val="17"/>
          <w:rFonts w:hint="eastAsia" w:ascii="仿宋" w:hAnsi="仿宋" w:eastAsia="仿宋" w:cs="仿宋"/>
          <w:b w:val="0"/>
          <w:sz w:val="32"/>
          <w:szCs w:val="32"/>
        </w:rPr>
        <w:t>9.社会保障和就业支出（208）行政事业单位养老支出（05）机关事业单位基本养老保险缴费支出（05）</w:t>
      </w:r>
      <w:r>
        <w:rPr>
          <w:rFonts w:ascii="仿宋_GB2312" w:eastAsia="仿宋_GB2312"/>
          <w:sz w:val="32"/>
          <w:szCs w:val="32"/>
        </w:rPr>
        <w:t>:</w:t>
      </w:r>
      <w:r>
        <w:rPr>
          <w:rFonts w:hint="eastAsia" w:ascii="仿宋_GB2312" w:eastAsia="仿宋_GB2312"/>
          <w:sz w:val="32"/>
          <w:szCs w:val="32"/>
        </w:rPr>
        <w:t>指机关事业单位实施养老保险制度由单位缴纳的基本养老保险费支出。</w:t>
      </w:r>
    </w:p>
    <w:p w14:paraId="724D150F">
      <w:pPr>
        <w:spacing w:line="600" w:lineRule="exact"/>
        <w:ind w:firstLine="640" w:firstLineChars="200"/>
        <w:rPr>
          <w:rFonts w:ascii="仿宋_GB2312" w:eastAsia="仿宋_GB2312"/>
          <w:sz w:val="32"/>
          <w:szCs w:val="32"/>
        </w:rPr>
      </w:pPr>
      <w:r>
        <w:rPr>
          <w:rStyle w:val="17"/>
          <w:rFonts w:hint="eastAsia" w:ascii="仿宋" w:hAnsi="仿宋" w:eastAsia="仿宋" w:cs="仿宋"/>
          <w:b w:val="0"/>
          <w:sz w:val="32"/>
          <w:szCs w:val="32"/>
        </w:rPr>
        <w:t xml:space="preserve">10.社会保障和就业支出（208）行政事业单位养老支出（05）机关事业单位职业年金缴费支出（06）: </w:t>
      </w:r>
      <w:r>
        <w:rPr>
          <w:rFonts w:hint="eastAsia" w:ascii="仿宋_GB2312" w:eastAsia="仿宋_GB2312"/>
          <w:sz w:val="32"/>
          <w:szCs w:val="32"/>
        </w:rPr>
        <w:t>指机关事业单位实施养老保险制度由单位实际缴纳的职业年金支出。</w:t>
      </w:r>
    </w:p>
    <w:p w14:paraId="15AE9207">
      <w:pPr>
        <w:spacing w:line="600" w:lineRule="exact"/>
        <w:ind w:firstLine="640" w:firstLineChars="200"/>
        <w:rPr>
          <w:rStyle w:val="17"/>
          <w:rFonts w:ascii="仿宋" w:hAnsi="仿宋" w:eastAsia="仿宋" w:cs="仿宋"/>
          <w:b w:val="0"/>
          <w:sz w:val="32"/>
          <w:szCs w:val="32"/>
        </w:rPr>
      </w:pPr>
      <w:r>
        <w:rPr>
          <w:rStyle w:val="17"/>
          <w:rFonts w:hint="eastAsia" w:ascii="仿宋" w:hAnsi="仿宋" w:eastAsia="仿宋" w:cs="仿宋"/>
          <w:b w:val="0"/>
          <w:sz w:val="32"/>
          <w:szCs w:val="32"/>
        </w:rPr>
        <w:t xml:space="preserve">11.卫生健康支出（210）行政事业单位医疗（11）事业单位医疗（02）: </w:t>
      </w:r>
      <w:r>
        <w:rPr>
          <w:rFonts w:hint="eastAsia" w:ascii="仿宋_GB2312" w:eastAsia="仿宋_GB2312"/>
          <w:sz w:val="32"/>
          <w:szCs w:val="32"/>
        </w:rPr>
        <w:t>指财政部门安排的事业单位基本医疗保险缴费经费，未参加医疗保险的事业单位的公费医疗经费，按国家规定享受离休人员待遇的医疗经费。</w:t>
      </w:r>
    </w:p>
    <w:p w14:paraId="3CFAF8C0">
      <w:pPr>
        <w:ind w:firstLine="640" w:firstLineChars="200"/>
        <w:rPr>
          <w:rStyle w:val="17"/>
          <w:rFonts w:ascii="仿宋" w:hAnsi="仿宋" w:eastAsia="仿宋" w:cs="仿宋"/>
          <w:b w:val="0"/>
          <w:sz w:val="32"/>
          <w:szCs w:val="32"/>
        </w:rPr>
      </w:pPr>
      <w:r>
        <w:rPr>
          <w:rStyle w:val="17"/>
          <w:rFonts w:hint="eastAsia" w:ascii="仿宋" w:hAnsi="仿宋" w:eastAsia="仿宋" w:cs="仿宋"/>
          <w:b w:val="0"/>
          <w:sz w:val="32"/>
          <w:szCs w:val="32"/>
        </w:rPr>
        <w:t xml:space="preserve">12.住房保障支出（221）住房改革支出（02）住房公积金（01）: </w:t>
      </w:r>
      <w:r>
        <w:rPr>
          <w:rFonts w:hint="eastAsia" w:ascii="仿宋_GB2312" w:eastAsia="仿宋_GB2312"/>
          <w:sz w:val="32"/>
          <w:szCs w:val="32"/>
        </w:rPr>
        <w:t>指行政事业单位按人力资源和社会保障部、财政部规定基本工资和津贴补贴以及规定比例为职工缴纳的住房公积金</w:t>
      </w:r>
      <w:r>
        <w:rPr>
          <w:rStyle w:val="17"/>
          <w:rFonts w:hint="eastAsia" w:ascii="仿宋" w:hAnsi="仿宋" w:eastAsia="仿宋" w:cs="仿宋"/>
          <w:b w:val="0"/>
          <w:sz w:val="32"/>
          <w:szCs w:val="32"/>
        </w:rPr>
        <w:t>。</w:t>
      </w:r>
    </w:p>
    <w:p w14:paraId="2120C052">
      <w:pPr>
        <w:spacing w:line="600" w:lineRule="exact"/>
        <w:ind w:firstLine="640" w:firstLineChars="200"/>
        <w:rPr>
          <w:rStyle w:val="17"/>
          <w:rFonts w:ascii="仿宋" w:hAnsi="仿宋" w:eastAsia="仿宋" w:cs="仿宋"/>
          <w:b w:val="0"/>
          <w:sz w:val="32"/>
          <w:szCs w:val="32"/>
        </w:rPr>
      </w:pPr>
      <w:r>
        <w:rPr>
          <w:rStyle w:val="17"/>
          <w:rFonts w:hint="eastAsia" w:ascii="仿宋" w:hAnsi="仿宋" w:eastAsia="仿宋" w:cs="仿宋"/>
          <w:b w:val="0"/>
          <w:sz w:val="32"/>
          <w:szCs w:val="32"/>
        </w:rPr>
        <w:t>13.住房保障支出（221）住房改革支出（02）购房补贴（03）:指按房改革政策规定，行政事业单位向符合条件职工（含离退休人员）、军队（含武警）向转役复员离退修人员发放的用于购买住房的补贴。</w:t>
      </w:r>
    </w:p>
    <w:p w14:paraId="7A1E72C2">
      <w:pPr>
        <w:spacing w:line="600" w:lineRule="exact"/>
        <w:ind w:firstLine="640" w:firstLineChars="200"/>
        <w:rPr>
          <w:rFonts w:ascii="仿宋" w:hAnsi="仿宋" w:eastAsia="仿宋" w:cs="仿宋"/>
          <w:sz w:val="32"/>
          <w:szCs w:val="32"/>
        </w:rPr>
      </w:pPr>
      <w:r>
        <w:rPr>
          <w:rStyle w:val="17"/>
          <w:rFonts w:hint="eastAsia" w:ascii="仿宋" w:hAnsi="仿宋" w:eastAsia="仿宋" w:cs="仿宋"/>
          <w:b w:val="0"/>
          <w:sz w:val="32"/>
          <w:szCs w:val="32"/>
        </w:rPr>
        <w:t>14.教育支出（205）普通教育（02）初中教育（03）:指反映各部门举办的初中教育支出。政府各部门对社会组织等举办的初中的资助，如捐赠、补贴等，也在本科目中反映。</w:t>
      </w:r>
    </w:p>
    <w:p w14:paraId="4DD9E8D4">
      <w:pPr>
        <w:spacing w:line="600" w:lineRule="exact"/>
        <w:ind w:firstLine="640" w:firstLineChars="200"/>
        <w:rPr>
          <w:rStyle w:val="17"/>
          <w:rFonts w:ascii="仿宋" w:hAnsi="仿宋" w:eastAsia="仿宋" w:cs="仿宋"/>
          <w:b w:val="0"/>
          <w:sz w:val="32"/>
          <w:szCs w:val="32"/>
        </w:rPr>
      </w:pPr>
      <w:r>
        <w:rPr>
          <w:rStyle w:val="17"/>
          <w:rFonts w:hint="eastAsia" w:ascii="仿宋" w:hAnsi="仿宋" w:eastAsia="仿宋" w:cs="仿宋"/>
          <w:b w:val="0"/>
          <w:sz w:val="32"/>
          <w:szCs w:val="32"/>
        </w:rPr>
        <w:t>15.教育支出（205）普通教育（02） 高中教育（04）:指各部门举办的普通高中教育支出。政府各部门对社会组织等举办的普通高中的资助，如捐赠、补贴等，也在本科目中反映。</w:t>
      </w:r>
    </w:p>
    <w:p w14:paraId="052E0E98">
      <w:pPr>
        <w:spacing w:line="600" w:lineRule="exact"/>
        <w:ind w:firstLine="640"/>
        <w:rPr>
          <w:rFonts w:eastAsia="仿宋_GB2312" w:cs="仿宋_GB2312"/>
          <w:sz w:val="32"/>
          <w:szCs w:val="32"/>
        </w:rPr>
      </w:pPr>
      <w:r>
        <w:rPr>
          <w:rFonts w:hint="eastAsia" w:eastAsia="仿宋_GB2312" w:cs="仿宋_GB2312"/>
          <w:sz w:val="32"/>
          <w:szCs w:val="32"/>
        </w:rPr>
        <w:t>16.基本支出：指为保障机构正常运转、完成日常工作任务而发生的人员支出和公用支出。</w:t>
      </w:r>
    </w:p>
    <w:p w14:paraId="197A8D98">
      <w:pPr>
        <w:spacing w:line="600" w:lineRule="exact"/>
        <w:ind w:firstLine="640"/>
        <w:rPr>
          <w:rFonts w:eastAsia="仿宋_GB2312" w:cs="仿宋_GB2312"/>
          <w:sz w:val="32"/>
          <w:szCs w:val="32"/>
        </w:rPr>
      </w:pPr>
      <w:r>
        <w:rPr>
          <w:rFonts w:hint="eastAsia" w:eastAsia="仿宋_GB2312" w:cs="仿宋_GB2312"/>
          <w:sz w:val="32"/>
          <w:szCs w:val="32"/>
        </w:rPr>
        <w:t xml:space="preserve">17.项目支出：指在基本支出之外为完成特定行政任务和事业发展目标所发生的支出。 </w:t>
      </w:r>
    </w:p>
    <w:p w14:paraId="03461E05">
      <w:pPr>
        <w:spacing w:line="600" w:lineRule="exact"/>
        <w:ind w:firstLine="640"/>
        <w:rPr>
          <w:rFonts w:eastAsia="仿宋_GB2312" w:cs="仿宋_GB2312"/>
          <w:sz w:val="32"/>
          <w:szCs w:val="32"/>
        </w:rPr>
      </w:pPr>
      <w:r>
        <w:rPr>
          <w:rFonts w:hint="eastAsia" w:eastAsia="仿宋_GB2312" w:cs="仿宋_GB2312"/>
          <w:sz w:val="32"/>
          <w:szCs w:val="32"/>
        </w:rPr>
        <w:t>18.经营支出：指事业单位在专业业务活动及其辅助活动之外开展非独立核算经营活动发生的支出。</w:t>
      </w:r>
    </w:p>
    <w:p w14:paraId="5D87B3A1">
      <w:pPr>
        <w:spacing w:line="600" w:lineRule="exact"/>
        <w:ind w:firstLine="640"/>
        <w:rPr>
          <w:rFonts w:eastAsia="仿宋_GB2312" w:cs="仿宋_GB2312"/>
          <w:sz w:val="32"/>
          <w:szCs w:val="32"/>
        </w:rPr>
      </w:pPr>
      <w:r>
        <w:rPr>
          <w:rFonts w:hint="eastAsia" w:eastAsia="仿宋_GB2312" w:cs="仿宋_GB2312"/>
          <w:sz w:val="32"/>
          <w:szCs w:val="32"/>
        </w:rPr>
        <w:t>20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B8CF753">
      <w:pPr>
        <w:spacing w:line="600" w:lineRule="exact"/>
        <w:ind w:firstLine="640"/>
        <w:rPr>
          <w:rFonts w:eastAsia="仿宋_GB2312" w:cs="仿宋_GB2312"/>
          <w:sz w:val="32"/>
          <w:szCs w:val="32"/>
        </w:rPr>
      </w:pPr>
      <w:r>
        <w:rPr>
          <w:rFonts w:hint="eastAsia" w:eastAsia="仿宋_GB2312" w:cs="仿宋_GB2312"/>
          <w:sz w:val="32"/>
          <w:szCs w:val="32"/>
        </w:rPr>
        <w:t>21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6FF058">
      <w:pPr>
        <w:spacing w:line="578" w:lineRule="exact"/>
        <w:contextualSpacing/>
        <w:rPr>
          <w:rFonts w:eastAsia="黑体"/>
          <w:szCs w:val="32"/>
          <w:lang w:val="zh-CN"/>
        </w:rPr>
      </w:pPr>
      <w:bookmarkStart w:id="51" w:name="_Toc15377226"/>
      <w:r>
        <w:rPr>
          <w:rFonts w:hint="eastAsia" w:eastAsia="仿宋_GB2312" w:cs="仿宋_GB2312"/>
          <w:sz w:val="32"/>
          <w:szCs w:val="32"/>
        </w:rPr>
        <w:br w:type="page"/>
      </w:r>
      <w:bookmarkStart w:id="52" w:name="_Toc15396614"/>
    </w:p>
    <w:p w14:paraId="72ED0E06">
      <w:pPr>
        <w:widowControl/>
        <w:spacing w:line="578" w:lineRule="exact"/>
        <w:contextualSpacing/>
        <w:rPr>
          <w:b/>
          <w:sz w:val="44"/>
          <w:szCs w:val="44"/>
          <w:shd w:val="clear" w:color="auto" w:fill="FFFFFF"/>
        </w:rPr>
      </w:pPr>
    </w:p>
    <w:p w14:paraId="39835554">
      <w:pPr>
        <w:widowControl/>
        <w:adjustRightInd w:val="0"/>
        <w:snapToGrid w:val="0"/>
        <w:spacing w:line="578" w:lineRule="exact"/>
        <w:ind w:firstLine="640" w:firstLineChars="200"/>
        <w:contextualSpacing/>
        <w:jc w:val="center"/>
        <w:rPr>
          <w:rFonts w:hint="eastAsia" w:eastAsia="仿宋_GB2312" w:cs="仿宋_GB2312"/>
          <w:sz w:val="32"/>
          <w:szCs w:val="32"/>
        </w:rPr>
      </w:pPr>
      <w:r>
        <w:rPr>
          <w:rFonts w:hint="eastAsia" w:eastAsia="仿宋_GB2312" w:cs="仿宋_GB2312"/>
          <w:sz w:val="32"/>
          <w:szCs w:val="32"/>
        </w:rPr>
        <w:t>四川省马尔康中学校绩效评价报告</w:t>
      </w:r>
    </w:p>
    <w:p w14:paraId="0EF330B9">
      <w:pPr>
        <w:widowControl/>
        <w:adjustRightInd w:val="0"/>
        <w:snapToGrid w:val="0"/>
        <w:spacing w:line="578" w:lineRule="exact"/>
        <w:ind w:firstLine="640" w:firstLineChars="200"/>
        <w:contextualSpacing/>
        <w:jc w:val="left"/>
        <w:rPr>
          <w:rFonts w:hint="eastAsia" w:eastAsia="仿宋_GB2312" w:cs="仿宋_GB2312"/>
          <w:sz w:val="32"/>
          <w:szCs w:val="32"/>
        </w:rPr>
      </w:pPr>
    </w:p>
    <w:p w14:paraId="28D85BBE">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lang w:val="zh-CN"/>
        </w:rPr>
        <w:t>一、部门（单位）基本情况</w:t>
      </w:r>
    </w:p>
    <w:p w14:paraId="5ED6EB93">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lang w:val="zh-CN"/>
        </w:rPr>
        <w:t>（一）机构组成。</w:t>
      </w:r>
      <w:r>
        <w:rPr>
          <w:rFonts w:hint="eastAsia" w:eastAsia="仿宋_GB2312" w:cs="仿宋_GB2312"/>
          <w:sz w:val="32"/>
          <w:szCs w:val="32"/>
        </w:rPr>
        <w:t>四川省马尔康中学校为州教育局直属正县级公益一类事业单位。内设8个职能部门，分别为：办公室、教务处、德育处、保卫处、总务处、艺体卫处、教科室、人事处。</w:t>
      </w:r>
    </w:p>
    <w:p w14:paraId="606908EE">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lang w:val="zh-CN"/>
        </w:rPr>
        <w:t>（二）机构职能。</w:t>
      </w:r>
      <w:r>
        <w:rPr>
          <w:rFonts w:hint="eastAsia" w:eastAsia="仿宋_GB2312" w:cs="仿宋_GB2312"/>
          <w:sz w:val="32"/>
          <w:szCs w:val="32"/>
        </w:rPr>
        <w:t>我校坚决贯彻落实中央省委州委关于教育工作系列决策部署，始终不忘立德树人初心，牢记为党育人为国育才使命，坚持“五育并举”，积极开展教育人才“组团式”帮扶工作，深化成阿、绵阿合作，加强与成都七中、成都四中、绵阳中学、崇州市崇庆中学等名校的帮扶合作，稳步推进学校各项工作再上新台阶。</w:t>
      </w:r>
    </w:p>
    <w:p w14:paraId="6DD784DA">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课程实施：执行国家课程方案和课程标准，开齐开足各类课程（学科类、综合实践、校本课程等），保障教育教学质量。</w:t>
      </w:r>
    </w:p>
    <w:p w14:paraId="6A8D5264">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教学管理：组织备课、授课、作业批改、考试评价等教学环节，推进教学改革（如“双减”政策下的课堂提质增效）。</w:t>
      </w:r>
    </w:p>
    <w:p w14:paraId="1E3E01B8">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教研活动：开展校本教研、教师培训，促进教师专业发展，提升教学水平。</w:t>
      </w:r>
    </w:p>
    <w:p w14:paraId="76B67326">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德育工作：开展思想政治教育、社会主义核心价值观教育、心理健康教育及法治教育等。</w:t>
      </w:r>
    </w:p>
    <w:p w14:paraId="245A87BE">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 xml:space="preserve">综合素质培养：组织体育、艺术、科技、劳动教育等活动，促进学生全面发展。 </w:t>
      </w:r>
    </w:p>
    <w:p w14:paraId="5D06665D">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 xml:space="preserve">个性化辅导：关注学生个体差异，提供学业指导、生涯规划。 </w:t>
      </w:r>
    </w:p>
    <w:p w14:paraId="49AB0AC5">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 xml:space="preserve">制度执行：落实教育行政部门政策，制定并实施学校规章制度（如安全管理制度、考勤制度等）。 </w:t>
      </w:r>
    </w:p>
    <w:p w14:paraId="2322BDAB">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 xml:space="preserve">后勤保障：管理校舍、设施设备、财务及食堂等，确保校园安全与正常运行。 </w:t>
      </w:r>
    </w:p>
    <w:p w14:paraId="306BB8BA">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 xml:space="preserve">家校协同：建立家长委员会，开展家校沟通，建立膳食委员会和膳食监督家长委员会，保障校园食品安全，协同家庭教育（如家长学校、家访等）。 </w:t>
      </w:r>
    </w:p>
    <w:p w14:paraId="09C3D2E1">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 xml:space="preserve">教育公平：落实义务教育免试就近入学、资助贫困生等政策，保障教育机会均等。 </w:t>
      </w:r>
    </w:p>
    <w:p w14:paraId="68BCC179">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 xml:space="preserve">特色办学：发展科技、艺术、体育等特色项目。 </w:t>
      </w:r>
    </w:p>
    <w:p w14:paraId="4331936E">
      <w:pPr>
        <w:widowControl/>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信息化建设：推动智慧校园建设，利用信息技术优化教学与管理。</w:t>
      </w:r>
    </w:p>
    <w:p w14:paraId="39536EF4">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lang w:val="zh-CN"/>
        </w:rPr>
        <w:t>（三）人员概况。</w:t>
      </w:r>
      <w:r>
        <w:rPr>
          <w:rFonts w:hint="eastAsia" w:eastAsia="仿宋_GB2312" w:cs="仿宋_GB2312"/>
          <w:sz w:val="32"/>
          <w:szCs w:val="32"/>
        </w:rPr>
        <w:t>截止2024年末，我校人员编制数280名，年末在编230人。</w:t>
      </w:r>
    </w:p>
    <w:p w14:paraId="1ABDFE26">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二、部门资金收支情况</w:t>
      </w:r>
    </w:p>
    <w:p w14:paraId="5754384E">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lang w:val="zh-CN"/>
        </w:rPr>
        <w:t>（一）收入情况。</w:t>
      </w:r>
      <w:r>
        <w:rPr>
          <w:rFonts w:hint="eastAsia" w:eastAsia="仿宋_GB2312" w:cs="仿宋_GB2312"/>
          <w:sz w:val="32"/>
          <w:szCs w:val="32"/>
        </w:rPr>
        <w:t>四川省马尔康中学校2023年年初预算收入78,826,812.76元、决算报表收入96,390,458.70万元。</w:t>
      </w:r>
    </w:p>
    <w:p w14:paraId="0D3CCCD1">
      <w:pPr>
        <w:widowControl/>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（二）支出情况。</w:t>
      </w:r>
      <w:r>
        <w:rPr>
          <w:rFonts w:hint="eastAsia" w:eastAsia="仿宋_GB2312" w:cs="仿宋_GB2312"/>
          <w:sz w:val="32"/>
          <w:szCs w:val="32"/>
        </w:rPr>
        <w:t>四川省马尔康中学校2023年年初预算支出78,826,812.76元、决算报表支出96,390,458.70元。</w:t>
      </w:r>
    </w:p>
    <w:p w14:paraId="5A99DE4D">
      <w:pPr>
        <w:widowControl/>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（三）</w:t>
      </w:r>
      <w:r>
        <w:rPr>
          <w:rFonts w:hint="eastAsia" w:eastAsia="仿宋_GB2312" w:cs="仿宋_GB2312"/>
          <w:sz w:val="32"/>
          <w:szCs w:val="32"/>
        </w:rPr>
        <w:t>结余分配和结转结余情况。四川省马尔康中学校2024年结转结余546.48万元。</w:t>
      </w:r>
    </w:p>
    <w:p w14:paraId="080834B3">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三、部门预算绩效分析</w:t>
      </w:r>
    </w:p>
    <w:p w14:paraId="2D8A0A6C">
      <w:pPr>
        <w:widowControl/>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（一）部门预算总体绩效分析。</w:t>
      </w:r>
    </w:p>
    <w:p w14:paraId="059CEEB0">
      <w:pPr>
        <w:widowControl/>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1.</w:t>
      </w:r>
      <w:r>
        <w:rPr>
          <w:rFonts w:hint="eastAsia" w:eastAsia="仿宋_GB2312" w:cs="仿宋_GB2312"/>
          <w:sz w:val="32"/>
          <w:szCs w:val="32"/>
          <w:lang w:val="zh-CN"/>
        </w:rPr>
        <w:t>履职效能。</w:t>
      </w:r>
      <w:r>
        <w:rPr>
          <w:rFonts w:hint="eastAsia" w:eastAsia="仿宋_GB2312" w:cs="仿宋_GB2312"/>
          <w:sz w:val="32"/>
          <w:szCs w:val="32"/>
        </w:rPr>
        <w:t>我校2024年教育教学任务完满完成。较好的推动了“五育并举”工作，遵循国家“双减”及教育部“五项管理”要求</w:t>
      </w:r>
      <w:r>
        <w:rPr>
          <w:rFonts w:hint="eastAsia" w:eastAsia="仿宋_GB2312" w:cs="仿宋_GB2312"/>
          <w:sz w:val="32"/>
          <w:szCs w:val="32"/>
          <w:lang w:val="zh-CN"/>
        </w:rPr>
        <w:t>。</w:t>
      </w:r>
    </w:p>
    <w:p w14:paraId="4269F17E">
      <w:pPr>
        <w:widowControl/>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2.</w:t>
      </w:r>
      <w:r>
        <w:rPr>
          <w:rFonts w:hint="eastAsia" w:eastAsia="仿宋_GB2312" w:cs="仿宋_GB2312"/>
          <w:sz w:val="32"/>
          <w:szCs w:val="32"/>
          <w:lang w:val="zh-CN"/>
        </w:rPr>
        <w:t>预算管理。</w:t>
      </w:r>
      <w:r>
        <w:rPr>
          <w:rFonts w:hint="eastAsia" w:eastAsia="仿宋_GB2312" w:cs="仿宋_GB2312"/>
          <w:sz w:val="32"/>
          <w:szCs w:val="32"/>
        </w:rPr>
        <w:t>我校严格按照财政等部门的相关要求，压缩支出、节能减排、合理安排规划部门年度预算。部门预算执行过程严格按照财政相关要求办理，无违规等情况。</w:t>
      </w:r>
    </w:p>
    <w:p w14:paraId="6FE39906">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3.</w:t>
      </w:r>
      <w:r>
        <w:rPr>
          <w:rFonts w:hint="eastAsia" w:eastAsia="仿宋_GB2312" w:cs="仿宋_GB2312"/>
          <w:sz w:val="32"/>
          <w:szCs w:val="32"/>
          <w:lang w:val="zh-CN"/>
        </w:rPr>
        <w:t>财务管理。</w:t>
      </w:r>
      <w:r>
        <w:rPr>
          <w:rFonts w:hint="eastAsia" w:eastAsia="仿宋_GB2312" w:cs="仿宋_GB2312"/>
          <w:sz w:val="32"/>
          <w:szCs w:val="32"/>
        </w:rPr>
        <w:t>我校严格执行“收支两条线”，编制年度预算并报教育主管部门审批。预算优先保障教育教学、学生资助、校园安全等核心需求。公用经费：用于教育教学、教师培训、设备维护等日常开支。 专项经费：如基建、设备采购等需专款专用，无挪用情况。人员经费：教师工资、社保等由财政统发。</w:t>
      </w:r>
    </w:p>
    <w:p w14:paraId="20594EF5">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严禁行为：私设“小金库”、乱收费、挪用专项经费等。</w:t>
      </w:r>
    </w:p>
    <w:p w14:paraId="24D261A7">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 xml:space="preserve">重点监管领域：项目建设资金、食堂账目、课后服务费、捐赠资金等易发生风险的环节。   </w:t>
      </w:r>
    </w:p>
    <w:p w14:paraId="01FFCBFB">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 xml:space="preserve">信息化管理：逐步推行电子化财务系统，提高透明度和效率。   </w:t>
      </w:r>
    </w:p>
    <w:p w14:paraId="21777254">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4.</w:t>
      </w:r>
      <w:r>
        <w:rPr>
          <w:rFonts w:hint="eastAsia" w:eastAsia="仿宋_GB2312" w:cs="仿宋_GB2312"/>
          <w:sz w:val="32"/>
          <w:szCs w:val="32"/>
          <w:lang w:val="zh-CN"/>
        </w:rPr>
        <w:t>资产管理。</w:t>
      </w:r>
      <w:r>
        <w:rPr>
          <w:rFonts w:hint="eastAsia" w:eastAsia="仿宋_GB2312" w:cs="仿宋_GB2312"/>
          <w:sz w:val="32"/>
          <w:szCs w:val="32"/>
        </w:rPr>
        <w:t>我校截止2023年12月30日，资产原值共计57527245.41元，2024年增加资产原值14512164.90元，截止2024年12月30日，我校资产原值共计72039410.31元，2024年人均资产变化率为25.23%。经统计并结合财政部门对资产使用年限标准，我校部分资产使用已超过实际规定使用年限，充分发挥资产效能，为学校的教育高质量发展创造价值。我校坚持能用则用、节约、高效的原则，对低效资产进行维护维修持续利用率较高。目前我校资产管理状况良好，但需进一步加强资产管理，积极主动对接上级主管部门，及时盘点，对低效资产或无法继续使用资产报废处置工作。</w:t>
      </w:r>
    </w:p>
    <w:p w14:paraId="0896807F">
      <w:pPr>
        <w:widowControl/>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5.</w:t>
      </w:r>
      <w:r>
        <w:rPr>
          <w:rFonts w:hint="eastAsia" w:eastAsia="仿宋_GB2312" w:cs="仿宋_GB2312"/>
          <w:sz w:val="32"/>
          <w:szCs w:val="32"/>
          <w:lang w:val="zh-CN"/>
        </w:rPr>
        <w:t>采购管理。</w:t>
      </w:r>
      <w:r>
        <w:rPr>
          <w:rFonts w:hint="eastAsia" w:eastAsia="仿宋_GB2312" w:cs="仿宋_GB2312"/>
          <w:sz w:val="32"/>
          <w:szCs w:val="32"/>
        </w:rPr>
        <w:t>根据上级主管部门要求，我校积极落实面向中小企业预留采购份额，并在财政预算平台完成“面向中小企业”的勾选。据统计，2024年政府采购项目共计14个项目，其中微型企业6个，占比42.86%，小型企业8个，占比57.14%，充分体现我校严格落实政策，来年将持续加大面向中小企业的预留份额。2024年计划政府采购项目14个，最终完成14个采购项目，采购计划完成率100%，其中整体按时交付12个，占比85.71%，未按时完成交付2个，因招投标过程中商家质疑、生成周期长等原因导致，占比14.29%。在以后的采购预算中，进一步加强面向中小企业预留份额，扶持中小企业发展，为社会发展提供有力保障，同时，学校也要加强采购文件的编制，减少商家质疑环节，提前完成采购计划完成率和按时交付率。</w:t>
      </w:r>
    </w:p>
    <w:p w14:paraId="6188A353">
      <w:pPr>
        <w:widowControl/>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（二）部门预算项目绩效分析。</w:t>
      </w:r>
      <w:r>
        <w:rPr>
          <w:rFonts w:hint="eastAsia" w:eastAsia="仿宋_GB2312" w:cs="仿宋_GB2312"/>
          <w:sz w:val="32"/>
          <w:szCs w:val="32"/>
        </w:rPr>
        <w:t>常年项目绩效分析。</w:t>
      </w:r>
      <w:r>
        <w:rPr>
          <w:rFonts w:hint="eastAsia" w:eastAsia="仿宋_GB2312" w:cs="仿宋_GB2312"/>
          <w:sz w:val="32"/>
          <w:szCs w:val="32"/>
          <w:lang w:val="zh-CN"/>
        </w:rPr>
        <w:t>该类项目总数</w:t>
      </w:r>
      <w:r>
        <w:rPr>
          <w:rFonts w:hint="eastAsia" w:eastAsia="仿宋_GB2312" w:cs="仿宋_GB2312"/>
          <w:sz w:val="32"/>
          <w:szCs w:val="32"/>
        </w:rPr>
        <w:t>8</w:t>
      </w:r>
      <w:r>
        <w:rPr>
          <w:rFonts w:hint="eastAsia" w:eastAsia="仿宋_GB2312" w:cs="仿宋_GB2312"/>
          <w:sz w:val="32"/>
          <w:szCs w:val="32"/>
          <w:lang w:val="zh-CN"/>
        </w:rPr>
        <w:t>个，涉及预算总金额</w:t>
      </w:r>
      <w:r>
        <w:rPr>
          <w:rFonts w:hint="eastAsia" w:eastAsia="仿宋_GB2312" w:cs="仿宋_GB2312"/>
          <w:sz w:val="32"/>
          <w:szCs w:val="32"/>
        </w:rPr>
        <w:t xml:space="preserve"> 679.47</w:t>
      </w:r>
      <w:r>
        <w:rPr>
          <w:rFonts w:hint="eastAsia" w:eastAsia="仿宋_GB2312" w:cs="仿宋_GB2312"/>
          <w:sz w:val="32"/>
          <w:szCs w:val="32"/>
          <w:lang w:val="zh-CN"/>
        </w:rPr>
        <w:t>万元，1—1</w:t>
      </w:r>
      <w:r>
        <w:rPr>
          <w:rFonts w:hint="eastAsia" w:eastAsia="仿宋_GB2312" w:cs="仿宋_GB2312"/>
          <w:sz w:val="32"/>
          <w:szCs w:val="32"/>
        </w:rPr>
        <w:t>2</w:t>
      </w:r>
      <w:r>
        <w:rPr>
          <w:rFonts w:hint="eastAsia" w:eastAsia="仿宋_GB2312" w:cs="仿宋_GB2312"/>
          <w:sz w:val="32"/>
          <w:szCs w:val="32"/>
          <w:lang w:val="zh-CN"/>
        </w:rPr>
        <w:t>月预算执行</w:t>
      </w:r>
      <w:r>
        <w:rPr>
          <w:rFonts w:hint="eastAsia" w:eastAsia="仿宋_GB2312" w:cs="仿宋_GB2312"/>
          <w:sz w:val="32"/>
          <w:szCs w:val="32"/>
        </w:rPr>
        <w:t>总金额为679.36万元，</w:t>
      </w:r>
      <w:r>
        <w:rPr>
          <w:rFonts w:hint="eastAsia" w:eastAsia="仿宋_GB2312" w:cs="仿宋_GB2312"/>
          <w:sz w:val="32"/>
          <w:szCs w:val="32"/>
          <w:lang w:val="zh-CN"/>
        </w:rPr>
        <w:t>总体进度为</w:t>
      </w:r>
      <w:r>
        <w:rPr>
          <w:rFonts w:hint="eastAsia" w:eastAsia="仿宋_GB2312" w:cs="仿宋_GB2312"/>
          <w:sz w:val="32"/>
          <w:szCs w:val="32"/>
        </w:rPr>
        <w:t xml:space="preserve"> 99.98  </w:t>
      </w:r>
      <w:r>
        <w:rPr>
          <w:rFonts w:hint="eastAsia" w:eastAsia="仿宋_GB2312" w:cs="仿宋_GB2312"/>
          <w:sz w:val="32"/>
          <w:szCs w:val="32"/>
          <w:lang w:val="zh-CN"/>
        </w:rPr>
        <w:t>%，其中：预算结余率大于</w:t>
      </w:r>
      <w:r>
        <w:rPr>
          <w:rFonts w:hint="eastAsia" w:eastAsia="仿宋_GB2312" w:cs="仿宋_GB2312"/>
          <w:sz w:val="32"/>
          <w:szCs w:val="32"/>
        </w:rPr>
        <w:t>10%</w:t>
      </w:r>
      <w:r>
        <w:rPr>
          <w:rFonts w:hint="eastAsia" w:eastAsia="仿宋_GB2312" w:cs="仿宋_GB2312"/>
          <w:sz w:val="32"/>
          <w:szCs w:val="32"/>
          <w:lang w:val="zh-CN"/>
        </w:rPr>
        <w:t>的项目共计</w:t>
      </w:r>
      <w:r>
        <w:rPr>
          <w:rFonts w:hint="eastAsia" w:eastAsia="仿宋_GB2312" w:cs="仿宋_GB2312"/>
          <w:sz w:val="32"/>
          <w:szCs w:val="32"/>
        </w:rPr>
        <w:t>0</w:t>
      </w:r>
      <w:r>
        <w:rPr>
          <w:rFonts w:hint="eastAsia" w:eastAsia="仿宋_GB2312" w:cs="仿宋_GB2312"/>
          <w:sz w:val="32"/>
          <w:szCs w:val="32"/>
          <w:lang w:val="zh-CN"/>
        </w:rPr>
        <w:t>个。</w:t>
      </w:r>
    </w:p>
    <w:p w14:paraId="3331525C">
      <w:pPr>
        <w:widowControl/>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阶段（一次性）项目绩效分析。</w:t>
      </w:r>
      <w:r>
        <w:rPr>
          <w:rFonts w:hint="eastAsia" w:eastAsia="仿宋_GB2312" w:cs="仿宋_GB2312"/>
          <w:sz w:val="32"/>
          <w:szCs w:val="32"/>
          <w:lang w:val="zh-CN"/>
        </w:rPr>
        <w:t>该类项目总数</w:t>
      </w:r>
      <w:r>
        <w:rPr>
          <w:rFonts w:hint="eastAsia" w:eastAsia="仿宋_GB2312" w:cs="仿宋_GB2312"/>
          <w:sz w:val="32"/>
          <w:szCs w:val="32"/>
        </w:rPr>
        <w:t>5</w:t>
      </w:r>
      <w:r>
        <w:rPr>
          <w:rFonts w:hint="eastAsia" w:eastAsia="仿宋_GB2312" w:cs="仿宋_GB2312"/>
          <w:sz w:val="32"/>
          <w:szCs w:val="32"/>
          <w:lang w:val="zh-CN"/>
        </w:rPr>
        <w:t>个，涉及预算总金额</w:t>
      </w:r>
      <w:r>
        <w:rPr>
          <w:rFonts w:hint="eastAsia" w:eastAsia="仿宋_GB2312" w:cs="仿宋_GB2312"/>
          <w:sz w:val="32"/>
          <w:szCs w:val="32"/>
        </w:rPr>
        <w:t>2596.45</w:t>
      </w:r>
      <w:r>
        <w:rPr>
          <w:rFonts w:hint="eastAsia" w:eastAsia="仿宋_GB2312" w:cs="仿宋_GB2312"/>
          <w:sz w:val="32"/>
          <w:szCs w:val="32"/>
          <w:lang w:val="zh-CN"/>
        </w:rPr>
        <w:t>万元，1—1</w:t>
      </w:r>
      <w:r>
        <w:rPr>
          <w:rFonts w:hint="eastAsia" w:eastAsia="仿宋_GB2312" w:cs="仿宋_GB2312"/>
          <w:sz w:val="32"/>
          <w:szCs w:val="32"/>
        </w:rPr>
        <w:t>2</w:t>
      </w:r>
      <w:r>
        <w:rPr>
          <w:rFonts w:hint="eastAsia" w:eastAsia="仿宋_GB2312" w:cs="仿宋_GB2312"/>
          <w:sz w:val="32"/>
          <w:szCs w:val="32"/>
          <w:lang w:val="zh-CN"/>
        </w:rPr>
        <w:t>月预算执行</w:t>
      </w:r>
      <w:r>
        <w:rPr>
          <w:rFonts w:hint="eastAsia" w:eastAsia="仿宋_GB2312" w:cs="仿宋_GB2312"/>
          <w:sz w:val="32"/>
          <w:szCs w:val="32"/>
        </w:rPr>
        <w:t>总金额为1996.55万元，</w:t>
      </w:r>
      <w:r>
        <w:rPr>
          <w:rFonts w:hint="eastAsia" w:eastAsia="仿宋_GB2312" w:cs="仿宋_GB2312"/>
          <w:sz w:val="32"/>
          <w:szCs w:val="32"/>
          <w:lang w:val="zh-CN"/>
        </w:rPr>
        <w:t>总体进度为</w:t>
      </w:r>
      <w:r>
        <w:rPr>
          <w:rFonts w:hint="eastAsia" w:eastAsia="仿宋_GB2312" w:cs="仿宋_GB2312"/>
          <w:sz w:val="32"/>
          <w:szCs w:val="32"/>
        </w:rPr>
        <w:t>76.89</w:t>
      </w:r>
      <w:r>
        <w:rPr>
          <w:rFonts w:hint="eastAsia" w:eastAsia="仿宋_GB2312" w:cs="仿宋_GB2312"/>
          <w:sz w:val="32"/>
          <w:szCs w:val="32"/>
          <w:lang w:val="zh-CN"/>
        </w:rPr>
        <w:t>%，其中：预算结余率大于</w:t>
      </w:r>
      <w:r>
        <w:rPr>
          <w:rFonts w:hint="eastAsia" w:eastAsia="仿宋_GB2312" w:cs="仿宋_GB2312"/>
          <w:sz w:val="32"/>
          <w:szCs w:val="32"/>
        </w:rPr>
        <w:t>10%</w:t>
      </w:r>
      <w:r>
        <w:rPr>
          <w:rFonts w:hint="eastAsia" w:eastAsia="仿宋_GB2312" w:cs="仿宋_GB2312"/>
          <w:sz w:val="32"/>
          <w:szCs w:val="32"/>
          <w:lang w:val="zh-CN"/>
        </w:rPr>
        <w:t>的项目共计</w:t>
      </w:r>
      <w:r>
        <w:rPr>
          <w:rFonts w:hint="eastAsia" w:eastAsia="仿宋_GB2312" w:cs="仿宋_GB2312"/>
          <w:sz w:val="32"/>
          <w:szCs w:val="32"/>
        </w:rPr>
        <w:t>3</w:t>
      </w:r>
      <w:r>
        <w:rPr>
          <w:rFonts w:hint="eastAsia" w:eastAsia="仿宋_GB2312" w:cs="仿宋_GB2312"/>
          <w:sz w:val="32"/>
          <w:szCs w:val="32"/>
          <w:lang w:val="zh-CN"/>
        </w:rPr>
        <w:t>个，</w:t>
      </w:r>
      <w:r>
        <w:rPr>
          <w:rFonts w:hint="eastAsia" w:eastAsia="仿宋_GB2312" w:cs="仿宋_GB2312"/>
          <w:sz w:val="32"/>
          <w:szCs w:val="32"/>
        </w:rPr>
        <w:t>具体为营养餐项目、西区设备采购项目、西区边坡治理项目</w:t>
      </w:r>
      <w:r>
        <w:rPr>
          <w:rFonts w:hint="eastAsia" w:eastAsia="仿宋_GB2312" w:cs="仿宋_GB2312"/>
          <w:sz w:val="32"/>
          <w:szCs w:val="32"/>
          <w:lang w:val="zh-CN"/>
        </w:rPr>
        <w:t>。</w:t>
      </w:r>
    </w:p>
    <w:p w14:paraId="700F909F">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zh-CN"/>
        </w:rPr>
        <w:t>项目决策。我校预算内</w:t>
      </w:r>
      <w:r>
        <w:rPr>
          <w:rFonts w:hint="eastAsia" w:eastAsia="仿宋_GB2312" w:cs="仿宋_GB2312"/>
          <w:sz w:val="32"/>
          <w:szCs w:val="32"/>
        </w:rPr>
        <w:t>项目决策程序严谨，项目设立、调整延续等方面符合资金管理基本规范和决策程序要求；项目规划论证符合国家要求，项目绩效目标设置科学合理，项目规划符合中央、省委省政府有关决策部署安排；充分评估论证项目立项必要性、前瞻性、合理性和可行性；资金投向与项目总体规划、相关行业事业发展相匹配；聚焦重大任务、重点领域、重点环节和重点项目，体现“集中财力办大事”原则。</w:t>
      </w:r>
    </w:p>
    <w:p w14:paraId="13CE4352">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2.项目执行</w:t>
      </w:r>
      <w:r>
        <w:rPr>
          <w:rFonts w:hint="eastAsia" w:eastAsia="仿宋_GB2312" w:cs="仿宋_GB2312"/>
          <w:sz w:val="32"/>
          <w:szCs w:val="32"/>
          <w:lang w:val="zh-CN"/>
        </w:rPr>
        <w:t>。</w:t>
      </w:r>
      <w:r>
        <w:rPr>
          <w:rFonts w:hint="eastAsia" w:eastAsia="仿宋_GB2312" w:cs="仿宋_GB2312"/>
          <w:sz w:val="32"/>
          <w:szCs w:val="32"/>
        </w:rPr>
        <w:t>项目预算申报数为2752.48万元，项目执行数为2080.34万元。预算完成率75.58%。资金执行率较去年相比较为提升。</w:t>
      </w:r>
    </w:p>
    <w:p w14:paraId="5573CD22">
      <w:pPr>
        <w:widowControl/>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3.</w:t>
      </w:r>
      <w:r>
        <w:rPr>
          <w:rFonts w:hint="eastAsia" w:eastAsia="仿宋_GB2312" w:cs="仿宋_GB2312"/>
          <w:sz w:val="32"/>
          <w:szCs w:val="32"/>
          <w:lang w:val="zh-CN"/>
        </w:rPr>
        <w:t>目标实现。项目的实施圆满完成目标。资金事业使用效益高。</w:t>
      </w:r>
      <w:r>
        <w:rPr>
          <w:rFonts w:hint="eastAsia" w:eastAsia="仿宋_GB2312" w:cs="仿宋_GB2312"/>
          <w:sz w:val="32"/>
          <w:szCs w:val="32"/>
        </w:rPr>
        <w:t>资金投向与项目总体规划、相关行业事业发展相匹配；聚焦重大任务、重点领域、重点环节和重点项目，体现“集中财力办大事”原则</w:t>
      </w:r>
    </w:p>
    <w:p w14:paraId="7CB3A993">
      <w:pPr>
        <w:widowControl/>
        <w:adjustRightInd w:val="0"/>
        <w:snapToGrid w:val="0"/>
        <w:spacing w:line="578" w:lineRule="exact"/>
        <w:ind w:firstLine="640" w:firstLineChars="200"/>
        <w:contextualSpacing/>
        <w:jc w:val="left"/>
        <w:rPr>
          <w:rFonts w:hint="eastAsia" w:eastAsia="仿宋_GB2312" w:cs="仿宋_GB2312"/>
          <w:sz w:val="32"/>
          <w:szCs w:val="32"/>
        </w:rPr>
      </w:pPr>
    </w:p>
    <w:p w14:paraId="5AB0B924">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lang w:val="zh-CN"/>
        </w:rPr>
        <w:t>（三）绩效结果应用情况。</w:t>
      </w:r>
      <w:r>
        <w:rPr>
          <w:rFonts w:hint="eastAsia" w:eastAsia="仿宋_GB2312" w:cs="仿宋_GB2312"/>
          <w:sz w:val="32"/>
          <w:szCs w:val="32"/>
        </w:rPr>
        <w:t>我单位将进一步优化完善实施方案和绩效目标，加强运行监控，节约财政资金并提高资金使用效益，有效促进预算绩效管理水平的不断提升。</w:t>
      </w:r>
    </w:p>
    <w:p w14:paraId="5FC98CF0">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四、评价结论及建议</w:t>
      </w:r>
    </w:p>
    <w:p w14:paraId="18945B94">
      <w:pPr>
        <w:widowControl/>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（一）评价结论。</w:t>
      </w:r>
      <w:r>
        <w:rPr>
          <w:rFonts w:hint="eastAsia" w:eastAsia="仿宋_GB2312" w:cs="仿宋_GB2312"/>
          <w:sz w:val="32"/>
          <w:szCs w:val="32"/>
        </w:rPr>
        <w:t>2024年度年初工作计划及重点工作目标管理符合州委、州政府总体经济和社会发展规划及职责，体现当年重点工作，资金投入相匹配。建立完善了内部控制制度和内部管理制度，并得到有效执行。预算执行情况良好，预算支出和决算支出情况相符。圆满完成了州委州政府、州教育局下达的2024年各项目标任务。绩效自评得分86分。</w:t>
      </w:r>
    </w:p>
    <w:p w14:paraId="56990F5C">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lang w:val="zh-CN"/>
        </w:rPr>
        <w:t>（二）存在问题。</w:t>
      </w:r>
      <w:r>
        <w:rPr>
          <w:rFonts w:hint="eastAsia" w:eastAsia="仿宋_GB2312" w:cs="仿宋_GB2312"/>
          <w:sz w:val="32"/>
          <w:szCs w:val="32"/>
        </w:rPr>
        <w:t>预算编制精准度还不够，预算执行中预算调剂以及预算结转结余金额较大。</w:t>
      </w:r>
    </w:p>
    <w:p w14:paraId="54244428">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lang w:val="zh-CN"/>
        </w:rPr>
        <w:t>（三）改进建议。</w:t>
      </w:r>
      <w:r>
        <w:rPr>
          <w:rFonts w:hint="eastAsia" w:eastAsia="仿宋_GB2312" w:cs="仿宋_GB2312"/>
          <w:sz w:val="32"/>
          <w:szCs w:val="32"/>
        </w:rPr>
        <w:t>进一步加强学习，提高绩效管理意识。组织相关人员认真学习《预算法》及全面预算绩效管理等相关法律、法规和制度，进一步加强财务管理，增强财务人员的预算意识，坚持“先预算后支出、没有预算不支出”。预算编制前根据年度内单位可预见的工作任务，确定单位年度预算目标，细化预算指标，科学合理编制部门预算。规范会计核算，提高绩效管理意识，开展项目事前绩效评估、过程绩效监控及事后绩效评价，重视项目实施效果统计分析，使绩效管理理念贯穿于预算管理全过程。在以后工作中，我校将加强预算管理和财务管理，一是进一步健全和完善财务管理制度及内控制度，创新管理手段，用新思想、新方法，改进完善财务管理方法。二是按照财政支出绩效管理的要求，建立科学的财政资金效益考评制度体系，不断提高财政资金使用管理的水平和效率。</w:t>
      </w:r>
    </w:p>
    <w:p w14:paraId="44561E13">
      <w:pPr>
        <w:widowControl/>
        <w:adjustRightInd w:val="0"/>
        <w:snapToGrid w:val="0"/>
        <w:spacing w:line="578" w:lineRule="exact"/>
        <w:ind w:firstLine="640" w:firstLineChars="200"/>
        <w:contextualSpacing/>
        <w:jc w:val="left"/>
        <w:rPr>
          <w:rFonts w:hint="eastAsia" w:eastAsia="仿宋_GB2312" w:cs="仿宋_GB2312"/>
          <w:sz w:val="32"/>
          <w:szCs w:val="32"/>
          <w:lang w:val="en"/>
        </w:rPr>
      </w:pPr>
    </w:p>
    <w:p w14:paraId="4E66434A">
      <w:pPr>
        <w:widowControl/>
        <w:adjustRightInd w:val="0"/>
        <w:snapToGrid w:val="0"/>
        <w:spacing w:line="578" w:lineRule="exact"/>
        <w:ind w:firstLine="640" w:firstLineChars="200"/>
        <w:contextualSpacing/>
        <w:jc w:val="left"/>
        <w:rPr>
          <w:rFonts w:hint="eastAsia" w:eastAsia="仿宋_GB2312" w:cs="仿宋_GB2312"/>
          <w:sz w:val="32"/>
          <w:szCs w:val="32"/>
        </w:rPr>
      </w:pPr>
    </w:p>
    <w:p w14:paraId="7307EE97">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附表：1.部门预算绩效自评打分表</w:t>
      </w:r>
    </w:p>
    <w:p w14:paraId="793E1A23">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2.部门整体绩效目标完成情况自评表</w:t>
      </w:r>
    </w:p>
    <w:p w14:paraId="5F7AF05F">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3.部门预算项目支出绩效评价表（2024年度）</w:t>
      </w:r>
    </w:p>
    <w:p w14:paraId="0ED5B61A">
      <w:pPr>
        <w:widowControl/>
        <w:adjustRightInd w:val="0"/>
        <w:snapToGrid w:val="0"/>
        <w:spacing w:line="578" w:lineRule="exact"/>
        <w:ind w:firstLine="640" w:firstLineChars="200"/>
        <w:contextualSpacing/>
        <w:jc w:val="left"/>
        <w:rPr>
          <w:rFonts w:eastAsia="黑体"/>
        </w:rPr>
      </w:pPr>
      <w:r>
        <w:rPr>
          <w:rFonts w:hint="eastAsia" w:eastAsia="仿宋_GB2312" w:cs="仿宋_GB2312"/>
          <w:sz w:val="32"/>
          <w:szCs w:val="32"/>
        </w:rPr>
        <w:br w:type="page"/>
      </w:r>
      <w:r>
        <w:rPr>
          <w:rFonts w:eastAsia="黑体"/>
        </w:rPr>
        <w:t>附表</w:t>
      </w:r>
      <w:r>
        <w:rPr>
          <w:rFonts w:hint="eastAsia" w:eastAsia="黑体"/>
        </w:rPr>
        <w:t>1</w:t>
      </w:r>
    </w:p>
    <w:p w14:paraId="06EB8AD4">
      <w:pPr>
        <w:widowControl/>
        <w:spacing w:line="600" w:lineRule="exact"/>
        <w:jc w:val="center"/>
        <w:textAlignment w:val="center"/>
        <w:rPr>
          <w:rFonts w:eastAsia="方正小标宋简体"/>
          <w:color w:val="000000"/>
          <w:kern w:val="0"/>
          <w:sz w:val="44"/>
          <w:szCs w:val="44"/>
          <w:lang w:bidi="ar"/>
        </w:rPr>
      </w:pPr>
      <w:r>
        <w:rPr>
          <w:rFonts w:hint="eastAsia" w:eastAsia="方正小标宋简体"/>
          <w:color w:val="000000"/>
          <w:kern w:val="0"/>
          <w:sz w:val="44"/>
          <w:szCs w:val="44"/>
          <w:lang w:bidi="ar"/>
        </w:rPr>
        <w:t>部门预算绩效自评打分表</w:t>
      </w:r>
    </w:p>
    <w:tbl>
      <w:tblPr>
        <w:tblStyle w:val="15"/>
        <w:tblW w:w="10819" w:type="dxa"/>
        <w:jc w:val="center"/>
        <w:tblLayout w:type="fixed"/>
        <w:tblCellMar>
          <w:top w:w="0" w:type="dxa"/>
          <w:left w:w="108" w:type="dxa"/>
          <w:bottom w:w="0" w:type="dxa"/>
          <w:right w:w="108" w:type="dxa"/>
        </w:tblCellMar>
      </w:tblPr>
      <w:tblGrid>
        <w:gridCol w:w="1004"/>
        <w:gridCol w:w="1462"/>
        <w:gridCol w:w="1665"/>
        <w:gridCol w:w="720"/>
        <w:gridCol w:w="4734"/>
        <w:gridCol w:w="756"/>
        <w:gridCol w:w="478"/>
      </w:tblGrid>
      <w:tr w14:paraId="399A1E88">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CD4F11">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D0B01">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695398DA">
            <w:pPr>
              <w:widowControl/>
              <w:spacing w:line="240" w:lineRule="exact"/>
              <w:jc w:val="center"/>
              <w:textAlignment w:val="center"/>
              <w:rPr>
                <w:rFonts w:ascii="黑体" w:hAnsi="宋体" w:eastAsia="黑体" w:cs="黑体"/>
                <w:color w:val="000000"/>
                <w:kern w:val="0"/>
                <w:sz w:val="24"/>
                <w:lang w:bidi="ar"/>
              </w:rPr>
            </w:pPr>
            <w:r>
              <w:rPr>
                <w:rFonts w:hint="eastAsia" w:ascii="黑体" w:hAnsi="宋体" w:eastAsia="黑体" w:cs="黑体"/>
                <w:color w:val="000000"/>
                <w:kern w:val="0"/>
                <w:sz w:val="24"/>
                <w:lang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0A8E77A2">
            <w:pPr>
              <w:widowControl/>
              <w:spacing w:line="240" w:lineRule="exact"/>
              <w:jc w:val="center"/>
              <w:textAlignment w:val="center"/>
              <w:rPr>
                <w:rFonts w:ascii="黑体" w:hAnsi="宋体" w:eastAsia="黑体" w:cs="黑体"/>
                <w:color w:val="000000"/>
                <w:kern w:val="0"/>
                <w:sz w:val="24"/>
                <w:lang w:bidi="ar"/>
              </w:rPr>
            </w:pPr>
            <w:r>
              <w:rPr>
                <w:rFonts w:hint="eastAsia" w:ascii="黑体" w:hAnsi="宋体" w:eastAsia="黑体" w:cs="黑体"/>
                <w:color w:val="000000"/>
                <w:kern w:val="0"/>
                <w:sz w:val="24"/>
                <w:lang w:bidi="ar"/>
              </w:rPr>
              <w:t>备注</w:t>
            </w:r>
          </w:p>
        </w:tc>
      </w:tr>
      <w:tr w14:paraId="5C938E66">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6B199003">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DC5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8970">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13E9E">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w:t>
            </w:r>
            <w:r>
              <w:rPr>
                <w:rFonts w:hint="eastAsia" w:ascii="黑体" w:hAnsi="宋体" w:eastAsia="黑体" w:cs="黑体"/>
                <w:color w:val="000000"/>
                <w:kern w:val="0"/>
                <w:sz w:val="24"/>
                <w:lang w:bidi="ar"/>
              </w:rPr>
              <w:br w:type="textWrapping"/>
            </w:r>
            <w:r>
              <w:rPr>
                <w:rFonts w:hint="eastAsia" w:ascii="黑体" w:hAnsi="宋体" w:eastAsia="黑体" w:cs="黑体"/>
                <w:color w:val="000000"/>
                <w:kern w:val="0"/>
                <w:sz w:val="24"/>
                <w:lang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B6B65">
            <w:pPr>
              <w:widowControl/>
              <w:spacing w:line="240" w:lineRule="exact"/>
              <w:jc w:val="center"/>
              <w:rPr>
                <w:rFonts w:ascii="黑体" w:hAnsi="宋体" w:eastAsia="黑体" w:cs="黑体"/>
                <w:color w:val="000000"/>
                <w:sz w:val="24"/>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6950676C">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3B365892">
            <w:pPr>
              <w:widowControl/>
              <w:spacing w:line="240" w:lineRule="exact"/>
              <w:jc w:val="center"/>
              <w:rPr>
                <w:rFonts w:ascii="黑体" w:hAnsi="宋体" w:eastAsia="黑体" w:cs="黑体"/>
                <w:color w:val="000000"/>
                <w:sz w:val="24"/>
              </w:rPr>
            </w:pPr>
          </w:p>
        </w:tc>
      </w:tr>
      <w:tr w14:paraId="489A706B">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54C7A">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总体绩效</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F2FD">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履职效能</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508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顺利完成教学目标，有效提升教学质量</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2B52705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097D">
            <w:pPr>
              <w:widowControl/>
              <w:adjustRightInd w:val="0"/>
              <w:snapToGrid w:val="0"/>
              <w:spacing w:line="578" w:lineRule="exact"/>
              <w:ind w:firstLine="420" w:firstLineChars="200"/>
              <w:contextualSpacing/>
              <w:jc w:val="left"/>
              <w:rPr>
                <w:rFonts w:eastAsia="楷体_GB2312"/>
                <w:b/>
                <w:bCs/>
                <w:color w:val="000000"/>
                <w:kern w:val="0"/>
                <w:szCs w:val="32"/>
                <w:shd w:val="clear" w:color="auto" w:fill="FFFFFF"/>
                <w:lang w:val="zh-CN"/>
              </w:rPr>
            </w:pPr>
            <w:r>
              <w:rPr>
                <w:rFonts w:hint="eastAsia" w:eastAsia="方正仿宋_GBK"/>
                <w:color w:val="000000"/>
                <w:szCs w:val="32"/>
              </w:rPr>
              <w:t>1.</w:t>
            </w:r>
            <w:r>
              <w:rPr>
                <w:rFonts w:eastAsia="方正仿宋_GBK"/>
                <w:color w:val="000000"/>
                <w:szCs w:val="32"/>
              </w:rPr>
              <w:t>贯彻落实中央省委州委关于教育工作系列决策部署</w:t>
            </w:r>
            <w:r>
              <w:rPr>
                <w:rFonts w:hint="eastAsia" w:eastAsia="方正仿宋_GBK"/>
                <w:color w:val="000000"/>
                <w:szCs w:val="32"/>
              </w:rPr>
              <w:t>2.</w:t>
            </w:r>
            <w:r>
              <w:rPr>
                <w:rFonts w:eastAsia="方正仿宋_GBK"/>
                <w:color w:val="000000"/>
                <w:szCs w:val="32"/>
              </w:rPr>
              <w:t>始终不忘立德树人初心，牢记为党育人为国育才使命</w:t>
            </w:r>
            <w:r>
              <w:rPr>
                <w:rFonts w:hint="eastAsia" w:eastAsia="方正仿宋_GBK"/>
                <w:color w:val="000000"/>
                <w:szCs w:val="32"/>
              </w:rPr>
              <w:t>3.</w:t>
            </w:r>
            <w:r>
              <w:rPr>
                <w:rFonts w:eastAsia="方正仿宋_GBK"/>
                <w:color w:val="000000"/>
                <w:szCs w:val="32"/>
              </w:rPr>
              <w:t>坚持五育并举</w:t>
            </w:r>
            <w:r>
              <w:rPr>
                <w:rFonts w:hint="eastAsia" w:eastAsia="方正仿宋_GBK"/>
                <w:color w:val="000000"/>
                <w:szCs w:val="32"/>
              </w:rPr>
              <w:t>4.</w:t>
            </w:r>
            <w:r>
              <w:rPr>
                <w:rFonts w:eastAsia="方正仿宋_GBK"/>
                <w:color w:val="000000"/>
                <w:szCs w:val="32"/>
              </w:rPr>
              <w:t>积极开展教育人才“组团式”帮扶工作</w:t>
            </w:r>
            <w:r>
              <w:rPr>
                <w:rFonts w:hint="eastAsia" w:eastAsia="方正仿宋_GBK"/>
                <w:color w:val="000000"/>
                <w:szCs w:val="32"/>
              </w:rPr>
              <w:t>5.</w:t>
            </w:r>
            <w:r>
              <w:rPr>
                <w:rFonts w:eastAsia="方正仿宋_GBK"/>
                <w:color w:val="000000"/>
                <w:szCs w:val="32"/>
              </w:rPr>
              <w:t>成阿、绵阿合作</w:t>
            </w:r>
            <w:r>
              <w:rPr>
                <w:rFonts w:hint="eastAsia" w:eastAsia="方正仿宋_GBK"/>
                <w:color w:val="000000"/>
                <w:szCs w:val="32"/>
              </w:rPr>
              <w:t>6.</w:t>
            </w:r>
            <w:r>
              <w:rPr>
                <w:rFonts w:eastAsia="方正仿宋_GBK"/>
                <w:color w:val="000000"/>
                <w:szCs w:val="32"/>
              </w:rPr>
              <w:t>加强与成都七中、成都四中、绵阳中学、崇州市崇庆中学等名校的帮扶合作</w:t>
            </w:r>
            <w:r>
              <w:rPr>
                <w:rFonts w:hint="eastAsia" w:eastAsia="方正仿宋_GBK"/>
                <w:color w:val="000000"/>
                <w:szCs w:val="32"/>
              </w:rPr>
              <w:t>7.</w:t>
            </w:r>
            <w:r>
              <w:rPr>
                <w:rFonts w:eastAsia="方正仿宋_GBK"/>
                <w:color w:val="000000"/>
                <w:szCs w:val="32"/>
              </w:rPr>
              <w:t>稳步推进学校各项工作再上新台阶</w:t>
            </w:r>
          </w:p>
          <w:p w14:paraId="26937747">
            <w:pPr>
              <w:widowControl/>
              <w:spacing w:line="240" w:lineRule="exact"/>
              <w:jc w:val="left"/>
              <w:textAlignment w:val="center"/>
              <w:rPr>
                <w:rFonts w:ascii="宋体" w:hAnsi="宋体" w:cs="宋体"/>
                <w:color w:val="000000"/>
                <w:sz w:val="24"/>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5AF0">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9</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B5EF">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教学目标顺利完成，提升教学质量还需继续提升</w:t>
            </w:r>
          </w:p>
        </w:tc>
      </w:tr>
      <w:tr w14:paraId="005A2F28">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659CA">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280EB">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预算管理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70BD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0AD6B">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0898">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EEA2">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DC5F">
            <w:pPr>
              <w:widowControl/>
              <w:spacing w:line="240" w:lineRule="exact"/>
              <w:jc w:val="left"/>
              <w:textAlignment w:val="center"/>
              <w:rPr>
                <w:rFonts w:ascii="宋体" w:hAnsi="宋体" w:cs="宋体"/>
                <w:color w:val="000000"/>
                <w:kern w:val="0"/>
                <w:sz w:val="24"/>
                <w:lang w:bidi="ar"/>
              </w:rPr>
            </w:pPr>
          </w:p>
        </w:tc>
      </w:tr>
      <w:tr w14:paraId="630CE695">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9D970">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8C772">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39F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A2F4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57B4">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07F6">
            <w:pPr>
              <w:widowControl/>
              <w:spacing w:line="240" w:lineRule="exact"/>
              <w:jc w:val="left"/>
              <w:textAlignment w:val="center"/>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696A">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无单位自有收入</w:t>
            </w:r>
          </w:p>
        </w:tc>
      </w:tr>
      <w:tr w14:paraId="33B24925">
        <w:tblPrEx>
          <w:tblCellMar>
            <w:top w:w="0" w:type="dxa"/>
            <w:left w:w="108" w:type="dxa"/>
            <w:bottom w:w="0" w:type="dxa"/>
            <w:right w:w="108" w:type="dxa"/>
          </w:tblCellMar>
        </w:tblPrEx>
        <w:trPr>
          <w:trHeight w:val="9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8CAA6">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AA8A2">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DF3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89B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5F11">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3F6B">
            <w:pPr>
              <w:widowControl/>
              <w:spacing w:line="240" w:lineRule="exact"/>
              <w:jc w:val="left"/>
              <w:textAlignment w:val="center"/>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E707">
            <w:pPr>
              <w:widowControl/>
              <w:spacing w:line="240" w:lineRule="exact"/>
              <w:jc w:val="left"/>
              <w:textAlignment w:val="center"/>
              <w:rPr>
                <w:rFonts w:ascii="宋体" w:hAnsi="宋体" w:cs="宋体"/>
                <w:color w:val="000000"/>
                <w:kern w:val="0"/>
                <w:sz w:val="24"/>
                <w:lang w:bidi="ar"/>
              </w:rPr>
            </w:pPr>
          </w:p>
        </w:tc>
      </w:tr>
      <w:tr w14:paraId="46F61701">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F3ADC">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537E9">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D0DB">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E8B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7A8D">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8935">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B94EB">
            <w:pPr>
              <w:widowControl/>
              <w:spacing w:line="240" w:lineRule="exact"/>
              <w:jc w:val="left"/>
              <w:textAlignment w:val="center"/>
              <w:rPr>
                <w:rFonts w:ascii="宋体" w:hAnsi="宋体" w:cs="宋体"/>
                <w:color w:val="000000"/>
                <w:kern w:val="0"/>
                <w:sz w:val="24"/>
                <w:lang w:bidi="ar"/>
              </w:rPr>
            </w:pPr>
          </w:p>
        </w:tc>
      </w:tr>
      <w:tr w14:paraId="1924507E">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52971">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86A89">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2FF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F9C7">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78A4">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E926">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EA514">
            <w:pPr>
              <w:widowControl/>
              <w:spacing w:line="240" w:lineRule="exact"/>
              <w:jc w:val="left"/>
              <w:textAlignment w:val="center"/>
              <w:rPr>
                <w:rFonts w:ascii="宋体" w:hAnsi="宋体" w:cs="宋体"/>
                <w:color w:val="000000"/>
                <w:kern w:val="0"/>
                <w:sz w:val="24"/>
                <w:lang w:bidi="ar"/>
              </w:rPr>
            </w:pPr>
          </w:p>
        </w:tc>
      </w:tr>
      <w:tr w14:paraId="15192491">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FEEE3">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EDEF07">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财务管理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CE031">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4A3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915C">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E8B3">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0DE2">
            <w:pPr>
              <w:widowControl/>
              <w:spacing w:line="240" w:lineRule="exact"/>
              <w:jc w:val="left"/>
              <w:textAlignment w:val="center"/>
              <w:rPr>
                <w:rFonts w:ascii="宋体" w:hAnsi="宋体" w:cs="宋体"/>
                <w:color w:val="000000"/>
                <w:kern w:val="0"/>
                <w:sz w:val="24"/>
                <w:lang w:bidi="ar"/>
              </w:rPr>
            </w:pPr>
          </w:p>
        </w:tc>
      </w:tr>
      <w:tr w14:paraId="4C008377">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8DB77">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70669">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233C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2F511">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C494">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F1C9">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39EE">
            <w:pPr>
              <w:widowControl/>
              <w:spacing w:line="240" w:lineRule="exact"/>
              <w:jc w:val="left"/>
              <w:textAlignment w:val="center"/>
              <w:rPr>
                <w:rFonts w:ascii="宋体" w:hAnsi="宋体" w:cs="宋体"/>
                <w:color w:val="000000"/>
                <w:kern w:val="0"/>
                <w:sz w:val="24"/>
                <w:lang w:bidi="ar"/>
              </w:rPr>
            </w:pPr>
          </w:p>
        </w:tc>
      </w:tr>
      <w:tr w14:paraId="2C4FD5FB">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EC22E">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3A80B">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3087">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6A0B">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8186">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BB14">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D904">
            <w:pPr>
              <w:widowControl/>
              <w:spacing w:line="240" w:lineRule="exact"/>
              <w:jc w:val="left"/>
              <w:textAlignment w:val="center"/>
              <w:rPr>
                <w:rFonts w:ascii="宋体" w:hAnsi="宋体" w:cs="宋体"/>
                <w:color w:val="000000"/>
                <w:kern w:val="0"/>
                <w:sz w:val="24"/>
                <w:lang w:bidi="ar"/>
              </w:rPr>
            </w:pPr>
          </w:p>
        </w:tc>
      </w:tr>
      <w:tr w14:paraId="54D54A1E">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98A73">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9AD8C">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资产管理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22B1">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149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D96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518D">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B2C9">
            <w:pPr>
              <w:widowControl/>
              <w:spacing w:line="240" w:lineRule="exact"/>
              <w:jc w:val="left"/>
              <w:textAlignment w:val="center"/>
              <w:rPr>
                <w:rFonts w:ascii="宋体" w:hAnsi="宋体" w:cs="宋体"/>
                <w:color w:val="000000"/>
                <w:kern w:val="0"/>
                <w:sz w:val="24"/>
                <w:lang w:bidi="ar"/>
              </w:rPr>
            </w:pPr>
          </w:p>
        </w:tc>
      </w:tr>
      <w:tr w14:paraId="34C4B5E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0CC74">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AE2D1">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E71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4CA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157C">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AE6B">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8D59">
            <w:pPr>
              <w:widowControl/>
              <w:spacing w:line="240" w:lineRule="exact"/>
              <w:jc w:val="left"/>
              <w:textAlignment w:val="center"/>
              <w:rPr>
                <w:rFonts w:ascii="宋体" w:hAnsi="宋体" w:cs="宋体"/>
                <w:color w:val="000000"/>
                <w:kern w:val="0"/>
                <w:sz w:val="24"/>
                <w:lang w:bidi="ar"/>
              </w:rPr>
            </w:pPr>
          </w:p>
        </w:tc>
      </w:tr>
      <w:tr w14:paraId="62BD7B2F">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A6ACC">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总体绩效</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168E">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资产管理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A28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035D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4E17">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7A92">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4738">
            <w:pPr>
              <w:widowControl/>
              <w:spacing w:line="240" w:lineRule="exact"/>
              <w:jc w:val="left"/>
              <w:textAlignment w:val="center"/>
              <w:rPr>
                <w:rFonts w:ascii="宋体" w:hAnsi="宋体" w:cs="宋体"/>
                <w:color w:val="000000"/>
                <w:kern w:val="0"/>
                <w:sz w:val="24"/>
                <w:lang w:bidi="ar"/>
              </w:rPr>
            </w:pPr>
          </w:p>
        </w:tc>
      </w:tr>
      <w:tr w14:paraId="54EC4FB4">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E85E9">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F91CE">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采购管理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771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BC5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BF9A">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A474">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A807">
            <w:pPr>
              <w:widowControl/>
              <w:spacing w:line="240" w:lineRule="exact"/>
              <w:jc w:val="left"/>
              <w:textAlignment w:val="center"/>
              <w:rPr>
                <w:rFonts w:ascii="宋体" w:hAnsi="宋体" w:cs="宋体"/>
                <w:color w:val="000000"/>
                <w:kern w:val="0"/>
                <w:sz w:val="24"/>
                <w:lang w:bidi="ar"/>
              </w:rPr>
            </w:pPr>
          </w:p>
        </w:tc>
      </w:tr>
      <w:tr w14:paraId="47AC6C5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24CC9">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35711">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88EB">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41F1">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07A16">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9F4F">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A0BE7">
            <w:pPr>
              <w:widowControl/>
              <w:spacing w:line="240" w:lineRule="exact"/>
              <w:jc w:val="left"/>
              <w:textAlignment w:val="center"/>
              <w:rPr>
                <w:rFonts w:ascii="宋体" w:hAnsi="宋体" w:cs="宋体"/>
                <w:color w:val="000000"/>
                <w:kern w:val="0"/>
                <w:sz w:val="24"/>
                <w:lang w:bidi="ar"/>
              </w:rPr>
            </w:pPr>
          </w:p>
        </w:tc>
      </w:tr>
      <w:tr w14:paraId="03A66428">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4C284">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项目绩效</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6AFA2052">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项目决策</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79B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FF57">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DA09">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1ABA">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4731">
            <w:pPr>
              <w:widowControl/>
              <w:spacing w:line="240" w:lineRule="exact"/>
              <w:jc w:val="left"/>
              <w:textAlignment w:val="center"/>
              <w:rPr>
                <w:rFonts w:ascii="宋体" w:hAnsi="宋体" w:cs="宋体"/>
                <w:color w:val="000000"/>
                <w:kern w:val="0"/>
                <w:sz w:val="24"/>
                <w:lang w:bidi="ar"/>
              </w:rPr>
            </w:pPr>
          </w:p>
        </w:tc>
      </w:tr>
      <w:tr w14:paraId="3C078EAC">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136B3">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04346982">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92EB7">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C8D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1F00">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D400">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1BA8">
            <w:pPr>
              <w:widowControl/>
              <w:spacing w:line="240" w:lineRule="exact"/>
              <w:jc w:val="left"/>
              <w:textAlignment w:val="center"/>
              <w:rPr>
                <w:rFonts w:ascii="宋体" w:hAnsi="宋体" w:cs="宋体"/>
                <w:color w:val="000000"/>
                <w:kern w:val="0"/>
                <w:sz w:val="24"/>
                <w:lang w:bidi="ar"/>
              </w:rPr>
            </w:pPr>
          </w:p>
        </w:tc>
      </w:tr>
      <w:tr w14:paraId="0693202A">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A5EEB">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35858776">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2517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C19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6269">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1059">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D7AD2">
            <w:pPr>
              <w:widowControl/>
              <w:spacing w:line="240" w:lineRule="exact"/>
              <w:jc w:val="left"/>
              <w:textAlignment w:val="center"/>
              <w:rPr>
                <w:rFonts w:ascii="宋体" w:hAnsi="宋体" w:cs="宋体"/>
                <w:color w:val="000000"/>
                <w:kern w:val="0"/>
                <w:sz w:val="24"/>
                <w:lang w:bidi="ar"/>
              </w:rPr>
            </w:pPr>
          </w:p>
        </w:tc>
      </w:tr>
      <w:tr w14:paraId="2A48ECD5">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32F81">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67A4F29C">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项目执行</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656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7A17">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38EB">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1E32">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653F">
            <w:pPr>
              <w:widowControl/>
              <w:spacing w:line="240" w:lineRule="exact"/>
              <w:jc w:val="left"/>
              <w:textAlignment w:val="center"/>
              <w:rPr>
                <w:rFonts w:ascii="宋体" w:hAnsi="宋体" w:cs="宋体"/>
                <w:color w:val="000000"/>
                <w:kern w:val="0"/>
                <w:sz w:val="24"/>
                <w:lang w:bidi="ar"/>
              </w:rPr>
            </w:pPr>
          </w:p>
        </w:tc>
      </w:tr>
      <w:tr w14:paraId="65B84D94">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E4487">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3D9CF0A9">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14:paraId="39F1499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07E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AB52">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ADFD">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3D82C">
            <w:pPr>
              <w:widowControl/>
              <w:spacing w:line="240" w:lineRule="exact"/>
              <w:jc w:val="left"/>
              <w:textAlignment w:val="center"/>
              <w:rPr>
                <w:rFonts w:ascii="宋体" w:hAnsi="宋体" w:cs="宋体"/>
                <w:color w:val="000000"/>
                <w:kern w:val="0"/>
                <w:sz w:val="24"/>
                <w:lang w:bidi="ar"/>
              </w:rPr>
            </w:pPr>
          </w:p>
        </w:tc>
      </w:tr>
      <w:tr w14:paraId="56A08522">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81CBD">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6DAA8567">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4D1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073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B041">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8DE7">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FBF8">
            <w:pPr>
              <w:widowControl/>
              <w:spacing w:line="240" w:lineRule="exact"/>
              <w:jc w:val="left"/>
              <w:textAlignment w:val="center"/>
              <w:rPr>
                <w:rFonts w:ascii="宋体" w:hAnsi="宋体" w:cs="宋体"/>
                <w:color w:val="000000"/>
                <w:kern w:val="0"/>
                <w:sz w:val="24"/>
                <w:lang w:bidi="ar"/>
              </w:rPr>
            </w:pPr>
          </w:p>
        </w:tc>
      </w:tr>
      <w:tr w14:paraId="095AE2A1">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FD5C0">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5991D4">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目标实现</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6CA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D3D9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E398">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DA08D">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C0BA">
            <w:pPr>
              <w:widowControl/>
              <w:spacing w:line="240" w:lineRule="exact"/>
              <w:jc w:val="left"/>
              <w:textAlignment w:val="center"/>
              <w:rPr>
                <w:rFonts w:ascii="宋体" w:hAnsi="宋体" w:cs="宋体"/>
                <w:color w:val="000000"/>
                <w:kern w:val="0"/>
                <w:sz w:val="24"/>
                <w:lang w:bidi="ar"/>
              </w:rPr>
            </w:pPr>
          </w:p>
        </w:tc>
      </w:tr>
      <w:tr w14:paraId="07BC01DA">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CB863">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42BC6">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75A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42C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78F56">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44DC">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91BE">
            <w:pPr>
              <w:widowControl/>
              <w:spacing w:line="240" w:lineRule="exact"/>
              <w:jc w:val="left"/>
              <w:textAlignment w:val="center"/>
              <w:rPr>
                <w:rFonts w:ascii="宋体" w:hAnsi="宋体" w:cs="宋体"/>
                <w:color w:val="000000"/>
                <w:kern w:val="0"/>
                <w:sz w:val="24"/>
                <w:lang w:bidi="ar"/>
              </w:rPr>
            </w:pPr>
          </w:p>
        </w:tc>
      </w:tr>
      <w:tr w14:paraId="789D1BBB">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523AC">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18724">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897F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2C98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E9A8">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78E3">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1C4C">
            <w:pPr>
              <w:widowControl/>
              <w:spacing w:line="240" w:lineRule="exact"/>
              <w:jc w:val="left"/>
              <w:textAlignment w:val="center"/>
              <w:rPr>
                <w:rFonts w:ascii="宋体" w:hAnsi="宋体" w:cs="宋体"/>
                <w:color w:val="000000"/>
                <w:kern w:val="0"/>
                <w:sz w:val="24"/>
                <w:lang w:bidi="ar"/>
              </w:rPr>
            </w:pPr>
          </w:p>
        </w:tc>
      </w:tr>
      <w:tr w14:paraId="3E46151E">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0287">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扣分项</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8107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8D8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2C4C">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0D05">
            <w:pPr>
              <w:widowControl/>
              <w:spacing w:line="240" w:lineRule="exact"/>
              <w:jc w:val="left"/>
              <w:textAlignment w:val="center"/>
              <w:rPr>
                <w:rFonts w:ascii="宋体" w:hAnsi="宋体" w:cs="宋体"/>
                <w:color w:val="000000"/>
                <w:kern w:val="0"/>
                <w:sz w:val="24"/>
                <w:lang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8DCB">
            <w:pPr>
              <w:widowControl/>
              <w:spacing w:line="240" w:lineRule="exact"/>
              <w:jc w:val="left"/>
              <w:textAlignment w:val="center"/>
              <w:rPr>
                <w:rFonts w:ascii="宋体" w:hAnsi="宋体" w:cs="宋体"/>
                <w:color w:val="000000"/>
                <w:kern w:val="0"/>
                <w:sz w:val="24"/>
                <w:lang w:bidi="ar"/>
              </w:rPr>
            </w:pPr>
          </w:p>
        </w:tc>
      </w:tr>
    </w:tbl>
    <w:p w14:paraId="50A28DE7">
      <w:pPr>
        <w:pStyle w:val="19"/>
        <w:spacing w:line="20" w:lineRule="exact"/>
      </w:pPr>
    </w:p>
    <w:p w14:paraId="23567D0D">
      <w:pPr>
        <w:rPr>
          <w:rFonts w:eastAsia="黑体"/>
        </w:rPr>
      </w:pPr>
      <w:r>
        <w:rPr>
          <w:rFonts w:eastAsia="黑体"/>
        </w:rPr>
        <w:br w:type="page"/>
      </w:r>
    </w:p>
    <w:p w14:paraId="324DBC2B">
      <w:pPr>
        <w:rPr>
          <w:rFonts w:eastAsia="黑体"/>
        </w:rPr>
      </w:pPr>
    </w:p>
    <w:p w14:paraId="24AD2A0B">
      <w:pPr>
        <w:spacing w:line="578" w:lineRule="exact"/>
        <w:jc w:val="left"/>
        <w:rPr>
          <w:rFonts w:eastAsia="黑体"/>
        </w:rPr>
      </w:pPr>
      <w:r>
        <w:rPr>
          <w:rFonts w:eastAsia="黑体"/>
        </w:rPr>
        <w:t>附表</w:t>
      </w:r>
      <w:r>
        <w:rPr>
          <w:rFonts w:hint="eastAsia" w:eastAsia="黑体"/>
        </w:rPr>
        <w:t>2</w:t>
      </w:r>
    </w:p>
    <w:tbl>
      <w:tblPr>
        <w:tblStyle w:val="15"/>
        <w:tblW w:w="10560" w:type="dxa"/>
        <w:jc w:val="center"/>
        <w:tblLayout w:type="fixed"/>
        <w:tblCellMar>
          <w:top w:w="15" w:type="dxa"/>
          <w:left w:w="15" w:type="dxa"/>
          <w:bottom w:w="15" w:type="dxa"/>
          <w:right w:w="15" w:type="dxa"/>
        </w:tblCellMar>
      </w:tblPr>
      <w:tblGrid>
        <w:gridCol w:w="1308"/>
        <w:gridCol w:w="1347"/>
        <w:gridCol w:w="1273"/>
        <w:gridCol w:w="1100"/>
        <w:gridCol w:w="1145"/>
        <w:gridCol w:w="1289"/>
        <w:gridCol w:w="1058"/>
        <w:gridCol w:w="926"/>
        <w:gridCol w:w="1114"/>
      </w:tblGrid>
      <w:tr w14:paraId="30717349">
        <w:tblPrEx>
          <w:tblCellMar>
            <w:top w:w="15" w:type="dxa"/>
            <w:left w:w="15" w:type="dxa"/>
            <w:bottom w:w="15" w:type="dxa"/>
            <w:right w:w="15" w:type="dxa"/>
          </w:tblCellMar>
        </w:tblPrEx>
        <w:trPr>
          <w:trHeight w:val="762" w:hRule="exact"/>
          <w:jc w:val="center"/>
        </w:trPr>
        <w:tc>
          <w:tcPr>
            <w:tcW w:w="10560" w:type="dxa"/>
            <w:gridSpan w:val="9"/>
            <w:shd w:val="clear" w:color="auto" w:fill="auto"/>
            <w:vAlign w:val="center"/>
          </w:tcPr>
          <w:p w14:paraId="55C7767D">
            <w:pPr>
              <w:widowControl/>
              <w:spacing w:line="600" w:lineRule="exact"/>
              <w:jc w:val="center"/>
              <w:textAlignment w:val="center"/>
              <w:rPr>
                <w:rFonts w:eastAsia="黑体"/>
                <w:color w:val="000000"/>
                <w:sz w:val="28"/>
                <w:szCs w:val="28"/>
              </w:rPr>
            </w:pPr>
            <w:r>
              <w:rPr>
                <w:rFonts w:eastAsia="方正小标宋简体"/>
                <w:color w:val="000000"/>
                <w:kern w:val="0"/>
                <w:sz w:val="44"/>
                <w:szCs w:val="44"/>
                <w:lang w:bidi="ar"/>
              </w:rPr>
              <w:t>部门整体绩效目标完成情况自评表</w:t>
            </w:r>
          </w:p>
        </w:tc>
      </w:tr>
      <w:tr w14:paraId="2BF9F1E8">
        <w:tblPrEx>
          <w:tblCellMar>
            <w:top w:w="15" w:type="dxa"/>
            <w:left w:w="15" w:type="dxa"/>
            <w:bottom w:w="15" w:type="dxa"/>
            <w:right w:w="15" w:type="dxa"/>
          </w:tblCellMar>
        </w:tblPrEx>
        <w:trPr>
          <w:trHeight w:val="23" w:hRule="atLeast"/>
          <w:jc w:val="center"/>
        </w:trPr>
        <w:tc>
          <w:tcPr>
            <w:tcW w:w="10560" w:type="dxa"/>
            <w:gridSpan w:val="9"/>
            <w:shd w:val="clear" w:color="auto" w:fill="auto"/>
            <w:vAlign w:val="center"/>
          </w:tcPr>
          <w:p w14:paraId="3B20A2B2">
            <w:pPr>
              <w:widowControl/>
              <w:spacing w:line="300" w:lineRule="exact"/>
              <w:jc w:val="center"/>
              <w:textAlignment w:val="center"/>
              <w:rPr>
                <w:color w:val="000000"/>
                <w:sz w:val="28"/>
                <w:szCs w:val="28"/>
              </w:rPr>
            </w:pPr>
            <w:r>
              <w:rPr>
                <w:color w:val="000000"/>
                <w:kern w:val="0"/>
                <w:sz w:val="28"/>
                <w:szCs w:val="28"/>
                <w:lang w:bidi="ar"/>
              </w:rPr>
              <w:t>（202</w:t>
            </w:r>
            <w:r>
              <w:rPr>
                <w:rFonts w:hint="eastAsia"/>
                <w:color w:val="000000"/>
                <w:kern w:val="0"/>
                <w:sz w:val="28"/>
                <w:szCs w:val="28"/>
                <w:lang w:bidi="ar"/>
              </w:rPr>
              <w:t>4</w:t>
            </w:r>
            <w:r>
              <w:rPr>
                <w:color w:val="000000"/>
                <w:kern w:val="0"/>
                <w:sz w:val="28"/>
                <w:szCs w:val="28"/>
                <w:lang w:bidi="ar"/>
              </w:rPr>
              <w:t>年度）</w:t>
            </w:r>
          </w:p>
        </w:tc>
      </w:tr>
      <w:tr w14:paraId="1686325E">
        <w:tblPrEx>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shd w:val="clear" w:color="auto" w:fill="auto"/>
            <w:vAlign w:val="center"/>
          </w:tcPr>
          <w:p w14:paraId="208DAC32">
            <w:pPr>
              <w:widowControl/>
              <w:spacing w:line="300" w:lineRule="exact"/>
              <w:jc w:val="right"/>
              <w:textAlignment w:val="center"/>
              <w:rPr>
                <w:color w:val="000000"/>
                <w:szCs w:val="21"/>
              </w:rPr>
            </w:pPr>
            <w:r>
              <w:rPr>
                <w:color w:val="000000"/>
                <w:kern w:val="0"/>
                <w:szCs w:val="21"/>
                <w:lang w:bidi="ar"/>
              </w:rPr>
              <w:t>单位：万元</w:t>
            </w:r>
          </w:p>
        </w:tc>
      </w:tr>
      <w:tr w14:paraId="53D99501">
        <w:tblPrEx>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03E6C9">
            <w:pPr>
              <w:widowControl/>
              <w:spacing w:line="300" w:lineRule="exact"/>
              <w:jc w:val="center"/>
              <w:textAlignment w:val="center"/>
              <w:rPr>
                <w:color w:val="000000"/>
                <w:sz w:val="24"/>
              </w:rPr>
            </w:pPr>
            <w:r>
              <w:rPr>
                <w:color w:val="000000"/>
                <w:kern w:val="0"/>
                <w:sz w:val="24"/>
                <w:lang w:bidi="ar"/>
              </w:rPr>
              <w:t>部门名称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F725D6">
            <w:pPr>
              <w:widowControl/>
              <w:spacing w:line="300" w:lineRule="exact"/>
              <w:jc w:val="center"/>
              <w:textAlignment w:val="center"/>
              <w:rPr>
                <w:color w:val="000000"/>
                <w:sz w:val="24"/>
              </w:rPr>
            </w:pPr>
            <w:r>
              <w:rPr>
                <w:rFonts w:hint="eastAsia"/>
                <w:color w:val="000000"/>
                <w:kern w:val="0"/>
                <w:sz w:val="24"/>
                <w:lang w:bidi="ar"/>
              </w:rPr>
              <w:t>四川省马尔康中学校</w:t>
            </w:r>
          </w:p>
        </w:tc>
      </w:tr>
      <w:tr w14:paraId="65E08436">
        <w:tblPrEx>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00CB7">
            <w:pPr>
              <w:widowControl/>
              <w:spacing w:line="300" w:lineRule="exact"/>
              <w:jc w:val="center"/>
              <w:textAlignment w:val="center"/>
              <w:rPr>
                <w:color w:val="000000"/>
                <w:sz w:val="24"/>
              </w:rPr>
            </w:pPr>
            <w:r>
              <w:rPr>
                <w:color w:val="000000"/>
                <w:kern w:val="0"/>
                <w:sz w:val="24"/>
                <w:lang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0510A">
            <w:pPr>
              <w:widowControl/>
              <w:spacing w:line="300" w:lineRule="exact"/>
              <w:jc w:val="center"/>
              <w:textAlignment w:val="center"/>
              <w:rPr>
                <w:color w:val="000000"/>
                <w:sz w:val="24"/>
              </w:rPr>
            </w:pPr>
            <w:r>
              <w:rPr>
                <w:color w:val="000000"/>
                <w:kern w:val="0"/>
                <w:sz w:val="24"/>
                <w:lang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97B50">
            <w:pPr>
              <w:widowControl/>
              <w:spacing w:line="300" w:lineRule="exact"/>
              <w:jc w:val="center"/>
              <w:textAlignment w:val="center"/>
              <w:rPr>
                <w:color w:val="000000"/>
                <w:sz w:val="24"/>
              </w:rPr>
            </w:pPr>
            <w:r>
              <w:rPr>
                <w:color w:val="000000"/>
                <w:kern w:val="0"/>
                <w:sz w:val="24"/>
                <w:lang w:bidi="ar"/>
              </w:rPr>
              <w:t>财政拨款</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7D0AFF">
            <w:pPr>
              <w:widowControl/>
              <w:spacing w:line="300" w:lineRule="exact"/>
              <w:jc w:val="center"/>
              <w:textAlignment w:val="center"/>
              <w:rPr>
                <w:color w:val="000000"/>
                <w:sz w:val="24"/>
              </w:rPr>
            </w:pPr>
            <w:r>
              <w:rPr>
                <w:color w:val="000000"/>
                <w:kern w:val="0"/>
                <w:sz w:val="24"/>
                <w:lang w:bidi="ar"/>
              </w:rPr>
              <w:t>其他资金</w:t>
            </w:r>
          </w:p>
        </w:tc>
      </w:tr>
      <w:tr w14:paraId="1062F32C">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05CBA">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E69DA">
            <w:pPr>
              <w:widowControl/>
              <w:spacing w:line="300" w:lineRule="exact"/>
              <w:jc w:val="center"/>
              <w:textAlignment w:val="center"/>
              <w:rPr>
                <w:color w:val="000000"/>
                <w:sz w:val="24"/>
              </w:rPr>
            </w:pPr>
            <w:r>
              <w:rPr>
                <w:rFonts w:hint="eastAsia"/>
                <w:color w:val="000000"/>
                <w:kern w:val="0"/>
                <w:sz w:val="24"/>
                <w:lang w:bidi="ar"/>
              </w:rPr>
              <w:t>96390458.7</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22C1D">
            <w:pPr>
              <w:widowControl/>
              <w:spacing w:line="300" w:lineRule="exact"/>
              <w:jc w:val="center"/>
              <w:textAlignment w:val="center"/>
              <w:rPr>
                <w:color w:val="000000"/>
                <w:sz w:val="24"/>
              </w:rPr>
            </w:pPr>
            <w:r>
              <w:rPr>
                <w:rFonts w:hint="eastAsia"/>
                <w:color w:val="000000"/>
                <w:kern w:val="0"/>
                <w:sz w:val="24"/>
                <w:lang w:bidi="ar"/>
              </w:rPr>
              <w:t>96390458.7</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B99D25">
            <w:pPr>
              <w:widowControl/>
              <w:spacing w:line="300" w:lineRule="exact"/>
              <w:jc w:val="center"/>
              <w:textAlignment w:val="center"/>
              <w:rPr>
                <w:color w:val="000000"/>
                <w:sz w:val="24"/>
              </w:rPr>
            </w:pPr>
            <w:r>
              <w:rPr>
                <w:rFonts w:hint="eastAsia"/>
                <w:color w:val="000000"/>
                <w:kern w:val="0"/>
                <w:sz w:val="24"/>
                <w:lang w:bidi="ar"/>
              </w:rPr>
              <w:t>0</w:t>
            </w:r>
          </w:p>
        </w:tc>
      </w:tr>
      <w:tr w14:paraId="3EE3E989">
        <w:tblPrEx>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28F52">
            <w:pPr>
              <w:widowControl/>
              <w:spacing w:line="300" w:lineRule="exact"/>
              <w:jc w:val="center"/>
              <w:textAlignment w:val="center"/>
              <w:rPr>
                <w:color w:val="000000"/>
                <w:kern w:val="0"/>
                <w:sz w:val="24"/>
                <w:lang w:bidi="ar"/>
              </w:rPr>
            </w:pPr>
            <w:r>
              <w:rPr>
                <w:color w:val="000000"/>
                <w:kern w:val="0"/>
                <w:sz w:val="24"/>
                <w:lang w:bidi="ar"/>
              </w:rPr>
              <w:t>年度总体</w:t>
            </w:r>
          </w:p>
          <w:p w14:paraId="7170C1A1">
            <w:pPr>
              <w:widowControl/>
              <w:spacing w:line="300" w:lineRule="exact"/>
              <w:jc w:val="center"/>
              <w:textAlignment w:val="center"/>
              <w:rPr>
                <w:color w:val="000000"/>
                <w:sz w:val="24"/>
              </w:rPr>
            </w:pPr>
            <w:r>
              <w:rPr>
                <w:color w:val="000000"/>
                <w:kern w:val="0"/>
                <w:sz w:val="24"/>
                <w:lang w:bidi="ar"/>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24F453">
            <w:pPr>
              <w:widowControl/>
              <w:adjustRightInd w:val="0"/>
              <w:snapToGrid w:val="0"/>
              <w:spacing w:line="578" w:lineRule="exact"/>
              <w:ind w:firstLine="480" w:firstLineChars="200"/>
              <w:contextualSpacing/>
              <w:jc w:val="left"/>
              <w:rPr>
                <w:rFonts w:eastAsia="楷体_GB2312"/>
                <w:b/>
                <w:bCs/>
                <w:color w:val="000000"/>
                <w:kern w:val="0"/>
                <w:szCs w:val="32"/>
                <w:shd w:val="clear" w:color="auto" w:fill="FFFFFF"/>
                <w:lang w:val="zh-CN"/>
              </w:rPr>
            </w:pPr>
            <w:r>
              <w:rPr>
                <w:rFonts w:hint="eastAsia" w:ascii="宋体" w:hAnsi="宋体" w:cs="宋体"/>
                <w:color w:val="000000"/>
                <w:kern w:val="0"/>
                <w:sz w:val="24"/>
                <w:lang w:bidi="ar"/>
              </w:rPr>
              <w:t>顺利完成教学目标，有效提升教学质量</w:t>
            </w:r>
          </w:p>
          <w:p w14:paraId="5DAA798E">
            <w:pPr>
              <w:widowControl/>
              <w:spacing w:line="300" w:lineRule="exact"/>
              <w:jc w:val="left"/>
              <w:textAlignment w:val="center"/>
              <w:rPr>
                <w:color w:val="000000"/>
                <w:sz w:val="24"/>
              </w:rPr>
            </w:pPr>
          </w:p>
        </w:tc>
      </w:tr>
      <w:tr w14:paraId="4BB1CD7A">
        <w:tblPrEx>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88BAB">
            <w:pPr>
              <w:widowControl/>
              <w:spacing w:line="300" w:lineRule="exact"/>
              <w:jc w:val="center"/>
              <w:textAlignment w:val="center"/>
              <w:rPr>
                <w:color w:val="000000"/>
                <w:kern w:val="0"/>
                <w:sz w:val="24"/>
                <w:lang w:bidi="ar"/>
              </w:rPr>
            </w:pPr>
            <w:r>
              <w:rPr>
                <w:color w:val="000000"/>
                <w:kern w:val="0"/>
                <w:sz w:val="24"/>
                <w:lang w:bidi="ar"/>
              </w:rPr>
              <w:t>年度主要</w:t>
            </w:r>
          </w:p>
          <w:p w14:paraId="2224D2AE">
            <w:pPr>
              <w:widowControl/>
              <w:spacing w:line="300" w:lineRule="exact"/>
              <w:jc w:val="center"/>
              <w:textAlignment w:val="center"/>
              <w:rPr>
                <w:color w:val="000000"/>
                <w:sz w:val="24"/>
              </w:rPr>
            </w:pPr>
            <w:r>
              <w:rPr>
                <w:color w:val="000000"/>
                <w:kern w:val="0"/>
                <w:sz w:val="24"/>
                <w:lang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2461A">
            <w:pPr>
              <w:widowControl/>
              <w:spacing w:line="300" w:lineRule="exact"/>
              <w:jc w:val="center"/>
              <w:textAlignment w:val="center"/>
              <w:rPr>
                <w:color w:val="000000"/>
                <w:sz w:val="24"/>
              </w:rPr>
            </w:pPr>
            <w:r>
              <w:rPr>
                <w:color w:val="000000"/>
                <w:kern w:val="0"/>
                <w:sz w:val="24"/>
                <w:lang w:bidi="ar"/>
              </w:rPr>
              <w:t>任务名称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54B267">
            <w:pPr>
              <w:widowControl/>
              <w:spacing w:line="300" w:lineRule="exact"/>
              <w:jc w:val="left"/>
              <w:textAlignment w:val="center"/>
              <w:rPr>
                <w:rFonts w:eastAsia="方正仿宋_GBK"/>
                <w:color w:val="000000"/>
                <w:szCs w:val="32"/>
              </w:rPr>
            </w:pPr>
            <w:r>
              <w:rPr>
                <w:rFonts w:eastAsia="方正仿宋_GBK"/>
                <w:color w:val="000000"/>
                <w:szCs w:val="32"/>
              </w:rPr>
              <w:t>主要内容</w:t>
            </w:r>
          </w:p>
        </w:tc>
      </w:tr>
      <w:tr w14:paraId="01850765">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E8533">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4CBD0">
            <w:pPr>
              <w:widowControl/>
              <w:spacing w:line="300" w:lineRule="exact"/>
              <w:jc w:val="left"/>
              <w:textAlignment w:val="center"/>
              <w:rPr>
                <w:color w:val="000000"/>
                <w:sz w:val="24"/>
              </w:rPr>
            </w:pPr>
            <w:r>
              <w:rPr>
                <w:rFonts w:hint="eastAsia" w:eastAsia="方正仿宋_GBK"/>
                <w:color w:val="000000"/>
                <w:szCs w:val="32"/>
              </w:rPr>
              <w:t>1.</w:t>
            </w:r>
            <w:r>
              <w:rPr>
                <w:rFonts w:eastAsia="方正仿宋_GBK"/>
                <w:color w:val="000000"/>
                <w:szCs w:val="32"/>
              </w:rPr>
              <w:t>贯彻落实中央省委州委关于教育工作系列决策部署</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980AF2">
            <w:pPr>
              <w:widowControl/>
              <w:spacing w:line="300" w:lineRule="exact"/>
              <w:jc w:val="left"/>
              <w:textAlignment w:val="center"/>
              <w:rPr>
                <w:rFonts w:eastAsia="方正仿宋_GBK"/>
                <w:color w:val="000000"/>
                <w:szCs w:val="32"/>
              </w:rPr>
            </w:pPr>
            <w:r>
              <w:rPr>
                <w:rFonts w:eastAsia="方正仿宋_GBK"/>
                <w:color w:val="000000"/>
                <w:szCs w:val="32"/>
              </w:rPr>
              <w:t>持续抓好政治建设</w:t>
            </w:r>
            <w:r>
              <w:rPr>
                <w:rFonts w:hint="eastAsia" w:eastAsia="方正仿宋_GBK"/>
                <w:color w:val="000000"/>
                <w:szCs w:val="32"/>
              </w:rPr>
              <w:t>、</w:t>
            </w:r>
            <w:r>
              <w:rPr>
                <w:rFonts w:eastAsia="方正仿宋_GBK"/>
                <w:color w:val="000000"/>
                <w:szCs w:val="32"/>
              </w:rPr>
              <w:t>思想建设</w:t>
            </w:r>
            <w:r>
              <w:rPr>
                <w:rFonts w:hint="eastAsia" w:eastAsia="方正仿宋_GBK"/>
                <w:color w:val="000000"/>
                <w:szCs w:val="32"/>
              </w:rPr>
              <w:t>、</w:t>
            </w:r>
            <w:r>
              <w:rPr>
                <w:rFonts w:eastAsia="方正仿宋_GBK"/>
                <w:color w:val="000000"/>
                <w:szCs w:val="32"/>
              </w:rPr>
              <w:t>组织建设</w:t>
            </w:r>
            <w:r>
              <w:rPr>
                <w:rFonts w:hint="eastAsia" w:eastAsia="方正仿宋_GBK"/>
                <w:color w:val="000000"/>
                <w:szCs w:val="32"/>
              </w:rPr>
              <w:t>、</w:t>
            </w:r>
            <w:r>
              <w:rPr>
                <w:rFonts w:eastAsia="方正仿宋_GBK"/>
                <w:color w:val="000000"/>
                <w:szCs w:val="32"/>
              </w:rPr>
              <w:t>制度建设</w:t>
            </w:r>
            <w:r>
              <w:rPr>
                <w:rFonts w:hint="eastAsia" w:eastAsia="方正仿宋_GBK"/>
                <w:color w:val="000000"/>
                <w:szCs w:val="32"/>
              </w:rPr>
              <w:t>、</w:t>
            </w:r>
            <w:r>
              <w:rPr>
                <w:rFonts w:eastAsia="方正仿宋_GBK"/>
                <w:color w:val="000000"/>
                <w:szCs w:val="32"/>
              </w:rPr>
              <w:t>作风建设</w:t>
            </w:r>
            <w:r>
              <w:rPr>
                <w:rFonts w:hint="eastAsia" w:eastAsia="方正仿宋_GBK"/>
                <w:color w:val="000000"/>
                <w:szCs w:val="32"/>
              </w:rPr>
              <w:t>、</w:t>
            </w:r>
            <w:r>
              <w:rPr>
                <w:rFonts w:eastAsia="方正仿宋_GBK"/>
                <w:color w:val="000000"/>
                <w:szCs w:val="32"/>
              </w:rPr>
              <w:t>党风廉政建设</w:t>
            </w:r>
            <w:r>
              <w:rPr>
                <w:rFonts w:hint="eastAsia" w:eastAsia="方正仿宋_GBK"/>
                <w:color w:val="000000"/>
                <w:szCs w:val="32"/>
              </w:rPr>
              <w:t>和</w:t>
            </w:r>
            <w:r>
              <w:rPr>
                <w:rFonts w:eastAsia="方正仿宋_GBK"/>
                <w:color w:val="000000"/>
                <w:szCs w:val="32"/>
              </w:rPr>
              <w:t>意识形态</w:t>
            </w:r>
            <w:r>
              <w:rPr>
                <w:rFonts w:hint="eastAsia" w:eastAsia="方正仿宋_GBK"/>
                <w:color w:val="000000"/>
                <w:szCs w:val="32"/>
              </w:rPr>
              <w:t>强化推进。</w:t>
            </w:r>
          </w:p>
        </w:tc>
      </w:tr>
      <w:tr w14:paraId="5BD08FEA">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66E20">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26BC8D">
            <w:pPr>
              <w:widowControl/>
              <w:spacing w:line="300" w:lineRule="exact"/>
              <w:jc w:val="left"/>
              <w:textAlignment w:val="center"/>
              <w:rPr>
                <w:rFonts w:eastAsia="方正仿宋_GBK"/>
                <w:color w:val="000000"/>
                <w:szCs w:val="32"/>
              </w:rPr>
            </w:pPr>
            <w:r>
              <w:rPr>
                <w:rFonts w:hint="eastAsia" w:eastAsia="方正仿宋_GBK"/>
                <w:color w:val="000000"/>
                <w:szCs w:val="32"/>
              </w:rPr>
              <w:t>2.</w:t>
            </w:r>
            <w:r>
              <w:rPr>
                <w:rFonts w:eastAsia="方正仿宋_GBK"/>
                <w:color w:val="000000"/>
                <w:szCs w:val="32"/>
              </w:rPr>
              <w:t>始终不忘立德树人初心，牢记为党育人为国育才使命</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88AA5E">
            <w:pPr>
              <w:widowControl/>
              <w:spacing w:line="300" w:lineRule="exact"/>
              <w:jc w:val="left"/>
              <w:textAlignment w:val="center"/>
              <w:rPr>
                <w:rFonts w:eastAsia="方正仿宋_GBK"/>
                <w:color w:val="000000"/>
                <w:szCs w:val="32"/>
              </w:rPr>
            </w:pPr>
            <w:r>
              <w:rPr>
                <w:rFonts w:eastAsia="方正仿宋_GBK"/>
                <w:color w:val="000000"/>
                <w:szCs w:val="32"/>
              </w:rPr>
              <w:t>狠抓常规管理，培育文明风尚</w:t>
            </w:r>
            <w:r>
              <w:rPr>
                <w:rFonts w:hint="eastAsia" w:eastAsia="方正仿宋_GBK"/>
                <w:color w:val="000000"/>
                <w:szCs w:val="32"/>
              </w:rPr>
              <w:t>，</w:t>
            </w:r>
            <w:r>
              <w:rPr>
                <w:rFonts w:eastAsia="方正仿宋_GBK"/>
                <w:color w:val="000000"/>
                <w:szCs w:val="32"/>
              </w:rPr>
              <w:t>丰富文化活动，实现育人目标</w:t>
            </w:r>
            <w:r>
              <w:rPr>
                <w:rFonts w:hint="eastAsia" w:eastAsia="方正仿宋_GBK"/>
                <w:color w:val="000000"/>
                <w:szCs w:val="32"/>
              </w:rPr>
              <w:t>，</w:t>
            </w:r>
            <w:r>
              <w:rPr>
                <w:rFonts w:eastAsia="方正仿宋_GBK"/>
                <w:color w:val="000000"/>
                <w:szCs w:val="32"/>
              </w:rPr>
              <w:t>强化劳动教育，培养优良品质</w:t>
            </w:r>
            <w:r>
              <w:rPr>
                <w:rFonts w:hint="eastAsia" w:eastAsia="方正仿宋_GBK"/>
                <w:color w:val="000000"/>
                <w:szCs w:val="32"/>
              </w:rPr>
              <w:t>，</w:t>
            </w:r>
            <w:r>
              <w:rPr>
                <w:rFonts w:eastAsia="方正仿宋_GBK"/>
                <w:color w:val="000000"/>
                <w:szCs w:val="32"/>
              </w:rPr>
              <w:t>推进家校社协同育人，凝聚教育合力</w:t>
            </w:r>
            <w:r>
              <w:rPr>
                <w:rFonts w:hint="eastAsia" w:eastAsia="方正仿宋_GBK"/>
                <w:color w:val="000000"/>
                <w:szCs w:val="32"/>
              </w:rPr>
              <w:t>。</w:t>
            </w:r>
          </w:p>
        </w:tc>
      </w:tr>
      <w:tr w14:paraId="72C02704">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A95DE">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B039B">
            <w:pPr>
              <w:widowControl/>
              <w:spacing w:line="300" w:lineRule="exact"/>
              <w:jc w:val="left"/>
              <w:textAlignment w:val="center"/>
              <w:rPr>
                <w:rFonts w:eastAsia="方正仿宋_GBK"/>
                <w:color w:val="000000"/>
                <w:szCs w:val="32"/>
              </w:rPr>
            </w:pPr>
            <w:r>
              <w:rPr>
                <w:rFonts w:hint="eastAsia" w:eastAsia="方正仿宋_GBK"/>
                <w:color w:val="000000"/>
                <w:szCs w:val="32"/>
              </w:rPr>
              <w:t>3.</w:t>
            </w:r>
            <w:r>
              <w:rPr>
                <w:rFonts w:eastAsia="方正仿宋_GBK"/>
                <w:color w:val="000000"/>
                <w:szCs w:val="32"/>
              </w:rPr>
              <w:t>坚持五育并举</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99C69F">
            <w:pPr>
              <w:widowControl/>
              <w:spacing w:line="300" w:lineRule="exact"/>
              <w:jc w:val="left"/>
              <w:textAlignment w:val="center"/>
              <w:rPr>
                <w:rFonts w:eastAsia="方正仿宋_GBK"/>
                <w:color w:val="000000"/>
                <w:szCs w:val="32"/>
              </w:rPr>
            </w:pPr>
            <w:r>
              <w:rPr>
                <w:rFonts w:eastAsia="方正仿宋_GBK"/>
                <w:color w:val="000000"/>
                <w:szCs w:val="32"/>
              </w:rPr>
              <w:t>坚持</w:t>
            </w:r>
            <w:r>
              <w:rPr>
                <w:rFonts w:hint="eastAsia" w:eastAsia="方正仿宋_GBK"/>
                <w:color w:val="000000"/>
                <w:szCs w:val="32"/>
              </w:rPr>
              <w:t>“</w:t>
            </w:r>
            <w:r>
              <w:rPr>
                <w:rFonts w:eastAsia="方正仿宋_GBK"/>
                <w:color w:val="000000"/>
                <w:szCs w:val="32"/>
              </w:rPr>
              <w:t>五育并举</w:t>
            </w:r>
            <w:r>
              <w:rPr>
                <w:rFonts w:hint="eastAsia" w:eastAsia="方正仿宋_GBK"/>
                <w:color w:val="000000"/>
                <w:szCs w:val="32"/>
              </w:rPr>
              <w:t>”。</w:t>
            </w:r>
          </w:p>
        </w:tc>
      </w:tr>
      <w:tr w14:paraId="78BB2BBD">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07A68">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1FC41F">
            <w:pPr>
              <w:widowControl/>
              <w:spacing w:line="300" w:lineRule="exact"/>
              <w:jc w:val="left"/>
              <w:textAlignment w:val="center"/>
              <w:rPr>
                <w:rFonts w:eastAsia="方正仿宋_GBK"/>
                <w:color w:val="000000"/>
                <w:szCs w:val="32"/>
              </w:rPr>
            </w:pPr>
            <w:r>
              <w:rPr>
                <w:rFonts w:hint="eastAsia" w:eastAsia="方正仿宋_GBK"/>
                <w:color w:val="000000"/>
                <w:szCs w:val="32"/>
              </w:rPr>
              <w:t>4.</w:t>
            </w:r>
            <w:r>
              <w:rPr>
                <w:rFonts w:eastAsia="方正仿宋_GBK"/>
                <w:color w:val="000000"/>
                <w:szCs w:val="32"/>
              </w:rPr>
              <w:t>积极开展教育人才“组团式”帮扶工作</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433FCC">
            <w:pPr>
              <w:widowControl/>
              <w:spacing w:line="300" w:lineRule="exact"/>
              <w:jc w:val="left"/>
              <w:textAlignment w:val="center"/>
              <w:rPr>
                <w:rFonts w:eastAsia="方正仿宋_GBK"/>
                <w:color w:val="000000"/>
                <w:szCs w:val="32"/>
              </w:rPr>
            </w:pPr>
            <w:r>
              <w:rPr>
                <w:rFonts w:eastAsia="方正仿宋_GBK"/>
                <w:color w:val="000000"/>
                <w:szCs w:val="32"/>
              </w:rPr>
              <w:t>积极开展教育人才“组团式”帮扶工作</w:t>
            </w:r>
            <w:r>
              <w:rPr>
                <w:rFonts w:hint="eastAsia" w:eastAsia="方正仿宋_GBK"/>
                <w:color w:val="000000"/>
                <w:szCs w:val="32"/>
              </w:rPr>
              <w:t>。</w:t>
            </w:r>
          </w:p>
        </w:tc>
      </w:tr>
      <w:tr w14:paraId="55179C2C">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DD425">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20956">
            <w:pPr>
              <w:widowControl/>
              <w:spacing w:line="300" w:lineRule="exact"/>
              <w:jc w:val="left"/>
              <w:textAlignment w:val="center"/>
              <w:rPr>
                <w:rFonts w:eastAsia="方正仿宋_GBK"/>
                <w:color w:val="000000"/>
                <w:szCs w:val="32"/>
              </w:rPr>
            </w:pPr>
            <w:r>
              <w:rPr>
                <w:rFonts w:hint="eastAsia" w:eastAsia="方正仿宋_GBK"/>
                <w:color w:val="000000"/>
                <w:szCs w:val="32"/>
              </w:rPr>
              <w:t>5.</w:t>
            </w:r>
            <w:r>
              <w:rPr>
                <w:rFonts w:eastAsia="方正仿宋_GBK"/>
                <w:color w:val="000000"/>
                <w:szCs w:val="32"/>
              </w:rPr>
              <w:t>成阿、绵阿合作</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A076C1">
            <w:pPr>
              <w:widowControl/>
              <w:spacing w:line="300" w:lineRule="exact"/>
              <w:jc w:val="left"/>
              <w:textAlignment w:val="center"/>
              <w:rPr>
                <w:rFonts w:eastAsia="方正仿宋_GBK"/>
                <w:color w:val="000000"/>
                <w:szCs w:val="32"/>
              </w:rPr>
            </w:pPr>
            <w:r>
              <w:rPr>
                <w:rFonts w:eastAsia="方正仿宋_GBK"/>
                <w:color w:val="000000"/>
                <w:szCs w:val="32"/>
              </w:rPr>
              <w:t>成阿、绵阿合作</w:t>
            </w:r>
            <w:r>
              <w:rPr>
                <w:rFonts w:hint="eastAsia" w:eastAsia="方正仿宋_GBK"/>
                <w:color w:val="000000"/>
                <w:szCs w:val="32"/>
              </w:rPr>
              <w:t>。</w:t>
            </w:r>
          </w:p>
        </w:tc>
      </w:tr>
      <w:tr w14:paraId="496C4BF0">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541CF">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F299F">
            <w:pPr>
              <w:widowControl/>
              <w:spacing w:line="300" w:lineRule="exact"/>
              <w:jc w:val="left"/>
              <w:textAlignment w:val="center"/>
              <w:rPr>
                <w:rFonts w:eastAsia="方正仿宋_GBK"/>
                <w:color w:val="000000"/>
                <w:szCs w:val="32"/>
              </w:rPr>
            </w:pPr>
            <w:r>
              <w:rPr>
                <w:rFonts w:hint="eastAsia" w:eastAsia="方正仿宋_GBK"/>
                <w:color w:val="000000"/>
                <w:szCs w:val="32"/>
              </w:rPr>
              <w:t>6.</w:t>
            </w:r>
            <w:r>
              <w:rPr>
                <w:rFonts w:eastAsia="方正仿宋_GBK"/>
                <w:color w:val="000000"/>
                <w:szCs w:val="32"/>
              </w:rPr>
              <w:t>加强与成都七中、成都四中、绵阳中学、崇州市崇庆中学等名校的帮扶合作</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2AFAEE">
            <w:pPr>
              <w:widowControl/>
              <w:spacing w:line="300" w:lineRule="exact"/>
              <w:jc w:val="left"/>
              <w:textAlignment w:val="center"/>
              <w:rPr>
                <w:rFonts w:eastAsia="方正仿宋_GBK"/>
                <w:color w:val="000000"/>
                <w:szCs w:val="32"/>
              </w:rPr>
            </w:pPr>
            <w:r>
              <w:rPr>
                <w:rFonts w:eastAsia="方正仿宋_GBK"/>
                <w:color w:val="000000"/>
                <w:szCs w:val="32"/>
              </w:rPr>
              <w:t>加强与成都七中、成都四中、绵阳中学、崇州市崇庆中学等名校的帮扶合作</w:t>
            </w:r>
            <w:r>
              <w:rPr>
                <w:rFonts w:hint="eastAsia" w:eastAsia="方正仿宋_GBK"/>
                <w:color w:val="000000"/>
                <w:szCs w:val="32"/>
              </w:rPr>
              <w:t>。</w:t>
            </w:r>
          </w:p>
        </w:tc>
      </w:tr>
      <w:tr w14:paraId="30471B9F">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AAD33">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B3C0F">
            <w:pPr>
              <w:widowControl/>
              <w:adjustRightInd w:val="0"/>
              <w:snapToGrid w:val="0"/>
              <w:spacing w:line="578" w:lineRule="exact"/>
              <w:ind w:firstLine="420" w:firstLineChars="200"/>
              <w:contextualSpacing/>
              <w:jc w:val="left"/>
              <w:rPr>
                <w:rFonts w:eastAsia="楷体_GB2312"/>
                <w:b/>
                <w:bCs/>
                <w:color w:val="000000"/>
                <w:kern w:val="0"/>
                <w:szCs w:val="32"/>
                <w:shd w:val="clear" w:color="auto" w:fill="FFFFFF"/>
                <w:lang w:val="zh-CN"/>
              </w:rPr>
            </w:pPr>
            <w:r>
              <w:rPr>
                <w:rFonts w:hint="eastAsia" w:eastAsia="方正仿宋_GBK"/>
                <w:color w:val="000000"/>
                <w:szCs w:val="32"/>
              </w:rPr>
              <w:t>7.</w:t>
            </w:r>
            <w:r>
              <w:rPr>
                <w:rFonts w:eastAsia="方正仿宋_GBK"/>
                <w:color w:val="000000"/>
                <w:szCs w:val="32"/>
              </w:rPr>
              <w:t>稳步推进学校各项工作再上新台阶</w:t>
            </w:r>
          </w:p>
          <w:p w14:paraId="28BB38BF">
            <w:pPr>
              <w:widowControl/>
              <w:spacing w:line="300" w:lineRule="exact"/>
              <w:jc w:val="left"/>
              <w:rPr>
                <w:color w:val="000000"/>
                <w:sz w:val="24"/>
              </w:rPr>
            </w:pP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524F2D">
            <w:pPr>
              <w:widowControl/>
              <w:spacing w:line="300" w:lineRule="exact"/>
              <w:ind w:firstLine="420" w:firstLineChars="200"/>
              <w:jc w:val="left"/>
              <w:textAlignment w:val="center"/>
              <w:rPr>
                <w:rFonts w:eastAsia="方正仿宋_GBK"/>
                <w:color w:val="000000"/>
                <w:szCs w:val="32"/>
              </w:rPr>
            </w:pPr>
            <w:r>
              <w:rPr>
                <w:rFonts w:eastAsia="方正仿宋_GBK"/>
                <w:color w:val="000000"/>
                <w:szCs w:val="32"/>
              </w:rPr>
              <w:t>完成</w:t>
            </w:r>
            <w:r>
              <w:rPr>
                <w:rFonts w:hint="eastAsia" w:eastAsia="方正仿宋_GBK"/>
                <w:color w:val="000000"/>
                <w:szCs w:val="32"/>
              </w:rPr>
              <w:t>东西</w:t>
            </w:r>
            <w:r>
              <w:rPr>
                <w:rFonts w:eastAsia="方正仿宋_GBK"/>
                <w:color w:val="000000"/>
                <w:szCs w:val="32"/>
              </w:rPr>
              <w:t>两校区整合办公教学</w:t>
            </w:r>
            <w:r>
              <w:rPr>
                <w:rFonts w:hint="eastAsia" w:eastAsia="方正仿宋_GBK"/>
                <w:color w:val="000000"/>
                <w:szCs w:val="32"/>
              </w:rPr>
              <w:t>，</w:t>
            </w:r>
            <w:r>
              <w:rPr>
                <w:rFonts w:eastAsia="方正仿宋_GBK"/>
                <w:color w:val="000000"/>
                <w:szCs w:val="32"/>
              </w:rPr>
              <w:t>持续加强教学常规管理</w:t>
            </w:r>
            <w:r>
              <w:rPr>
                <w:rFonts w:hint="eastAsia" w:eastAsia="方正仿宋_GBK"/>
                <w:color w:val="000000"/>
                <w:szCs w:val="32"/>
              </w:rPr>
              <w:t>，</w:t>
            </w:r>
            <w:r>
              <w:rPr>
                <w:rFonts w:eastAsia="方正仿宋_GBK"/>
                <w:color w:val="000000"/>
                <w:szCs w:val="32"/>
              </w:rPr>
              <w:t>开展好教师培训</w:t>
            </w:r>
            <w:r>
              <w:rPr>
                <w:rFonts w:hint="eastAsia" w:eastAsia="方正仿宋_GBK"/>
                <w:color w:val="000000"/>
                <w:szCs w:val="32"/>
              </w:rPr>
              <w:t>，开</w:t>
            </w:r>
            <w:r>
              <w:rPr>
                <w:rFonts w:eastAsia="方正仿宋_GBK"/>
                <w:color w:val="000000"/>
                <w:szCs w:val="32"/>
              </w:rPr>
              <w:t>展好教研及课题相关活动</w:t>
            </w:r>
            <w:r>
              <w:rPr>
                <w:rFonts w:hint="eastAsia" w:eastAsia="方正仿宋_GBK"/>
                <w:color w:val="000000"/>
                <w:szCs w:val="32"/>
              </w:rPr>
              <w:t>。</w:t>
            </w:r>
          </w:p>
          <w:p w14:paraId="35F9F222">
            <w:pPr>
              <w:widowControl/>
              <w:spacing w:line="300" w:lineRule="exact"/>
              <w:jc w:val="left"/>
              <w:textAlignment w:val="center"/>
              <w:rPr>
                <w:rFonts w:eastAsia="方正仿宋_GBK"/>
                <w:color w:val="000000"/>
                <w:szCs w:val="32"/>
              </w:rPr>
            </w:pPr>
          </w:p>
          <w:p w14:paraId="55870AD4">
            <w:pPr>
              <w:widowControl/>
              <w:spacing w:line="300" w:lineRule="exact"/>
              <w:jc w:val="left"/>
              <w:textAlignment w:val="center"/>
              <w:rPr>
                <w:rFonts w:eastAsia="方正仿宋_GBK"/>
                <w:color w:val="000000"/>
                <w:szCs w:val="32"/>
              </w:rPr>
            </w:pPr>
          </w:p>
          <w:p w14:paraId="77190374">
            <w:pPr>
              <w:widowControl/>
              <w:spacing w:line="300" w:lineRule="exact"/>
              <w:jc w:val="left"/>
              <w:textAlignment w:val="center"/>
              <w:rPr>
                <w:rFonts w:eastAsia="方正仿宋_GBK"/>
                <w:color w:val="000000"/>
                <w:szCs w:val="32"/>
              </w:rPr>
            </w:pPr>
          </w:p>
          <w:p w14:paraId="26CE428E">
            <w:pPr>
              <w:widowControl/>
              <w:spacing w:line="300" w:lineRule="exact"/>
              <w:jc w:val="left"/>
              <w:textAlignment w:val="center"/>
              <w:rPr>
                <w:rFonts w:eastAsia="方正仿宋_GBK"/>
                <w:color w:val="000000"/>
                <w:szCs w:val="32"/>
              </w:rPr>
            </w:pPr>
          </w:p>
          <w:p w14:paraId="1B1E94DB">
            <w:pPr>
              <w:widowControl/>
              <w:spacing w:line="300" w:lineRule="exact"/>
              <w:jc w:val="left"/>
              <w:textAlignment w:val="center"/>
              <w:rPr>
                <w:rFonts w:eastAsia="方正仿宋_GBK"/>
                <w:color w:val="000000"/>
                <w:szCs w:val="32"/>
              </w:rPr>
            </w:pPr>
          </w:p>
          <w:p w14:paraId="594964BC">
            <w:pPr>
              <w:widowControl/>
              <w:spacing w:line="300" w:lineRule="exact"/>
              <w:jc w:val="left"/>
              <w:textAlignment w:val="center"/>
              <w:rPr>
                <w:rFonts w:eastAsia="方正仿宋_GBK"/>
                <w:color w:val="000000"/>
                <w:szCs w:val="32"/>
              </w:rPr>
            </w:pPr>
          </w:p>
        </w:tc>
      </w:tr>
      <w:tr w14:paraId="63B66544">
        <w:tblPrEx>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32164">
            <w:pPr>
              <w:widowControl/>
              <w:spacing w:line="300" w:lineRule="exact"/>
              <w:jc w:val="center"/>
              <w:textAlignment w:val="center"/>
              <w:rPr>
                <w:color w:val="000000"/>
                <w:kern w:val="0"/>
                <w:sz w:val="24"/>
                <w:lang w:bidi="ar"/>
              </w:rPr>
            </w:pPr>
            <w:r>
              <w:rPr>
                <w:color w:val="000000"/>
                <w:kern w:val="0"/>
                <w:sz w:val="24"/>
                <w:lang w:bidi="ar"/>
              </w:rPr>
              <w:t>年度绩效</w:t>
            </w:r>
          </w:p>
          <w:p w14:paraId="0A1E497B">
            <w:pPr>
              <w:widowControl/>
              <w:spacing w:line="300" w:lineRule="exact"/>
              <w:jc w:val="center"/>
              <w:textAlignment w:val="center"/>
              <w:rPr>
                <w:color w:val="000000"/>
                <w:sz w:val="24"/>
              </w:rPr>
            </w:pPr>
            <w:r>
              <w:rPr>
                <w:color w:val="000000"/>
                <w:kern w:val="0"/>
                <w:sz w:val="24"/>
                <w:lang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5F86">
            <w:pPr>
              <w:widowControl/>
              <w:spacing w:line="300" w:lineRule="exact"/>
              <w:jc w:val="center"/>
              <w:textAlignment w:val="center"/>
              <w:rPr>
                <w:color w:val="000000"/>
                <w:sz w:val="24"/>
              </w:rPr>
            </w:pPr>
            <w:r>
              <w:rPr>
                <w:color w:val="000000"/>
                <w:kern w:val="0"/>
                <w:sz w:val="24"/>
                <w:lang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CCC04">
            <w:pPr>
              <w:widowControl/>
              <w:spacing w:line="300" w:lineRule="exact"/>
              <w:jc w:val="center"/>
              <w:textAlignment w:val="center"/>
              <w:rPr>
                <w:color w:val="000000"/>
                <w:sz w:val="24"/>
              </w:rPr>
            </w:pPr>
            <w:r>
              <w:rPr>
                <w:color w:val="000000"/>
                <w:kern w:val="0"/>
                <w:sz w:val="24"/>
                <w:lang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53CE">
            <w:pPr>
              <w:widowControl/>
              <w:spacing w:line="300" w:lineRule="exact"/>
              <w:jc w:val="center"/>
              <w:textAlignment w:val="center"/>
              <w:rPr>
                <w:color w:val="000000"/>
                <w:sz w:val="24"/>
              </w:rPr>
            </w:pPr>
            <w:r>
              <w:rPr>
                <w:color w:val="000000"/>
                <w:kern w:val="0"/>
                <w:sz w:val="24"/>
                <w:lang w:bidi="ar"/>
              </w:rPr>
              <w:t>三级指标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A8B7">
            <w:pPr>
              <w:widowControl/>
              <w:spacing w:line="300" w:lineRule="exact"/>
              <w:jc w:val="center"/>
              <w:textAlignment w:val="center"/>
              <w:rPr>
                <w:color w:val="000000"/>
                <w:kern w:val="0"/>
                <w:sz w:val="24"/>
                <w:lang w:bidi="ar"/>
              </w:rPr>
            </w:pPr>
            <w:r>
              <w:rPr>
                <w:color w:val="000000"/>
                <w:kern w:val="0"/>
                <w:sz w:val="24"/>
                <w:lang w:bidi="ar"/>
              </w:rPr>
              <w:t>绩效指标</w:t>
            </w:r>
          </w:p>
          <w:p w14:paraId="3C7F7970">
            <w:pPr>
              <w:widowControl/>
              <w:spacing w:line="300" w:lineRule="exact"/>
              <w:jc w:val="center"/>
              <w:textAlignment w:val="center"/>
              <w:rPr>
                <w:color w:val="000000"/>
                <w:sz w:val="24"/>
              </w:rPr>
            </w:pPr>
            <w:r>
              <w:rPr>
                <w:color w:val="000000"/>
                <w:kern w:val="0"/>
                <w:sz w:val="24"/>
                <w:lang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F7DE0">
            <w:pPr>
              <w:widowControl/>
              <w:spacing w:line="300" w:lineRule="exact"/>
              <w:jc w:val="center"/>
              <w:textAlignment w:val="center"/>
              <w:rPr>
                <w:color w:val="000000"/>
                <w:sz w:val="24"/>
              </w:rPr>
            </w:pPr>
            <w:r>
              <w:rPr>
                <w:color w:val="000000"/>
                <w:kern w:val="0"/>
                <w:sz w:val="24"/>
                <w:lang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57515">
            <w:pPr>
              <w:widowControl/>
              <w:spacing w:line="300" w:lineRule="exact"/>
              <w:jc w:val="center"/>
              <w:textAlignment w:val="center"/>
              <w:rPr>
                <w:color w:val="000000"/>
                <w:sz w:val="24"/>
              </w:rPr>
            </w:pPr>
            <w:r>
              <w:rPr>
                <w:color w:val="000000"/>
                <w:kern w:val="0"/>
                <w:sz w:val="24"/>
                <w:lang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61ED50E9">
            <w:pPr>
              <w:widowControl/>
              <w:spacing w:line="300" w:lineRule="exact"/>
              <w:jc w:val="center"/>
              <w:textAlignment w:val="center"/>
              <w:rPr>
                <w:color w:val="000000"/>
                <w:sz w:val="24"/>
              </w:rPr>
            </w:pPr>
            <w:r>
              <w:rPr>
                <w:color w:val="000000"/>
                <w:kern w:val="0"/>
                <w:sz w:val="24"/>
                <w:lang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6523">
            <w:pPr>
              <w:widowControl/>
              <w:spacing w:line="300" w:lineRule="exact"/>
              <w:jc w:val="center"/>
              <w:textAlignment w:val="center"/>
              <w:rPr>
                <w:color w:val="000000"/>
                <w:kern w:val="0"/>
                <w:sz w:val="24"/>
                <w:lang w:bidi="ar"/>
              </w:rPr>
            </w:pPr>
            <w:r>
              <w:rPr>
                <w:color w:val="000000"/>
                <w:kern w:val="0"/>
                <w:sz w:val="24"/>
                <w:lang w:bidi="ar"/>
              </w:rPr>
              <w:t>实际完成</w:t>
            </w:r>
          </w:p>
          <w:p w14:paraId="2A9A66FF">
            <w:pPr>
              <w:widowControl/>
              <w:spacing w:line="300" w:lineRule="exact"/>
              <w:jc w:val="center"/>
              <w:textAlignment w:val="center"/>
              <w:rPr>
                <w:color w:val="000000"/>
                <w:sz w:val="24"/>
              </w:rPr>
            </w:pPr>
            <w:r>
              <w:rPr>
                <w:color w:val="000000"/>
                <w:kern w:val="0"/>
                <w:sz w:val="24"/>
                <w:lang w:bidi="ar"/>
              </w:rPr>
              <w:t>指标值</w:t>
            </w:r>
          </w:p>
        </w:tc>
      </w:tr>
      <w:tr w14:paraId="22DE132F">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4A419">
            <w:pPr>
              <w:widowControl/>
              <w:spacing w:line="300" w:lineRule="exact"/>
              <w:jc w:val="center"/>
              <w:rPr>
                <w:color w:val="000000"/>
                <w:sz w:val="24"/>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262EC">
            <w:pPr>
              <w:widowControl/>
              <w:spacing w:line="300" w:lineRule="exact"/>
              <w:jc w:val="center"/>
              <w:textAlignment w:val="center"/>
              <w:rPr>
                <w:color w:val="000000"/>
                <w:sz w:val="24"/>
              </w:rPr>
            </w:pPr>
            <w:r>
              <w:rPr>
                <w:rFonts w:hint="eastAsia"/>
                <w:color w:val="000000"/>
                <w:kern w:val="0"/>
                <w:sz w:val="24"/>
                <w:lang w:bidi="ar"/>
              </w:rPr>
              <w:t>成本指标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28101">
            <w:pPr>
              <w:widowControl/>
              <w:spacing w:line="300" w:lineRule="exact"/>
              <w:jc w:val="center"/>
              <w:textAlignment w:val="center"/>
              <w:rPr>
                <w:color w:val="000000"/>
                <w:sz w:val="24"/>
              </w:rPr>
            </w:pPr>
            <w:r>
              <w:rPr>
                <w:color w:val="000000"/>
                <w:kern w:val="0"/>
                <w:sz w:val="24"/>
                <w:lang w:bidi="ar"/>
              </w:rPr>
              <w:t>预算管理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7C93">
            <w:pPr>
              <w:widowControl/>
              <w:spacing w:line="300" w:lineRule="exact"/>
              <w:jc w:val="left"/>
              <w:textAlignment w:val="center"/>
              <w:rPr>
                <w:color w:val="000000"/>
                <w:sz w:val="24"/>
              </w:rPr>
            </w:pPr>
            <w:r>
              <w:rPr>
                <w:rFonts w:hint="eastAsia"/>
                <w:color w:val="000000"/>
                <w:sz w:val="24"/>
              </w:rPr>
              <w:t>财政拨款预算执行率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06E02">
            <w:pPr>
              <w:widowControl/>
              <w:spacing w:line="300" w:lineRule="exact"/>
              <w:jc w:val="left"/>
              <w:textAlignment w:val="center"/>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33FA3">
            <w:pPr>
              <w:widowControl/>
              <w:spacing w:line="300" w:lineRule="exact"/>
              <w:jc w:val="left"/>
              <w:textAlignment w:val="center"/>
              <w:rPr>
                <w:color w:val="000000"/>
                <w:sz w:val="24"/>
              </w:rPr>
            </w:pPr>
            <w:r>
              <w:rPr>
                <w:rFonts w:hint="eastAsia"/>
                <w:color w:val="000000"/>
                <w:sz w:val="24"/>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A21E">
            <w:pPr>
              <w:widowControl/>
              <w:spacing w:line="300" w:lineRule="exact"/>
              <w:jc w:val="left"/>
              <w:textAlignment w:val="center"/>
              <w:rPr>
                <w:color w:val="000000"/>
                <w:sz w:val="24"/>
              </w:rPr>
            </w:pPr>
            <w:r>
              <w:rPr>
                <w:rFonts w:hint="eastAsia"/>
                <w:color w:val="000000"/>
                <w:sz w:val="24"/>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D2A6">
            <w:pPr>
              <w:widowControl/>
              <w:spacing w:line="300" w:lineRule="exact"/>
              <w:jc w:val="left"/>
              <w:textAlignment w:val="center"/>
              <w:rPr>
                <w:color w:val="000000"/>
                <w:sz w:val="24"/>
              </w:rPr>
            </w:pPr>
            <w:r>
              <w:rPr>
                <w:rFonts w:hint="eastAsia"/>
                <w:color w:val="000000"/>
                <w:sz w:val="24"/>
              </w:rPr>
              <w:t>10</w:t>
            </w:r>
          </w:p>
        </w:tc>
        <w:tc>
          <w:tcPr>
            <w:tcW w:w="1113" w:type="dxa"/>
            <w:tcBorders>
              <w:left w:val="single" w:color="000000" w:sz="4" w:space="0"/>
              <w:bottom w:val="single" w:color="000000" w:sz="4" w:space="0"/>
              <w:right w:val="single" w:color="000000" w:sz="4" w:space="0"/>
            </w:tcBorders>
            <w:shd w:val="clear" w:color="auto" w:fill="auto"/>
            <w:vAlign w:val="center"/>
          </w:tcPr>
          <w:p w14:paraId="58A311F8">
            <w:pPr>
              <w:widowControl/>
              <w:spacing w:line="300" w:lineRule="exact"/>
              <w:jc w:val="left"/>
              <w:textAlignment w:val="center"/>
              <w:rPr>
                <w:color w:val="000000"/>
                <w:sz w:val="24"/>
              </w:rPr>
            </w:pPr>
            <w:r>
              <w:rPr>
                <w:rFonts w:hint="eastAsia"/>
                <w:color w:val="000000"/>
                <w:sz w:val="24"/>
              </w:rPr>
              <w:t>100%</w:t>
            </w:r>
          </w:p>
        </w:tc>
      </w:tr>
      <w:tr w14:paraId="4EDA37DD">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335AC">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C7732">
            <w:pPr>
              <w:widowControl/>
              <w:spacing w:line="300" w:lineRule="exact"/>
              <w:jc w:val="center"/>
              <w:rPr>
                <w:color w:val="000000"/>
                <w:sz w:val="24"/>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2BA89">
            <w:pPr>
              <w:widowControl/>
              <w:spacing w:line="300" w:lineRule="exact"/>
              <w:jc w:val="center"/>
              <w:rPr>
                <w:color w:val="000000"/>
                <w:sz w:val="24"/>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09E7">
            <w:pPr>
              <w:widowControl/>
              <w:spacing w:line="300" w:lineRule="exact"/>
              <w:jc w:val="left"/>
              <w:rPr>
                <w:color w:val="000000"/>
                <w:sz w:val="24"/>
              </w:rPr>
            </w:pPr>
            <w:r>
              <w:rPr>
                <w:rFonts w:hint="eastAsia"/>
                <w:color w:val="000000"/>
                <w:sz w:val="24"/>
              </w:rPr>
              <w:t>是否有</w:t>
            </w:r>
            <w:r>
              <w:rPr>
                <w:color w:val="000000"/>
                <w:sz w:val="24"/>
              </w:rPr>
              <w:t>单位收入</w:t>
            </w:r>
            <w:r>
              <w:rPr>
                <w:rFonts w:hint="eastAsia"/>
                <w:color w:val="000000"/>
                <w:sz w:val="24"/>
              </w:rPr>
              <w:t>统筹</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AF52">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263D">
            <w:pPr>
              <w:widowControl/>
              <w:spacing w:line="300" w:lineRule="exact"/>
              <w:jc w:val="left"/>
              <w:rPr>
                <w:color w:val="000000"/>
                <w:sz w:val="24"/>
              </w:rPr>
            </w:pPr>
            <w:r>
              <w:rPr>
                <w:rFonts w:hint="eastAsia"/>
                <w:color w:val="000000"/>
                <w:sz w:val="24"/>
              </w:rPr>
              <w:t>是否有统筹资金</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F905">
            <w:pPr>
              <w:widowControl/>
              <w:spacing w:line="300" w:lineRule="exact"/>
              <w:jc w:val="left"/>
              <w:rPr>
                <w:color w:val="000000"/>
                <w:sz w:val="24"/>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8795">
            <w:pPr>
              <w:widowControl/>
              <w:spacing w:line="300" w:lineRule="exact"/>
              <w:jc w:val="left"/>
              <w:rPr>
                <w:color w:val="000000"/>
                <w:sz w:val="24"/>
              </w:rPr>
            </w:pPr>
            <w:r>
              <w:rPr>
                <w:rFonts w:hint="eastAsia"/>
                <w:color w:val="000000"/>
                <w:sz w:val="24"/>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C4C0">
            <w:pPr>
              <w:widowControl/>
              <w:spacing w:line="300" w:lineRule="exact"/>
              <w:jc w:val="left"/>
              <w:rPr>
                <w:color w:val="000000"/>
                <w:sz w:val="24"/>
              </w:rPr>
            </w:pPr>
            <w:r>
              <w:rPr>
                <w:rFonts w:hint="eastAsia"/>
                <w:color w:val="000000"/>
                <w:sz w:val="24"/>
              </w:rPr>
              <w:t>无自由收入</w:t>
            </w:r>
          </w:p>
        </w:tc>
      </w:tr>
      <w:tr w14:paraId="2EA866A7">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81715">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54F55">
            <w:pPr>
              <w:widowControl/>
              <w:spacing w:line="300" w:lineRule="exact"/>
              <w:jc w:val="center"/>
              <w:rPr>
                <w:color w:val="000000"/>
                <w:sz w:val="24"/>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4F94">
            <w:pPr>
              <w:widowControl/>
              <w:spacing w:line="300" w:lineRule="exact"/>
              <w:jc w:val="center"/>
              <w:textAlignment w:val="center"/>
              <w:rPr>
                <w:color w:val="000000"/>
                <w:sz w:val="24"/>
              </w:rPr>
            </w:pPr>
            <w:r>
              <w:rPr>
                <w:color w:val="000000"/>
                <w:kern w:val="0"/>
                <w:sz w:val="24"/>
                <w:lang w:bidi="ar"/>
              </w:rPr>
              <w:t>财务管理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5C12">
            <w:pPr>
              <w:widowControl/>
              <w:spacing w:line="300" w:lineRule="exact"/>
              <w:jc w:val="left"/>
              <w:rPr>
                <w:color w:val="000000"/>
                <w:sz w:val="24"/>
              </w:rPr>
            </w:pPr>
            <w:r>
              <w:rPr>
                <w:color w:val="000000"/>
                <w:sz w:val="24"/>
              </w:rPr>
              <w:t>财务管理规范</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E3A6">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2B97">
            <w:pPr>
              <w:widowControl/>
              <w:spacing w:line="300" w:lineRule="exact"/>
              <w:jc w:val="left"/>
              <w:rPr>
                <w:color w:val="000000"/>
                <w:sz w:val="24"/>
              </w:rPr>
            </w:pPr>
            <w:r>
              <w:rPr>
                <w:rFonts w:hint="eastAsia"/>
                <w:color w:val="000000"/>
                <w:sz w:val="24"/>
              </w:rPr>
              <w:t>良</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6677">
            <w:pPr>
              <w:widowControl/>
              <w:spacing w:line="300" w:lineRule="exact"/>
              <w:jc w:val="left"/>
              <w:rPr>
                <w:color w:val="000000"/>
                <w:sz w:val="24"/>
              </w:rPr>
            </w:pPr>
            <w:r>
              <w:rPr>
                <w:rFonts w:hint="eastAsia"/>
                <w:color w:val="000000"/>
                <w:sz w:val="24"/>
              </w:rPr>
              <w:t>优良中低差</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FA95">
            <w:pPr>
              <w:widowControl/>
              <w:spacing w:line="300" w:lineRule="exact"/>
              <w:jc w:val="left"/>
              <w:rPr>
                <w:color w:val="000000"/>
                <w:sz w:val="24"/>
              </w:rPr>
            </w:pPr>
            <w:r>
              <w:rPr>
                <w:rFonts w:hint="eastAsia"/>
                <w:color w:val="000000"/>
                <w:sz w:val="24"/>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D512E">
            <w:pPr>
              <w:widowControl/>
              <w:spacing w:line="300" w:lineRule="exact"/>
              <w:jc w:val="left"/>
              <w:rPr>
                <w:color w:val="000000"/>
                <w:sz w:val="24"/>
              </w:rPr>
            </w:pPr>
            <w:r>
              <w:rPr>
                <w:rFonts w:hint="eastAsia"/>
                <w:color w:val="000000"/>
                <w:sz w:val="24"/>
              </w:rPr>
              <w:t xml:space="preserve"> </w:t>
            </w:r>
          </w:p>
        </w:tc>
      </w:tr>
      <w:tr w14:paraId="6D207D23">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9E26E">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F6189">
            <w:pPr>
              <w:widowControl/>
              <w:spacing w:line="300" w:lineRule="exact"/>
              <w:jc w:val="center"/>
              <w:rPr>
                <w:color w:val="000000"/>
                <w:sz w:val="24"/>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2F26">
            <w:pPr>
              <w:widowControl/>
              <w:spacing w:line="300" w:lineRule="exact"/>
              <w:jc w:val="center"/>
              <w:textAlignment w:val="center"/>
              <w:rPr>
                <w:color w:val="000000"/>
                <w:sz w:val="24"/>
              </w:rPr>
            </w:pPr>
            <w:r>
              <w:rPr>
                <w:color w:val="000000"/>
                <w:kern w:val="0"/>
                <w:sz w:val="24"/>
                <w:lang w:bidi="ar"/>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49D2">
            <w:pPr>
              <w:widowControl/>
              <w:spacing w:line="300" w:lineRule="exact"/>
              <w:jc w:val="left"/>
              <w:rPr>
                <w:color w:val="000000"/>
                <w:sz w:val="24"/>
              </w:rPr>
            </w:pPr>
            <w:r>
              <w:rPr>
                <w:rFonts w:hint="eastAsia"/>
                <w:color w:val="000000"/>
                <w:sz w:val="24"/>
              </w:rPr>
              <w:t>保障2024年学校运转</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55974">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5CFA">
            <w:pPr>
              <w:widowControl/>
              <w:spacing w:line="300" w:lineRule="exact"/>
              <w:jc w:val="left"/>
              <w:rPr>
                <w:color w:val="000000"/>
                <w:sz w:val="24"/>
              </w:rPr>
            </w:pPr>
            <w:r>
              <w:rPr>
                <w:rFonts w:hint="eastAsia"/>
                <w:color w:val="000000"/>
                <w:sz w:val="24"/>
              </w:rPr>
              <w:t>有效保障</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E7A7">
            <w:pPr>
              <w:widowControl/>
              <w:spacing w:line="300" w:lineRule="exact"/>
              <w:jc w:val="left"/>
              <w:rPr>
                <w:color w:val="000000"/>
                <w:sz w:val="24"/>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3D62">
            <w:pPr>
              <w:widowControl/>
              <w:spacing w:line="300" w:lineRule="exact"/>
              <w:jc w:val="left"/>
              <w:rPr>
                <w:color w:val="000000"/>
                <w:sz w:val="24"/>
              </w:rPr>
            </w:pPr>
            <w:r>
              <w:rPr>
                <w:rFonts w:hint="eastAsia"/>
                <w:color w:val="000000"/>
                <w:sz w:val="24"/>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288A">
            <w:pPr>
              <w:widowControl/>
              <w:spacing w:line="300" w:lineRule="exact"/>
              <w:jc w:val="left"/>
              <w:rPr>
                <w:color w:val="000000"/>
                <w:sz w:val="24"/>
              </w:rPr>
            </w:pPr>
            <w:r>
              <w:rPr>
                <w:rFonts w:hint="eastAsia"/>
                <w:color w:val="000000"/>
                <w:sz w:val="24"/>
              </w:rPr>
              <w:t>有效保障</w:t>
            </w:r>
          </w:p>
        </w:tc>
      </w:tr>
      <w:tr w14:paraId="4688FE59">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52139">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707B6">
            <w:pPr>
              <w:widowControl/>
              <w:spacing w:line="300" w:lineRule="exact"/>
              <w:jc w:val="center"/>
              <w:rPr>
                <w:color w:val="000000"/>
                <w:sz w:val="24"/>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958A">
            <w:pPr>
              <w:widowControl/>
              <w:spacing w:line="300" w:lineRule="exact"/>
              <w:jc w:val="center"/>
              <w:textAlignment w:val="center"/>
              <w:rPr>
                <w:color w:val="000000"/>
                <w:kern w:val="0"/>
                <w:sz w:val="24"/>
                <w:lang w:bidi="ar"/>
              </w:rPr>
            </w:pPr>
            <w:r>
              <w:rPr>
                <w:color w:val="000000"/>
                <w:kern w:val="0"/>
                <w:sz w:val="24"/>
                <w:lang w:bidi="ar"/>
              </w:rPr>
              <w:t>资产管理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78FA">
            <w:pPr>
              <w:widowControl/>
              <w:spacing w:line="300" w:lineRule="exact"/>
              <w:jc w:val="left"/>
              <w:rPr>
                <w:color w:val="000000"/>
                <w:sz w:val="24"/>
              </w:rPr>
            </w:pPr>
            <w:r>
              <w:rPr>
                <w:color w:val="000000"/>
                <w:sz w:val="24"/>
              </w:rPr>
              <w:t>资产配置预算偏离度</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184C">
            <w:pPr>
              <w:widowControl/>
              <w:spacing w:line="300" w:lineRule="exact"/>
              <w:jc w:val="left"/>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5E1E">
            <w:pPr>
              <w:widowControl/>
              <w:spacing w:line="300" w:lineRule="exact"/>
              <w:jc w:val="left"/>
              <w:rPr>
                <w:color w:val="000000"/>
                <w:sz w:val="24"/>
              </w:rPr>
            </w:pPr>
            <w:r>
              <w:rPr>
                <w:rFonts w:hint="eastAsia"/>
                <w:color w:val="000000"/>
                <w:sz w:val="24"/>
              </w:rPr>
              <w:t>30%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4DF3">
            <w:pPr>
              <w:widowControl/>
              <w:spacing w:line="300" w:lineRule="exact"/>
              <w:jc w:val="left"/>
              <w:rPr>
                <w:color w:val="000000"/>
                <w:sz w:val="24"/>
              </w:rPr>
            </w:pPr>
            <w:r>
              <w:rPr>
                <w:rFonts w:hint="eastAsia"/>
                <w:color w:val="000000"/>
                <w:sz w:val="24"/>
              </w:rPr>
              <w:t>10%</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8FAF">
            <w:pPr>
              <w:widowControl/>
              <w:spacing w:line="300" w:lineRule="exact"/>
              <w:jc w:val="left"/>
              <w:rPr>
                <w:color w:val="000000"/>
                <w:sz w:val="24"/>
              </w:rPr>
            </w:pPr>
            <w:r>
              <w:rPr>
                <w:rFonts w:hint="eastAsia"/>
                <w:color w:val="000000"/>
                <w:sz w:val="24"/>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0C40">
            <w:pPr>
              <w:widowControl/>
              <w:spacing w:line="300" w:lineRule="exact"/>
              <w:jc w:val="left"/>
              <w:rPr>
                <w:color w:val="000000"/>
                <w:sz w:val="24"/>
              </w:rPr>
            </w:pPr>
          </w:p>
        </w:tc>
      </w:tr>
      <w:tr w14:paraId="1D5FC60F">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CB146">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75B41">
            <w:pPr>
              <w:widowControl/>
              <w:spacing w:line="300" w:lineRule="exact"/>
              <w:jc w:val="center"/>
              <w:rPr>
                <w:color w:val="000000"/>
                <w:sz w:val="24"/>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7D7D">
            <w:pPr>
              <w:widowControl/>
              <w:spacing w:line="300" w:lineRule="exact"/>
              <w:jc w:val="center"/>
              <w:textAlignment w:val="center"/>
              <w:rPr>
                <w:color w:val="000000"/>
                <w:kern w:val="0"/>
                <w:sz w:val="24"/>
                <w:lang w:bidi="ar"/>
              </w:rPr>
            </w:pPr>
            <w:r>
              <w:rPr>
                <w:color w:val="000000"/>
                <w:kern w:val="0"/>
                <w:sz w:val="24"/>
                <w:lang w:bidi="ar"/>
              </w:rPr>
              <w:t>采购管理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DF49">
            <w:pPr>
              <w:widowControl/>
              <w:spacing w:line="300" w:lineRule="exact"/>
              <w:jc w:val="left"/>
              <w:rPr>
                <w:color w:val="000000"/>
                <w:sz w:val="24"/>
              </w:rPr>
            </w:pPr>
            <w:r>
              <w:rPr>
                <w:rFonts w:hint="eastAsia"/>
                <w:color w:val="000000"/>
                <w:sz w:val="24"/>
              </w:rPr>
              <w:t>采购项目编制准确率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D5C2">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6FD1">
            <w:pPr>
              <w:widowControl/>
              <w:spacing w:line="300" w:lineRule="exact"/>
              <w:jc w:val="left"/>
              <w:rPr>
                <w:color w:val="000000"/>
                <w:sz w:val="24"/>
              </w:rPr>
            </w:pPr>
            <w:r>
              <w:rPr>
                <w:rFonts w:hint="eastAsia"/>
                <w:color w:val="000000"/>
                <w:sz w:val="24"/>
              </w:rPr>
              <w:t>中</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A35FA">
            <w:pPr>
              <w:widowControl/>
              <w:spacing w:line="300" w:lineRule="exact"/>
              <w:jc w:val="left"/>
              <w:rPr>
                <w:color w:val="000000"/>
                <w:sz w:val="24"/>
              </w:rPr>
            </w:pPr>
            <w:r>
              <w:rPr>
                <w:rFonts w:hint="eastAsia"/>
                <w:color w:val="000000"/>
                <w:sz w:val="24"/>
              </w:rPr>
              <w:t>优良中低差</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84DF">
            <w:pPr>
              <w:widowControl/>
              <w:spacing w:line="300" w:lineRule="exact"/>
              <w:jc w:val="left"/>
              <w:rPr>
                <w:color w:val="000000"/>
                <w:sz w:val="24"/>
              </w:rPr>
            </w:pPr>
            <w:r>
              <w:rPr>
                <w:rFonts w:hint="eastAsia"/>
                <w:color w:val="000000"/>
                <w:sz w:val="24"/>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BCE4">
            <w:pPr>
              <w:widowControl/>
              <w:spacing w:line="300" w:lineRule="exact"/>
              <w:jc w:val="left"/>
              <w:rPr>
                <w:color w:val="000000"/>
                <w:sz w:val="24"/>
              </w:rPr>
            </w:pPr>
          </w:p>
        </w:tc>
      </w:tr>
      <w:tr w14:paraId="284F0DAF">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7E9B6">
            <w:pPr>
              <w:widowControl/>
              <w:spacing w:line="300" w:lineRule="exact"/>
              <w:jc w:val="center"/>
              <w:rPr>
                <w:color w:val="000000"/>
                <w:sz w:val="24"/>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EC7095">
            <w:pPr>
              <w:widowControl/>
              <w:spacing w:line="300" w:lineRule="exact"/>
              <w:jc w:val="center"/>
              <w:textAlignment w:val="center"/>
              <w:rPr>
                <w:color w:val="000000"/>
                <w:sz w:val="24"/>
              </w:rPr>
            </w:pPr>
            <w:r>
              <w:rPr>
                <w:color w:val="000000"/>
                <w:kern w:val="0"/>
                <w:sz w:val="24"/>
                <w:lang w:bidi="ar"/>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21C2B22D">
            <w:pPr>
              <w:widowControl/>
              <w:spacing w:line="300" w:lineRule="exact"/>
              <w:jc w:val="center"/>
              <w:textAlignment w:val="center"/>
              <w:rPr>
                <w:color w:val="000000"/>
                <w:kern w:val="0"/>
                <w:sz w:val="24"/>
                <w:lang w:bidi="ar"/>
              </w:rPr>
            </w:pPr>
            <w:r>
              <w:rPr>
                <w:color w:val="000000"/>
                <w:kern w:val="0"/>
                <w:sz w:val="24"/>
                <w:lang w:bidi="ar"/>
              </w:rPr>
              <w:t>社会效益</w:t>
            </w:r>
          </w:p>
          <w:p w14:paraId="46D41391">
            <w:pPr>
              <w:widowControl/>
              <w:spacing w:line="300" w:lineRule="exact"/>
              <w:jc w:val="center"/>
              <w:textAlignment w:val="center"/>
              <w:rPr>
                <w:color w:val="000000"/>
                <w:sz w:val="24"/>
              </w:rPr>
            </w:pPr>
            <w:r>
              <w:rPr>
                <w:color w:val="000000"/>
                <w:kern w:val="0"/>
                <w:sz w:val="24"/>
                <w:lang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9D44C">
            <w:pPr>
              <w:widowControl/>
              <w:spacing w:line="300" w:lineRule="exact"/>
              <w:jc w:val="left"/>
              <w:rPr>
                <w:color w:val="000000"/>
                <w:sz w:val="24"/>
              </w:rPr>
            </w:pPr>
            <w:r>
              <w:rPr>
                <w:color w:val="000000"/>
                <w:sz w:val="24"/>
              </w:rPr>
              <w:t>单位运转保障率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462C">
            <w:pPr>
              <w:widowControl/>
              <w:spacing w:line="300" w:lineRule="exact"/>
              <w:jc w:val="left"/>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F6AF">
            <w:pPr>
              <w:widowControl/>
              <w:spacing w:line="300" w:lineRule="exact"/>
              <w:jc w:val="left"/>
              <w:rPr>
                <w:color w:val="000000"/>
                <w:sz w:val="24"/>
              </w:rPr>
            </w:pPr>
            <w:r>
              <w:rPr>
                <w:rFonts w:hint="eastAsia"/>
                <w:color w:val="000000"/>
                <w:sz w:val="24"/>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5CE8">
            <w:pPr>
              <w:widowControl/>
              <w:spacing w:line="300" w:lineRule="exact"/>
              <w:jc w:val="left"/>
              <w:rPr>
                <w:color w:val="000000"/>
                <w:sz w:val="24"/>
              </w:rPr>
            </w:pPr>
            <w:r>
              <w:rPr>
                <w:rFonts w:hint="eastAsia"/>
                <w:color w:val="000000"/>
                <w:sz w:val="24"/>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154F">
            <w:pPr>
              <w:widowControl/>
              <w:spacing w:line="300" w:lineRule="exact"/>
              <w:jc w:val="left"/>
              <w:rPr>
                <w:color w:val="000000"/>
                <w:sz w:val="24"/>
              </w:rPr>
            </w:pPr>
            <w:r>
              <w:rPr>
                <w:rFonts w:hint="eastAsia"/>
                <w:color w:val="000000"/>
                <w:sz w:val="24"/>
              </w:rPr>
              <w:t>15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D35A">
            <w:pPr>
              <w:widowControl/>
              <w:spacing w:line="300" w:lineRule="exact"/>
              <w:jc w:val="left"/>
              <w:rPr>
                <w:color w:val="000000"/>
                <w:sz w:val="24"/>
              </w:rPr>
            </w:pPr>
            <w:r>
              <w:rPr>
                <w:rFonts w:hint="eastAsia"/>
                <w:color w:val="000000"/>
                <w:sz w:val="24"/>
              </w:rPr>
              <w:t>100%</w:t>
            </w:r>
          </w:p>
        </w:tc>
      </w:tr>
      <w:tr w14:paraId="1F46BF02">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6D3C7">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42D92">
            <w:pPr>
              <w:widowControl/>
              <w:spacing w:line="300" w:lineRule="exact"/>
              <w:jc w:val="center"/>
              <w:rPr>
                <w:color w:val="000000"/>
                <w:sz w:val="24"/>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4928B683">
            <w:pPr>
              <w:widowControl/>
              <w:spacing w:line="300" w:lineRule="exact"/>
              <w:jc w:val="center"/>
              <w:rPr>
                <w:color w:val="000000"/>
                <w:sz w:val="24"/>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65E4">
            <w:pPr>
              <w:widowControl/>
              <w:spacing w:line="300" w:lineRule="exact"/>
              <w:jc w:val="left"/>
              <w:rPr>
                <w:color w:val="000000"/>
                <w:sz w:val="24"/>
              </w:rPr>
            </w:pPr>
            <w:r>
              <w:rPr>
                <w:color w:val="000000"/>
                <w:sz w:val="24"/>
              </w:rPr>
              <w:t>有利于民族地区社会稳定</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4D6C">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6814D">
            <w:pPr>
              <w:widowControl/>
              <w:spacing w:line="300" w:lineRule="exact"/>
              <w:jc w:val="left"/>
              <w:rPr>
                <w:color w:val="000000"/>
                <w:sz w:val="24"/>
              </w:rPr>
            </w:pPr>
            <w:r>
              <w:rPr>
                <w:rFonts w:hint="eastAsia"/>
                <w:color w:val="000000"/>
                <w:sz w:val="24"/>
              </w:rPr>
              <w:t>有效</w:t>
            </w:r>
            <w:r>
              <w:rPr>
                <w:color w:val="000000"/>
                <w:sz w:val="24"/>
              </w:rPr>
              <w:t>改善</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7E0B">
            <w:pPr>
              <w:widowControl/>
              <w:spacing w:line="300" w:lineRule="exact"/>
              <w:jc w:val="left"/>
              <w:rPr>
                <w:color w:val="000000"/>
                <w:sz w:val="24"/>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116E">
            <w:pPr>
              <w:widowControl/>
              <w:spacing w:line="300" w:lineRule="exact"/>
              <w:jc w:val="left"/>
              <w:rPr>
                <w:color w:val="000000"/>
                <w:sz w:val="24"/>
              </w:rPr>
            </w:pPr>
            <w:r>
              <w:rPr>
                <w:rFonts w:hint="eastAsia"/>
                <w:color w:val="000000"/>
                <w:sz w:val="24"/>
              </w:rPr>
              <w:t>15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7A73">
            <w:pPr>
              <w:widowControl/>
              <w:spacing w:line="300" w:lineRule="exact"/>
              <w:jc w:val="left"/>
              <w:rPr>
                <w:color w:val="000000"/>
                <w:sz w:val="24"/>
              </w:rPr>
            </w:pPr>
            <w:r>
              <w:rPr>
                <w:rFonts w:hint="eastAsia"/>
                <w:color w:val="000000"/>
                <w:sz w:val="24"/>
              </w:rPr>
              <w:t>有效</w:t>
            </w:r>
            <w:r>
              <w:rPr>
                <w:color w:val="000000"/>
                <w:sz w:val="24"/>
              </w:rPr>
              <w:t>改善</w:t>
            </w:r>
          </w:p>
        </w:tc>
      </w:tr>
      <w:tr w14:paraId="354D5A40">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2669F">
            <w:pPr>
              <w:widowControl/>
              <w:spacing w:line="300" w:lineRule="exact"/>
              <w:jc w:val="center"/>
              <w:rPr>
                <w:color w:val="000000"/>
                <w:sz w:val="24"/>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6D94">
            <w:pPr>
              <w:widowControl/>
              <w:spacing w:line="300" w:lineRule="exact"/>
              <w:jc w:val="center"/>
              <w:textAlignment w:val="center"/>
              <w:rPr>
                <w:color w:val="000000"/>
                <w:sz w:val="24"/>
              </w:rPr>
            </w:pPr>
            <w:r>
              <w:rPr>
                <w:color w:val="000000"/>
                <w:kern w:val="0"/>
                <w:sz w:val="24"/>
                <w:lang w:bidi="ar"/>
              </w:rPr>
              <w:t>产出指标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F0B6">
            <w:pPr>
              <w:widowControl/>
              <w:spacing w:line="300" w:lineRule="exact"/>
              <w:jc w:val="center"/>
              <w:textAlignment w:val="center"/>
              <w:rPr>
                <w:color w:val="000000"/>
                <w:sz w:val="24"/>
              </w:rPr>
            </w:pPr>
            <w:r>
              <w:rPr>
                <w:color w:val="000000"/>
                <w:kern w:val="0"/>
                <w:sz w:val="24"/>
                <w:lang w:bidi="ar"/>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534D">
            <w:pPr>
              <w:widowControl/>
              <w:spacing w:line="300" w:lineRule="exact"/>
              <w:jc w:val="left"/>
              <w:rPr>
                <w:color w:val="000000"/>
                <w:sz w:val="24"/>
              </w:rPr>
            </w:pPr>
            <w:r>
              <w:rPr>
                <w:rFonts w:hint="eastAsia"/>
                <w:color w:val="000000"/>
                <w:sz w:val="24"/>
              </w:rPr>
              <w:t>项目合格率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7EAE">
            <w:pPr>
              <w:widowControl/>
              <w:spacing w:line="300" w:lineRule="exact"/>
              <w:jc w:val="left"/>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700C">
            <w:pPr>
              <w:widowControl/>
              <w:spacing w:line="300" w:lineRule="exact"/>
              <w:jc w:val="left"/>
              <w:rPr>
                <w:color w:val="000000"/>
                <w:sz w:val="24"/>
              </w:rPr>
            </w:pPr>
            <w:r>
              <w:rPr>
                <w:rFonts w:hint="eastAsia"/>
                <w:color w:val="000000"/>
                <w:sz w:val="24"/>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5A3B">
            <w:pPr>
              <w:widowControl/>
              <w:spacing w:line="300" w:lineRule="exact"/>
              <w:jc w:val="left"/>
              <w:rPr>
                <w:color w:val="000000"/>
                <w:sz w:val="24"/>
              </w:rPr>
            </w:pPr>
            <w:r>
              <w:rPr>
                <w:rFonts w:hint="eastAsia"/>
                <w:color w:val="000000"/>
                <w:sz w:val="24"/>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061E">
            <w:pPr>
              <w:widowControl/>
              <w:spacing w:line="300" w:lineRule="exact"/>
              <w:jc w:val="left"/>
              <w:rPr>
                <w:color w:val="000000"/>
                <w:sz w:val="24"/>
              </w:rPr>
            </w:pPr>
            <w:r>
              <w:rPr>
                <w:rFonts w:hint="eastAsia"/>
                <w:color w:val="000000"/>
                <w:sz w:val="24"/>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8901">
            <w:pPr>
              <w:widowControl/>
              <w:spacing w:line="300" w:lineRule="exact"/>
              <w:jc w:val="left"/>
              <w:rPr>
                <w:color w:val="000000"/>
                <w:sz w:val="24"/>
              </w:rPr>
            </w:pPr>
            <w:r>
              <w:rPr>
                <w:rFonts w:hint="eastAsia"/>
                <w:color w:val="000000"/>
                <w:sz w:val="24"/>
              </w:rPr>
              <w:t>100%</w:t>
            </w:r>
          </w:p>
        </w:tc>
      </w:tr>
    </w:tbl>
    <w:p w14:paraId="17F7573B">
      <w:pPr>
        <w:rPr>
          <w:rFonts w:eastAsia="黑体"/>
          <w:sz w:val="24"/>
        </w:rPr>
      </w:pPr>
      <w:r>
        <w:rPr>
          <w:rFonts w:eastAsia="黑体"/>
          <w:sz w:val="24"/>
        </w:rPr>
        <w:br w:type="page"/>
      </w:r>
    </w:p>
    <w:p w14:paraId="2454037D">
      <w:pPr>
        <w:pStyle w:val="13"/>
        <w:spacing w:after="0" w:line="578" w:lineRule="exact"/>
        <w:ind w:left="0" w:leftChars="0" w:firstLine="0" w:firstLineChars="0"/>
        <w:rPr>
          <w:rFonts w:ascii="Times New Roman" w:eastAsia="黑体"/>
          <w:szCs w:val="24"/>
        </w:rPr>
      </w:pPr>
      <w:r>
        <w:rPr>
          <w:rFonts w:ascii="Times New Roman" w:eastAsia="黑体"/>
          <w:szCs w:val="24"/>
        </w:rPr>
        <w:t>附表</w:t>
      </w:r>
      <w:r>
        <w:rPr>
          <w:rFonts w:hint="eastAsia" w:ascii="Times New Roman" w:eastAsia="黑体"/>
          <w:szCs w:val="24"/>
        </w:rPr>
        <w:t>3</w:t>
      </w:r>
    </w:p>
    <w:p w14:paraId="43F5BF8D">
      <w:pPr>
        <w:widowControl/>
        <w:spacing w:line="578" w:lineRule="exact"/>
        <w:jc w:val="center"/>
        <w:textAlignment w:val="center"/>
        <w:rPr>
          <w:rFonts w:eastAsia="方正小标宋简体"/>
          <w:color w:val="000000"/>
          <w:kern w:val="0"/>
          <w:sz w:val="44"/>
          <w:szCs w:val="44"/>
          <w:lang w:bidi="ar"/>
        </w:rPr>
      </w:pPr>
      <w:r>
        <w:rPr>
          <w:rFonts w:eastAsia="方正小标宋简体"/>
          <w:color w:val="000000"/>
          <w:kern w:val="0"/>
          <w:sz w:val="44"/>
          <w:szCs w:val="44"/>
          <w:lang w:bidi="ar"/>
        </w:rPr>
        <w:t>部门预算项目支出绩效评价表</w:t>
      </w:r>
    </w:p>
    <w:p w14:paraId="68DDC97C">
      <w:pPr>
        <w:widowControl/>
        <w:spacing w:line="578" w:lineRule="exact"/>
        <w:jc w:val="center"/>
        <w:textAlignment w:val="center"/>
        <w:rPr>
          <w:rFonts w:eastAsia="方正小标宋简体"/>
          <w:color w:val="000000"/>
          <w:kern w:val="0"/>
          <w:szCs w:val="32"/>
          <w:lang w:bidi="ar"/>
        </w:rPr>
      </w:pPr>
      <w:r>
        <w:rPr>
          <w:rFonts w:eastAsia="方正小标宋简体"/>
          <w:color w:val="000000"/>
          <w:kern w:val="0"/>
          <w:szCs w:val="32"/>
          <w:lang w:bidi="ar"/>
        </w:rPr>
        <w:t>（2024年度）</w:t>
      </w:r>
    </w:p>
    <w:tbl>
      <w:tblPr>
        <w:tblStyle w:val="15"/>
        <w:tblpPr w:leftFromText="180" w:rightFromText="180" w:vertAnchor="text" w:horzAnchor="page" w:tblpX="924" w:tblpY="231"/>
        <w:tblOverlap w:val="never"/>
        <w:tblW w:w="10160" w:type="dxa"/>
        <w:tblInd w:w="0" w:type="dxa"/>
        <w:tblLayout w:type="fixed"/>
        <w:tblCellMar>
          <w:top w:w="0" w:type="dxa"/>
          <w:left w:w="108" w:type="dxa"/>
          <w:bottom w:w="0" w:type="dxa"/>
          <w:right w:w="108" w:type="dxa"/>
        </w:tblCellMar>
      </w:tblPr>
      <w:tblGrid>
        <w:gridCol w:w="597"/>
        <w:gridCol w:w="2286"/>
        <w:gridCol w:w="914"/>
        <w:gridCol w:w="1145"/>
        <w:gridCol w:w="411"/>
        <w:gridCol w:w="957"/>
        <w:gridCol w:w="785"/>
        <w:gridCol w:w="668"/>
        <w:gridCol w:w="567"/>
        <w:gridCol w:w="567"/>
        <w:gridCol w:w="1263"/>
      </w:tblGrid>
      <w:tr w14:paraId="767F5A11">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DB24F7">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2B948F76">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065C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15548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51320021T000000208716-公用经费</w:t>
            </w:r>
          </w:p>
        </w:tc>
      </w:tr>
      <w:tr w14:paraId="346C1A9E">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2E79C">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1A8218">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03157197">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356E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189EE7D8">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F63F71">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B578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76528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5413AB">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042D1497">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8236B">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69A6C">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FD47FF">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保证学校教育教学正常运转</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FFAA80">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保障学校教育教学目标的顺利完成</w:t>
            </w:r>
          </w:p>
        </w:tc>
      </w:tr>
      <w:tr w14:paraId="45C5DD17">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5C6B9">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348F">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41BB85">
            <w:pPr>
              <w:rPr>
                <w:rFonts w:ascii="宋体" w:hAnsi="宋体" w:cs="宋体"/>
                <w:color w:val="000000"/>
                <w:sz w:val="18"/>
                <w:szCs w:val="18"/>
              </w:rPr>
            </w:pPr>
            <w:r>
              <w:rPr>
                <w:rFonts w:hint="eastAsia" w:ascii="宋体" w:hAnsi="宋体" w:cs="宋体"/>
                <w:color w:val="000000"/>
                <w:sz w:val="18"/>
                <w:szCs w:val="18"/>
              </w:rPr>
              <w:t>保证学校教育教学正常运转，主要用于日常维护维修等方面，改善办学基础设施和办学条件。</w:t>
            </w:r>
          </w:p>
        </w:tc>
      </w:tr>
      <w:tr w14:paraId="4B4A010E">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82CA9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29E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B3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665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6BF85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D8A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0A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BFE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1EA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0E672D4D">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00F5E">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A6D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EB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EC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0E17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63C4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7A3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BAB5E">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2A863">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3AAE9E18">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C15F5">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512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27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D57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0B97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A8E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4B09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DAD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B5356">
            <w:pPr>
              <w:rPr>
                <w:rFonts w:ascii="黑体" w:hAnsi="黑体" w:eastAsia="黑体" w:cs="黑体"/>
                <w:i/>
                <w:iCs/>
                <w:color w:val="000000"/>
                <w:sz w:val="18"/>
                <w:szCs w:val="18"/>
              </w:rPr>
            </w:pPr>
          </w:p>
        </w:tc>
      </w:tr>
      <w:tr w14:paraId="7FA4E3A5">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B1F8A">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B63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014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D6D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4405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536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532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690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43AC1">
            <w:pPr>
              <w:rPr>
                <w:rFonts w:ascii="黑体" w:hAnsi="黑体" w:eastAsia="黑体" w:cs="黑体"/>
                <w:i/>
                <w:iCs/>
                <w:color w:val="000000"/>
                <w:sz w:val="18"/>
                <w:szCs w:val="18"/>
              </w:rPr>
            </w:pPr>
          </w:p>
        </w:tc>
      </w:tr>
      <w:tr w14:paraId="787319AC">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A5AE4">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6D9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9CA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897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35BF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840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92E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EC8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6A10D">
            <w:pPr>
              <w:rPr>
                <w:rFonts w:ascii="黑体" w:hAnsi="黑体" w:eastAsia="黑体" w:cs="黑体"/>
                <w:i/>
                <w:iCs/>
                <w:color w:val="000000"/>
                <w:sz w:val="18"/>
                <w:szCs w:val="18"/>
              </w:rPr>
            </w:pPr>
          </w:p>
        </w:tc>
      </w:tr>
      <w:tr w14:paraId="74B866A4">
        <w:tblPrEx>
          <w:tblCellMar>
            <w:top w:w="0" w:type="dxa"/>
            <w:left w:w="108" w:type="dxa"/>
            <w:bottom w:w="0" w:type="dxa"/>
            <w:right w:w="108" w:type="dxa"/>
          </w:tblCellMar>
        </w:tblPrEx>
        <w:trPr>
          <w:trHeight w:val="1914"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8A736">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501B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6036">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76E1">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859A0">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A063">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222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B9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1A9CE">
            <w:pPr>
              <w:rPr>
                <w:rFonts w:ascii="黑体" w:hAnsi="黑体" w:eastAsia="黑体" w:cs="黑体"/>
                <w:i/>
                <w:iCs/>
                <w:color w:val="000000"/>
                <w:sz w:val="18"/>
                <w:szCs w:val="18"/>
              </w:rPr>
            </w:pPr>
          </w:p>
        </w:tc>
      </w:tr>
      <w:tr w14:paraId="441FFC87">
        <w:tblPrEx>
          <w:tblCellMar>
            <w:top w:w="0" w:type="dxa"/>
            <w:left w:w="108" w:type="dxa"/>
            <w:bottom w:w="0" w:type="dxa"/>
            <w:right w:w="108" w:type="dxa"/>
          </w:tblCellMar>
        </w:tblPrEx>
        <w:trPr>
          <w:trHeight w:val="1472"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3CD8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890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50E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1F9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9D1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577F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6645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75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460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568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ECD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5706BB32">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B8122">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44FC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00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5F4D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维修项目质量合格率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9C0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665A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20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3C24D">
            <w:pPr>
              <w:widowControl/>
              <w:jc w:val="center"/>
              <w:rPr>
                <w:rFonts w:ascii="微软雅黑" w:hAnsi="微软雅黑" w:eastAsia="微软雅黑"/>
                <w:i/>
                <w:iCs/>
                <w:color w:val="000000"/>
                <w:kern w:val="0"/>
                <w:sz w:val="16"/>
                <w:szCs w:val="16"/>
              </w:rPr>
            </w:pPr>
            <w:r>
              <w:rPr>
                <w:rFonts w:hint="eastAsia" w:ascii="微软雅黑" w:hAnsi="微软雅黑" w:eastAsia="微软雅黑"/>
                <w:i/>
                <w:iCs/>
                <w:color w:val="000000"/>
                <w:sz w:val="16"/>
                <w:szCs w:val="16"/>
              </w:rPr>
              <w:t>2000</w:t>
            </w:r>
          </w:p>
          <w:p w14:paraId="5EAA3854">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0BA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CC2B">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4FE30">
            <w:pPr>
              <w:jc w:val="center"/>
              <w:rPr>
                <w:rFonts w:ascii="微软雅黑" w:hAnsi="微软雅黑" w:eastAsia="微软雅黑" w:cs="微软雅黑"/>
                <w:i/>
                <w:iCs/>
                <w:color w:val="000000"/>
                <w:sz w:val="16"/>
                <w:szCs w:val="16"/>
              </w:rPr>
            </w:pPr>
          </w:p>
        </w:tc>
      </w:tr>
      <w:tr w14:paraId="45091741">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0EA48">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5A95A">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7553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24B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项目完工时间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290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AC6B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2024年12月31日</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E30F">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FB44">
            <w:pPr>
              <w:widowControl/>
              <w:jc w:val="center"/>
              <w:rPr>
                <w:rFonts w:ascii="微软雅黑" w:hAnsi="微软雅黑" w:eastAsia="微软雅黑"/>
                <w:i/>
                <w:iCs/>
                <w:color w:val="000000"/>
                <w:kern w:val="0"/>
                <w:sz w:val="16"/>
                <w:szCs w:val="16"/>
              </w:rPr>
            </w:pPr>
            <w:r>
              <w:rPr>
                <w:rFonts w:hint="eastAsia" w:ascii="微软雅黑" w:hAnsi="微软雅黑" w:eastAsia="微软雅黑"/>
                <w:i/>
                <w:iCs/>
                <w:color w:val="000000"/>
                <w:sz w:val="16"/>
                <w:szCs w:val="16"/>
              </w:rPr>
              <w:t>95</w:t>
            </w:r>
          </w:p>
          <w:p w14:paraId="4E797465">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296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32D6">
            <w:pPr>
              <w:jc w:val="center"/>
              <w:rPr>
                <w:rFonts w:ascii="宋体" w:hAnsi="宋体" w:cs="宋体"/>
                <w:color w:val="000000"/>
                <w:sz w:val="18"/>
                <w:szCs w:val="18"/>
              </w:rPr>
            </w:pPr>
            <w:r>
              <w:rPr>
                <w:rFonts w:ascii="宋体" w:hAnsi="宋体" w:cs="宋体"/>
                <w:color w:val="000000"/>
                <w:sz w:val="18"/>
                <w:szCs w:val="18"/>
              </w:rPr>
              <w:t>15</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2DDA">
            <w:pPr>
              <w:jc w:val="center"/>
              <w:rPr>
                <w:rFonts w:ascii="微软雅黑" w:hAnsi="微软雅黑" w:eastAsia="微软雅黑" w:cs="微软雅黑"/>
                <w:i/>
                <w:iCs/>
                <w:color w:val="000000"/>
                <w:sz w:val="16"/>
                <w:szCs w:val="16"/>
              </w:rPr>
            </w:pPr>
          </w:p>
        </w:tc>
      </w:tr>
      <w:tr w14:paraId="25D86836">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CB501">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ED91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63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98F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保障师生就餐环境</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A16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FB6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22B8">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4AD6">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覆盖</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2A8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2FF0B">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47F5">
            <w:pPr>
              <w:jc w:val="center"/>
              <w:rPr>
                <w:rFonts w:ascii="微软雅黑" w:hAnsi="微软雅黑" w:eastAsia="微软雅黑" w:cs="微软雅黑"/>
                <w:i/>
                <w:iCs/>
                <w:color w:val="000000"/>
                <w:sz w:val="16"/>
                <w:szCs w:val="16"/>
              </w:rPr>
            </w:pPr>
          </w:p>
        </w:tc>
      </w:tr>
      <w:tr w14:paraId="3D4382AD">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24360">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78252">
            <w:pPr>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0FC4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C4CF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改善办学基础设施设备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A6D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420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ADCD8">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5B23">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29B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48E0">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3</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157B">
            <w:pPr>
              <w:jc w:val="center"/>
              <w:rPr>
                <w:rFonts w:ascii="微软雅黑" w:hAnsi="微软雅黑" w:eastAsia="微软雅黑" w:cs="微软雅黑"/>
                <w:i/>
                <w:iCs/>
                <w:color w:val="000000"/>
                <w:sz w:val="16"/>
                <w:szCs w:val="16"/>
              </w:rPr>
            </w:pPr>
          </w:p>
        </w:tc>
      </w:tr>
      <w:tr w14:paraId="2828CCAB">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8315D">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E6240">
            <w:pPr>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3BDF5">
            <w:pPr>
              <w:jc w:val="center"/>
              <w:rPr>
                <w:rFonts w:ascii="宋体" w:hAnsi="宋体" w:cs="宋体"/>
                <w:color w:val="000000"/>
                <w:sz w:val="18"/>
                <w:szCs w:val="18"/>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07B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提升办学质量</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A6E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E3C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2DF13">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29F3">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75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C38D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27FE">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2</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3AE3">
            <w:pPr>
              <w:jc w:val="center"/>
              <w:rPr>
                <w:rFonts w:ascii="微软雅黑" w:hAnsi="微软雅黑" w:eastAsia="微软雅黑" w:cs="微软雅黑"/>
                <w:i/>
                <w:iCs/>
                <w:color w:val="000000"/>
                <w:sz w:val="16"/>
                <w:szCs w:val="16"/>
              </w:rPr>
            </w:pPr>
          </w:p>
        </w:tc>
      </w:tr>
      <w:tr w14:paraId="60F616C4">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648CF">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2880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38D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BFA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师生满意度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D4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420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0AB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8585C">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5000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3FC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742F">
            <w:pPr>
              <w:jc w:val="center"/>
              <w:rPr>
                <w:rFonts w:ascii="宋体" w:hAnsi="宋体" w:cs="宋体"/>
                <w:color w:val="000000"/>
                <w:sz w:val="18"/>
                <w:szCs w:val="18"/>
              </w:rPr>
            </w:pPr>
            <w:r>
              <w:rPr>
                <w:rFonts w:hint="eastAsia"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E4E2">
            <w:pPr>
              <w:jc w:val="center"/>
              <w:rPr>
                <w:rFonts w:ascii="微软雅黑" w:hAnsi="微软雅黑" w:eastAsia="微软雅黑" w:cs="微软雅黑"/>
                <w:i/>
                <w:iCs/>
                <w:color w:val="000000"/>
                <w:sz w:val="16"/>
                <w:szCs w:val="16"/>
              </w:rPr>
            </w:pPr>
          </w:p>
        </w:tc>
      </w:tr>
      <w:tr w14:paraId="1A260C66">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E4B1E">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4E4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AD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6A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生均成本</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7F5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F7A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2500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F8F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元/人·次</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63EE">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BE1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02584">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E013">
            <w:pPr>
              <w:jc w:val="center"/>
              <w:rPr>
                <w:rFonts w:ascii="微软雅黑" w:hAnsi="微软雅黑" w:eastAsia="微软雅黑" w:cs="微软雅黑"/>
                <w:i/>
                <w:iCs/>
                <w:color w:val="000000"/>
                <w:sz w:val="16"/>
                <w:szCs w:val="16"/>
              </w:rPr>
            </w:pPr>
          </w:p>
        </w:tc>
      </w:tr>
      <w:tr w14:paraId="46EC9E2D">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5648B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B9E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D52F">
            <w:pPr>
              <w:rPr>
                <w:rFonts w:ascii="宋体" w:hAnsi="宋体" w:cs="宋体"/>
                <w:color w:val="000000"/>
                <w:sz w:val="18"/>
                <w:szCs w:val="18"/>
              </w:rPr>
            </w:pPr>
            <w:r>
              <w:rPr>
                <w:rFonts w:hint="eastAsia" w:ascii="宋体" w:hAnsi="宋体" w:cs="宋体"/>
                <w:color w:val="000000"/>
                <w:sz w:val="18"/>
                <w:szCs w:val="18"/>
              </w:rPr>
              <w:t>8</w:t>
            </w:r>
            <w:r>
              <w:rPr>
                <w:rFonts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5F78D">
            <w:pPr>
              <w:rPr>
                <w:rFonts w:ascii="宋体" w:hAnsi="宋体" w:cs="宋体"/>
                <w:color w:val="000000"/>
                <w:sz w:val="18"/>
                <w:szCs w:val="18"/>
              </w:rPr>
            </w:pPr>
          </w:p>
        </w:tc>
      </w:tr>
      <w:tr w14:paraId="59C98F14">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948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D7D253">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综上所述，该项目立项必要性和依据充分，绩效目标明确，符合财政资金支持方向。该项目预算46.97万元，实际支付46.97万元，无结余，无资金挪用、挤占等情况发生，评价良好。</w:t>
            </w:r>
          </w:p>
        </w:tc>
      </w:tr>
      <w:tr w14:paraId="5A7A2156">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E34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C69822">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1.监督过程中有不到位的现象。</w:t>
            </w:r>
          </w:p>
        </w:tc>
      </w:tr>
      <w:tr w14:paraId="1307296D">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E0A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42CF0C">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1. 加强过程监督，积极采取定时或不定时的到场监督，主要从质量、外观、产品合格证等方面监督。</w:t>
            </w:r>
          </w:p>
        </w:tc>
      </w:tr>
      <w:tr w14:paraId="2D4FB695">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1ACDB7">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项目负责人：代波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848002">
            <w:pPr>
              <w:widowControl/>
              <w:jc w:val="left"/>
              <w:textAlignment w:val="center"/>
              <w:rPr>
                <w:rFonts w:ascii="黑体" w:hAnsi="黑体" w:eastAsia="黑体" w:cs="黑体"/>
                <w:b/>
                <w:color w:val="000000"/>
                <w:sz w:val="18"/>
                <w:szCs w:val="18"/>
              </w:rPr>
            </w:pPr>
            <w:r>
              <w:rPr>
                <w:rFonts w:hint="eastAsia" w:ascii="黑体" w:hAnsi="黑体" w:eastAsia="黑体" w:cs="黑体"/>
                <w:color w:val="000000"/>
                <w:kern w:val="0"/>
                <w:sz w:val="18"/>
                <w:szCs w:val="18"/>
                <w:lang w:bidi="ar"/>
              </w:rPr>
              <w:t>财务负责人：代波</w:t>
            </w:r>
          </w:p>
        </w:tc>
      </w:tr>
      <w:tr w14:paraId="78BFDA2D">
        <w:tblPrEx>
          <w:tblCellMar>
            <w:top w:w="0" w:type="dxa"/>
            <w:left w:w="108" w:type="dxa"/>
            <w:bottom w:w="0" w:type="dxa"/>
            <w:right w:w="108" w:type="dxa"/>
          </w:tblCellMar>
        </w:tblPrEx>
        <w:trPr>
          <w:trHeight w:val="498" w:hRule="atLeast"/>
        </w:trPr>
        <w:tc>
          <w:tcPr>
            <w:tcW w:w="597" w:type="dxa"/>
            <w:tcBorders>
              <w:top w:val="nil"/>
              <w:left w:val="nil"/>
              <w:bottom w:val="nil"/>
              <w:right w:val="nil"/>
            </w:tcBorders>
            <w:shd w:val="clear" w:color="auto" w:fill="auto"/>
            <w:vAlign w:val="center"/>
          </w:tcPr>
          <w:p w14:paraId="74B16368">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0A547645">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41F9DD60">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63C09322">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6D1FD403">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17D02E51">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51150708">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2A664B30">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34BEA93E">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41356992">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21A1E0BB">
            <w:pPr>
              <w:rPr>
                <w:rFonts w:ascii="宋体" w:hAnsi="宋体" w:cs="宋体"/>
                <w:color w:val="000000"/>
                <w:sz w:val="18"/>
                <w:szCs w:val="18"/>
              </w:rPr>
            </w:pPr>
          </w:p>
        </w:tc>
      </w:tr>
      <w:tr w14:paraId="6835D81C">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A4481EC">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3FDD5650">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E4AE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DEC24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51320021T000000208717-信息技术费</w:t>
            </w:r>
          </w:p>
        </w:tc>
      </w:tr>
      <w:tr w14:paraId="70D26D49">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E2028">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C904A1">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3D1E3066">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37C3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5F55B615">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8C32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B745E1">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EDFA9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BAEFBA">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05F72F62">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D446C">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29600">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BDB9F4">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达到了东西两个校区的48间教室、32间教师办公室以及其它所有功能室的网络覆盖。</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9C69FD">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为全校2000余名师生提供了学习和办公的网络保障。</w:t>
            </w:r>
          </w:p>
        </w:tc>
      </w:tr>
      <w:tr w14:paraId="7AB8639C">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B7D3C">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1F54">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ADED27">
            <w:pPr>
              <w:rPr>
                <w:rFonts w:ascii="宋体" w:hAnsi="宋体" w:cs="宋体"/>
                <w:color w:val="000000"/>
                <w:sz w:val="18"/>
                <w:szCs w:val="18"/>
              </w:rPr>
            </w:pPr>
            <w:r>
              <w:rPr>
                <w:rFonts w:hint="eastAsia" w:ascii="宋体" w:hAnsi="宋体" w:cs="宋体"/>
                <w:color w:val="000000"/>
                <w:sz w:val="18"/>
                <w:szCs w:val="18"/>
              </w:rPr>
              <w:t>该项目资金管理根据学校内控制度执行专款专用原则，在资金支付前按照合同约定实行考核，考核情况与资金支付挂钩，且上报党委会审议。该项目实施以来，为全校师生提供了安全稳定的网络服务，提升了学习的效率和办公效率。</w:t>
            </w:r>
          </w:p>
        </w:tc>
      </w:tr>
      <w:tr w14:paraId="4E7E67C8">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19CB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C91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0DC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78B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EDC4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CFB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20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8AC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97F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3BF3DA4C">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60AA6">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EFE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ED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10.42</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72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10.42</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972BDA">
            <w:pPr>
              <w:widowControl/>
              <w:jc w:val="center"/>
              <w:textAlignment w:val="center"/>
              <w:rPr>
                <w:rFonts w:ascii="宋体" w:hAnsi="宋体" w:cs="宋体"/>
                <w:color w:val="000000"/>
                <w:sz w:val="18"/>
                <w:szCs w:val="18"/>
              </w:rPr>
            </w:pPr>
            <w:r>
              <w:rPr>
                <w:rFonts w:ascii="宋体" w:hAnsi="宋体" w:cs="宋体"/>
                <w:color w:val="000000"/>
                <w:sz w:val="18"/>
                <w:szCs w:val="18"/>
              </w:rPr>
              <w:t>10.42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41A8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79D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CEA0">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96688">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2CDD4A09">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5B7E8">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C5E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D9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10.42</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754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10.42</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63CE0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10.42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A6B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9D0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A25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75873">
            <w:pPr>
              <w:rPr>
                <w:rFonts w:ascii="黑体" w:hAnsi="黑体" w:eastAsia="黑体" w:cs="黑体"/>
                <w:i/>
                <w:iCs/>
                <w:color w:val="000000"/>
                <w:sz w:val="18"/>
                <w:szCs w:val="18"/>
              </w:rPr>
            </w:pPr>
          </w:p>
        </w:tc>
      </w:tr>
      <w:tr w14:paraId="14C453A4">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B6AF1">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492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41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B80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0FB6C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218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0BB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BB08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4121C">
            <w:pPr>
              <w:rPr>
                <w:rFonts w:ascii="黑体" w:hAnsi="黑体" w:eastAsia="黑体" w:cs="黑体"/>
                <w:i/>
                <w:iCs/>
                <w:color w:val="000000"/>
                <w:sz w:val="18"/>
                <w:szCs w:val="18"/>
              </w:rPr>
            </w:pPr>
          </w:p>
        </w:tc>
      </w:tr>
      <w:tr w14:paraId="73C3F786">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8BD2B">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564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507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AFB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F5E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A6D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CC6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7D50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8D26E">
            <w:pPr>
              <w:rPr>
                <w:rFonts w:ascii="黑体" w:hAnsi="黑体" w:eastAsia="黑体" w:cs="黑体"/>
                <w:i/>
                <w:iCs/>
                <w:color w:val="000000"/>
                <w:sz w:val="18"/>
                <w:szCs w:val="18"/>
              </w:rPr>
            </w:pPr>
          </w:p>
        </w:tc>
      </w:tr>
      <w:tr w14:paraId="17066B15">
        <w:tblPrEx>
          <w:tblCellMar>
            <w:top w:w="0" w:type="dxa"/>
            <w:left w:w="108" w:type="dxa"/>
            <w:bottom w:w="0" w:type="dxa"/>
            <w:right w:w="108" w:type="dxa"/>
          </w:tblCellMar>
        </w:tblPrEx>
        <w:trPr>
          <w:trHeight w:val="1914"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92D55">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735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EEA8">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5055">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371013">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C273">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BAAF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38D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46F">
            <w:pPr>
              <w:rPr>
                <w:rFonts w:ascii="黑体" w:hAnsi="黑体" w:eastAsia="黑体" w:cs="黑体"/>
                <w:i/>
                <w:iCs/>
                <w:color w:val="000000"/>
                <w:sz w:val="18"/>
                <w:szCs w:val="18"/>
              </w:rPr>
            </w:pPr>
          </w:p>
        </w:tc>
      </w:tr>
      <w:tr w14:paraId="40D9ECBF">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C954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96F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BEE9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08A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B28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700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EFF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D7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EC8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27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EB5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6ECD7316">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CE84B">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67E0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DA71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D8A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网络点位</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334C">
            <w:pPr>
              <w:widowControl/>
              <w:jc w:val="center"/>
              <w:textAlignment w:val="center"/>
              <w:rPr>
                <w:rFonts w:ascii="宋体" w:hAnsi="宋体" w:cs="宋体"/>
                <w:color w:val="000000"/>
                <w:sz w:val="18"/>
                <w:szCs w:val="18"/>
              </w:rPr>
            </w:pPr>
            <w:bookmarkStart w:id="53" w:name="OLE_LINK1"/>
            <w:r>
              <w:rPr>
                <w:rFonts w:hint="eastAsia" w:ascii="宋体" w:hAnsi="宋体" w:cs="宋体"/>
                <w:color w:val="000000"/>
                <w:sz w:val="18"/>
                <w:szCs w:val="18"/>
              </w:rPr>
              <w:t>≥</w:t>
            </w:r>
            <w:bookmarkEnd w:id="53"/>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A36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1DF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5818">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40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295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F90A">
            <w:pPr>
              <w:jc w:val="center"/>
              <w:rPr>
                <w:rFonts w:ascii="宋体" w:hAnsi="宋体" w:cs="宋体"/>
                <w:color w:val="000000"/>
                <w:sz w:val="18"/>
                <w:szCs w:val="18"/>
              </w:rPr>
            </w:pPr>
            <w:r>
              <w:rPr>
                <w:rFonts w:hint="eastAsia"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B815">
            <w:pPr>
              <w:jc w:val="center"/>
              <w:rPr>
                <w:rFonts w:ascii="微软雅黑" w:hAnsi="微软雅黑" w:eastAsia="微软雅黑" w:cs="微软雅黑"/>
                <w:i/>
                <w:iCs/>
                <w:color w:val="000000"/>
                <w:sz w:val="16"/>
                <w:szCs w:val="16"/>
              </w:rPr>
            </w:pPr>
          </w:p>
        </w:tc>
      </w:tr>
      <w:tr w14:paraId="32660820">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85A4F">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AF025">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AAB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FC0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网络丢包率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C9E1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7BC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7AA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270C2">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8C0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E5179">
            <w:pPr>
              <w:jc w:val="center"/>
              <w:rPr>
                <w:rFonts w:ascii="宋体" w:hAnsi="宋体" w:cs="宋体"/>
                <w:color w:val="000000"/>
                <w:sz w:val="18"/>
                <w:szCs w:val="18"/>
              </w:rPr>
            </w:pPr>
            <w:r>
              <w:rPr>
                <w:rFonts w:hint="eastAsia"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8AB2">
            <w:pPr>
              <w:jc w:val="center"/>
              <w:rPr>
                <w:rFonts w:ascii="微软雅黑" w:hAnsi="微软雅黑" w:eastAsia="微软雅黑" w:cs="微软雅黑"/>
                <w:i/>
                <w:iCs/>
                <w:color w:val="000000"/>
                <w:sz w:val="16"/>
                <w:szCs w:val="16"/>
              </w:rPr>
            </w:pPr>
          </w:p>
        </w:tc>
      </w:tr>
      <w:tr w14:paraId="0FB65757">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53E7F">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41A1D">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BA1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2D8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网络使用时间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937B">
            <w:pPr>
              <w:widowControl/>
              <w:jc w:val="center"/>
              <w:textAlignment w:val="center"/>
              <w:rPr>
                <w:rFonts w:ascii="宋体" w:hAnsi="宋体" w:cs="宋体"/>
                <w:color w:val="000000"/>
                <w:sz w:val="18"/>
                <w:szCs w:val="18"/>
              </w:rPr>
            </w:pPr>
            <w:r>
              <w:rPr>
                <w:rFonts w:hint="eastAsia" w:ascii="宋体" w:hAnsi="宋体" w:cs="宋体"/>
                <w:color w:val="000000"/>
                <w:sz w:val="18"/>
                <w:szCs w:val="18"/>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71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A21F">
            <w:pPr>
              <w:jc w:val="center"/>
              <w:rPr>
                <w:rFonts w:ascii="宋体" w:hAnsi="宋体" w:cs="宋体"/>
                <w:color w:val="000000"/>
                <w:sz w:val="18"/>
                <w:szCs w:val="18"/>
              </w:rPr>
            </w:pPr>
            <w:r>
              <w:rPr>
                <w:rFonts w:hint="eastAsia" w:ascii="宋体" w:hAnsi="宋体" w:cs="宋体"/>
                <w:color w:val="000000"/>
                <w:sz w:val="18"/>
                <w:szCs w:val="18"/>
              </w:rPr>
              <w:t>年</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440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B7A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2A5C">
            <w:pPr>
              <w:jc w:val="center"/>
              <w:rPr>
                <w:rFonts w:ascii="宋体" w:hAnsi="宋体" w:cs="宋体"/>
                <w:color w:val="000000"/>
                <w:sz w:val="18"/>
                <w:szCs w:val="18"/>
              </w:rPr>
            </w:pPr>
            <w:r>
              <w:rPr>
                <w:rFonts w:ascii="宋体" w:hAnsi="宋体" w:cs="宋体"/>
                <w:color w:val="000000"/>
                <w:sz w:val="18"/>
                <w:szCs w:val="18"/>
              </w:rPr>
              <w:t>15</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FA4D">
            <w:pPr>
              <w:jc w:val="center"/>
              <w:rPr>
                <w:rFonts w:ascii="微软雅黑" w:hAnsi="微软雅黑" w:eastAsia="微软雅黑" w:cs="微软雅黑"/>
                <w:i/>
                <w:iCs/>
                <w:color w:val="000000"/>
                <w:sz w:val="16"/>
                <w:szCs w:val="16"/>
              </w:rPr>
            </w:pPr>
          </w:p>
        </w:tc>
      </w:tr>
      <w:tr w14:paraId="5D6B55AB">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084A2">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29AF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0A7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A67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高考上线人数</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9102">
            <w:pPr>
              <w:widowControl/>
              <w:jc w:val="center"/>
              <w:textAlignment w:val="center"/>
              <w:rPr>
                <w:rFonts w:ascii="宋体" w:hAnsi="宋体" w:cs="宋体"/>
                <w:color w:val="000000"/>
                <w:sz w:val="18"/>
                <w:szCs w:val="18"/>
              </w:rPr>
            </w:pPr>
            <w:r>
              <w:rPr>
                <w:rFonts w:hint="eastAsia" w:ascii="宋体" w:hAnsi="宋体" w:cs="宋体"/>
                <w:color w:val="000000"/>
                <w:sz w:val="18"/>
                <w:szCs w:val="18"/>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63C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5569">
            <w:pPr>
              <w:jc w:val="center"/>
              <w:rPr>
                <w:rFonts w:ascii="宋体" w:hAnsi="宋体" w:cs="宋体"/>
                <w:color w:val="000000"/>
                <w:sz w:val="18"/>
                <w:szCs w:val="18"/>
              </w:rPr>
            </w:pPr>
            <w:r>
              <w:rPr>
                <w:rFonts w:hint="eastAsia" w:ascii="宋体" w:hAnsi="宋体" w:cs="宋体"/>
                <w:color w:val="000000"/>
                <w:sz w:val="18"/>
                <w:szCs w:val="18"/>
              </w:rPr>
              <w:t>人</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1136">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0BC4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C313">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2</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0EFC">
            <w:pPr>
              <w:jc w:val="center"/>
              <w:rPr>
                <w:rFonts w:ascii="微软雅黑" w:hAnsi="微软雅黑" w:eastAsia="微软雅黑" w:cs="微软雅黑"/>
                <w:i/>
                <w:iCs/>
                <w:color w:val="000000"/>
                <w:sz w:val="16"/>
                <w:szCs w:val="16"/>
              </w:rPr>
            </w:pPr>
          </w:p>
        </w:tc>
      </w:tr>
      <w:tr w14:paraId="2EFB31C0">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FB0E6">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30EA3">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931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生态效益指标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413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提升网速</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EE45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C6F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52C59">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9115">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完成</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67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6289">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2</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BD2E7">
            <w:pPr>
              <w:jc w:val="center"/>
              <w:rPr>
                <w:rFonts w:ascii="微软雅黑" w:hAnsi="微软雅黑" w:eastAsia="微软雅黑" w:cs="微软雅黑"/>
                <w:i/>
                <w:iCs/>
                <w:color w:val="000000"/>
                <w:sz w:val="16"/>
                <w:szCs w:val="16"/>
              </w:rPr>
            </w:pPr>
          </w:p>
        </w:tc>
      </w:tr>
      <w:tr w14:paraId="16208D4C">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1F49D">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4D236">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1DA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FDEA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教学网络覆盖率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B5C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11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426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AD2F">
            <w:pPr>
              <w:jc w:val="center"/>
              <w:rPr>
                <w:rFonts w:ascii="微软雅黑" w:hAnsi="微软雅黑" w:eastAsia="微软雅黑" w:cs="微软雅黑"/>
                <w:i/>
                <w:iCs/>
                <w:color w:val="000000"/>
                <w:sz w:val="16"/>
                <w:szCs w:val="16"/>
              </w:rPr>
            </w:pPr>
            <w:r>
              <w:rPr>
                <w:rFonts w:ascii="宋体" w:hAnsi="宋体" w:cs="宋体"/>
                <w:color w:val="000000"/>
                <w:kern w:val="0"/>
                <w:sz w:val="18"/>
                <w:szCs w:val="18"/>
                <w:lang w:bidi="ar"/>
              </w:rPr>
              <w:t>90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D2492">
            <w:pPr>
              <w:widowControl/>
              <w:textAlignment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297E">
            <w:pPr>
              <w:jc w:val="center"/>
              <w:rPr>
                <w:rFonts w:ascii="宋体" w:hAnsi="宋体" w:cs="宋体"/>
                <w:color w:val="000000"/>
                <w:sz w:val="18"/>
                <w:szCs w:val="18"/>
              </w:rPr>
            </w:pPr>
            <w:r>
              <w:rPr>
                <w:rFonts w:hint="eastAsia"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44C4">
            <w:pPr>
              <w:jc w:val="center"/>
              <w:rPr>
                <w:rFonts w:ascii="微软雅黑" w:hAnsi="微软雅黑" w:eastAsia="微软雅黑" w:cs="微软雅黑"/>
                <w:i/>
                <w:iCs/>
                <w:color w:val="000000"/>
                <w:sz w:val="16"/>
                <w:szCs w:val="16"/>
              </w:rPr>
            </w:pPr>
          </w:p>
        </w:tc>
      </w:tr>
      <w:tr w14:paraId="12A71E51">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3D06B">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CC0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4B02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F21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生均成本</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027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609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889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元/人·次</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10F1">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1</w:t>
            </w:r>
            <w:r>
              <w:rPr>
                <w:rFonts w:ascii="微软雅黑" w:hAnsi="微软雅黑" w:eastAsia="微软雅黑" w:cs="微软雅黑"/>
                <w:i/>
                <w:iCs/>
                <w:color w:val="000000"/>
                <w:sz w:val="16"/>
                <w:szCs w:val="16"/>
              </w:rPr>
              <w:t>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97C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25EF">
            <w:pPr>
              <w:jc w:val="center"/>
              <w:rPr>
                <w:rFonts w:ascii="宋体" w:hAnsi="宋体" w:cs="宋体"/>
                <w:color w:val="000000"/>
                <w:sz w:val="18"/>
                <w:szCs w:val="18"/>
              </w:rPr>
            </w:pPr>
            <w:r>
              <w:rPr>
                <w:rFonts w:hint="eastAsia"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AD04F">
            <w:pPr>
              <w:jc w:val="center"/>
              <w:rPr>
                <w:rFonts w:ascii="微软雅黑" w:hAnsi="微软雅黑" w:eastAsia="微软雅黑" w:cs="微软雅黑"/>
                <w:i/>
                <w:iCs/>
                <w:color w:val="000000"/>
                <w:sz w:val="16"/>
                <w:szCs w:val="16"/>
              </w:rPr>
            </w:pPr>
          </w:p>
        </w:tc>
      </w:tr>
      <w:tr w14:paraId="5341EE96">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B5009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5DC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B46F">
            <w:pPr>
              <w:rPr>
                <w:rFonts w:ascii="宋体" w:hAnsi="宋体" w:cs="宋体"/>
                <w:color w:val="000000"/>
                <w:sz w:val="18"/>
                <w:szCs w:val="18"/>
              </w:rPr>
            </w:pPr>
            <w:r>
              <w:rPr>
                <w:rFonts w:hint="eastAsia" w:ascii="宋体" w:hAnsi="宋体" w:cs="宋体"/>
                <w:color w:val="000000"/>
                <w:sz w:val="18"/>
                <w:szCs w:val="18"/>
              </w:rPr>
              <w:t>8</w:t>
            </w:r>
            <w:r>
              <w:rPr>
                <w:rFonts w:ascii="宋体" w:hAnsi="宋体" w:cs="宋体"/>
                <w:color w:val="000000"/>
                <w:sz w:val="18"/>
                <w:szCs w:val="18"/>
              </w:rPr>
              <w:t>2</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80A3">
            <w:pPr>
              <w:rPr>
                <w:rFonts w:ascii="宋体" w:hAnsi="宋体" w:cs="宋体"/>
                <w:color w:val="000000"/>
                <w:sz w:val="18"/>
                <w:szCs w:val="18"/>
              </w:rPr>
            </w:pPr>
          </w:p>
        </w:tc>
      </w:tr>
      <w:tr w14:paraId="2F3A67D9">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E6F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9D0584">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该项目立项必要性和依据充分，绩效目标明确，符合财政资金支持方向。该项目预算10.42万元，实际支付10.42万元，无结余，无资金挪用、挤占等情况发生，评价良好。该项目提升了学校教学的网络保障，提高了学校的教学质量，提升教师的办公效率，提高了学生的学习效率。</w:t>
            </w:r>
          </w:p>
        </w:tc>
      </w:tr>
      <w:tr w14:paraId="682B8C28">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9BC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3A35AF">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网络偶尔有丢包的原因，产生的原因网络的维护的及时性不够</w:t>
            </w:r>
          </w:p>
        </w:tc>
      </w:tr>
      <w:tr w14:paraId="565FD398">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2FE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7E01B8">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加强网络速度的监控，出现问题立刻联系运营商及时处理，保障教学的正常运行。</w:t>
            </w:r>
          </w:p>
        </w:tc>
      </w:tr>
      <w:tr w14:paraId="182F4C4A">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8AE589">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项目负责人：陈洪</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77492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4B4DB608">
        <w:tblPrEx>
          <w:tblCellMar>
            <w:top w:w="0" w:type="dxa"/>
            <w:left w:w="108" w:type="dxa"/>
            <w:bottom w:w="0" w:type="dxa"/>
            <w:right w:w="108" w:type="dxa"/>
          </w:tblCellMar>
        </w:tblPrEx>
        <w:trPr>
          <w:trHeight w:val="498" w:hRule="atLeast"/>
        </w:trPr>
        <w:tc>
          <w:tcPr>
            <w:tcW w:w="597" w:type="dxa"/>
            <w:tcBorders>
              <w:top w:val="nil"/>
              <w:left w:val="nil"/>
              <w:bottom w:val="nil"/>
              <w:right w:val="nil"/>
            </w:tcBorders>
            <w:shd w:val="clear" w:color="auto" w:fill="auto"/>
            <w:vAlign w:val="center"/>
          </w:tcPr>
          <w:p w14:paraId="0E4B60D9">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0407A1B0">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4586E1FA">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6AFA7E9F">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2FAD7D24">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7EC8EF9D">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49F34E78">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6F22B0CF">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179FC533">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42EF064C">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5A2D3613">
            <w:pPr>
              <w:rPr>
                <w:rFonts w:ascii="宋体" w:hAnsi="宋体" w:cs="宋体"/>
                <w:color w:val="000000"/>
                <w:sz w:val="18"/>
                <w:szCs w:val="18"/>
              </w:rPr>
            </w:pPr>
          </w:p>
        </w:tc>
      </w:tr>
      <w:tr w14:paraId="7C2AE4A0">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0FDF2B">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47B6B755">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1F6AB">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DA086F">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51320021T000000208727-国防教育试点工作经费</w:t>
            </w:r>
          </w:p>
        </w:tc>
      </w:tr>
      <w:tr w14:paraId="4566B137">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3F9D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68F5D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12ADAF2B">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2F9F5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7EF05BC6">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D28E7E">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D24E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F4635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8040E7">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37CA566E">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24911">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7A054">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CB6ED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加强宣传国防教育</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A94493">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对照年度目标，说明相关任务目标的完成情况（100字以内）</w:t>
            </w:r>
          </w:p>
        </w:tc>
      </w:tr>
      <w:tr w14:paraId="032C6B95">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58D7C">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FE22">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FA29B1">
            <w:pPr>
              <w:rPr>
                <w:rFonts w:ascii="宋体" w:hAnsi="宋体" w:cs="宋体"/>
                <w:color w:val="000000"/>
                <w:sz w:val="18"/>
                <w:szCs w:val="18"/>
              </w:rPr>
            </w:pPr>
          </w:p>
        </w:tc>
      </w:tr>
      <w:tr w14:paraId="1966DB1B">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1A8D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170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1EA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9F2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391DB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C7E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BFA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BA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6A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1E8019AC">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61505">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6A3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2E1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C2BF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9.89</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4C624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9.89</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47F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98.9%%</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09F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964F">
            <w:pPr>
              <w:jc w:val="center"/>
              <w:rPr>
                <w:rFonts w:ascii="宋体" w:hAnsi="宋体" w:cs="宋体"/>
                <w:color w:val="000000"/>
                <w:sz w:val="18"/>
                <w:szCs w:val="18"/>
              </w:rPr>
            </w:pPr>
            <w:r>
              <w:rPr>
                <w:rFonts w:ascii="宋体" w:hAnsi="宋体" w:cs="宋体"/>
                <w:color w:val="000000"/>
                <w:sz w:val="18"/>
                <w:szCs w:val="18"/>
              </w:rPr>
              <w:t>10</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08415">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申报项目预算申报金额为10万元，通过财政局实际批复2024年度国防教育项目经费9.892322万元，2024年国防教育实际使用资金为9.892322万元，结余0.11万元</w:t>
            </w:r>
          </w:p>
        </w:tc>
      </w:tr>
      <w:tr w14:paraId="0156F730">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158B8">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511C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D96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DA1E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9.89</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6C28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9.89</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1E1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98.9%</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C11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BC77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5E145">
            <w:pPr>
              <w:rPr>
                <w:rFonts w:ascii="黑体" w:hAnsi="黑体" w:eastAsia="黑体" w:cs="黑体"/>
                <w:i/>
                <w:iCs/>
                <w:color w:val="000000"/>
                <w:sz w:val="18"/>
                <w:szCs w:val="18"/>
              </w:rPr>
            </w:pPr>
          </w:p>
        </w:tc>
      </w:tr>
      <w:tr w14:paraId="53257162">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DB4A5">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30B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738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945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A7D45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A50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190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F68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38671">
            <w:pPr>
              <w:rPr>
                <w:rFonts w:ascii="黑体" w:hAnsi="黑体" w:eastAsia="黑体" w:cs="黑体"/>
                <w:i/>
                <w:iCs/>
                <w:color w:val="000000"/>
                <w:sz w:val="18"/>
                <w:szCs w:val="18"/>
              </w:rPr>
            </w:pPr>
          </w:p>
        </w:tc>
      </w:tr>
      <w:tr w14:paraId="7203D09A">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F7997">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8669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674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023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E1B80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33F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A9A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59D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61E43">
            <w:pPr>
              <w:rPr>
                <w:rFonts w:ascii="黑体" w:hAnsi="黑体" w:eastAsia="黑体" w:cs="黑体"/>
                <w:i/>
                <w:iCs/>
                <w:color w:val="000000"/>
                <w:sz w:val="18"/>
                <w:szCs w:val="18"/>
              </w:rPr>
            </w:pPr>
          </w:p>
        </w:tc>
      </w:tr>
      <w:tr w14:paraId="1842144D">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54A49">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178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3D3A">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238D">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05CC0">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A9228">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A19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D4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52079">
            <w:pPr>
              <w:rPr>
                <w:rFonts w:ascii="黑体" w:hAnsi="黑体" w:eastAsia="黑体" w:cs="黑体"/>
                <w:i/>
                <w:iCs/>
                <w:color w:val="000000"/>
                <w:sz w:val="18"/>
                <w:szCs w:val="18"/>
              </w:rPr>
            </w:pPr>
          </w:p>
        </w:tc>
      </w:tr>
      <w:tr w14:paraId="405E4B66">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DAE7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77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1A5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A1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B9C9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AB2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A380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B1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508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F5C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8C3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5544EF07">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7BF8B">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5562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FF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D16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学生覆盖率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BB9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9F5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7BD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3181">
            <w:pPr>
              <w:widowControl/>
              <w:jc w:val="center"/>
              <w:rPr>
                <w:rFonts w:ascii="微软雅黑" w:hAnsi="微软雅黑" w:eastAsia="微软雅黑"/>
                <w:i/>
                <w:iCs/>
                <w:color w:val="000000"/>
                <w:kern w:val="0"/>
                <w:sz w:val="16"/>
                <w:szCs w:val="16"/>
              </w:rPr>
            </w:pPr>
            <w:r>
              <w:rPr>
                <w:rFonts w:hint="eastAsia" w:ascii="微软雅黑" w:hAnsi="微软雅黑" w:eastAsia="微软雅黑"/>
                <w:i/>
                <w:iCs/>
                <w:color w:val="000000"/>
                <w:sz w:val="16"/>
                <w:szCs w:val="16"/>
              </w:rPr>
              <w:t>90%</w:t>
            </w:r>
          </w:p>
          <w:p w14:paraId="579626D7">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B027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3C47">
            <w:pPr>
              <w:jc w:val="center"/>
              <w:rPr>
                <w:rFonts w:ascii="宋体" w:hAnsi="宋体" w:cs="宋体"/>
                <w:color w:val="000000"/>
                <w:sz w:val="18"/>
                <w:szCs w:val="18"/>
              </w:rPr>
            </w:pPr>
            <w:r>
              <w:rPr>
                <w:rFonts w:hint="eastAsia"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269A">
            <w:pPr>
              <w:jc w:val="center"/>
              <w:rPr>
                <w:rFonts w:ascii="微软雅黑" w:hAnsi="微软雅黑" w:eastAsia="微软雅黑" w:cs="微软雅黑"/>
                <w:i/>
                <w:iCs/>
                <w:color w:val="000000"/>
                <w:sz w:val="16"/>
                <w:szCs w:val="16"/>
              </w:rPr>
            </w:pPr>
          </w:p>
        </w:tc>
      </w:tr>
      <w:tr w14:paraId="1E563E2F">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9DA2F">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4DCBD">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EA5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5CB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教学正常运转率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F4B6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81C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0A2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70987">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9</w:t>
            </w:r>
            <w:r>
              <w:rPr>
                <w:rFonts w:ascii="微软雅黑" w:hAnsi="微软雅黑" w:eastAsia="微软雅黑" w:cs="微软雅黑"/>
                <w:i/>
                <w:iCs/>
                <w:color w:val="000000"/>
                <w:sz w:val="16"/>
                <w:szCs w:val="16"/>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3E3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6B091">
            <w:pPr>
              <w:jc w:val="center"/>
              <w:rPr>
                <w:rFonts w:ascii="宋体" w:hAnsi="宋体" w:cs="宋体"/>
                <w:color w:val="000000"/>
                <w:sz w:val="18"/>
                <w:szCs w:val="18"/>
              </w:rPr>
            </w:pPr>
            <w:r>
              <w:rPr>
                <w:rFonts w:ascii="宋体" w:hAnsi="宋体" w:cs="宋体"/>
                <w:color w:val="000000"/>
                <w:sz w:val="18"/>
                <w:szCs w:val="18"/>
              </w:rPr>
              <w:t>18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5615">
            <w:pPr>
              <w:jc w:val="center"/>
              <w:rPr>
                <w:rFonts w:ascii="微软雅黑" w:hAnsi="微软雅黑" w:eastAsia="微软雅黑" w:cs="微软雅黑"/>
                <w:i/>
                <w:iCs/>
                <w:color w:val="000000"/>
                <w:sz w:val="16"/>
                <w:szCs w:val="16"/>
              </w:rPr>
            </w:pPr>
          </w:p>
        </w:tc>
      </w:tr>
      <w:tr w14:paraId="019AAE8E">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86C67">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DAE64">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8E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209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项目完工时间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6F4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C80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24年12月31日</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AA7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78E1">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已于12月31日前完成</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3D7B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AA6C">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15B1">
            <w:pPr>
              <w:jc w:val="center"/>
              <w:rPr>
                <w:rFonts w:ascii="微软雅黑" w:hAnsi="微软雅黑" w:eastAsia="微软雅黑" w:cs="微软雅黑"/>
                <w:i/>
                <w:iCs/>
                <w:color w:val="000000"/>
                <w:sz w:val="16"/>
                <w:szCs w:val="16"/>
              </w:rPr>
            </w:pPr>
          </w:p>
        </w:tc>
      </w:tr>
      <w:tr w14:paraId="020E07A4">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FE6D7">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3434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DCF0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73C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对学生进行爱国主义教育</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BF8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DCE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BA9B">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54D1">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取得显著效果</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A322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88F8">
            <w:pPr>
              <w:jc w:val="center"/>
              <w:rPr>
                <w:rFonts w:ascii="宋体" w:hAnsi="宋体" w:cs="宋体"/>
                <w:color w:val="000000"/>
                <w:sz w:val="18"/>
                <w:szCs w:val="18"/>
              </w:rPr>
            </w:pPr>
            <w:r>
              <w:rPr>
                <w:rFonts w:ascii="宋体" w:hAnsi="宋体" w:cs="宋体"/>
                <w:color w:val="000000"/>
                <w:sz w:val="18"/>
                <w:szCs w:val="18"/>
              </w:rPr>
              <w:t>4</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5CC3A">
            <w:pPr>
              <w:jc w:val="center"/>
              <w:rPr>
                <w:rFonts w:ascii="微软雅黑" w:hAnsi="微软雅黑" w:eastAsia="微软雅黑" w:cs="微软雅黑"/>
                <w:i/>
                <w:iCs/>
                <w:color w:val="000000"/>
                <w:sz w:val="16"/>
                <w:szCs w:val="16"/>
              </w:rPr>
            </w:pPr>
          </w:p>
        </w:tc>
      </w:tr>
      <w:tr w14:paraId="06D296F2">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E7A40">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EC3FB">
            <w:pPr>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12E32">
            <w:pPr>
              <w:jc w:val="center"/>
              <w:rPr>
                <w:rFonts w:ascii="宋体" w:hAnsi="宋体" w:cs="宋体"/>
                <w:color w:val="000000"/>
                <w:sz w:val="18"/>
                <w:szCs w:val="18"/>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64D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爱国主义教育</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CA0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F54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CF4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6972">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取得显著效果</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C1D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1231">
            <w:pPr>
              <w:jc w:val="center"/>
              <w:rPr>
                <w:rFonts w:ascii="宋体" w:hAnsi="宋体" w:cs="宋体"/>
                <w:color w:val="000000"/>
                <w:sz w:val="18"/>
                <w:szCs w:val="18"/>
              </w:rPr>
            </w:pPr>
            <w:r>
              <w:rPr>
                <w:rFonts w:hint="eastAsia"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FD89">
            <w:pPr>
              <w:jc w:val="center"/>
              <w:rPr>
                <w:rFonts w:ascii="微软雅黑" w:hAnsi="微软雅黑" w:eastAsia="微软雅黑" w:cs="微软雅黑"/>
                <w:i/>
                <w:iCs/>
                <w:color w:val="000000"/>
                <w:sz w:val="16"/>
                <w:szCs w:val="16"/>
              </w:rPr>
            </w:pPr>
          </w:p>
        </w:tc>
      </w:tr>
      <w:tr w14:paraId="3E3D034A">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28269">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279AA">
            <w:pPr>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490EB">
            <w:pPr>
              <w:jc w:val="center"/>
              <w:rPr>
                <w:rFonts w:ascii="宋体" w:hAnsi="宋体" w:cs="宋体"/>
                <w:color w:val="000000"/>
                <w:sz w:val="18"/>
                <w:szCs w:val="18"/>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B4C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强国教育</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8D9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7B7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BFCB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F691">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实现有效提升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06E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3273">
            <w:pPr>
              <w:jc w:val="center"/>
              <w:rPr>
                <w:rFonts w:ascii="宋体" w:hAnsi="宋体" w:cs="宋体"/>
                <w:color w:val="000000"/>
                <w:sz w:val="18"/>
                <w:szCs w:val="18"/>
              </w:rPr>
            </w:pPr>
            <w:r>
              <w:rPr>
                <w:rFonts w:ascii="宋体" w:hAnsi="宋体" w:cs="宋体"/>
                <w:color w:val="000000"/>
                <w:sz w:val="18"/>
                <w:szCs w:val="18"/>
              </w:rPr>
              <w:t>4</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A044A">
            <w:pPr>
              <w:jc w:val="center"/>
              <w:rPr>
                <w:rFonts w:ascii="微软雅黑" w:hAnsi="微软雅黑" w:eastAsia="微软雅黑" w:cs="微软雅黑"/>
                <w:i/>
                <w:iCs/>
                <w:color w:val="000000"/>
                <w:sz w:val="16"/>
                <w:szCs w:val="16"/>
              </w:rPr>
            </w:pPr>
          </w:p>
        </w:tc>
      </w:tr>
      <w:tr w14:paraId="7D000D6A">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85E1A">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53425">
            <w:pPr>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641A0">
            <w:pPr>
              <w:jc w:val="center"/>
              <w:rPr>
                <w:rFonts w:ascii="宋体" w:hAnsi="宋体" w:cs="宋体"/>
                <w:color w:val="000000"/>
                <w:sz w:val="18"/>
                <w:szCs w:val="18"/>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BA0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对学生进行强国教育</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75C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6A9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1963">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4972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实现有效提升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05F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FCAD">
            <w:pPr>
              <w:jc w:val="center"/>
              <w:rPr>
                <w:rFonts w:ascii="宋体" w:hAnsi="宋体" w:cs="宋体"/>
                <w:color w:val="000000"/>
                <w:sz w:val="18"/>
                <w:szCs w:val="18"/>
              </w:rPr>
            </w:pPr>
            <w:r>
              <w:rPr>
                <w:rFonts w:ascii="宋体" w:hAnsi="宋体" w:cs="宋体"/>
                <w:color w:val="000000"/>
                <w:sz w:val="18"/>
                <w:szCs w:val="18"/>
              </w:rPr>
              <w:t>4</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F272">
            <w:pPr>
              <w:jc w:val="center"/>
              <w:rPr>
                <w:rFonts w:ascii="微软雅黑" w:hAnsi="微软雅黑" w:eastAsia="微软雅黑" w:cs="微软雅黑"/>
                <w:i/>
                <w:iCs/>
                <w:color w:val="000000"/>
                <w:sz w:val="16"/>
                <w:szCs w:val="16"/>
              </w:rPr>
            </w:pPr>
          </w:p>
        </w:tc>
      </w:tr>
      <w:tr w14:paraId="45A28473">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1263E">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E16F0">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759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82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提升学生身体素质</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68B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6D3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9AF5">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D16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实现有效提升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54C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49F0">
            <w:pPr>
              <w:jc w:val="center"/>
              <w:rPr>
                <w:rFonts w:ascii="宋体" w:hAnsi="宋体" w:cs="宋体"/>
                <w:color w:val="000000"/>
                <w:sz w:val="18"/>
                <w:szCs w:val="18"/>
              </w:rPr>
            </w:pPr>
            <w:r>
              <w:rPr>
                <w:rFonts w:ascii="宋体" w:hAnsi="宋体" w:cs="宋体"/>
                <w:color w:val="000000"/>
                <w:sz w:val="18"/>
                <w:szCs w:val="18"/>
              </w:rPr>
              <w:t>4</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8625">
            <w:pPr>
              <w:jc w:val="center"/>
              <w:rPr>
                <w:rFonts w:ascii="微软雅黑" w:hAnsi="微软雅黑" w:eastAsia="微软雅黑" w:cs="微软雅黑"/>
                <w:i/>
                <w:iCs/>
                <w:color w:val="000000"/>
                <w:sz w:val="16"/>
                <w:szCs w:val="16"/>
              </w:rPr>
            </w:pPr>
          </w:p>
        </w:tc>
      </w:tr>
      <w:tr w14:paraId="034B4BDD">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8DAA4">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47B9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BFB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E70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成本控制率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FBB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8C6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不超预算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E67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ED09">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未超预算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0B6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8BC6">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419B">
            <w:pPr>
              <w:jc w:val="center"/>
              <w:rPr>
                <w:rFonts w:ascii="微软雅黑" w:hAnsi="微软雅黑" w:eastAsia="微软雅黑" w:cs="微软雅黑"/>
                <w:i/>
                <w:iCs/>
                <w:color w:val="000000"/>
                <w:sz w:val="16"/>
                <w:szCs w:val="16"/>
              </w:rPr>
            </w:pPr>
          </w:p>
        </w:tc>
      </w:tr>
      <w:tr w14:paraId="00A90496">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5D9E5">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88B82">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51F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74C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成本节约率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AC45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2BFF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经济效益显著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5C8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8963">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取得显著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7BD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3DDF">
            <w:pPr>
              <w:jc w:val="center"/>
              <w:rPr>
                <w:rFonts w:ascii="宋体" w:hAnsi="宋体" w:cs="宋体"/>
                <w:color w:val="000000"/>
                <w:sz w:val="18"/>
                <w:szCs w:val="18"/>
              </w:rPr>
            </w:pPr>
            <w:r>
              <w:rPr>
                <w:rFonts w:hint="eastAsia"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B410">
            <w:pPr>
              <w:jc w:val="center"/>
              <w:rPr>
                <w:rFonts w:ascii="微软雅黑" w:hAnsi="微软雅黑" w:eastAsia="微软雅黑" w:cs="微软雅黑"/>
                <w:i/>
                <w:iCs/>
                <w:color w:val="000000"/>
                <w:sz w:val="16"/>
                <w:szCs w:val="16"/>
              </w:rPr>
            </w:pPr>
          </w:p>
        </w:tc>
      </w:tr>
      <w:tr w14:paraId="48E295D7">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968D1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7A5E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1CCA">
            <w:pPr>
              <w:rPr>
                <w:rFonts w:ascii="宋体" w:hAnsi="宋体" w:cs="宋体"/>
                <w:color w:val="000000"/>
                <w:sz w:val="18"/>
                <w:szCs w:val="18"/>
              </w:rPr>
            </w:pPr>
            <w:r>
              <w:rPr>
                <w:rFonts w:ascii="宋体" w:hAnsi="宋体" w:cs="宋体"/>
                <w:color w:val="000000"/>
                <w:sz w:val="18"/>
                <w:szCs w:val="18"/>
              </w:rPr>
              <w:t>88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5A7A">
            <w:pPr>
              <w:rPr>
                <w:rFonts w:ascii="宋体" w:hAnsi="宋体" w:cs="宋体"/>
                <w:color w:val="000000"/>
                <w:sz w:val="18"/>
                <w:szCs w:val="18"/>
              </w:rPr>
            </w:pPr>
          </w:p>
        </w:tc>
      </w:tr>
      <w:tr w14:paraId="7F72DEB8">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FA4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9E8CD3">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综合前述评估内容来看，国防教育项目立项必要性和依据充分，绩效目标明确，具备实施条件，具有公共性，符合财政资金支持方向等。2024年国防教育项目申请资金总预算9.892322万元，经评审，实际拨款数为9.892322万元，实际开支为9.892322万元。自2024年度实施国防教育项目以来学校均开展绩效评价，评价得分良好。极大的肯定了国防教育项目对提升学校管理能力方面起到了巨大作用，并在绩效评价提出的主要建议，希望在后续开展过程中多总结不足之处，及时巩固训练成果。</w:t>
            </w:r>
          </w:p>
        </w:tc>
      </w:tr>
      <w:tr w14:paraId="0199E0FF">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097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085DE9">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1.缺乏针对性：当前国防教育缺少具体的应用场景，缺乏与现实社会、国家需求紧密关联的实际效果，导致部分学生漠视该教育，难以达到预期效果。</w:t>
            </w:r>
          </w:p>
          <w:p w14:paraId="270D992E">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 xml:space="preserve">    2.缺乏深度：国防教育普遍缺乏深度，这与许多传统文化教育课程相似。许多课程缺少系统性的分析、探究、总结、评价等要素，难以在学生中建立起对国防工作的正确理解。</w:t>
            </w:r>
          </w:p>
          <w:p w14:paraId="7624FFC8">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3.缺乏趣味性：当前国防教育的内容和形式枯燥，与校园文化和学生趣味相应度较低，难以引发学生的兴趣和主动性。</w:t>
            </w:r>
          </w:p>
          <w:p w14:paraId="743E529F">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 xml:space="preserve">    4.缺乏全民参与性：当前国防教育尚未与全民国防教育相结合，学校与社会间缺少紧密联系，部分学生缺乏全民国防责任感和荣誉感。</w:t>
            </w:r>
          </w:p>
        </w:tc>
      </w:tr>
      <w:tr w14:paraId="1CE4E80C">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DCE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15F2D5">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1.建立针对性：国防教育应更加注重针对性，引导学生将国防工作与实际生活和职业发展联系起来，培养全方位的国防意识。    2.增强深度：国防教育应加强课程设计和教学质量，始终以国家和社会需求为导向，促进学生全面、深入、系统地学习国防知识。   3.提高趣味性：国防教育应结合校园文化和学生实际需求，以富有趣味性和实践性的形式开展教学，提高学生的主动性、参与性和乐趣感。    4.强化全民参与性：国防教育应融入到全民国防教育中，加强学校与社会的联系，促进学生乃至整个社会对国防工作的全民参与和支持。</w:t>
            </w:r>
          </w:p>
        </w:tc>
      </w:tr>
      <w:tr w14:paraId="52FAA8F2">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53F2A9">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项目负责人：张绿波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D37770">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544A8AF9">
        <w:tblPrEx>
          <w:tblCellMar>
            <w:top w:w="0" w:type="dxa"/>
            <w:left w:w="108" w:type="dxa"/>
            <w:bottom w:w="0" w:type="dxa"/>
            <w:right w:w="108" w:type="dxa"/>
          </w:tblCellMar>
        </w:tblPrEx>
        <w:trPr>
          <w:trHeight w:val="498" w:hRule="atLeast"/>
        </w:trPr>
        <w:tc>
          <w:tcPr>
            <w:tcW w:w="597" w:type="dxa"/>
            <w:tcBorders>
              <w:top w:val="nil"/>
              <w:left w:val="nil"/>
              <w:bottom w:val="nil"/>
              <w:right w:val="nil"/>
            </w:tcBorders>
            <w:shd w:val="clear" w:color="auto" w:fill="auto"/>
            <w:vAlign w:val="center"/>
          </w:tcPr>
          <w:p w14:paraId="2A7C7386">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13F4C6DD">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5F94B882">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6270F822">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1586C225">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743E3A26">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4BC4F4D6">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4B26ECF9">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69CA829E">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3200DF0D">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199BA5D5">
            <w:pPr>
              <w:rPr>
                <w:rFonts w:ascii="宋体" w:hAnsi="宋体" w:cs="宋体"/>
                <w:color w:val="000000"/>
                <w:sz w:val="18"/>
                <w:szCs w:val="18"/>
              </w:rPr>
            </w:pPr>
          </w:p>
        </w:tc>
      </w:tr>
      <w:tr w14:paraId="18FB91ED">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BBE48F4">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58EBB3C6">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89A7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9BB62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51320021T000000208734-聘用教师费用</w:t>
            </w:r>
          </w:p>
        </w:tc>
      </w:tr>
      <w:tr w14:paraId="23BB90D5">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6042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CB6BD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28C9D06D">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DC1B0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2A20EFEE">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75C1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ADB8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6D715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FE16B3">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6FADCED9">
        <w:tblPrEx>
          <w:tblCellMar>
            <w:top w:w="0" w:type="dxa"/>
            <w:left w:w="108" w:type="dxa"/>
            <w:bottom w:w="0" w:type="dxa"/>
            <w:right w:w="108" w:type="dxa"/>
          </w:tblCellMar>
        </w:tblPrEx>
        <w:trPr>
          <w:trHeight w:val="1959"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3183D">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57572">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DE676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保证教学质量稳步提高，努力缩短与州外学生的差距初中一年级8个班，初中二年级8个班，初中三年级10个班，共计26个班。时间：初一初二一学期教学时间按20周，晚自习1周5天计算，共计100天；晚自习初三1周6天计算，共计120天。</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5C3E34">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该项目预算147.68万元，实际支付147.68万元，无结余，无资金挪用、挤占等情况发生，评价良好。</w:t>
            </w:r>
          </w:p>
        </w:tc>
      </w:tr>
      <w:tr w14:paraId="613E6614">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5A33C">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2BA48">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87CEE5">
            <w:pPr>
              <w:rPr>
                <w:rFonts w:ascii="宋体" w:hAnsi="宋体" w:cs="宋体"/>
                <w:color w:val="000000"/>
                <w:sz w:val="18"/>
                <w:szCs w:val="18"/>
              </w:rPr>
            </w:pPr>
            <w:r>
              <w:rPr>
                <w:rFonts w:hint="eastAsia" w:ascii="宋体" w:hAnsi="宋体" w:cs="宋体"/>
                <w:color w:val="000000"/>
                <w:sz w:val="18"/>
                <w:szCs w:val="18"/>
              </w:rPr>
              <w:t>该项目结合我校学生实际情况，开齐开足相关辅导课时，针对性的教学，进行培优扶弱。通过进行早晚自习、课后辅导、周六和寒暑假的辅导后，学生基础得到了一定的夯实，学习成绩有所提升，利用寒暑假进行辅导授课，缩小了与州外学校的教学进度差距。</w:t>
            </w:r>
          </w:p>
        </w:tc>
      </w:tr>
      <w:tr w14:paraId="4DA1A20A">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A82F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732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B305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3C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4490C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06B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558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21F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E966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0CBBEC86">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8EFCC">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01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D94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67B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7C3C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443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92C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69B7">
            <w:pPr>
              <w:jc w:val="center"/>
              <w:rPr>
                <w:rFonts w:ascii="宋体" w:hAnsi="宋体" w:cs="宋体"/>
                <w:color w:val="000000"/>
                <w:sz w:val="18"/>
                <w:szCs w:val="18"/>
              </w:rPr>
            </w:pPr>
            <w:r>
              <w:rPr>
                <w:rFonts w:ascii="宋体" w:hAnsi="宋体" w:cs="宋体"/>
                <w:color w:val="000000"/>
                <w:sz w:val="18"/>
                <w:szCs w:val="18"/>
              </w:rPr>
              <w:t>10</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72544">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233E2827">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6F776">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742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E66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6AE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8487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5D3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C59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6D9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218BF">
            <w:pPr>
              <w:rPr>
                <w:rFonts w:ascii="黑体" w:hAnsi="黑体" w:eastAsia="黑体" w:cs="黑体"/>
                <w:i/>
                <w:iCs/>
                <w:color w:val="000000"/>
                <w:sz w:val="18"/>
                <w:szCs w:val="18"/>
              </w:rPr>
            </w:pPr>
          </w:p>
        </w:tc>
      </w:tr>
      <w:tr w14:paraId="06912E37">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88157">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D77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80A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438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CC374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28B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06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C6D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C4F9C">
            <w:pPr>
              <w:rPr>
                <w:rFonts w:ascii="黑体" w:hAnsi="黑体" w:eastAsia="黑体" w:cs="黑体"/>
                <w:i/>
                <w:iCs/>
                <w:color w:val="000000"/>
                <w:sz w:val="18"/>
                <w:szCs w:val="18"/>
              </w:rPr>
            </w:pPr>
          </w:p>
        </w:tc>
      </w:tr>
      <w:tr w14:paraId="58A167B3">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09F86">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559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B52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E58D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6893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790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320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2FE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DA459">
            <w:pPr>
              <w:rPr>
                <w:rFonts w:ascii="黑体" w:hAnsi="黑体" w:eastAsia="黑体" w:cs="黑体"/>
                <w:i/>
                <w:iCs/>
                <w:color w:val="000000"/>
                <w:sz w:val="18"/>
                <w:szCs w:val="18"/>
              </w:rPr>
            </w:pPr>
          </w:p>
        </w:tc>
      </w:tr>
      <w:tr w14:paraId="47703645">
        <w:tblPrEx>
          <w:tblCellMar>
            <w:top w:w="0" w:type="dxa"/>
            <w:left w:w="108" w:type="dxa"/>
            <w:bottom w:w="0" w:type="dxa"/>
            <w:right w:w="108" w:type="dxa"/>
          </w:tblCellMar>
        </w:tblPrEx>
        <w:trPr>
          <w:trHeight w:val="1914"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2F63F">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51C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574A">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0A6C">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74ADFC">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BE7D">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1AC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536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9AA33">
            <w:pPr>
              <w:rPr>
                <w:rFonts w:ascii="黑体" w:hAnsi="黑体" w:eastAsia="黑体" w:cs="黑体"/>
                <w:i/>
                <w:iCs/>
                <w:color w:val="000000"/>
                <w:sz w:val="18"/>
                <w:szCs w:val="18"/>
              </w:rPr>
            </w:pPr>
          </w:p>
        </w:tc>
      </w:tr>
      <w:tr w14:paraId="551F4410">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5E4F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CD6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2A4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A81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1DE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E8A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A715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DE1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122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291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583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50AD05AF">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3324B">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BD65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5F0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322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覆盖学生面</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FFA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C64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95</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2F7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645D">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A0B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6D2D">
            <w:pPr>
              <w:jc w:val="center"/>
              <w:rPr>
                <w:rFonts w:ascii="宋体" w:hAnsi="宋体" w:cs="宋体"/>
                <w:color w:val="000000"/>
                <w:sz w:val="18"/>
                <w:szCs w:val="18"/>
              </w:rPr>
            </w:pPr>
            <w:r>
              <w:rPr>
                <w:rFonts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84C9">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对于休学学生未进行跟踪教学</w:t>
            </w:r>
          </w:p>
        </w:tc>
      </w:tr>
      <w:tr w14:paraId="07BADB4D">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38021">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A937E">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53F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236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教学正常运转率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967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324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2BC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6EF9">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B0C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8BE9">
            <w:pPr>
              <w:rPr>
                <w:rFonts w:ascii="宋体" w:hAnsi="宋体" w:cs="宋体"/>
                <w:color w:val="000000"/>
                <w:sz w:val="18"/>
                <w:szCs w:val="18"/>
              </w:rPr>
            </w:pPr>
            <w:r>
              <w:rPr>
                <w:rFonts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4F01">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运转率达标，质量低于预设目标</w:t>
            </w:r>
          </w:p>
        </w:tc>
      </w:tr>
      <w:tr w14:paraId="1CFE4D15">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1849C">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C0860">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BFB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1789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上课期间教师服务时间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F28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EE9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上课期间</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0F9E">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7268">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已完成</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766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0574">
            <w:pPr>
              <w:jc w:val="center"/>
              <w:rPr>
                <w:rFonts w:ascii="宋体" w:hAnsi="宋体" w:cs="宋体"/>
                <w:color w:val="000000"/>
                <w:sz w:val="18"/>
                <w:szCs w:val="18"/>
              </w:rPr>
            </w:pPr>
            <w:r>
              <w:rPr>
                <w:rFonts w:hint="eastAsia" w:ascii="宋体" w:hAnsi="宋体" w:cs="宋体"/>
                <w:color w:val="000000"/>
                <w:sz w:val="18"/>
                <w:szCs w:val="18"/>
              </w:rPr>
              <w:t>2</w:t>
            </w:r>
            <w:r>
              <w:rPr>
                <w:rFonts w:ascii="宋体" w:hAnsi="宋体" w:cs="宋体"/>
                <w:color w:val="000000"/>
                <w:sz w:val="18"/>
                <w:szCs w:val="18"/>
              </w:rPr>
              <w:t>4</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EE0D4">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教师服务时间达标，但教学成果不佳</w:t>
            </w:r>
          </w:p>
        </w:tc>
      </w:tr>
      <w:tr w14:paraId="2470D9B6">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634A0">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209BF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BCA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431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提升学生成绩</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9E08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7A7D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A0CD">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5D8D">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明显提升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BBC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DB1F">
            <w:pPr>
              <w:jc w:val="center"/>
              <w:rPr>
                <w:rFonts w:ascii="宋体" w:hAnsi="宋体" w:cs="宋体"/>
                <w:color w:val="000000"/>
                <w:sz w:val="18"/>
                <w:szCs w:val="18"/>
              </w:rPr>
            </w:pPr>
            <w:r>
              <w:rPr>
                <w:rFonts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3355">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生源质量有所下降，师资参差不齐，教学效果没有以前明显</w:t>
            </w:r>
          </w:p>
        </w:tc>
      </w:tr>
      <w:tr w14:paraId="17143ED4">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4799F">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96C8B">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12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697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提升师生幸福感</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75B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9073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有效提什</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28AA">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E89A">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显著提升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0BE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0A2C">
            <w:pPr>
              <w:jc w:val="center"/>
              <w:rPr>
                <w:rFonts w:ascii="宋体" w:hAnsi="宋体" w:cs="宋体"/>
                <w:color w:val="000000"/>
                <w:sz w:val="18"/>
                <w:szCs w:val="18"/>
              </w:rPr>
            </w:pPr>
            <w:r>
              <w:rPr>
                <w:rFonts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3EC52">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平均课时40元/节，低于马尔康地区外的高完中学校（如小金中学、金川中学），教师授课积极性降低</w:t>
            </w:r>
          </w:p>
        </w:tc>
      </w:tr>
      <w:tr w14:paraId="3980878A">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41FB3">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C9190">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5D4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773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提升教学成果</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0D2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99F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42F5D">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F6489">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效果较显著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7A3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0E16">
            <w:pPr>
              <w:jc w:val="center"/>
              <w:rPr>
                <w:rFonts w:ascii="宋体" w:hAnsi="宋体" w:cs="宋体"/>
                <w:color w:val="000000"/>
                <w:sz w:val="18"/>
                <w:szCs w:val="18"/>
              </w:rPr>
            </w:pPr>
            <w:r>
              <w:rPr>
                <w:rFonts w:hint="eastAsia" w:ascii="宋体" w:hAnsi="宋体" w:cs="宋体"/>
                <w:color w:val="000000"/>
                <w:sz w:val="18"/>
                <w:szCs w:val="18"/>
              </w:rPr>
              <w:t>6</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36D4">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生源质量有所下降，师资参差不齐，教学效果没有以前明显</w:t>
            </w:r>
          </w:p>
        </w:tc>
      </w:tr>
      <w:tr w14:paraId="1833D391">
        <w:tblPrEx>
          <w:tblCellMar>
            <w:top w:w="0" w:type="dxa"/>
            <w:left w:w="108" w:type="dxa"/>
            <w:bottom w:w="0" w:type="dxa"/>
            <w:right w:w="108" w:type="dxa"/>
          </w:tblCellMar>
        </w:tblPrEx>
        <w:trPr>
          <w:trHeight w:val="51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5DE29">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C4E7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DA3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5D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课时成本</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25F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7165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4A8E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元/个</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F343">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40元/个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4F7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D590">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7192">
            <w:pPr>
              <w:jc w:val="center"/>
              <w:rPr>
                <w:rFonts w:ascii="微软雅黑" w:hAnsi="微软雅黑" w:eastAsia="微软雅黑" w:cs="微软雅黑"/>
                <w:i/>
                <w:iCs/>
                <w:color w:val="000000"/>
                <w:sz w:val="16"/>
                <w:szCs w:val="16"/>
              </w:rPr>
            </w:pPr>
          </w:p>
        </w:tc>
      </w:tr>
      <w:tr w14:paraId="318FD490">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1DFE4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6F5C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2CC6">
            <w:pPr>
              <w:rPr>
                <w:rFonts w:ascii="宋体" w:hAnsi="宋体" w:cs="宋体"/>
                <w:color w:val="000000"/>
                <w:sz w:val="18"/>
                <w:szCs w:val="18"/>
              </w:rPr>
            </w:pPr>
            <w:r>
              <w:rPr>
                <w:rFonts w:hint="eastAsia" w:ascii="宋体" w:hAnsi="宋体" w:cs="宋体"/>
                <w:color w:val="000000"/>
                <w:sz w:val="18"/>
                <w:szCs w:val="18"/>
              </w:rPr>
              <w:t>8</w:t>
            </w:r>
            <w:r>
              <w:rPr>
                <w:rFonts w:ascii="宋体" w:hAnsi="宋体" w:cs="宋体"/>
                <w:color w:val="000000"/>
                <w:sz w:val="18"/>
                <w:szCs w:val="18"/>
              </w:rPr>
              <w:t>2</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2DFC1">
            <w:pPr>
              <w:rPr>
                <w:rFonts w:ascii="宋体" w:hAnsi="宋体" w:cs="宋体"/>
                <w:color w:val="000000"/>
                <w:sz w:val="18"/>
                <w:szCs w:val="18"/>
              </w:rPr>
            </w:pPr>
          </w:p>
        </w:tc>
      </w:tr>
      <w:tr w14:paraId="13E6DAE3">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601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9A7C50">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项目总体执行效果优异，预算执行率100%，教学目标全面完成，师生满意度达标，学生成绩显著提升，家长负担有效减轻，社会效益突出。</w:t>
            </w:r>
          </w:p>
        </w:tc>
      </w:tr>
      <w:tr w14:paraId="5DC0E5E9">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72FA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8078BD">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 xml:space="preserve">生源质量有所下降，师资参差不齐，教学效果没有以前明显；为了保证开足开齐课时和全年经费的使用，我校授课单价（晚自习：30元/节，周六及寒暑假：50元/节）低于马尔康地区外的高完中学校（如小金中学、金川中学），教师授课积极性降低。  </w:t>
            </w:r>
          </w:p>
          <w:p w14:paraId="5B21A470">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 xml:space="preserve">应急预算缺失，未预留突发情况（如教师临时请假）的备用资金。  </w:t>
            </w:r>
          </w:p>
        </w:tc>
      </w:tr>
      <w:tr w14:paraId="67D12B71">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F4E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16DB67">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我校加强内部管理，提升教学质量。适当增加预算经费，提高授课单价，缩小与周边高完中学校的差距，提高教师授课积极性。增设应急预算：按总预算5%预留备用金，应对临时性支出需求。</w:t>
            </w:r>
          </w:p>
        </w:tc>
      </w:tr>
      <w:tr w14:paraId="1D8E6CB7">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8A1529">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项目负责人：赵艳红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C54898">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1E1DC18D">
        <w:tblPrEx>
          <w:tblCellMar>
            <w:top w:w="0" w:type="dxa"/>
            <w:left w:w="108" w:type="dxa"/>
            <w:bottom w:w="0" w:type="dxa"/>
            <w:right w:w="108" w:type="dxa"/>
          </w:tblCellMar>
        </w:tblPrEx>
        <w:trPr>
          <w:trHeight w:val="498" w:hRule="atLeast"/>
        </w:trPr>
        <w:tc>
          <w:tcPr>
            <w:tcW w:w="597" w:type="dxa"/>
            <w:tcBorders>
              <w:top w:val="nil"/>
              <w:left w:val="nil"/>
              <w:bottom w:val="nil"/>
              <w:right w:val="nil"/>
            </w:tcBorders>
            <w:shd w:val="clear" w:color="auto" w:fill="auto"/>
            <w:vAlign w:val="center"/>
          </w:tcPr>
          <w:p w14:paraId="55B49709">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6E360B50">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1B3B22CD">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7257A972">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01E7D000">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5A6786F0">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6C7ECA9D">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5C4F71FD">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060E559D">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7472D0DB">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618FD5CB">
            <w:pPr>
              <w:rPr>
                <w:rFonts w:ascii="宋体" w:hAnsi="宋体" w:cs="宋体"/>
                <w:color w:val="000000"/>
                <w:sz w:val="18"/>
                <w:szCs w:val="18"/>
              </w:rPr>
            </w:pPr>
          </w:p>
        </w:tc>
      </w:tr>
      <w:tr w14:paraId="6EFAB3A8">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3F39D8">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02533E96">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EBF7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C0CF7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51320021T000000208737-中小学临聘服务</w:t>
            </w:r>
          </w:p>
        </w:tc>
      </w:tr>
      <w:tr w14:paraId="76398C10">
        <w:tblPrEx>
          <w:tblCellMar>
            <w:top w:w="0" w:type="dxa"/>
            <w:left w:w="108" w:type="dxa"/>
            <w:bottom w:w="0" w:type="dxa"/>
            <w:right w:w="108" w:type="dxa"/>
          </w:tblCellMar>
        </w:tblPrEx>
        <w:trPr>
          <w:trHeight w:val="584"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C04BB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73DBD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494B1F91">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F7E24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5B3537E4">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F6631">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8C0D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FC786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0786C6">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5B31ECB5">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F6594">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CF579">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22B1DE">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极大的提升学校食堂品质，同时为全校两个校区师生2000多人提供健康、安全的食品和41人就业问题。</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919AA4">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无食品安全事故，为2000余名师生提供营养、健康、安全食品，解决41人就业。</w:t>
            </w:r>
          </w:p>
        </w:tc>
      </w:tr>
      <w:tr w14:paraId="404D2CD4">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08CAE">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474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7D8BFF">
            <w:pPr>
              <w:rPr>
                <w:rFonts w:ascii="宋体" w:hAnsi="宋体" w:cs="宋体"/>
                <w:color w:val="000000"/>
                <w:sz w:val="18"/>
                <w:szCs w:val="18"/>
              </w:rPr>
            </w:pPr>
            <w:r>
              <w:rPr>
                <w:rFonts w:hint="eastAsia" w:ascii="宋体" w:hAnsi="宋体" w:cs="宋体"/>
                <w:color w:val="000000"/>
                <w:sz w:val="18"/>
                <w:szCs w:val="18"/>
              </w:rPr>
              <w:t>该项目资金管理根据学校内控制度执行专款专用原则，在资金支付前按照合同约定实行考核，考核情况与资金支付挂钩，且上报校务会审议。该项目实施以来，一是提供健康、安全食品，二是提升学校餐饮服务质量，三是提供营养丰富的食品，四是降低学校食堂安全风险。</w:t>
            </w:r>
          </w:p>
        </w:tc>
      </w:tr>
      <w:tr w14:paraId="5705648D">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E0D1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E0A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1D7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96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CDE6D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182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84F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72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C17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2869F419">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8D354">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F5C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B76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154.00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4C0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154.00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45D44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154.00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A68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267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B2BDE">
            <w:pPr>
              <w:jc w:val="center"/>
              <w:rPr>
                <w:rFonts w:ascii="宋体" w:hAnsi="宋体" w:cs="宋体"/>
                <w:color w:val="000000"/>
                <w:sz w:val="18"/>
                <w:szCs w:val="18"/>
              </w:rPr>
            </w:pPr>
            <w:r>
              <w:rPr>
                <w:rFonts w:ascii="宋体" w:hAnsi="宋体" w:cs="宋体"/>
                <w:color w:val="000000"/>
                <w:sz w:val="18"/>
                <w:szCs w:val="18"/>
              </w:rPr>
              <w:t>10</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35D05">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71155AD1">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C136B">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E95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D75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154.00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595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154.00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FC78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154.00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BA6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3F31">
            <w:pPr>
              <w:widowControl/>
              <w:jc w:val="center"/>
              <w:textAlignment w:val="center"/>
              <w:rPr>
                <w:rFonts w:ascii="宋体" w:hAnsi="宋体" w:cs="宋体"/>
                <w:color w:val="000000"/>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79C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11649">
            <w:pPr>
              <w:rPr>
                <w:rFonts w:ascii="黑体" w:hAnsi="黑体" w:eastAsia="黑体" w:cs="黑体"/>
                <w:i/>
                <w:iCs/>
                <w:color w:val="000000"/>
                <w:sz w:val="18"/>
                <w:szCs w:val="18"/>
              </w:rPr>
            </w:pPr>
          </w:p>
        </w:tc>
      </w:tr>
      <w:tr w14:paraId="03F1CAE4">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98083">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AB2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A1F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63E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1359C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7D0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4958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5D5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D8CD9">
            <w:pPr>
              <w:rPr>
                <w:rFonts w:ascii="黑体" w:hAnsi="黑体" w:eastAsia="黑体" w:cs="黑体"/>
                <w:i/>
                <w:iCs/>
                <w:color w:val="000000"/>
                <w:sz w:val="18"/>
                <w:szCs w:val="18"/>
              </w:rPr>
            </w:pPr>
          </w:p>
        </w:tc>
      </w:tr>
      <w:tr w14:paraId="607700E9">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DA6BA">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9E6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BF9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24C9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8D655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751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28C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4B0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F8622">
            <w:pPr>
              <w:rPr>
                <w:rFonts w:ascii="黑体" w:hAnsi="黑体" w:eastAsia="黑体" w:cs="黑体"/>
                <w:i/>
                <w:iCs/>
                <w:color w:val="000000"/>
                <w:sz w:val="18"/>
                <w:szCs w:val="18"/>
              </w:rPr>
            </w:pPr>
          </w:p>
        </w:tc>
      </w:tr>
      <w:tr w14:paraId="4DD3B81A">
        <w:tblPrEx>
          <w:tblCellMar>
            <w:top w:w="0" w:type="dxa"/>
            <w:left w:w="108" w:type="dxa"/>
            <w:bottom w:w="0" w:type="dxa"/>
            <w:right w:w="108" w:type="dxa"/>
          </w:tblCellMar>
        </w:tblPrEx>
        <w:trPr>
          <w:trHeight w:val="1914"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7DD16">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056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2216">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C852">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F8CC3">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7702">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EA6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E9B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CC8B2">
            <w:pPr>
              <w:rPr>
                <w:rFonts w:ascii="黑体" w:hAnsi="黑体" w:eastAsia="黑体" w:cs="黑体"/>
                <w:i/>
                <w:iCs/>
                <w:color w:val="000000"/>
                <w:sz w:val="18"/>
                <w:szCs w:val="18"/>
              </w:rPr>
            </w:pPr>
          </w:p>
        </w:tc>
      </w:tr>
      <w:tr w14:paraId="1D8EE7FF">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3386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EC2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DD4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D33C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2A8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A85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200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FD96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7D5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B42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1F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63CFB0F4">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3C44B">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B4C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E7D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7CD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受益师生人数</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71C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B83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7FC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人数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358D">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2000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E51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2B9D">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8B8F">
            <w:pPr>
              <w:jc w:val="center"/>
              <w:rPr>
                <w:rFonts w:ascii="微软雅黑" w:hAnsi="微软雅黑" w:eastAsia="微软雅黑" w:cs="微软雅黑"/>
                <w:i/>
                <w:iCs/>
                <w:color w:val="000000"/>
                <w:sz w:val="16"/>
                <w:szCs w:val="16"/>
              </w:rPr>
            </w:pPr>
          </w:p>
        </w:tc>
      </w:tr>
      <w:tr w14:paraId="21384114">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FE0F7">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7F125">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0BBD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B2F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配餐合格率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83E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96EB">
            <w:pPr>
              <w:widowControl/>
              <w:jc w:val="center"/>
              <w:textAlignment w:val="center"/>
              <w:rPr>
                <w:rFonts w:ascii="宋体" w:hAnsi="宋体" w:cs="宋体"/>
                <w:color w:val="000000"/>
                <w:sz w:val="18"/>
                <w:szCs w:val="18"/>
              </w:rPr>
            </w:pPr>
            <w:bookmarkStart w:id="54" w:name="OLE_LINK2"/>
            <w:bookmarkStart w:id="55" w:name="OLE_LINK3"/>
            <w:r>
              <w:rPr>
                <w:rFonts w:ascii="宋体" w:hAnsi="宋体" w:cs="宋体"/>
                <w:color w:val="000000"/>
                <w:kern w:val="0"/>
                <w:sz w:val="18"/>
                <w:szCs w:val="18"/>
                <w:lang w:bidi="ar"/>
              </w:rPr>
              <w:t>95</w:t>
            </w:r>
            <w:bookmarkEnd w:id="54"/>
            <w:bookmarkEnd w:id="55"/>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4B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49A9">
            <w:pPr>
              <w:jc w:val="center"/>
              <w:rPr>
                <w:rFonts w:ascii="微软雅黑" w:hAnsi="微软雅黑" w:eastAsia="微软雅黑" w:cs="微软雅黑"/>
                <w:i/>
                <w:iCs/>
                <w:color w:val="000000"/>
                <w:sz w:val="16"/>
                <w:szCs w:val="16"/>
              </w:rPr>
            </w:pPr>
            <w:r>
              <w:rPr>
                <w:rFonts w:ascii="宋体" w:hAnsi="宋体" w:cs="宋体"/>
                <w:color w:val="000000"/>
                <w:kern w:val="0"/>
                <w:sz w:val="18"/>
                <w:szCs w:val="18"/>
                <w:lang w:bidi="ar"/>
              </w:rPr>
              <w:t>95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B0D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6FAD">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5326">
            <w:pPr>
              <w:jc w:val="center"/>
              <w:rPr>
                <w:rFonts w:ascii="微软雅黑" w:hAnsi="微软雅黑" w:eastAsia="微软雅黑" w:cs="微软雅黑"/>
                <w:i/>
                <w:iCs/>
                <w:color w:val="000000"/>
                <w:sz w:val="16"/>
                <w:szCs w:val="16"/>
              </w:rPr>
            </w:pPr>
          </w:p>
        </w:tc>
      </w:tr>
      <w:tr w14:paraId="03B6D399">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B2B08">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4B5CE">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940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042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服务时间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742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C01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上课期间全覆盖</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1089">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0077">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覆盖</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79C3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1C9F">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5F92">
            <w:pPr>
              <w:jc w:val="center"/>
              <w:rPr>
                <w:rFonts w:ascii="微软雅黑" w:hAnsi="微软雅黑" w:eastAsia="微软雅黑" w:cs="微软雅黑"/>
                <w:i/>
                <w:iCs/>
                <w:color w:val="000000"/>
                <w:sz w:val="16"/>
                <w:szCs w:val="16"/>
              </w:rPr>
            </w:pPr>
          </w:p>
        </w:tc>
      </w:tr>
      <w:tr w14:paraId="6176BFF9">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FF391">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928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B06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7B4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提高师生身体素质</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FC7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A73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F7CF">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D15C">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16E4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E4A5">
            <w:pPr>
              <w:jc w:val="center"/>
              <w:rPr>
                <w:rFonts w:ascii="宋体" w:hAnsi="宋体" w:cs="宋体"/>
                <w:color w:val="000000"/>
                <w:sz w:val="18"/>
                <w:szCs w:val="18"/>
              </w:rPr>
            </w:pPr>
            <w:r>
              <w:rPr>
                <w:rFonts w:hint="eastAsia" w:ascii="宋体" w:hAnsi="宋体" w:cs="宋体"/>
                <w:color w:val="000000"/>
                <w:sz w:val="18"/>
                <w:szCs w:val="18"/>
              </w:rPr>
              <w:t>2</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1273">
            <w:pPr>
              <w:jc w:val="center"/>
              <w:rPr>
                <w:rFonts w:ascii="微软雅黑" w:hAnsi="微软雅黑" w:eastAsia="微软雅黑" w:cs="微软雅黑"/>
                <w:i/>
                <w:iCs/>
                <w:color w:val="000000"/>
                <w:sz w:val="16"/>
                <w:szCs w:val="16"/>
              </w:rPr>
            </w:pPr>
          </w:p>
        </w:tc>
      </w:tr>
      <w:tr w14:paraId="06C79315">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AE0A1">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55F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02A3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91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师生满意度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3B4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22F0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75</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DB0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2429">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75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9DF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8C51">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B7BE">
            <w:pPr>
              <w:jc w:val="center"/>
              <w:rPr>
                <w:rFonts w:ascii="微软雅黑" w:hAnsi="微软雅黑" w:eastAsia="微软雅黑" w:cs="微软雅黑"/>
                <w:i/>
                <w:iCs/>
                <w:color w:val="000000"/>
                <w:sz w:val="16"/>
                <w:szCs w:val="16"/>
              </w:rPr>
            </w:pPr>
          </w:p>
        </w:tc>
      </w:tr>
      <w:tr w14:paraId="29F87527">
        <w:tblPrEx>
          <w:tblCellMar>
            <w:top w:w="0" w:type="dxa"/>
            <w:left w:w="108" w:type="dxa"/>
            <w:bottom w:w="0" w:type="dxa"/>
            <w:right w:w="108" w:type="dxa"/>
          </w:tblCellMar>
        </w:tblPrEx>
        <w:trPr>
          <w:trHeight w:val="51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EAAC5">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EC6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71A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DA1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人均劳务成本</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16C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851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5000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83C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元/月</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CB8D">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5</w:t>
            </w:r>
            <w:r>
              <w:rPr>
                <w:rFonts w:ascii="微软雅黑" w:hAnsi="微软雅黑" w:eastAsia="微软雅黑" w:cs="微软雅黑"/>
                <w:i/>
                <w:iCs/>
                <w:color w:val="000000"/>
                <w:sz w:val="16"/>
                <w:szCs w:val="16"/>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9B8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0A5F">
            <w:pPr>
              <w:jc w:val="center"/>
              <w:rPr>
                <w:rFonts w:ascii="宋体" w:hAnsi="宋体" w:cs="宋体"/>
                <w:color w:val="000000"/>
                <w:sz w:val="18"/>
                <w:szCs w:val="18"/>
              </w:rPr>
            </w:pPr>
            <w:r>
              <w:rPr>
                <w:rFonts w:hint="eastAsia" w:ascii="宋体" w:hAnsi="宋体" w:cs="宋体"/>
                <w:color w:val="000000"/>
                <w:sz w:val="18"/>
                <w:szCs w:val="18"/>
              </w:rPr>
              <w:t>5</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1100B">
            <w:pPr>
              <w:jc w:val="center"/>
              <w:rPr>
                <w:rFonts w:ascii="微软雅黑" w:hAnsi="微软雅黑" w:eastAsia="微软雅黑" w:cs="微软雅黑"/>
                <w:i/>
                <w:iCs/>
                <w:color w:val="000000"/>
                <w:sz w:val="16"/>
                <w:szCs w:val="16"/>
              </w:rPr>
            </w:pPr>
          </w:p>
        </w:tc>
      </w:tr>
      <w:tr w14:paraId="32CF3A29">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A7D30">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AE2BE">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52B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6D4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提升师生幸福感</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A32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EC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F3A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D4AD">
            <w:pPr>
              <w:jc w:val="center"/>
              <w:rPr>
                <w:rFonts w:ascii="微软雅黑" w:hAnsi="微软雅黑" w:eastAsia="微软雅黑" w:cs="微软雅黑"/>
                <w:i/>
                <w:iCs/>
                <w:color w:val="000000"/>
                <w:sz w:val="16"/>
                <w:szCs w:val="16"/>
              </w:rPr>
            </w:pPr>
            <w:r>
              <w:rPr>
                <w:rFonts w:ascii="宋体" w:hAnsi="宋体" w:cs="宋体"/>
                <w:color w:val="000000"/>
                <w:kern w:val="0"/>
                <w:sz w:val="18"/>
                <w:szCs w:val="18"/>
                <w:lang w:bidi="ar"/>
              </w:rPr>
              <w:t>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F5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0140">
            <w:pPr>
              <w:jc w:val="center"/>
              <w:rPr>
                <w:rFonts w:ascii="宋体" w:hAnsi="宋体" w:cs="宋体"/>
                <w:color w:val="000000"/>
                <w:sz w:val="18"/>
                <w:szCs w:val="18"/>
              </w:rPr>
            </w:pPr>
            <w:r>
              <w:rPr>
                <w:rFonts w:ascii="宋体" w:hAnsi="宋体" w:cs="宋体"/>
                <w:color w:val="000000"/>
                <w:sz w:val="18"/>
                <w:szCs w:val="18"/>
              </w:rPr>
              <w:t>6</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CD9C9">
            <w:pPr>
              <w:jc w:val="center"/>
              <w:rPr>
                <w:rFonts w:ascii="微软雅黑" w:hAnsi="微软雅黑" w:eastAsia="微软雅黑" w:cs="微软雅黑"/>
                <w:i/>
                <w:iCs/>
                <w:color w:val="000000"/>
                <w:sz w:val="16"/>
                <w:szCs w:val="16"/>
              </w:rPr>
            </w:pPr>
          </w:p>
        </w:tc>
      </w:tr>
      <w:tr w14:paraId="48CF6C46">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48E40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69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262A">
            <w:pPr>
              <w:rPr>
                <w:rFonts w:ascii="宋体" w:hAnsi="宋体" w:cs="宋体"/>
                <w:color w:val="000000"/>
                <w:sz w:val="18"/>
                <w:szCs w:val="18"/>
              </w:rPr>
            </w:pPr>
            <w:r>
              <w:rPr>
                <w:rFonts w:ascii="宋体" w:hAnsi="宋体" w:cs="宋体"/>
                <w:color w:val="000000"/>
                <w:sz w:val="18"/>
                <w:szCs w:val="18"/>
              </w:rPr>
              <w:t>81</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DEB7">
            <w:pPr>
              <w:rPr>
                <w:rFonts w:ascii="宋体" w:hAnsi="宋体" w:cs="宋体"/>
                <w:color w:val="000000"/>
                <w:sz w:val="18"/>
                <w:szCs w:val="18"/>
              </w:rPr>
            </w:pPr>
          </w:p>
        </w:tc>
      </w:tr>
      <w:tr w14:paraId="434F6341">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A71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7261A3">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该项目立项必要性和依据充分，绩效目标明确，符合财政资金支持方向。该项目预算154万元，实际支付154万元，无结余，无资金挪用、挤占等情况发生，评价良好。该项目提升了学校食堂管理效率，提供了安全、健康、营养的食品，降低了食品安全风险，符合学校发展规划和发展需要，为学校食品安全提供有力保障。</w:t>
            </w:r>
          </w:p>
        </w:tc>
      </w:tr>
      <w:tr w14:paraId="613BDFEA">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A40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29FFDD">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1.食堂劳务外包管理人员有缺岗现象。</w:t>
            </w:r>
          </w:p>
          <w:p w14:paraId="457A04C6">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2.食堂劳务从业人员年龄结构偏大。</w:t>
            </w:r>
          </w:p>
        </w:tc>
      </w:tr>
      <w:tr w14:paraId="2A64D7B0">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213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D6F759">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1.学校要求食堂劳务外包服务商项目负责必须确定并写入合同，并履行请假手续。</w:t>
            </w:r>
          </w:p>
          <w:p w14:paraId="4247E319">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2.食堂劳务外包服务商加强人员管理，在同等条件下招聘从业人员年轻化，并做好体检和持健康证上岗工作。</w:t>
            </w:r>
          </w:p>
        </w:tc>
      </w:tr>
      <w:tr w14:paraId="54991FEC">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F8184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项目负责人：代波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1EF8FA">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426E0348">
        <w:tblPrEx>
          <w:tblCellMar>
            <w:top w:w="0" w:type="dxa"/>
            <w:left w:w="108" w:type="dxa"/>
            <w:bottom w:w="0" w:type="dxa"/>
            <w:right w:w="108" w:type="dxa"/>
          </w:tblCellMar>
        </w:tblPrEx>
        <w:trPr>
          <w:trHeight w:val="498" w:hRule="atLeast"/>
        </w:trPr>
        <w:tc>
          <w:tcPr>
            <w:tcW w:w="597" w:type="dxa"/>
            <w:tcBorders>
              <w:top w:val="nil"/>
              <w:left w:val="nil"/>
              <w:bottom w:val="nil"/>
              <w:right w:val="nil"/>
            </w:tcBorders>
            <w:shd w:val="clear" w:color="auto" w:fill="auto"/>
            <w:vAlign w:val="center"/>
          </w:tcPr>
          <w:p w14:paraId="2814CA21">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30B33E72">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598FA6F5">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40B71EF8">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04732671">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6DE8883F">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55516A30">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70C3E8FB">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7D75F431">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7315F276">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218C70B3">
            <w:pPr>
              <w:rPr>
                <w:rFonts w:ascii="宋体" w:hAnsi="宋体" w:cs="宋体"/>
                <w:color w:val="000000"/>
                <w:sz w:val="18"/>
                <w:szCs w:val="18"/>
              </w:rPr>
            </w:pPr>
          </w:p>
        </w:tc>
      </w:tr>
      <w:tr w14:paraId="2A3A589A">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123502">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597CA717">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B8BFF">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DCFBF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51320022T000006508110-西区扩建项目一期</w:t>
            </w:r>
          </w:p>
        </w:tc>
      </w:tr>
      <w:tr w14:paraId="3F1C5CF0">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B797C">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7E994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2E1BD157">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0667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52B712AB">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FEAD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FC0B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76557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E2A136">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0F517BC1">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4E1C3">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E56F2">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96B0C4">
            <w:pPr>
              <w:rPr>
                <w:rFonts w:ascii="宋体" w:hAnsi="宋体" w:cs="宋体"/>
                <w:color w:val="000000"/>
                <w:sz w:val="18"/>
                <w:szCs w:val="18"/>
              </w:rPr>
            </w:pPr>
            <w:r>
              <w:rPr>
                <w:rFonts w:hint="eastAsia" w:ascii="宋体" w:hAnsi="宋体" w:cs="宋体"/>
                <w:color w:val="000000"/>
                <w:sz w:val="18"/>
                <w:szCs w:val="18"/>
              </w:rPr>
              <w:t>满足1200名学生选课走班，提供1038个床位，提升校园硬件基础设施设备。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3316D3">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竣工验收能实现满足1200名学生选课走班，提供1038个床位，提升校园硬件基础设施设备。</w:t>
            </w:r>
          </w:p>
        </w:tc>
      </w:tr>
      <w:tr w14:paraId="08A28B7F">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52773">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AA0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76F7DD">
            <w:pPr>
              <w:rPr>
                <w:rFonts w:ascii="宋体" w:hAnsi="宋体" w:cs="宋体"/>
                <w:color w:val="000000"/>
                <w:sz w:val="18"/>
                <w:szCs w:val="18"/>
              </w:rPr>
            </w:pPr>
            <w:r>
              <w:rPr>
                <w:rFonts w:hint="eastAsia" w:ascii="宋体" w:hAnsi="宋体" w:cs="宋体"/>
                <w:color w:val="000000"/>
                <w:sz w:val="18"/>
                <w:szCs w:val="18"/>
              </w:rPr>
              <w:t>该项目是西区扩建工程（一期）项目因疫情和马尔康地震影响的工期延期，继续完成工程量清单未完成的工程量。</w:t>
            </w:r>
          </w:p>
        </w:tc>
      </w:tr>
      <w:tr w14:paraId="6E5E2143">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8619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19D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47EB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158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5CB52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596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F9A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03E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847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482E5BC4">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DD93B">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5B7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CB5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107.04</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52E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107.04</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6A113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107.04</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ECF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C4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3DE4">
            <w:pPr>
              <w:jc w:val="center"/>
              <w:rPr>
                <w:rFonts w:ascii="宋体" w:hAnsi="宋体" w:cs="宋体"/>
                <w:color w:val="000000"/>
                <w:sz w:val="18"/>
                <w:szCs w:val="18"/>
              </w:rPr>
            </w:pPr>
            <w:r>
              <w:rPr>
                <w:rFonts w:ascii="宋体" w:hAnsi="宋体" w:cs="宋体"/>
                <w:color w:val="000000"/>
                <w:sz w:val="18"/>
                <w:szCs w:val="18"/>
              </w:rPr>
              <w:t>10</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716D0">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253649A6">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B41F5">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827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A1E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107.04</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A3E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107.04</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DFF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107.04</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A01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A3A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72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CE056">
            <w:pPr>
              <w:rPr>
                <w:rFonts w:ascii="黑体" w:hAnsi="黑体" w:eastAsia="黑体" w:cs="黑体"/>
                <w:i/>
                <w:iCs/>
                <w:color w:val="000000"/>
                <w:sz w:val="18"/>
                <w:szCs w:val="18"/>
              </w:rPr>
            </w:pPr>
          </w:p>
        </w:tc>
      </w:tr>
      <w:tr w14:paraId="5EEE2230">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E25BF">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624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BCB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D88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31016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4F5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FD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61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8E0D4">
            <w:pPr>
              <w:rPr>
                <w:rFonts w:ascii="黑体" w:hAnsi="黑体" w:eastAsia="黑体" w:cs="黑体"/>
                <w:i/>
                <w:iCs/>
                <w:color w:val="000000"/>
                <w:sz w:val="18"/>
                <w:szCs w:val="18"/>
              </w:rPr>
            </w:pPr>
          </w:p>
        </w:tc>
      </w:tr>
      <w:tr w14:paraId="6349F49A">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B1898">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5DC8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1D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62F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E385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CF5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269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D77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3F602">
            <w:pPr>
              <w:rPr>
                <w:rFonts w:ascii="黑体" w:hAnsi="黑体" w:eastAsia="黑体" w:cs="黑体"/>
                <w:i/>
                <w:iCs/>
                <w:color w:val="000000"/>
                <w:sz w:val="18"/>
                <w:szCs w:val="18"/>
              </w:rPr>
            </w:pPr>
          </w:p>
        </w:tc>
      </w:tr>
      <w:tr w14:paraId="6ECC197E">
        <w:tblPrEx>
          <w:tblCellMar>
            <w:top w:w="0" w:type="dxa"/>
            <w:left w:w="108" w:type="dxa"/>
            <w:bottom w:w="0" w:type="dxa"/>
            <w:right w:w="108" w:type="dxa"/>
          </w:tblCellMar>
        </w:tblPrEx>
        <w:trPr>
          <w:trHeight w:val="1959"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B566B">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4A96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4350">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1954">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853322">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D924">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71C5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F7B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C0CDE">
            <w:pPr>
              <w:rPr>
                <w:rFonts w:ascii="黑体" w:hAnsi="黑体" w:eastAsia="黑体" w:cs="黑体"/>
                <w:i/>
                <w:iCs/>
                <w:color w:val="000000"/>
                <w:sz w:val="18"/>
                <w:szCs w:val="18"/>
              </w:rPr>
            </w:pPr>
          </w:p>
        </w:tc>
      </w:tr>
      <w:tr w14:paraId="5B3A0FC6">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47329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20F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C52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5F6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F1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5BA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B44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484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72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5B7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D1CB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3C58ADC2">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1ECB3">
            <w:pPr>
              <w:jc w:val="center"/>
              <w:rPr>
                <w:rFonts w:ascii="宋体" w:hAnsi="宋体" w:cs="宋体"/>
                <w:color w:val="000000"/>
                <w:sz w:val="18"/>
                <w:szCs w:val="18"/>
              </w:rPr>
            </w:pPr>
          </w:p>
        </w:tc>
        <w:tc>
          <w:tcPr>
            <w:tcW w:w="2286" w:type="dxa"/>
            <w:vMerge w:val="restart"/>
            <w:tcBorders>
              <w:top w:val="single" w:color="000000" w:sz="4" w:space="0"/>
              <w:left w:val="single" w:color="000000" w:sz="4" w:space="0"/>
              <w:right w:val="single" w:color="000000" w:sz="4" w:space="0"/>
            </w:tcBorders>
            <w:shd w:val="clear" w:color="auto" w:fill="auto"/>
            <w:vAlign w:val="center"/>
          </w:tcPr>
          <w:tbl>
            <w:tblPr>
              <w:tblStyle w:val="15"/>
              <w:tblW w:w="2060" w:type="dxa"/>
              <w:tblInd w:w="0" w:type="dxa"/>
              <w:tblLayout w:type="fixed"/>
              <w:tblCellMar>
                <w:top w:w="0" w:type="dxa"/>
                <w:left w:w="108" w:type="dxa"/>
                <w:bottom w:w="0" w:type="dxa"/>
                <w:right w:w="108" w:type="dxa"/>
              </w:tblCellMar>
            </w:tblPr>
            <w:tblGrid>
              <w:gridCol w:w="2060"/>
            </w:tblGrid>
            <w:tr w14:paraId="4D3BD6CF">
              <w:trPr>
                <w:trHeight w:val="435" w:hRule="atLeast"/>
              </w:trPr>
              <w:tc>
                <w:tcPr>
                  <w:tcW w:w="2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F532D">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r>
            <w:tr w14:paraId="5B0203B3">
              <w:tblPrEx>
                <w:tblCellMar>
                  <w:top w:w="0" w:type="dxa"/>
                  <w:left w:w="108" w:type="dxa"/>
                  <w:bottom w:w="0" w:type="dxa"/>
                  <w:right w:w="108" w:type="dxa"/>
                </w:tblCellMar>
              </w:tblPrEx>
              <w:trPr>
                <w:trHeight w:val="435" w:hRule="atLeast"/>
              </w:trPr>
              <w:tc>
                <w:tcPr>
                  <w:tcW w:w="2060" w:type="dxa"/>
                  <w:vMerge w:val="continue"/>
                  <w:tcBorders>
                    <w:top w:val="single" w:color="000000" w:sz="4" w:space="0"/>
                    <w:left w:val="single" w:color="000000" w:sz="4" w:space="0"/>
                    <w:bottom w:val="single" w:color="000000" w:sz="4" w:space="0"/>
                    <w:right w:val="single" w:color="000000" w:sz="4" w:space="0"/>
                  </w:tcBorders>
                  <w:vAlign w:val="center"/>
                </w:tcPr>
                <w:p w14:paraId="786400E7">
                  <w:pPr>
                    <w:widowControl/>
                    <w:jc w:val="left"/>
                    <w:rPr>
                      <w:rFonts w:ascii="宋体" w:hAnsi="宋体" w:cs="宋体"/>
                      <w:color w:val="000000"/>
                      <w:kern w:val="0"/>
                      <w:sz w:val="18"/>
                      <w:szCs w:val="18"/>
                    </w:rPr>
                  </w:pPr>
                </w:p>
              </w:tc>
            </w:tr>
          </w:tbl>
          <w:p w14:paraId="22EF0C32">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E002">
            <w:pPr>
              <w:jc w:val="center"/>
              <w:rPr>
                <w:rFonts w:ascii="宋体" w:hAnsi="宋体" w:cs="宋体"/>
                <w:color w:val="000000"/>
                <w:sz w:val="18"/>
                <w:szCs w:val="18"/>
              </w:rPr>
            </w:pPr>
            <w:r>
              <w:rPr>
                <w:rFonts w:hint="eastAsia" w:ascii="宋体" w:hAnsi="宋体" w:cs="宋体"/>
                <w:color w:val="000000"/>
                <w:sz w:val="18"/>
                <w:szCs w:val="18"/>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2535">
            <w:pPr>
              <w:jc w:val="center"/>
              <w:rPr>
                <w:rFonts w:ascii="宋体" w:hAnsi="宋体" w:cs="宋体"/>
                <w:color w:val="000000"/>
                <w:sz w:val="18"/>
                <w:szCs w:val="18"/>
              </w:rPr>
            </w:pPr>
            <w:r>
              <w:rPr>
                <w:rFonts w:hint="eastAsia" w:ascii="宋体" w:hAnsi="宋体" w:cs="宋体"/>
                <w:color w:val="000000"/>
                <w:sz w:val="18"/>
                <w:szCs w:val="18"/>
              </w:rPr>
              <w:t>受益人数</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8720">
            <w:pPr>
              <w:jc w:val="center"/>
              <w:rPr>
                <w:rFonts w:ascii="宋体" w:hAnsi="宋体" w:cs="宋体"/>
                <w:color w:val="000000"/>
                <w:sz w:val="18"/>
                <w:szCs w:val="18"/>
              </w:rPr>
            </w:pPr>
            <w:r>
              <w:rPr>
                <w:rFonts w:hint="eastAsia" w:ascii="宋体" w:hAnsi="宋体" w:cs="宋体"/>
                <w:color w:val="000000"/>
                <w:sz w:val="18"/>
                <w:szCs w:val="18"/>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8C92">
            <w:pPr>
              <w:jc w:val="center"/>
              <w:rPr>
                <w:rFonts w:ascii="宋体" w:hAnsi="宋体" w:cs="宋体"/>
                <w:color w:val="000000"/>
                <w:sz w:val="18"/>
                <w:szCs w:val="18"/>
              </w:rPr>
            </w:pPr>
            <w:r>
              <w:rPr>
                <w:rFonts w:ascii="宋体" w:hAnsi="宋体" w:cs="宋体"/>
                <w:color w:val="000000"/>
                <w:sz w:val="18"/>
                <w:szCs w:val="18"/>
              </w:rPr>
              <w:t>1200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64C1">
            <w:pPr>
              <w:jc w:val="center"/>
              <w:rPr>
                <w:rFonts w:ascii="宋体" w:hAnsi="宋体" w:cs="宋体"/>
                <w:color w:val="000000"/>
                <w:sz w:val="18"/>
                <w:szCs w:val="18"/>
              </w:rPr>
            </w:pPr>
            <w:r>
              <w:rPr>
                <w:rFonts w:hint="eastAsia" w:ascii="宋体" w:hAnsi="宋体" w:cs="宋体"/>
                <w:color w:val="000000"/>
                <w:sz w:val="18"/>
                <w:szCs w:val="18"/>
              </w:rPr>
              <w:t>人</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F985">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1</w:t>
            </w:r>
            <w:r>
              <w:rPr>
                <w:rFonts w:ascii="微软雅黑" w:hAnsi="微软雅黑" w:eastAsia="微软雅黑" w:cs="微软雅黑"/>
                <w:i/>
                <w:iCs/>
                <w:color w:val="000000"/>
                <w:sz w:val="16"/>
                <w:szCs w:val="16"/>
              </w:rPr>
              <w:t>200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8381">
            <w:pPr>
              <w:jc w:val="center"/>
              <w:rPr>
                <w:rFonts w:ascii="宋体" w:hAnsi="宋体" w:cs="宋体"/>
                <w:color w:val="000000"/>
                <w:sz w:val="18"/>
                <w:szCs w:val="18"/>
              </w:rPr>
            </w:pPr>
            <w:r>
              <w:rPr>
                <w:rFonts w:ascii="宋体" w:hAnsi="宋体" w:cs="宋体"/>
                <w:color w:val="000000"/>
                <w:sz w:val="18"/>
                <w:szCs w:val="18"/>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5D8A">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5</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7332">
            <w:pPr>
              <w:jc w:val="center"/>
              <w:rPr>
                <w:rFonts w:ascii="微软雅黑" w:hAnsi="微软雅黑" w:eastAsia="微软雅黑" w:cs="微软雅黑"/>
                <w:i/>
                <w:iCs/>
                <w:color w:val="000000"/>
                <w:sz w:val="16"/>
                <w:szCs w:val="16"/>
              </w:rPr>
            </w:pPr>
          </w:p>
        </w:tc>
      </w:tr>
      <w:tr w14:paraId="7C82DFB0">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FC9A">
            <w:pPr>
              <w:jc w:val="center"/>
              <w:rPr>
                <w:rFonts w:ascii="宋体" w:hAnsi="宋体" w:cs="宋体"/>
                <w:color w:val="000000"/>
                <w:sz w:val="18"/>
                <w:szCs w:val="18"/>
              </w:rPr>
            </w:pPr>
          </w:p>
        </w:tc>
        <w:tc>
          <w:tcPr>
            <w:tcW w:w="2286" w:type="dxa"/>
            <w:vMerge w:val="continue"/>
            <w:tcBorders>
              <w:left w:val="single" w:color="000000" w:sz="4" w:space="0"/>
              <w:bottom w:val="single" w:color="000000" w:sz="4" w:space="0"/>
              <w:right w:val="single" w:color="000000" w:sz="4" w:space="0"/>
            </w:tcBorders>
            <w:shd w:val="clear" w:color="auto" w:fill="auto"/>
            <w:vAlign w:val="center"/>
          </w:tcPr>
          <w:p w14:paraId="676F8E0B">
            <w:pPr>
              <w:widowControl/>
              <w:jc w:val="center"/>
              <w:rPr>
                <w:rFonts w:ascii="宋体" w:hAnsi="宋体" w:cs="宋体"/>
                <w:color w:val="000000"/>
                <w:kern w:val="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DF0C">
            <w:pPr>
              <w:jc w:val="center"/>
              <w:rPr>
                <w:rFonts w:ascii="宋体" w:hAnsi="宋体" w:cs="宋体"/>
                <w:color w:val="000000"/>
                <w:sz w:val="18"/>
                <w:szCs w:val="18"/>
              </w:rPr>
            </w:pPr>
            <w:r>
              <w:rPr>
                <w:rFonts w:hint="eastAsia" w:ascii="宋体" w:hAnsi="宋体" w:cs="宋体"/>
                <w:color w:val="000000"/>
                <w:sz w:val="18"/>
                <w:szCs w:val="18"/>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5E92">
            <w:pPr>
              <w:jc w:val="center"/>
              <w:rPr>
                <w:rFonts w:ascii="宋体" w:hAnsi="宋体" w:cs="宋体"/>
                <w:color w:val="000000"/>
                <w:sz w:val="18"/>
                <w:szCs w:val="18"/>
              </w:rPr>
            </w:pPr>
            <w:r>
              <w:rPr>
                <w:rFonts w:hint="eastAsia" w:ascii="宋体" w:hAnsi="宋体" w:cs="宋体"/>
                <w:color w:val="000000"/>
                <w:sz w:val="18"/>
                <w:szCs w:val="18"/>
              </w:rPr>
              <w:t>项目合格率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22A8B">
            <w:pPr>
              <w:jc w:val="center"/>
              <w:rPr>
                <w:rFonts w:ascii="宋体" w:hAnsi="宋体" w:cs="宋体"/>
                <w:color w:val="000000"/>
                <w:sz w:val="18"/>
                <w:szCs w:val="18"/>
              </w:rPr>
            </w:pPr>
            <w:r>
              <w:rPr>
                <w:rFonts w:ascii="宋体" w:hAnsi="宋体" w:cs="宋体"/>
                <w:color w:val="000000"/>
                <w:sz w:val="18"/>
                <w:szCs w:val="18"/>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333F">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56473">
            <w:pPr>
              <w:jc w:val="center"/>
              <w:rPr>
                <w:rFonts w:ascii="宋体" w:hAnsi="宋体" w:cs="宋体"/>
                <w:color w:val="000000"/>
                <w:sz w:val="18"/>
                <w:szCs w:val="18"/>
              </w:rPr>
            </w:pPr>
            <w:r>
              <w:rPr>
                <w:rFonts w:ascii="宋体" w:hAnsi="宋体" w:cs="宋体"/>
                <w:color w:val="000000"/>
                <w:sz w:val="18"/>
                <w:szCs w:val="18"/>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A9B9">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1</w:t>
            </w:r>
            <w:r>
              <w:rPr>
                <w:rFonts w:ascii="微软雅黑" w:hAnsi="微软雅黑" w:eastAsia="微软雅黑" w:cs="微软雅黑"/>
                <w:i/>
                <w:iCs/>
                <w:color w:val="000000"/>
                <w:sz w:val="16"/>
                <w:szCs w:val="16"/>
              </w:rPr>
              <w:t>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BE968">
            <w:pPr>
              <w:jc w:val="center"/>
              <w:rPr>
                <w:rFonts w:ascii="宋体" w:hAnsi="宋体" w:cs="宋体"/>
                <w:color w:val="000000"/>
                <w:sz w:val="18"/>
                <w:szCs w:val="18"/>
              </w:rPr>
            </w:pPr>
            <w:r>
              <w:rPr>
                <w:rFonts w:hint="eastAsia" w:ascii="宋体" w:hAnsi="宋体" w:cs="宋体"/>
                <w:color w:val="000000"/>
                <w:sz w:val="18"/>
                <w:szCs w:val="18"/>
              </w:rPr>
              <w:t>3</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BB2E">
            <w:pPr>
              <w:jc w:val="center"/>
              <w:rPr>
                <w:rFonts w:ascii="宋体" w:hAnsi="宋体" w:cs="宋体"/>
                <w:color w:val="000000"/>
                <w:sz w:val="18"/>
                <w:szCs w:val="18"/>
              </w:rPr>
            </w:pPr>
            <w:r>
              <w:rPr>
                <w:rFonts w:ascii="宋体" w:hAnsi="宋体" w:cs="宋体"/>
                <w:color w:val="000000"/>
                <w:sz w:val="18"/>
                <w:szCs w:val="18"/>
              </w:rPr>
              <w:t>20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F32B">
            <w:pPr>
              <w:jc w:val="center"/>
              <w:rPr>
                <w:rFonts w:ascii="微软雅黑" w:hAnsi="微软雅黑" w:eastAsia="微软雅黑" w:cs="微软雅黑"/>
                <w:i/>
                <w:iCs/>
                <w:color w:val="000000"/>
                <w:sz w:val="16"/>
                <w:szCs w:val="16"/>
              </w:rPr>
            </w:pPr>
          </w:p>
        </w:tc>
      </w:tr>
      <w:tr w14:paraId="6F473DC3">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139E">
            <w:pPr>
              <w:jc w:val="center"/>
              <w:rPr>
                <w:rFonts w:ascii="宋体" w:hAnsi="宋体" w:cs="宋体"/>
                <w:color w:val="000000"/>
                <w:sz w:val="18"/>
                <w:szCs w:val="18"/>
              </w:rPr>
            </w:pPr>
          </w:p>
        </w:tc>
        <w:tc>
          <w:tcPr>
            <w:tcW w:w="2286" w:type="dxa"/>
            <w:vMerge w:val="restart"/>
            <w:tcBorders>
              <w:top w:val="single" w:color="000000" w:sz="4" w:space="0"/>
              <w:left w:val="single" w:color="000000" w:sz="4" w:space="0"/>
              <w:right w:val="single" w:color="000000" w:sz="4" w:space="0"/>
            </w:tcBorders>
            <w:shd w:val="clear" w:color="auto" w:fill="auto"/>
            <w:vAlign w:val="center"/>
          </w:tcPr>
          <w:p w14:paraId="41D716E6">
            <w:pPr>
              <w:widowControl/>
              <w:jc w:val="center"/>
              <w:rPr>
                <w:rFonts w:ascii="宋体" w:hAnsi="宋体" w:cs="宋体"/>
                <w:color w:val="000000"/>
                <w:kern w:val="0"/>
                <w:sz w:val="18"/>
                <w:szCs w:val="18"/>
              </w:rPr>
            </w:pPr>
            <w:r>
              <w:rPr>
                <w:rFonts w:hint="eastAsia" w:ascii="宋体" w:hAnsi="宋体" w:cs="宋体"/>
                <w:color w:val="000000"/>
                <w:kern w:val="0"/>
                <w:sz w:val="18"/>
                <w:szCs w:val="18"/>
              </w:rPr>
              <w:t>效益指标</w:t>
            </w:r>
          </w:p>
        </w:tc>
        <w:tc>
          <w:tcPr>
            <w:tcW w:w="914" w:type="dxa"/>
            <w:vMerge w:val="restart"/>
            <w:tcBorders>
              <w:top w:val="single" w:color="000000" w:sz="4" w:space="0"/>
              <w:left w:val="single" w:color="000000" w:sz="4" w:space="0"/>
              <w:right w:val="single" w:color="000000" w:sz="4" w:space="0"/>
            </w:tcBorders>
            <w:shd w:val="clear" w:color="auto" w:fill="auto"/>
            <w:vAlign w:val="center"/>
          </w:tcPr>
          <w:p w14:paraId="718FD2A1">
            <w:pPr>
              <w:jc w:val="center"/>
              <w:rPr>
                <w:rFonts w:ascii="宋体" w:hAnsi="宋体" w:cs="宋体"/>
                <w:color w:val="000000"/>
                <w:sz w:val="18"/>
                <w:szCs w:val="18"/>
              </w:rPr>
            </w:pPr>
            <w:r>
              <w:rPr>
                <w:rFonts w:hint="eastAsia" w:ascii="宋体" w:hAnsi="宋体" w:cs="宋体"/>
                <w:color w:val="000000"/>
                <w:sz w:val="18"/>
                <w:szCs w:val="18"/>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166F">
            <w:pPr>
              <w:jc w:val="center"/>
              <w:rPr>
                <w:rFonts w:ascii="宋体" w:hAnsi="宋体" w:cs="宋体"/>
                <w:color w:val="000000"/>
                <w:sz w:val="18"/>
                <w:szCs w:val="18"/>
              </w:rPr>
            </w:pPr>
            <w:r>
              <w:rPr>
                <w:rFonts w:hint="eastAsia" w:ascii="宋体" w:hAnsi="宋体" w:cs="宋体"/>
                <w:color w:val="000000"/>
                <w:sz w:val="18"/>
                <w:szCs w:val="18"/>
              </w:rPr>
              <w:t>增加床位数</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8EF8">
            <w:pPr>
              <w:jc w:val="center"/>
              <w:rPr>
                <w:rFonts w:ascii="宋体" w:hAnsi="宋体" w:cs="宋体"/>
                <w:color w:val="000000"/>
                <w:sz w:val="18"/>
                <w:szCs w:val="18"/>
              </w:rPr>
            </w:pPr>
            <w:r>
              <w:rPr>
                <w:rFonts w:hint="eastAsia" w:ascii="宋体" w:hAnsi="宋体" w:cs="宋体"/>
                <w:color w:val="000000"/>
                <w:sz w:val="18"/>
                <w:szCs w:val="18"/>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5F7C">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038</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789CB">
            <w:pPr>
              <w:jc w:val="center"/>
              <w:rPr>
                <w:rFonts w:ascii="宋体" w:hAnsi="宋体" w:cs="宋体"/>
                <w:color w:val="000000"/>
                <w:sz w:val="18"/>
                <w:szCs w:val="18"/>
              </w:rPr>
            </w:pPr>
            <w:r>
              <w:rPr>
                <w:rFonts w:ascii="宋体" w:hAnsi="宋体" w:cs="宋体"/>
                <w:color w:val="000000"/>
                <w:sz w:val="18"/>
                <w:szCs w:val="18"/>
              </w:rPr>
              <w:t>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C383">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1</w:t>
            </w:r>
            <w:r>
              <w:rPr>
                <w:rFonts w:ascii="微软雅黑" w:hAnsi="微软雅黑" w:eastAsia="微软雅黑" w:cs="微软雅黑"/>
                <w:i/>
                <w:iCs/>
                <w:color w:val="000000"/>
                <w:sz w:val="16"/>
                <w:szCs w:val="16"/>
              </w:rPr>
              <w:t>038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F1D1">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5179C">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66759">
            <w:pPr>
              <w:jc w:val="center"/>
              <w:rPr>
                <w:rFonts w:ascii="微软雅黑" w:hAnsi="微软雅黑" w:eastAsia="微软雅黑" w:cs="微软雅黑"/>
                <w:i/>
                <w:iCs/>
                <w:color w:val="000000"/>
                <w:sz w:val="16"/>
                <w:szCs w:val="16"/>
              </w:rPr>
            </w:pPr>
          </w:p>
        </w:tc>
      </w:tr>
      <w:tr w14:paraId="2CB62E87">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8FF5">
            <w:pPr>
              <w:jc w:val="center"/>
              <w:rPr>
                <w:rFonts w:ascii="宋体" w:hAnsi="宋体" w:cs="宋体"/>
                <w:color w:val="000000"/>
                <w:sz w:val="18"/>
                <w:szCs w:val="18"/>
              </w:rPr>
            </w:pPr>
          </w:p>
        </w:tc>
        <w:tc>
          <w:tcPr>
            <w:tcW w:w="2286" w:type="dxa"/>
            <w:vMerge w:val="continue"/>
            <w:tcBorders>
              <w:left w:val="single" w:color="000000" w:sz="4" w:space="0"/>
              <w:right w:val="single" w:color="000000" w:sz="4" w:space="0"/>
            </w:tcBorders>
            <w:shd w:val="clear" w:color="auto" w:fill="auto"/>
            <w:vAlign w:val="center"/>
          </w:tcPr>
          <w:p w14:paraId="392B45F3">
            <w:pPr>
              <w:widowControl/>
              <w:jc w:val="center"/>
              <w:rPr>
                <w:rFonts w:ascii="宋体" w:hAnsi="宋体" w:cs="宋体"/>
                <w:color w:val="000000"/>
                <w:kern w:val="0"/>
                <w:sz w:val="18"/>
                <w:szCs w:val="18"/>
              </w:rPr>
            </w:pPr>
          </w:p>
        </w:tc>
        <w:tc>
          <w:tcPr>
            <w:tcW w:w="914" w:type="dxa"/>
            <w:vMerge w:val="continue"/>
            <w:tcBorders>
              <w:left w:val="single" w:color="000000" w:sz="4" w:space="0"/>
              <w:right w:val="single" w:color="000000" w:sz="4" w:space="0"/>
            </w:tcBorders>
            <w:shd w:val="clear" w:color="auto" w:fill="auto"/>
            <w:vAlign w:val="center"/>
          </w:tcPr>
          <w:p w14:paraId="65312747">
            <w:pPr>
              <w:jc w:val="center"/>
              <w:rPr>
                <w:rFonts w:ascii="宋体" w:hAnsi="宋体" w:cs="宋体"/>
                <w:color w:val="000000"/>
                <w:sz w:val="18"/>
                <w:szCs w:val="18"/>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52CF">
            <w:pPr>
              <w:jc w:val="center"/>
              <w:rPr>
                <w:rFonts w:ascii="宋体" w:hAnsi="宋体" w:cs="宋体"/>
                <w:color w:val="000000"/>
                <w:sz w:val="18"/>
                <w:szCs w:val="18"/>
              </w:rPr>
            </w:pPr>
            <w:r>
              <w:rPr>
                <w:rFonts w:hint="eastAsia" w:ascii="宋体" w:hAnsi="宋体" w:cs="宋体"/>
                <w:color w:val="000000"/>
                <w:sz w:val="18"/>
                <w:szCs w:val="18"/>
              </w:rPr>
              <w:t>保障学校安全</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E173D">
            <w:pPr>
              <w:jc w:val="center"/>
              <w:rPr>
                <w:rFonts w:ascii="宋体" w:hAnsi="宋体" w:cs="宋体"/>
                <w:color w:val="000000"/>
                <w:sz w:val="18"/>
                <w:szCs w:val="18"/>
              </w:rPr>
            </w:pPr>
            <w:bookmarkStart w:id="56" w:name="OLE_LINK5"/>
            <w:bookmarkStart w:id="57" w:name="OLE_LINK4"/>
            <w:bookmarkStart w:id="58" w:name="OLE_LINK6"/>
            <w:r>
              <w:rPr>
                <w:rFonts w:ascii="宋体" w:hAnsi="宋体" w:cs="宋体"/>
                <w:color w:val="000000"/>
                <w:sz w:val="18"/>
                <w:szCs w:val="18"/>
              </w:rPr>
              <w:t>定性</w:t>
            </w:r>
            <w:bookmarkEnd w:id="56"/>
            <w:bookmarkEnd w:id="57"/>
            <w:bookmarkEnd w:id="58"/>
            <w:r>
              <w:rPr>
                <w:rFonts w:ascii="宋体" w:hAnsi="宋体" w:cs="宋体"/>
                <w:color w:val="000000"/>
                <w:sz w:val="18"/>
                <w:szCs w:val="18"/>
              </w:rPr>
              <w:t xml:space="preserve">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66CA">
            <w:pPr>
              <w:jc w:val="center"/>
              <w:rPr>
                <w:rFonts w:ascii="宋体" w:hAnsi="宋体" w:cs="宋体"/>
                <w:color w:val="000000"/>
                <w:sz w:val="18"/>
                <w:szCs w:val="18"/>
              </w:rPr>
            </w:pPr>
            <w:r>
              <w:rPr>
                <w:rFonts w:hint="eastAsia" w:ascii="宋体" w:hAnsi="宋体" w:cs="宋体"/>
                <w:color w:val="000000"/>
                <w:sz w:val="18"/>
                <w:szCs w:val="18"/>
              </w:rPr>
              <w:t>有效保障</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81488">
            <w:pPr>
              <w:jc w:val="center"/>
              <w:rPr>
                <w:rFonts w:ascii="宋体" w:hAnsi="宋体" w:cs="宋体"/>
                <w:color w:val="000000"/>
                <w:sz w:val="18"/>
                <w:szCs w:val="18"/>
              </w:rPr>
            </w:pPr>
            <w:r>
              <w:rPr>
                <w:rFonts w:hint="eastAsia" w:ascii="宋体" w:hAnsi="宋体" w:cs="宋体"/>
                <w:color w:val="000000"/>
                <w:sz w:val="18"/>
                <w:szCs w:val="18"/>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9AA1">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已保障</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A0E3">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D19B">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9848">
            <w:pPr>
              <w:jc w:val="center"/>
              <w:rPr>
                <w:rFonts w:ascii="微软雅黑" w:hAnsi="微软雅黑" w:eastAsia="微软雅黑" w:cs="微软雅黑"/>
                <w:i/>
                <w:iCs/>
                <w:color w:val="000000"/>
                <w:sz w:val="16"/>
                <w:szCs w:val="16"/>
              </w:rPr>
            </w:pPr>
          </w:p>
        </w:tc>
      </w:tr>
      <w:tr w14:paraId="3C500462">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9629">
            <w:pPr>
              <w:jc w:val="center"/>
              <w:rPr>
                <w:rFonts w:ascii="宋体" w:hAnsi="宋体" w:cs="宋体"/>
                <w:color w:val="000000"/>
                <w:sz w:val="18"/>
                <w:szCs w:val="18"/>
              </w:rPr>
            </w:pPr>
          </w:p>
        </w:tc>
        <w:tc>
          <w:tcPr>
            <w:tcW w:w="2286" w:type="dxa"/>
            <w:vMerge w:val="continue"/>
            <w:tcBorders>
              <w:left w:val="single" w:color="000000" w:sz="4" w:space="0"/>
              <w:bottom w:val="single" w:color="000000" w:sz="4" w:space="0"/>
              <w:right w:val="single" w:color="000000" w:sz="4" w:space="0"/>
            </w:tcBorders>
            <w:shd w:val="clear" w:color="auto" w:fill="auto"/>
            <w:vAlign w:val="center"/>
          </w:tcPr>
          <w:p w14:paraId="451C36BF">
            <w:pPr>
              <w:widowControl/>
              <w:jc w:val="center"/>
              <w:rPr>
                <w:rFonts w:ascii="宋体" w:hAnsi="宋体" w:cs="宋体"/>
                <w:color w:val="000000"/>
                <w:kern w:val="0"/>
                <w:sz w:val="18"/>
                <w:szCs w:val="18"/>
              </w:rPr>
            </w:pPr>
          </w:p>
        </w:tc>
        <w:tc>
          <w:tcPr>
            <w:tcW w:w="914" w:type="dxa"/>
            <w:vMerge w:val="continue"/>
            <w:tcBorders>
              <w:left w:val="single" w:color="000000" w:sz="4" w:space="0"/>
              <w:bottom w:val="single" w:color="000000" w:sz="4" w:space="0"/>
              <w:right w:val="single" w:color="000000" w:sz="4" w:space="0"/>
            </w:tcBorders>
            <w:shd w:val="clear" w:color="auto" w:fill="auto"/>
            <w:vAlign w:val="center"/>
          </w:tcPr>
          <w:p w14:paraId="53F9C682">
            <w:pPr>
              <w:jc w:val="center"/>
              <w:rPr>
                <w:rFonts w:ascii="宋体" w:hAnsi="宋体" w:cs="宋体"/>
                <w:color w:val="000000"/>
                <w:sz w:val="18"/>
                <w:szCs w:val="18"/>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6C8B">
            <w:pPr>
              <w:jc w:val="center"/>
              <w:rPr>
                <w:rFonts w:ascii="宋体" w:hAnsi="宋体" w:cs="宋体"/>
                <w:color w:val="000000"/>
                <w:sz w:val="18"/>
                <w:szCs w:val="18"/>
              </w:rPr>
            </w:pPr>
            <w:r>
              <w:rPr>
                <w:rFonts w:hint="eastAsia" w:ascii="宋体" w:hAnsi="宋体" w:cs="宋体"/>
                <w:color w:val="000000"/>
                <w:sz w:val="18"/>
                <w:szCs w:val="18"/>
              </w:rPr>
              <w:t>提升师生幸福感</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DF9BB">
            <w:pPr>
              <w:jc w:val="center"/>
              <w:rPr>
                <w:rFonts w:ascii="宋体" w:hAnsi="宋体" w:cs="宋体"/>
                <w:color w:val="000000"/>
                <w:sz w:val="18"/>
                <w:szCs w:val="18"/>
              </w:rPr>
            </w:pPr>
            <w:r>
              <w:rPr>
                <w:rFonts w:ascii="宋体" w:hAnsi="宋体" w:cs="宋体"/>
                <w:color w:val="000000"/>
                <w:sz w:val="18"/>
                <w:szCs w:val="18"/>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8D69">
            <w:pPr>
              <w:jc w:val="center"/>
              <w:rPr>
                <w:rFonts w:ascii="宋体" w:hAnsi="宋体" w:cs="宋体"/>
                <w:color w:val="000000"/>
                <w:sz w:val="18"/>
                <w:szCs w:val="18"/>
              </w:rPr>
            </w:pPr>
            <w:r>
              <w:rPr>
                <w:rFonts w:hint="eastAsia" w:ascii="宋体" w:hAnsi="宋体" w:cs="宋体"/>
                <w:color w:val="000000"/>
                <w:sz w:val="18"/>
                <w:szCs w:val="18"/>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876B">
            <w:pPr>
              <w:jc w:val="center"/>
              <w:rPr>
                <w:rFonts w:ascii="宋体" w:hAnsi="宋体" w:cs="宋体"/>
                <w:color w:val="000000"/>
                <w:sz w:val="18"/>
                <w:szCs w:val="18"/>
              </w:rPr>
            </w:pPr>
            <w:r>
              <w:rPr>
                <w:rFonts w:hint="eastAsia" w:ascii="宋体" w:hAnsi="宋体" w:cs="宋体"/>
                <w:color w:val="000000"/>
                <w:sz w:val="18"/>
                <w:szCs w:val="18"/>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80C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已提升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0879">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CCE3E">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7A065">
            <w:pPr>
              <w:jc w:val="center"/>
              <w:rPr>
                <w:rFonts w:ascii="微软雅黑" w:hAnsi="微软雅黑" w:eastAsia="微软雅黑" w:cs="微软雅黑"/>
                <w:i/>
                <w:iCs/>
                <w:color w:val="000000"/>
                <w:sz w:val="16"/>
                <w:szCs w:val="16"/>
              </w:rPr>
            </w:pPr>
          </w:p>
        </w:tc>
      </w:tr>
      <w:tr w14:paraId="4F4C3C40">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B758">
            <w:pPr>
              <w:jc w:val="center"/>
              <w:rPr>
                <w:rFonts w:ascii="宋体" w:hAnsi="宋体" w:cs="宋体"/>
                <w:color w:val="000000"/>
                <w:sz w:val="18"/>
                <w:szCs w:val="18"/>
              </w:rPr>
            </w:pPr>
          </w:p>
        </w:tc>
        <w:tc>
          <w:tcPr>
            <w:tcW w:w="2286" w:type="dxa"/>
            <w:vMerge w:val="restart"/>
            <w:tcBorders>
              <w:top w:val="single" w:color="000000" w:sz="4" w:space="0"/>
              <w:left w:val="single" w:color="000000" w:sz="4" w:space="0"/>
              <w:right w:val="single" w:color="000000" w:sz="4" w:space="0"/>
            </w:tcBorders>
            <w:shd w:val="clear" w:color="auto" w:fill="auto"/>
            <w:vAlign w:val="center"/>
          </w:tcPr>
          <w:p w14:paraId="77280BE9">
            <w:pPr>
              <w:widowControl/>
              <w:jc w:val="center"/>
              <w:rPr>
                <w:rFonts w:ascii="宋体" w:hAnsi="宋体" w:cs="宋体"/>
                <w:color w:val="000000"/>
                <w:kern w:val="0"/>
                <w:sz w:val="18"/>
                <w:szCs w:val="18"/>
              </w:rPr>
            </w:pPr>
            <w:r>
              <w:rPr>
                <w:rFonts w:hint="eastAsia" w:ascii="宋体" w:hAnsi="宋体" w:cs="宋体"/>
                <w:color w:val="000000"/>
                <w:kern w:val="0"/>
                <w:sz w:val="18"/>
                <w:szCs w:val="18"/>
              </w:rPr>
              <w:t>成本指标</w:t>
            </w:r>
          </w:p>
        </w:tc>
        <w:tc>
          <w:tcPr>
            <w:tcW w:w="914" w:type="dxa"/>
            <w:vMerge w:val="restart"/>
            <w:tcBorders>
              <w:top w:val="single" w:color="000000" w:sz="4" w:space="0"/>
              <w:left w:val="single" w:color="000000" w:sz="4" w:space="0"/>
              <w:right w:val="single" w:color="000000" w:sz="4" w:space="0"/>
            </w:tcBorders>
            <w:shd w:val="clear" w:color="auto" w:fill="auto"/>
            <w:vAlign w:val="center"/>
          </w:tcPr>
          <w:p w14:paraId="74B48A44">
            <w:pPr>
              <w:jc w:val="center"/>
              <w:rPr>
                <w:rFonts w:ascii="宋体" w:hAnsi="宋体" w:cs="宋体"/>
                <w:color w:val="000000"/>
                <w:sz w:val="18"/>
                <w:szCs w:val="18"/>
              </w:rPr>
            </w:pPr>
            <w:r>
              <w:rPr>
                <w:rFonts w:hint="eastAsia" w:ascii="宋体" w:hAnsi="宋体" w:cs="宋体"/>
                <w:color w:val="000000"/>
                <w:sz w:val="18"/>
                <w:szCs w:val="18"/>
              </w:rPr>
              <w:t>经济指标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2109">
            <w:pPr>
              <w:jc w:val="center"/>
              <w:rPr>
                <w:rFonts w:ascii="宋体" w:hAnsi="宋体" w:cs="宋体"/>
                <w:color w:val="000000"/>
                <w:sz w:val="18"/>
                <w:szCs w:val="18"/>
              </w:rPr>
            </w:pPr>
            <w:r>
              <w:rPr>
                <w:rFonts w:hint="eastAsia" w:ascii="宋体" w:hAnsi="宋体" w:cs="宋体"/>
                <w:color w:val="000000"/>
                <w:sz w:val="18"/>
                <w:szCs w:val="18"/>
              </w:rPr>
              <w:t>项目成本控制率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F68B">
            <w:pPr>
              <w:jc w:val="center"/>
              <w:rPr>
                <w:rFonts w:ascii="宋体" w:hAnsi="宋体" w:cs="宋体"/>
                <w:color w:val="000000"/>
                <w:sz w:val="18"/>
                <w:szCs w:val="18"/>
              </w:rPr>
            </w:pP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34E2">
            <w:pPr>
              <w:jc w:val="center"/>
              <w:rPr>
                <w:rFonts w:ascii="宋体" w:hAnsi="宋体" w:cs="宋体"/>
                <w:color w:val="000000"/>
                <w:sz w:val="18"/>
                <w:szCs w:val="18"/>
              </w:rPr>
            </w:pPr>
            <w:r>
              <w:rPr>
                <w:rFonts w:hint="eastAsia" w:ascii="宋体" w:hAnsi="宋体" w:cs="宋体"/>
                <w:color w:val="000000"/>
                <w:sz w:val="18"/>
                <w:szCs w:val="18"/>
              </w:rPr>
              <w:t>效控制总成本</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0148">
            <w:pPr>
              <w:jc w:val="center"/>
              <w:rPr>
                <w:rFonts w:ascii="宋体" w:hAnsi="宋体" w:cs="宋体"/>
                <w:color w:val="000000"/>
                <w:sz w:val="18"/>
                <w:szCs w:val="18"/>
              </w:rPr>
            </w:pPr>
            <w:r>
              <w:rPr>
                <w:rFonts w:hint="eastAsia" w:ascii="宋体" w:hAnsi="宋体" w:cs="宋体"/>
                <w:color w:val="000000"/>
                <w:sz w:val="18"/>
                <w:szCs w:val="18"/>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D609">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已控制</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6625">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8ABA">
            <w:pPr>
              <w:jc w:val="center"/>
              <w:rPr>
                <w:rFonts w:ascii="宋体" w:hAnsi="宋体" w:cs="宋体"/>
                <w:color w:val="000000"/>
                <w:sz w:val="18"/>
                <w:szCs w:val="18"/>
              </w:rPr>
            </w:pPr>
            <w:r>
              <w:rPr>
                <w:rFonts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0471">
            <w:pPr>
              <w:jc w:val="center"/>
              <w:rPr>
                <w:rFonts w:ascii="微软雅黑" w:hAnsi="微软雅黑" w:eastAsia="微软雅黑" w:cs="微软雅黑"/>
                <w:i/>
                <w:iCs/>
                <w:color w:val="000000"/>
                <w:sz w:val="16"/>
                <w:szCs w:val="16"/>
              </w:rPr>
            </w:pPr>
          </w:p>
        </w:tc>
      </w:tr>
      <w:tr w14:paraId="2CF36F57">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6DB6">
            <w:pPr>
              <w:jc w:val="center"/>
              <w:rPr>
                <w:rFonts w:ascii="宋体" w:hAnsi="宋体" w:cs="宋体"/>
                <w:color w:val="000000"/>
                <w:sz w:val="18"/>
                <w:szCs w:val="18"/>
              </w:rPr>
            </w:pPr>
          </w:p>
        </w:tc>
        <w:tc>
          <w:tcPr>
            <w:tcW w:w="2286" w:type="dxa"/>
            <w:vMerge w:val="continue"/>
            <w:tcBorders>
              <w:left w:val="single" w:color="000000" w:sz="4" w:space="0"/>
              <w:bottom w:val="single" w:color="000000" w:sz="4" w:space="0"/>
              <w:right w:val="single" w:color="000000" w:sz="4" w:space="0"/>
            </w:tcBorders>
            <w:shd w:val="clear" w:color="auto" w:fill="auto"/>
            <w:vAlign w:val="center"/>
          </w:tcPr>
          <w:p w14:paraId="51E428CF">
            <w:pPr>
              <w:widowControl/>
              <w:jc w:val="center"/>
              <w:rPr>
                <w:rFonts w:ascii="宋体" w:hAnsi="宋体" w:cs="宋体"/>
                <w:color w:val="000000"/>
                <w:kern w:val="0"/>
                <w:sz w:val="18"/>
                <w:szCs w:val="18"/>
              </w:rPr>
            </w:pPr>
          </w:p>
        </w:tc>
        <w:tc>
          <w:tcPr>
            <w:tcW w:w="914" w:type="dxa"/>
            <w:vMerge w:val="continue"/>
            <w:tcBorders>
              <w:left w:val="single" w:color="000000" w:sz="4" w:space="0"/>
              <w:bottom w:val="single" w:color="000000" w:sz="4" w:space="0"/>
              <w:right w:val="single" w:color="000000" w:sz="4" w:space="0"/>
            </w:tcBorders>
            <w:shd w:val="clear" w:color="auto" w:fill="auto"/>
            <w:vAlign w:val="center"/>
          </w:tcPr>
          <w:p w14:paraId="72FCF204">
            <w:pPr>
              <w:jc w:val="center"/>
              <w:rPr>
                <w:rFonts w:ascii="宋体" w:hAnsi="宋体" w:cs="宋体"/>
                <w:color w:val="000000"/>
                <w:sz w:val="18"/>
                <w:szCs w:val="18"/>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A5C07">
            <w:pPr>
              <w:jc w:val="center"/>
              <w:rPr>
                <w:rFonts w:ascii="宋体" w:hAnsi="宋体" w:cs="宋体"/>
                <w:color w:val="000000"/>
                <w:sz w:val="18"/>
                <w:szCs w:val="18"/>
              </w:rPr>
            </w:pPr>
            <w:r>
              <w:rPr>
                <w:rFonts w:hint="eastAsia" w:ascii="宋体" w:hAnsi="宋体" w:cs="宋体"/>
                <w:color w:val="000000"/>
                <w:sz w:val="18"/>
                <w:szCs w:val="18"/>
              </w:rPr>
              <w:t>支付进度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D75A">
            <w:pPr>
              <w:jc w:val="center"/>
              <w:rPr>
                <w:rFonts w:ascii="宋体" w:hAnsi="宋体" w:cs="宋体"/>
                <w:color w:val="000000"/>
                <w:sz w:val="18"/>
                <w:szCs w:val="18"/>
              </w:rPr>
            </w:pP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C1D7">
            <w:pPr>
              <w:jc w:val="center"/>
              <w:rPr>
                <w:rFonts w:ascii="宋体" w:hAnsi="宋体" w:cs="宋体"/>
                <w:color w:val="000000"/>
                <w:sz w:val="18"/>
                <w:szCs w:val="18"/>
              </w:rPr>
            </w:pPr>
            <w:r>
              <w:rPr>
                <w:rFonts w:ascii="宋体" w:hAnsi="宋体" w:cs="宋体"/>
                <w:color w:val="000000"/>
                <w:sz w:val="18"/>
                <w:szCs w:val="18"/>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82AE">
            <w:pPr>
              <w:jc w:val="center"/>
              <w:rPr>
                <w:rFonts w:ascii="宋体" w:hAnsi="宋体" w:cs="宋体"/>
                <w:color w:val="000000"/>
                <w:sz w:val="18"/>
                <w:szCs w:val="18"/>
              </w:rPr>
            </w:pPr>
            <w:r>
              <w:rPr>
                <w:rFonts w:ascii="宋体" w:hAnsi="宋体" w:cs="宋体"/>
                <w:color w:val="000000"/>
                <w:sz w:val="18"/>
                <w:szCs w:val="18"/>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230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1</w:t>
            </w:r>
            <w:r>
              <w:rPr>
                <w:rFonts w:ascii="微软雅黑" w:hAnsi="微软雅黑" w:eastAsia="微软雅黑" w:cs="微软雅黑"/>
                <w:i/>
                <w:iCs/>
                <w:color w:val="000000"/>
                <w:sz w:val="16"/>
                <w:szCs w:val="16"/>
              </w:rPr>
              <w:t>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3D89">
            <w:pPr>
              <w:jc w:val="center"/>
              <w:rPr>
                <w:rFonts w:ascii="宋体" w:hAnsi="宋体" w:cs="宋体"/>
                <w:color w:val="000000"/>
                <w:sz w:val="18"/>
                <w:szCs w:val="18"/>
              </w:rPr>
            </w:pPr>
            <w:r>
              <w:rPr>
                <w:rFonts w:ascii="宋体" w:hAnsi="宋体" w:cs="宋体"/>
                <w:color w:val="000000"/>
                <w:sz w:val="18"/>
                <w:szCs w:val="18"/>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7D59">
            <w:pPr>
              <w:jc w:val="center"/>
              <w:rPr>
                <w:rFonts w:ascii="宋体" w:hAnsi="宋体" w:cs="宋体"/>
                <w:color w:val="000000"/>
                <w:sz w:val="18"/>
                <w:szCs w:val="18"/>
              </w:rPr>
            </w:pPr>
            <w:r>
              <w:rPr>
                <w:rFonts w:ascii="宋体" w:hAnsi="宋体" w:cs="宋体"/>
                <w:color w:val="000000"/>
                <w:sz w:val="18"/>
                <w:szCs w:val="18"/>
              </w:rPr>
              <w:t>15</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4F4D">
            <w:pPr>
              <w:jc w:val="center"/>
              <w:rPr>
                <w:rFonts w:ascii="微软雅黑" w:hAnsi="微软雅黑" w:eastAsia="微软雅黑" w:cs="微软雅黑"/>
                <w:i/>
                <w:iCs/>
                <w:color w:val="000000"/>
                <w:sz w:val="16"/>
                <w:szCs w:val="16"/>
              </w:rPr>
            </w:pPr>
          </w:p>
        </w:tc>
      </w:tr>
      <w:tr w14:paraId="38416DBB">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98E67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D55B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D2D1">
            <w:pPr>
              <w:rPr>
                <w:rFonts w:ascii="宋体" w:hAnsi="宋体" w:cs="宋体"/>
                <w:color w:val="000000"/>
                <w:sz w:val="18"/>
                <w:szCs w:val="18"/>
              </w:rPr>
            </w:pPr>
            <w:r>
              <w:rPr>
                <w:rFonts w:ascii="宋体" w:hAnsi="宋体" w:cs="宋体"/>
                <w:color w:val="000000"/>
                <w:sz w:val="18"/>
                <w:szCs w:val="18"/>
              </w:rPr>
              <w:t>89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E534">
            <w:pPr>
              <w:rPr>
                <w:rFonts w:ascii="宋体" w:hAnsi="宋体" w:cs="宋体"/>
                <w:color w:val="000000"/>
                <w:sz w:val="18"/>
                <w:szCs w:val="18"/>
              </w:rPr>
            </w:pPr>
          </w:p>
        </w:tc>
      </w:tr>
      <w:tr w14:paraId="5666E872">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4C95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CE7459">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该项目立项必要性和依据充分，绩效目标明确，符合财政资金支持方向。该项目预算1238.89万元，实际支付1238.89万元，无结余，无挪用、挤占等情况发生，评价良好。该项目主要达到适应新高考，顺应选课走班的新趋势，满足1200名学生选课走班；改善宿舍条件，满足床位稀缺，提供1038个床位；提升校园硬件基础设施设备，为学校的发展提供保障。</w:t>
            </w:r>
          </w:p>
        </w:tc>
      </w:tr>
      <w:tr w14:paraId="6DE2EBC6">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7E4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061871">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1.疫情影响工期。</w:t>
            </w:r>
          </w:p>
          <w:p w14:paraId="2FF68E1F">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2.马尔康地震影响工期。</w:t>
            </w:r>
          </w:p>
          <w:p w14:paraId="304EA688">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3.各类考试影响工期。</w:t>
            </w:r>
          </w:p>
        </w:tc>
      </w:tr>
      <w:tr w14:paraId="0AE9389C">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0452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3F9755">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加强施工安全、质量、进度管理，利用有限施工时间在确保安全和质量的前提下抓紧施工。</w:t>
            </w:r>
          </w:p>
        </w:tc>
      </w:tr>
      <w:tr w14:paraId="1D98C20A">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490E5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项目负责人：代波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664F67">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0A0508C7">
        <w:tblPrEx>
          <w:tblCellMar>
            <w:top w:w="0" w:type="dxa"/>
            <w:left w:w="108" w:type="dxa"/>
            <w:bottom w:w="0" w:type="dxa"/>
            <w:right w:w="108" w:type="dxa"/>
          </w:tblCellMar>
        </w:tblPrEx>
        <w:trPr>
          <w:trHeight w:val="498" w:hRule="atLeast"/>
        </w:trPr>
        <w:tc>
          <w:tcPr>
            <w:tcW w:w="597" w:type="dxa"/>
            <w:tcBorders>
              <w:top w:val="nil"/>
              <w:left w:val="nil"/>
              <w:bottom w:val="nil"/>
              <w:right w:val="nil"/>
            </w:tcBorders>
            <w:shd w:val="clear" w:color="auto" w:fill="auto"/>
            <w:vAlign w:val="center"/>
          </w:tcPr>
          <w:p w14:paraId="2B367277">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1F5AB5BC">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39802A68">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12E78800">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0B35655C">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485B831D">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3B989E9B">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71E59758">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1FD22FBB">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1A9EC11E">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168D14B1">
            <w:pPr>
              <w:rPr>
                <w:rFonts w:ascii="宋体" w:hAnsi="宋体" w:cs="宋体"/>
                <w:color w:val="000000"/>
                <w:sz w:val="18"/>
                <w:szCs w:val="18"/>
              </w:rPr>
            </w:pPr>
          </w:p>
        </w:tc>
      </w:tr>
      <w:tr w14:paraId="55503A82">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1C90E5">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7866C6BF">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1F22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ED280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51320023T000007673399-马中学生取暖费</w:t>
            </w:r>
          </w:p>
        </w:tc>
      </w:tr>
      <w:tr w14:paraId="35CDEEF9">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4869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17B8E1">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0B73A37A">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DF068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08BAF09A">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63076E">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DDE84">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F1EEF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9248A4">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6C8963D4">
        <w:tblPrEx>
          <w:tblCellMar>
            <w:top w:w="0" w:type="dxa"/>
            <w:left w:w="108" w:type="dxa"/>
            <w:bottom w:w="0" w:type="dxa"/>
            <w:right w:w="108" w:type="dxa"/>
          </w:tblCellMar>
        </w:tblPrEx>
        <w:trPr>
          <w:trHeight w:val="1959"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10AAA">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156A3">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37691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我校地处川西北高原，属冬季寒冷地区，寒冷天气每年10月中旬出现，最低温度零下10多度，寒冷天气大概持续4个月，为切实解决高海拔民族地区学校在校学生冬季取暖问题，经州委州政府批示，补助冬季学生取暖费用。取暖费主要用于学校取暖设备和材料购置、取暖电费及运行维护等支出，具有明显的社会和可持续效益。</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889773">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有效提供学生温暖的生活、学习环境，促进高海拔少数民族地区教育公平，体现政府对学生的关爱和关心，关注学生的身心健康成长，让学生感受到温暖和关怀，有利于学生形成积极向上的心态。</w:t>
            </w:r>
          </w:p>
        </w:tc>
      </w:tr>
      <w:tr w14:paraId="4C79EF3F">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7617A">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46A28">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0CD2DE">
            <w:pPr>
              <w:rPr>
                <w:rFonts w:ascii="宋体" w:hAnsi="宋体" w:cs="宋体"/>
                <w:color w:val="000000"/>
                <w:sz w:val="18"/>
                <w:szCs w:val="18"/>
              </w:rPr>
            </w:pPr>
            <w:r>
              <w:rPr>
                <w:rFonts w:hint="eastAsia" w:ascii="宋体" w:hAnsi="宋体" w:cs="宋体"/>
                <w:color w:val="000000"/>
                <w:sz w:val="18"/>
                <w:szCs w:val="18"/>
              </w:rPr>
              <w:t>取暖费主要用于学校取暖设备和材料购置、取暖电费及运行维护等支出。该项目学校事前资金使用采取党委会或校务会审议资金用途和资金量，事中学校采取定期或不定期监督，并收集实施过程资料，事后学校组织验收进行验收工作，资金支付同样采取党委会或校务会审议后支付。</w:t>
            </w:r>
          </w:p>
        </w:tc>
      </w:tr>
      <w:tr w14:paraId="2A1700E5">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7DFA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A83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A91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623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2B8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4E06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105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210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4E8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728519D0">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C883B">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9F4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8C3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FA39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A50D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73D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F74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95DB">
            <w:pPr>
              <w:jc w:val="center"/>
              <w:rPr>
                <w:rFonts w:ascii="宋体" w:hAnsi="宋体" w:cs="宋体"/>
                <w:color w:val="000000"/>
                <w:sz w:val="18"/>
                <w:szCs w:val="18"/>
              </w:rPr>
            </w:pPr>
            <w:r>
              <w:rPr>
                <w:rFonts w:hint="eastAsia" w:ascii="宋体" w:hAnsi="宋体" w:cs="宋体"/>
                <w:color w:val="000000"/>
                <w:sz w:val="18"/>
                <w:szCs w:val="18"/>
              </w:rPr>
              <w:t>9</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2C296">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23F2C846">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28483">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E74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914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E0F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72CFF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2D09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CFB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2D9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6269C">
            <w:pPr>
              <w:rPr>
                <w:rFonts w:ascii="黑体" w:hAnsi="黑体" w:eastAsia="黑体" w:cs="黑体"/>
                <w:i/>
                <w:iCs/>
                <w:color w:val="000000"/>
                <w:sz w:val="18"/>
                <w:szCs w:val="18"/>
              </w:rPr>
            </w:pPr>
          </w:p>
        </w:tc>
      </w:tr>
      <w:tr w14:paraId="2A85D0C5">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F4E57">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CEA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C0D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9FB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E59B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37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F1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D1B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0BA2E">
            <w:pPr>
              <w:rPr>
                <w:rFonts w:ascii="黑体" w:hAnsi="黑体" w:eastAsia="黑体" w:cs="黑体"/>
                <w:i/>
                <w:iCs/>
                <w:color w:val="000000"/>
                <w:sz w:val="18"/>
                <w:szCs w:val="18"/>
              </w:rPr>
            </w:pPr>
          </w:p>
        </w:tc>
      </w:tr>
      <w:tr w14:paraId="2EBCF1C2">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4653B">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7E2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C9A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D92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7780E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AB8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21F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BCC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2FFA4">
            <w:pPr>
              <w:rPr>
                <w:rFonts w:ascii="黑体" w:hAnsi="黑体" w:eastAsia="黑体" w:cs="黑体"/>
                <w:i/>
                <w:iCs/>
                <w:color w:val="000000"/>
                <w:sz w:val="18"/>
                <w:szCs w:val="18"/>
              </w:rPr>
            </w:pPr>
          </w:p>
        </w:tc>
      </w:tr>
      <w:tr w14:paraId="5BD64B10">
        <w:tblPrEx>
          <w:tblCellMar>
            <w:top w:w="0" w:type="dxa"/>
            <w:left w:w="108" w:type="dxa"/>
            <w:bottom w:w="0" w:type="dxa"/>
            <w:right w:w="108" w:type="dxa"/>
          </w:tblCellMar>
        </w:tblPrEx>
        <w:trPr>
          <w:trHeight w:val="1914"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A6048">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2547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2610D">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8802">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EED9DC">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CEE6">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5B5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C191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7E9F5">
            <w:pPr>
              <w:rPr>
                <w:rFonts w:ascii="黑体" w:hAnsi="黑体" w:eastAsia="黑体" w:cs="黑体"/>
                <w:i/>
                <w:iCs/>
                <w:color w:val="000000"/>
                <w:sz w:val="18"/>
                <w:szCs w:val="18"/>
              </w:rPr>
            </w:pPr>
          </w:p>
        </w:tc>
      </w:tr>
      <w:tr w14:paraId="354C3EC0">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17B4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9EB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5C45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F59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FD1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9EA5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E482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907A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EB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2857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53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63FDACE4">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FBF98">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60B2C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ACC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5FF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供暖时间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3FBB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EA01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E7B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45C6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2F0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0C09">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98AD">
            <w:pPr>
              <w:jc w:val="center"/>
              <w:rPr>
                <w:rFonts w:ascii="微软雅黑" w:hAnsi="微软雅黑" w:eastAsia="微软雅黑" w:cs="微软雅黑"/>
                <w:i/>
                <w:iCs/>
                <w:color w:val="000000"/>
                <w:sz w:val="16"/>
                <w:szCs w:val="16"/>
              </w:rPr>
            </w:pPr>
          </w:p>
        </w:tc>
      </w:tr>
      <w:tr w14:paraId="4FEAC712">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9FA70">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5AB84">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ACC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888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项目完工时间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F09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D89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2024年12月31日</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38D1">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B140">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按时完成</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DE2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C87D">
            <w:pPr>
              <w:jc w:val="center"/>
              <w:rPr>
                <w:rFonts w:ascii="宋体" w:hAnsi="宋体" w:cs="宋体"/>
                <w:color w:val="000000"/>
                <w:sz w:val="18"/>
                <w:szCs w:val="18"/>
              </w:rPr>
            </w:pPr>
            <w:r>
              <w:rPr>
                <w:rFonts w:ascii="宋体" w:hAnsi="宋体" w:cs="宋体"/>
                <w:color w:val="000000"/>
                <w:sz w:val="18"/>
                <w:szCs w:val="18"/>
              </w:rPr>
              <w:t>20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5DAF">
            <w:pPr>
              <w:jc w:val="center"/>
              <w:rPr>
                <w:rFonts w:ascii="微软雅黑" w:hAnsi="微软雅黑" w:eastAsia="微软雅黑" w:cs="微软雅黑"/>
                <w:i/>
                <w:iCs/>
                <w:color w:val="000000"/>
                <w:sz w:val="16"/>
                <w:szCs w:val="16"/>
              </w:rPr>
            </w:pPr>
          </w:p>
        </w:tc>
      </w:tr>
      <w:tr w14:paraId="30F3583D">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252B2">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F383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728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6463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保障师生冬季上课环境</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568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60E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A9BB">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8E34">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效果显著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3C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38D4">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97FB">
            <w:pPr>
              <w:jc w:val="center"/>
              <w:rPr>
                <w:rFonts w:ascii="微软雅黑" w:hAnsi="微软雅黑" w:eastAsia="微软雅黑" w:cs="微软雅黑"/>
                <w:i/>
                <w:iCs/>
                <w:color w:val="000000"/>
                <w:sz w:val="16"/>
                <w:szCs w:val="16"/>
              </w:rPr>
            </w:pPr>
          </w:p>
        </w:tc>
      </w:tr>
      <w:tr w14:paraId="0BB53838">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9816B">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E516B">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5D3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生态效益指标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D313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供暖</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417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DEB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有效升温</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2A3A">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D3BA">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有效升温</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940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FD15">
            <w:pPr>
              <w:jc w:val="center"/>
              <w:rPr>
                <w:rFonts w:ascii="宋体" w:hAnsi="宋体" w:cs="宋体"/>
                <w:color w:val="000000"/>
                <w:sz w:val="18"/>
                <w:szCs w:val="18"/>
              </w:rPr>
            </w:pPr>
            <w:r>
              <w:rPr>
                <w:rFonts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2958">
            <w:pPr>
              <w:jc w:val="center"/>
              <w:rPr>
                <w:rFonts w:ascii="微软雅黑" w:hAnsi="微软雅黑" w:eastAsia="微软雅黑" w:cs="微软雅黑"/>
                <w:i/>
                <w:iCs/>
                <w:color w:val="000000"/>
                <w:sz w:val="16"/>
                <w:szCs w:val="16"/>
              </w:rPr>
            </w:pPr>
          </w:p>
        </w:tc>
      </w:tr>
      <w:tr w14:paraId="4ECF6D8F">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634AE">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F21A0">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079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337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提升师生幸福感</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C91E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245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有效提什</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95C1">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8CA3">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有效提升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3D5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D7E0">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A945">
            <w:pPr>
              <w:jc w:val="center"/>
              <w:rPr>
                <w:rFonts w:ascii="微软雅黑" w:hAnsi="微软雅黑" w:eastAsia="微软雅黑" w:cs="微软雅黑"/>
                <w:i/>
                <w:iCs/>
                <w:color w:val="000000"/>
                <w:sz w:val="16"/>
                <w:szCs w:val="16"/>
              </w:rPr>
            </w:pPr>
          </w:p>
        </w:tc>
      </w:tr>
      <w:tr w14:paraId="23EE9B1B">
        <w:tblPrEx>
          <w:tblCellMar>
            <w:top w:w="0" w:type="dxa"/>
            <w:left w:w="108" w:type="dxa"/>
            <w:bottom w:w="0" w:type="dxa"/>
            <w:right w:w="108" w:type="dxa"/>
          </w:tblCellMar>
        </w:tblPrEx>
        <w:trPr>
          <w:trHeight w:val="51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75454">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A93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B4A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EEC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师生满意度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84F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8A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550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63EF">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95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EA2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580F">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D529C">
            <w:pPr>
              <w:jc w:val="center"/>
              <w:rPr>
                <w:rFonts w:ascii="微软雅黑" w:hAnsi="微软雅黑" w:eastAsia="微软雅黑" w:cs="微软雅黑"/>
                <w:i/>
                <w:iCs/>
                <w:color w:val="000000"/>
                <w:sz w:val="16"/>
                <w:szCs w:val="16"/>
              </w:rPr>
            </w:pPr>
          </w:p>
        </w:tc>
      </w:tr>
      <w:tr w14:paraId="5AB8750E">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4FC56">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B55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13C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3FF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有效节约成本</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0E7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9632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B250">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3D35">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效果显著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CC2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5012">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E2F5">
            <w:pPr>
              <w:jc w:val="center"/>
              <w:rPr>
                <w:rFonts w:ascii="微软雅黑" w:hAnsi="微软雅黑" w:eastAsia="微软雅黑" w:cs="微软雅黑"/>
                <w:i/>
                <w:iCs/>
                <w:color w:val="000000"/>
                <w:sz w:val="16"/>
                <w:szCs w:val="16"/>
              </w:rPr>
            </w:pPr>
          </w:p>
        </w:tc>
      </w:tr>
      <w:tr w14:paraId="4507348C">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CF75F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2A5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8E10">
            <w:pPr>
              <w:rPr>
                <w:rFonts w:ascii="宋体" w:hAnsi="宋体" w:cs="宋体"/>
                <w:color w:val="000000"/>
                <w:sz w:val="18"/>
                <w:szCs w:val="18"/>
              </w:rPr>
            </w:pPr>
            <w:r>
              <w:rPr>
                <w:rFonts w:ascii="宋体" w:hAnsi="宋体" w:cs="宋体"/>
                <w:color w:val="000000"/>
                <w:sz w:val="18"/>
                <w:szCs w:val="18"/>
              </w:rPr>
              <w:t>89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A384">
            <w:pPr>
              <w:rPr>
                <w:rFonts w:ascii="宋体" w:hAnsi="宋体" w:cs="宋体"/>
                <w:color w:val="000000"/>
                <w:sz w:val="18"/>
                <w:szCs w:val="18"/>
              </w:rPr>
            </w:pPr>
          </w:p>
        </w:tc>
      </w:tr>
      <w:tr w14:paraId="79BE8587">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052A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9EE5DC">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综上所述，该项目立项必要性和依据充分，绩效目标明确，符合财政资金支持方向。该项目预算7.12万元，实际支付7.12万元，无结余，无资金挪用、挤占等情况发生，评价良好。</w:t>
            </w:r>
          </w:p>
        </w:tc>
      </w:tr>
      <w:tr w14:paraId="06FDF621">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212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288B75">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1.部分供暖设备老化，有待更新。</w:t>
            </w:r>
          </w:p>
        </w:tc>
      </w:tr>
      <w:tr w14:paraId="7F20FBF8">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4FF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859290">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目前市政供暖项目正在实施，这将大力更新了我校供暖设施设备，期待2025年度的正常投入使用。</w:t>
            </w:r>
          </w:p>
        </w:tc>
      </w:tr>
      <w:tr w14:paraId="11995869">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C9B34C">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项目负责人：代波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16DD42">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0567DEFB">
        <w:tblPrEx>
          <w:tblCellMar>
            <w:top w:w="0" w:type="dxa"/>
            <w:left w:w="108" w:type="dxa"/>
            <w:bottom w:w="0" w:type="dxa"/>
            <w:right w:w="108" w:type="dxa"/>
          </w:tblCellMar>
        </w:tblPrEx>
        <w:trPr>
          <w:trHeight w:val="498" w:hRule="atLeast"/>
        </w:trPr>
        <w:tc>
          <w:tcPr>
            <w:tcW w:w="597" w:type="dxa"/>
            <w:tcBorders>
              <w:top w:val="nil"/>
              <w:left w:val="nil"/>
              <w:bottom w:val="nil"/>
              <w:right w:val="nil"/>
            </w:tcBorders>
            <w:shd w:val="clear" w:color="auto" w:fill="auto"/>
            <w:vAlign w:val="center"/>
          </w:tcPr>
          <w:p w14:paraId="5FFD12E3">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1FD72765">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08356197">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46F11540">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7C23E8C9">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7E8FCECB">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769AF2E3">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4E9CAFFB">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5EA8A525">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485B86B1">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37EA05E3">
            <w:pPr>
              <w:rPr>
                <w:rFonts w:ascii="宋体" w:hAnsi="宋体" w:cs="宋体"/>
                <w:color w:val="000000"/>
                <w:sz w:val="18"/>
                <w:szCs w:val="18"/>
              </w:rPr>
            </w:pPr>
          </w:p>
        </w:tc>
      </w:tr>
      <w:tr w14:paraId="09E0AC13">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A7AFBC">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5D9A59F9">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68364">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5E374B">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51320023T000007673411-马中基本目标奖</w:t>
            </w:r>
          </w:p>
        </w:tc>
      </w:tr>
      <w:tr w14:paraId="516D3BE7">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E0CB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1F172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4E238F7E">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0B350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292CAA48">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6DCCC">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3286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8DDF4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F79A0C">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5866BA9A">
        <w:tblPrEx>
          <w:tblCellMar>
            <w:top w:w="0" w:type="dxa"/>
            <w:left w:w="108" w:type="dxa"/>
            <w:bottom w:w="0" w:type="dxa"/>
            <w:right w:w="108" w:type="dxa"/>
          </w:tblCellMar>
        </w:tblPrEx>
        <w:trPr>
          <w:trHeight w:val="1472"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3A685">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5FD56">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889672">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该项目预算146.82万元，实际支付146.82万元，无结余，无资金挪用、挤占等情况发生，评价良好。</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4DA1FE">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2024年基本目标奖实际使用资金为146.82万元，完成了年度基本目标奖设定的各项目标任务。</w:t>
            </w:r>
          </w:p>
        </w:tc>
      </w:tr>
      <w:tr w14:paraId="4A517EF3">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57097">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8B64">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CBCD7B">
            <w:pPr>
              <w:rPr>
                <w:rFonts w:ascii="宋体" w:hAnsi="宋体" w:cs="宋体"/>
                <w:color w:val="000000"/>
                <w:sz w:val="18"/>
                <w:szCs w:val="18"/>
              </w:rPr>
            </w:pPr>
            <w:r>
              <w:rPr>
                <w:rFonts w:hint="eastAsia" w:ascii="宋体" w:hAnsi="宋体" w:cs="宋体"/>
                <w:color w:val="000000"/>
                <w:sz w:val="18"/>
                <w:szCs w:val="18"/>
              </w:rPr>
              <w:t>资金分配综合考虑教师的教学工作量、教学成果、学生评价等因素。根据教师所授班级数量、学生人数核算教学工作量；依据学生成绩提升幅度、学科竞赛获奖情况衡量教学成果；通过学生问卷调查结果体现学生评价。按照这些因素确定每位教师的奖励金额，确保资金分配公平合理，充分发挥激励作用</w:t>
            </w:r>
          </w:p>
        </w:tc>
      </w:tr>
      <w:tr w14:paraId="7F51C81D">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C1798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049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4522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4A3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392A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A9E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8A37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F6E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90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54C86F94">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A0D65">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B9F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24D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029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5E72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24C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C94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5D7C3">
            <w:pPr>
              <w:jc w:val="center"/>
              <w:rPr>
                <w:rFonts w:ascii="宋体" w:hAnsi="宋体" w:cs="宋体"/>
                <w:color w:val="000000"/>
                <w:sz w:val="18"/>
                <w:szCs w:val="18"/>
              </w:rPr>
            </w:pPr>
            <w:r>
              <w:rPr>
                <w:rFonts w:hint="eastAsia" w:ascii="宋体" w:hAnsi="宋体" w:cs="宋体"/>
                <w:color w:val="000000"/>
                <w:sz w:val="18"/>
                <w:szCs w:val="18"/>
              </w:rPr>
              <w:t>9</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64998">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26D79867">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B4F8E">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BC61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C70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815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2D2BE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FE44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D08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567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28C9E">
            <w:pPr>
              <w:rPr>
                <w:rFonts w:ascii="黑体" w:hAnsi="黑体" w:eastAsia="黑体" w:cs="黑体"/>
                <w:i/>
                <w:iCs/>
                <w:color w:val="000000"/>
                <w:sz w:val="18"/>
                <w:szCs w:val="18"/>
              </w:rPr>
            </w:pPr>
          </w:p>
        </w:tc>
      </w:tr>
      <w:tr w14:paraId="11807962">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FD3A8">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D30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DDA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1A2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19854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382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F13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440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CA9CD">
            <w:pPr>
              <w:rPr>
                <w:rFonts w:ascii="黑体" w:hAnsi="黑体" w:eastAsia="黑体" w:cs="黑体"/>
                <w:i/>
                <w:iCs/>
                <w:color w:val="000000"/>
                <w:sz w:val="18"/>
                <w:szCs w:val="18"/>
              </w:rPr>
            </w:pPr>
          </w:p>
        </w:tc>
      </w:tr>
      <w:tr w14:paraId="3BF97F5A">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DCCBA">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36C1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564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4F7A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BC341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BC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B8A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2F3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AC85F">
            <w:pPr>
              <w:rPr>
                <w:rFonts w:ascii="黑体" w:hAnsi="黑体" w:eastAsia="黑体" w:cs="黑体"/>
                <w:i/>
                <w:iCs/>
                <w:color w:val="000000"/>
                <w:sz w:val="18"/>
                <w:szCs w:val="18"/>
              </w:rPr>
            </w:pPr>
          </w:p>
        </w:tc>
      </w:tr>
      <w:tr w14:paraId="2AD58737">
        <w:tblPrEx>
          <w:tblCellMar>
            <w:top w:w="0" w:type="dxa"/>
            <w:left w:w="108" w:type="dxa"/>
            <w:bottom w:w="0" w:type="dxa"/>
            <w:right w:w="108" w:type="dxa"/>
          </w:tblCellMar>
        </w:tblPrEx>
        <w:trPr>
          <w:trHeight w:val="194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5AA12">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280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4EE4">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8BE5">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B3D083">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438A">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B54E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1B9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D58CB">
            <w:pPr>
              <w:rPr>
                <w:rFonts w:ascii="黑体" w:hAnsi="黑体" w:eastAsia="黑体" w:cs="黑体"/>
                <w:i/>
                <w:iCs/>
                <w:color w:val="000000"/>
                <w:sz w:val="18"/>
                <w:szCs w:val="18"/>
              </w:rPr>
            </w:pPr>
          </w:p>
        </w:tc>
      </w:tr>
      <w:tr w14:paraId="36F9BB36">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AB80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0EC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827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0EC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2BF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117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787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BB6B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1B9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952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D8B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5E9427EA">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831D3">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8221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DAF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49D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学生覆盖率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5A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FB0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95</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8A1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B99D">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EE0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6EFD">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CCEF">
            <w:pPr>
              <w:jc w:val="center"/>
              <w:rPr>
                <w:rFonts w:ascii="微软雅黑" w:hAnsi="微软雅黑" w:eastAsia="微软雅黑" w:cs="微软雅黑"/>
                <w:i/>
                <w:iCs/>
                <w:color w:val="000000"/>
                <w:sz w:val="16"/>
                <w:szCs w:val="16"/>
              </w:rPr>
            </w:pPr>
          </w:p>
        </w:tc>
      </w:tr>
      <w:tr w14:paraId="51E04DA0">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93A5A">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E72E1">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9A3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523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项目完工时间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105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CA2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2024年12月31日</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C7FCC">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553C">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已完成</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4366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F0CE">
            <w:pPr>
              <w:jc w:val="center"/>
              <w:rPr>
                <w:rFonts w:ascii="宋体" w:hAnsi="宋体" w:cs="宋体"/>
                <w:color w:val="000000"/>
                <w:sz w:val="18"/>
                <w:szCs w:val="18"/>
              </w:rPr>
            </w:pPr>
            <w:r>
              <w:rPr>
                <w:rFonts w:hint="eastAsia" w:ascii="宋体" w:hAnsi="宋体" w:cs="宋体"/>
                <w:color w:val="000000"/>
                <w:sz w:val="18"/>
                <w:szCs w:val="18"/>
              </w:rPr>
              <w:t>3</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70E6">
            <w:pPr>
              <w:jc w:val="center"/>
              <w:rPr>
                <w:rFonts w:ascii="微软雅黑" w:hAnsi="微软雅黑" w:eastAsia="微软雅黑" w:cs="微软雅黑"/>
                <w:i/>
                <w:iCs/>
                <w:color w:val="000000"/>
                <w:sz w:val="16"/>
                <w:szCs w:val="16"/>
              </w:rPr>
            </w:pPr>
          </w:p>
        </w:tc>
      </w:tr>
      <w:tr w14:paraId="6A527E2C">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05B87">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8CCB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8C8C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00CC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提升办学效果</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3B9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879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A589D">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62B3">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有效提升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075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5658">
            <w:pPr>
              <w:jc w:val="center"/>
              <w:rPr>
                <w:rFonts w:ascii="宋体" w:hAnsi="宋体" w:cs="宋体"/>
                <w:color w:val="000000"/>
                <w:sz w:val="18"/>
                <w:szCs w:val="18"/>
              </w:rPr>
            </w:pPr>
            <w:r>
              <w:rPr>
                <w:rFonts w:hint="eastAsia" w:ascii="宋体" w:hAnsi="宋体" w:cs="宋体"/>
                <w:color w:val="000000"/>
                <w:sz w:val="18"/>
                <w:szCs w:val="18"/>
              </w:rPr>
              <w:t>7</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4B99">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可进一步完善办学条件</w:t>
            </w:r>
          </w:p>
        </w:tc>
      </w:tr>
      <w:tr w14:paraId="71A7448A">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EAA17">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BFC6D">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B40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DC4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提升教学成绩</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AEF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A7C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A137">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378E7">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效果较显著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E5D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72915">
            <w:pPr>
              <w:jc w:val="center"/>
              <w:rPr>
                <w:rFonts w:ascii="宋体" w:hAnsi="宋体" w:cs="宋体"/>
                <w:color w:val="000000"/>
                <w:sz w:val="18"/>
                <w:szCs w:val="18"/>
              </w:rPr>
            </w:pPr>
            <w:r>
              <w:rPr>
                <w:rFonts w:hint="eastAsia" w:ascii="宋体" w:hAnsi="宋体" w:cs="宋体"/>
                <w:color w:val="000000"/>
                <w:sz w:val="18"/>
                <w:szCs w:val="18"/>
              </w:rPr>
              <w:t>7</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A56E">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教学成果还有一定的提升空间</w:t>
            </w:r>
          </w:p>
        </w:tc>
      </w:tr>
      <w:tr w14:paraId="0ADCDC55">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93B3F">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989FF">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26EF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可持续影响指标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7F8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提升家长满意度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FC2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7A5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EE5EF">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B675">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有效提升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A4F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FCD4">
            <w:pPr>
              <w:jc w:val="center"/>
              <w:rPr>
                <w:rFonts w:ascii="宋体" w:hAnsi="宋体" w:cs="宋体"/>
                <w:color w:val="000000"/>
                <w:sz w:val="18"/>
                <w:szCs w:val="18"/>
              </w:rPr>
            </w:pPr>
            <w:r>
              <w:rPr>
                <w:rFonts w:hint="eastAsia" w:ascii="宋体" w:hAnsi="宋体" w:cs="宋体"/>
                <w:color w:val="000000"/>
                <w:sz w:val="18"/>
                <w:szCs w:val="18"/>
              </w:rPr>
              <w:t>7</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86E1">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家长满意度未达到100%</w:t>
            </w:r>
          </w:p>
        </w:tc>
      </w:tr>
      <w:tr w14:paraId="627D3905">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EB5B5">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E79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BD8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57E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学生满意度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409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D54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E35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150B">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E7E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D1E4">
            <w:pPr>
              <w:jc w:val="center"/>
              <w:rPr>
                <w:rFonts w:ascii="宋体" w:hAnsi="宋体" w:cs="宋体"/>
                <w:color w:val="000000"/>
                <w:sz w:val="18"/>
                <w:szCs w:val="18"/>
              </w:rPr>
            </w:pPr>
            <w:r>
              <w:rPr>
                <w:rFonts w:hint="eastAsia" w:ascii="宋体" w:hAnsi="宋体" w:cs="宋体"/>
                <w:color w:val="000000"/>
                <w:sz w:val="18"/>
                <w:szCs w:val="18"/>
              </w:rPr>
              <w:t>6</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612F">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学生满意度指标未达到100%</w:t>
            </w:r>
          </w:p>
        </w:tc>
      </w:tr>
      <w:tr w14:paraId="34573BC7">
        <w:tblPrEx>
          <w:tblCellMar>
            <w:top w:w="0" w:type="dxa"/>
            <w:left w:w="108" w:type="dxa"/>
            <w:bottom w:w="0" w:type="dxa"/>
            <w:right w:w="108" w:type="dxa"/>
          </w:tblCellMar>
        </w:tblPrEx>
        <w:trPr>
          <w:trHeight w:val="51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C9D8C">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E416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E0A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C474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每课时成本有效控制</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766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88D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8EA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元/个</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5673">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40元/个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DA6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BCF3">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43EAD">
            <w:pPr>
              <w:jc w:val="center"/>
              <w:rPr>
                <w:rFonts w:ascii="微软雅黑" w:hAnsi="微软雅黑" w:eastAsia="微软雅黑" w:cs="微软雅黑"/>
                <w:i/>
                <w:iCs/>
                <w:color w:val="000000"/>
                <w:sz w:val="16"/>
                <w:szCs w:val="16"/>
              </w:rPr>
            </w:pPr>
          </w:p>
        </w:tc>
      </w:tr>
      <w:tr w14:paraId="392ABA38">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8455BC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59D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6B7E">
            <w:pPr>
              <w:rPr>
                <w:rFonts w:ascii="宋体" w:hAnsi="宋体" w:cs="宋体"/>
                <w:color w:val="000000"/>
                <w:sz w:val="18"/>
                <w:szCs w:val="18"/>
              </w:rPr>
            </w:pPr>
            <w:r>
              <w:rPr>
                <w:rFonts w:hint="eastAsia" w:ascii="宋体" w:hAnsi="宋体" w:cs="宋体"/>
                <w:color w:val="000000"/>
                <w:sz w:val="18"/>
                <w:szCs w:val="18"/>
              </w:rPr>
              <w:t>8</w:t>
            </w:r>
            <w:r>
              <w:rPr>
                <w:rFonts w:ascii="宋体" w:hAnsi="宋体" w:cs="宋体"/>
                <w:color w:val="000000"/>
                <w:sz w:val="18"/>
                <w:szCs w:val="18"/>
              </w:rPr>
              <w:t>7</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8934">
            <w:pPr>
              <w:rPr>
                <w:rFonts w:ascii="宋体" w:hAnsi="宋体" w:cs="宋体"/>
                <w:color w:val="000000"/>
                <w:sz w:val="18"/>
                <w:szCs w:val="18"/>
              </w:rPr>
            </w:pPr>
          </w:p>
        </w:tc>
      </w:tr>
      <w:tr w14:paraId="7A8C528D">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046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3C4A7B">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综合评价，马尔康中学教务处2024年度基本目标奖项目绩效自评得分较高，项目实施成效显著。预算执行情况良好，资金使用合理合规；教学成果丰硕，学生成绩提升明显，办学效果显著增强，家长和学生满意度较高；学校可持续发展能力得到提升，师资队伍稳定性增强。项目达到了预期目标，对学校教育教学事业发展起到了重要的推动作用。</w:t>
            </w:r>
          </w:p>
        </w:tc>
      </w:tr>
      <w:tr w14:paraId="6D4B0A9F">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6EC9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47F5F3">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尽管项目取得了良好成效，但仍存在一些问题。部分教师对教学创新的重视程度不够，参与教学改革项目的积极性有待提高；在学生个体差异关注方面还需加强，部分学习困难学生的成绩提升不明显；教师培训体系有待完善，培训内容与实际教学需求的匹配度不高，限制了教师专业素养的快速提升。</w:t>
            </w:r>
          </w:p>
        </w:tc>
      </w:tr>
      <w:tr w14:paraId="00EEFBCF">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FBD6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9D02CA">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学校应加强对教师教学创新的宣传和引导，设立专项奖励机制，对积极参与教学创新的教师给予额外奖励，提高教师参与教学改革的积极性；加强对学生的分层教学和个性化辅导，建立学习困难学生帮扶机制，制定针对性的教学计划；优化教师培训体系，在培训前广泛征求教师意见，根据教师实际需求设计培训内容，邀请教育专家和一线优秀教师授课，采用案例分析、实地观摩等多样化培训方式，切实提高教师培训的质量和效果，促进学校教育教学质量持续提升。</w:t>
            </w:r>
          </w:p>
        </w:tc>
      </w:tr>
      <w:tr w14:paraId="44B76F83">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FDE937">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项目负责人：赵艳红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F5304E">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5833AF45">
        <w:tblPrEx>
          <w:tblCellMar>
            <w:top w:w="0" w:type="dxa"/>
            <w:left w:w="108" w:type="dxa"/>
            <w:bottom w:w="0" w:type="dxa"/>
            <w:right w:w="108" w:type="dxa"/>
          </w:tblCellMar>
        </w:tblPrEx>
        <w:trPr>
          <w:trHeight w:val="498" w:hRule="atLeast"/>
        </w:trPr>
        <w:tc>
          <w:tcPr>
            <w:tcW w:w="597" w:type="dxa"/>
            <w:tcBorders>
              <w:top w:val="nil"/>
              <w:left w:val="nil"/>
              <w:bottom w:val="nil"/>
              <w:right w:val="nil"/>
            </w:tcBorders>
            <w:shd w:val="clear" w:color="auto" w:fill="auto"/>
            <w:vAlign w:val="center"/>
          </w:tcPr>
          <w:p w14:paraId="2E842656">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1F5D2D4D">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0B10BBB8">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4EBB3C32">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7059BDCE">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23943CAF">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19520776">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271DF6A8">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116FF447">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5C2FEFC8">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6A9B3048">
            <w:pPr>
              <w:rPr>
                <w:rFonts w:ascii="宋体" w:hAnsi="宋体" w:cs="宋体"/>
                <w:color w:val="000000"/>
                <w:sz w:val="18"/>
                <w:szCs w:val="18"/>
              </w:rPr>
            </w:pPr>
          </w:p>
        </w:tc>
      </w:tr>
      <w:tr w14:paraId="3B63A6A7">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A90306">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0E04DF3E">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BBAE4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E1D5EC">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51320023T000007891367-马中安保/宿管/物业</w:t>
            </w:r>
          </w:p>
        </w:tc>
      </w:tr>
      <w:tr w14:paraId="6324F3C0">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722F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E830B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0AB685C0">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FE525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775E203E">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85A5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C6E54">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26E5F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2386B9">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2AD76A58">
        <w:tblPrEx>
          <w:tblCellMar>
            <w:top w:w="0" w:type="dxa"/>
            <w:left w:w="108" w:type="dxa"/>
            <w:bottom w:w="0" w:type="dxa"/>
            <w:right w:w="108" w:type="dxa"/>
          </w:tblCellMar>
        </w:tblPrEx>
        <w:trPr>
          <w:trHeight w:val="1959"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494A8">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2DCBD">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04B368">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东西校区校园环境，保持校园公共区域环境卫生干净整洁，清理师生难易清理的卫生死角，保障绿化带绿植的成活及枝丫及时修剪，保障水电线路及水电用品及时修理，最大程度保证用水用电安全；三是提升东西校区住校生管理效率，督促学生养成良好的生活卫生习惯，确保学生人身及财物安全。</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5A0840">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该项目主要达到提供安全舒适的教学环境，提升校园内安全保障，改善东西校区校园环境，提升东西校区住校生管理效率，解决市民33人就业压力和增加市民经济收入等绩效目标。预算156.3万，实际支付156.3万，无结余，无资金挪用、挤占等情况。</w:t>
            </w:r>
          </w:p>
        </w:tc>
      </w:tr>
      <w:tr w14:paraId="581B3081">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84A1B">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9A9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E2169F">
            <w:pPr>
              <w:rPr>
                <w:rFonts w:ascii="宋体" w:hAnsi="宋体" w:cs="宋体"/>
                <w:color w:val="000000"/>
                <w:sz w:val="18"/>
                <w:szCs w:val="18"/>
              </w:rPr>
            </w:pPr>
            <w:r>
              <w:rPr>
                <w:rFonts w:hint="eastAsia" w:ascii="宋体" w:hAnsi="宋体" w:cs="宋体"/>
                <w:color w:val="000000"/>
                <w:sz w:val="18"/>
                <w:szCs w:val="18"/>
              </w:rPr>
              <w:t>该项目资金管理根据学校内控制度执行专款专用原则，在资金支付前按照合同约定实行考核，考核情况与资金支付挂钩，且上报校务会审议。该项目实施以来，一是为师生提供舒适整洁的学习和生活环境，二是为师生提供校园安全保障，三是为师生提升绿化、水电维修等服务质量，四是提高住校生管理效率和人身财产安全。</w:t>
            </w:r>
          </w:p>
        </w:tc>
      </w:tr>
      <w:tr w14:paraId="0286674B">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72E6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C6C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2C39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5FF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D574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876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00A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0CC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E6B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24DCAFCE">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3543F">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436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325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156.30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60D7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156.30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707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156.30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39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367C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603A">
            <w:pPr>
              <w:jc w:val="center"/>
              <w:rPr>
                <w:rFonts w:ascii="宋体" w:hAnsi="宋体" w:cs="宋体"/>
                <w:color w:val="000000"/>
                <w:sz w:val="18"/>
                <w:szCs w:val="18"/>
              </w:rPr>
            </w:pPr>
            <w:r>
              <w:rPr>
                <w:rFonts w:hint="eastAsia" w:ascii="宋体" w:hAnsi="宋体" w:cs="宋体"/>
                <w:color w:val="000000"/>
                <w:sz w:val="18"/>
                <w:szCs w:val="18"/>
              </w:rPr>
              <w:t>9</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872E20">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24857AF9">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66229">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8CE7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A338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156.30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B976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156.30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78C0B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156.30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46A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46C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BD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B48A4">
            <w:pPr>
              <w:rPr>
                <w:rFonts w:ascii="黑体" w:hAnsi="黑体" w:eastAsia="黑体" w:cs="黑体"/>
                <w:i/>
                <w:iCs/>
                <w:color w:val="000000"/>
                <w:sz w:val="18"/>
                <w:szCs w:val="18"/>
              </w:rPr>
            </w:pPr>
          </w:p>
        </w:tc>
      </w:tr>
      <w:tr w14:paraId="0212BB56">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77421">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1A7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4A8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0F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AFA6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70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246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6DF7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EAF17">
            <w:pPr>
              <w:rPr>
                <w:rFonts w:ascii="黑体" w:hAnsi="黑体" w:eastAsia="黑体" w:cs="黑体"/>
                <w:i/>
                <w:iCs/>
                <w:color w:val="000000"/>
                <w:sz w:val="18"/>
                <w:szCs w:val="18"/>
              </w:rPr>
            </w:pPr>
          </w:p>
        </w:tc>
      </w:tr>
      <w:tr w14:paraId="27A74CAC">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A2ADE">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4F0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9A7F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72EF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5F9D0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25A9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C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490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967E8">
            <w:pPr>
              <w:rPr>
                <w:rFonts w:ascii="黑体" w:hAnsi="黑体" w:eastAsia="黑体" w:cs="黑体"/>
                <w:i/>
                <w:iCs/>
                <w:color w:val="000000"/>
                <w:sz w:val="18"/>
                <w:szCs w:val="18"/>
              </w:rPr>
            </w:pPr>
          </w:p>
        </w:tc>
      </w:tr>
      <w:tr w14:paraId="657B4942">
        <w:tblPrEx>
          <w:tblCellMar>
            <w:top w:w="0" w:type="dxa"/>
            <w:left w:w="108" w:type="dxa"/>
            <w:bottom w:w="0" w:type="dxa"/>
            <w:right w:w="108" w:type="dxa"/>
          </w:tblCellMar>
        </w:tblPrEx>
        <w:trPr>
          <w:trHeight w:val="1914"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D8DDA">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81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DBA0">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23ED">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F6D1C">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6CD1">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B79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CE5D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F2509">
            <w:pPr>
              <w:rPr>
                <w:rFonts w:ascii="黑体" w:hAnsi="黑体" w:eastAsia="黑体" w:cs="黑体"/>
                <w:i/>
                <w:iCs/>
                <w:color w:val="000000"/>
                <w:sz w:val="18"/>
                <w:szCs w:val="18"/>
              </w:rPr>
            </w:pPr>
          </w:p>
        </w:tc>
      </w:tr>
      <w:tr w14:paraId="75C77219">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DD790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DD2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2C06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135C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0BD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089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8F8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410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38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DF2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36F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3D128862">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FEFA6">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D4E80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29E5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95B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解决就业人数</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D7C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6DD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33</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867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人数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122F">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3</w:t>
            </w:r>
            <w:r>
              <w:rPr>
                <w:rFonts w:ascii="微软雅黑" w:hAnsi="微软雅黑" w:eastAsia="微软雅黑" w:cs="微软雅黑"/>
                <w:i/>
                <w:iCs/>
                <w:color w:val="000000"/>
                <w:sz w:val="16"/>
                <w:szCs w:val="16"/>
              </w:rPr>
              <w:t>3</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A5A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46B6">
            <w:pPr>
              <w:jc w:val="center"/>
              <w:rPr>
                <w:rFonts w:ascii="宋体" w:hAnsi="宋体" w:cs="宋体"/>
                <w:color w:val="000000"/>
                <w:sz w:val="18"/>
                <w:szCs w:val="18"/>
              </w:rPr>
            </w:pPr>
            <w:r>
              <w:rPr>
                <w:rFonts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8DA57">
            <w:pPr>
              <w:jc w:val="center"/>
              <w:rPr>
                <w:rFonts w:ascii="微软雅黑" w:hAnsi="微软雅黑" w:eastAsia="微软雅黑" w:cs="微软雅黑"/>
                <w:i/>
                <w:iCs/>
                <w:color w:val="000000"/>
                <w:sz w:val="16"/>
                <w:szCs w:val="16"/>
              </w:rPr>
            </w:pPr>
          </w:p>
        </w:tc>
      </w:tr>
      <w:tr w14:paraId="200003AE">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22902">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B6DB9">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7D9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C1C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项目合格率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EB7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3CF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ACB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3C05">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1</w:t>
            </w:r>
            <w:r>
              <w:rPr>
                <w:rFonts w:ascii="微软雅黑" w:hAnsi="微软雅黑" w:eastAsia="微软雅黑" w:cs="微软雅黑"/>
                <w:i/>
                <w:iCs/>
                <w:color w:val="000000"/>
                <w:sz w:val="16"/>
                <w:szCs w:val="16"/>
              </w:rPr>
              <w:t>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1DF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BB45">
            <w:pPr>
              <w:jc w:val="center"/>
              <w:rPr>
                <w:rFonts w:ascii="宋体" w:hAnsi="宋体" w:cs="宋体"/>
                <w:color w:val="000000"/>
                <w:sz w:val="18"/>
                <w:szCs w:val="18"/>
              </w:rPr>
            </w:pPr>
            <w:r>
              <w:rPr>
                <w:rFonts w:ascii="宋体" w:hAnsi="宋体" w:cs="宋体"/>
                <w:color w:val="000000"/>
                <w:sz w:val="18"/>
                <w:szCs w:val="18"/>
              </w:rPr>
              <w:t>25</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AF55">
            <w:pPr>
              <w:jc w:val="center"/>
              <w:rPr>
                <w:rFonts w:ascii="微软雅黑" w:hAnsi="微软雅黑" w:eastAsia="微软雅黑" w:cs="微软雅黑"/>
                <w:i/>
                <w:iCs/>
                <w:color w:val="000000"/>
                <w:sz w:val="16"/>
                <w:szCs w:val="16"/>
              </w:rPr>
            </w:pPr>
          </w:p>
        </w:tc>
      </w:tr>
      <w:tr w14:paraId="5C31FE7A">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F4FEF">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0150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5DB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1D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项目合格率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16F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244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C95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5FC4">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9</w:t>
            </w:r>
            <w:r>
              <w:rPr>
                <w:rFonts w:ascii="微软雅黑" w:hAnsi="微软雅黑" w:eastAsia="微软雅黑" w:cs="微软雅黑"/>
                <w:i/>
                <w:iCs/>
                <w:color w:val="000000"/>
                <w:sz w:val="16"/>
                <w:szCs w:val="16"/>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0D5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C7E6">
            <w:pPr>
              <w:jc w:val="center"/>
              <w:rPr>
                <w:rFonts w:ascii="宋体" w:hAnsi="宋体" w:cs="宋体"/>
                <w:color w:val="000000"/>
                <w:sz w:val="18"/>
                <w:szCs w:val="18"/>
              </w:rPr>
            </w:pPr>
            <w:r>
              <w:rPr>
                <w:rFonts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CDB3">
            <w:pPr>
              <w:jc w:val="center"/>
              <w:rPr>
                <w:rFonts w:ascii="微软雅黑" w:hAnsi="微软雅黑" w:eastAsia="微软雅黑" w:cs="微软雅黑"/>
                <w:i/>
                <w:iCs/>
                <w:color w:val="000000"/>
                <w:sz w:val="16"/>
                <w:szCs w:val="16"/>
              </w:rPr>
            </w:pPr>
          </w:p>
        </w:tc>
      </w:tr>
      <w:tr w14:paraId="38DE515B">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C55E6">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4B54D">
            <w:pPr>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F986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35D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保障学校安全</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32D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116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有效保障</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49D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E98B1">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有效保障</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DAA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315E8">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1E4DE">
            <w:pPr>
              <w:jc w:val="center"/>
              <w:rPr>
                <w:rFonts w:ascii="微软雅黑" w:hAnsi="微软雅黑" w:eastAsia="微软雅黑" w:cs="微软雅黑"/>
                <w:i/>
                <w:iCs/>
                <w:color w:val="000000"/>
                <w:sz w:val="16"/>
                <w:szCs w:val="16"/>
              </w:rPr>
            </w:pPr>
          </w:p>
        </w:tc>
      </w:tr>
      <w:tr w14:paraId="758773BC">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7943F">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257E9">
            <w:pPr>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8ED7F">
            <w:pPr>
              <w:jc w:val="center"/>
              <w:rPr>
                <w:rFonts w:ascii="宋体" w:hAnsi="宋体" w:cs="宋体"/>
                <w:color w:val="000000"/>
                <w:sz w:val="18"/>
                <w:szCs w:val="18"/>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51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提升师生幸福感</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E80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A92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C50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76C6">
            <w:pPr>
              <w:jc w:val="center"/>
              <w:rPr>
                <w:rFonts w:ascii="微软雅黑" w:hAnsi="微软雅黑" w:eastAsia="微软雅黑" w:cs="微软雅黑"/>
                <w:i/>
                <w:iCs/>
                <w:color w:val="000000"/>
                <w:sz w:val="16"/>
                <w:szCs w:val="16"/>
              </w:rPr>
            </w:pPr>
            <w:r>
              <w:rPr>
                <w:rFonts w:ascii="宋体" w:hAnsi="宋体" w:cs="宋体"/>
                <w:color w:val="000000"/>
                <w:kern w:val="0"/>
                <w:sz w:val="18"/>
                <w:szCs w:val="18"/>
                <w:lang w:bidi="ar"/>
              </w:rPr>
              <w:t>有效提升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0F0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77E74">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D585">
            <w:pPr>
              <w:jc w:val="center"/>
              <w:rPr>
                <w:rFonts w:ascii="微软雅黑" w:hAnsi="微软雅黑" w:eastAsia="微软雅黑" w:cs="微软雅黑"/>
                <w:i/>
                <w:iCs/>
                <w:color w:val="000000"/>
                <w:sz w:val="16"/>
                <w:szCs w:val="16"/>
              </w:rPr>
            </w:pPr>
          </w:p>
        </w:tc>
      </w:tr>
      <w:tr w14:paraId="443CD274">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EF234">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AFD9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1531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2CF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项目成本控制率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DE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18A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有效控制总成本</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6B0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78BF">
            <w:pPr>
              <w:jc w:val="center"/>
              <w:rPr>
                <w:rFonts w:ascii="微软雅黑" w:hAnsi="微软雅黑" w:eastAsia="微软雅黑" w:cs="微软雅黑"/>
                <w:i/>
                <w:iCs/>
                <w:color w:val="000000"/>
                <w:sz w:val="16"/>
                <w:szCs w:val="16"/>
              </w:rPr>
            </w:pPr>
            <w:r>
              <w:rPr>
                <w:rFonts w:ascii="宋体" w:hAnsi="宋体" w:cs="宋体"/>
                <w:color w:val="000000"/>
                <w:kern w:val="0"/>
                <w:sz w:val="18"/>
                <w:szCs w:val="18"/>
                <w:lang w:bidi="ar"/>
              </w:rPr>
              <w:t>有效控制总成本</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5E2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ABA3">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E762">
            <w:pPr>
              <w:jc w:val="center"/>
              <w:rPr>
                <w:rFonts w:ascii="微软雅黑" w:hAnsi="微软雅黑" w:eastAsia="微软雅黑" w:cs="微软雅黑"/>
                <w:i/>
                <w:iCs/>
                <w:color w:val="000000"/>
                <w:sz w:val="16"/>
                <w:szCs w:val="16"/>
              </w:rPr>
            </w:pPr>
          </w:p>
        </w:tc>
      </w:tr>
      <w:tr w14:paraId="053A1B48">
        <w:tblPrEx>
          <w:tblCellMar>
            <w:top w:w="0" w:type="dxa"/>
            <w:left w:w="108" w:type="dxa"/>
            <w:bottom w:w="0" w:type="dxa"/>
            <w:right w:w="108" w:type="dxa"/>
          </w:tblCellMar>
        </w:tblPrEx>
        <w:trPr>
          <w:trHeight w:val="51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2CC9E">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3B06A">
            <w:pPr>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981D1">
            <w:pPr>
              <w:jc w:val="center"/>
              <w:rPr>
                <w:rFonts w:ascii="宋体" w:hAnsi="宋体" w:cs="宋体"/>
                <w:color w:val="000000"/>
                <w:sz w:val="18"/>
                <w:szCs w:val="18"/>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713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按合同支付</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BB7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F5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1563000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31B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元/年</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BC18">
            <w:pPr>
              <w:jc w:val="center"/>
              <w:rPr>
                <w:rFonts w:ascii="微软雅黑" w:hAnsi="微软雅黑" w:eastAsia="微软雅黑" w:cs="微软雅黑"/>
                <w:i/>
                <w:iCs/>
                <w:color w:val="000000"/>
                <w:sz w:val="16"/>
                <w:szCs w:val="16"/>
              </w:rPr>
            </w:pPr>
            <w:r>
              <w:rPr>
                <w:rFonts w:ascii="宋体" w:hAnsi="宋体" w:cs="宋体"/>
                <w:color w:val="000000"/>
                <w:kern w:val="0"/>
                <w:sz w:val="18"/>
                <w:szCs w:val="18"/>
                <w:lang w:bidi="ar"/>
              </w:rPr>
              <w:t>1563000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21D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0B6C">
            <w:pPr>
              <w:jc w:val="center"/>
              <w:rPr>
                <w:rFonts w:ascii="宋体" w:hAnsi="宋体" w:cs="宋体"/>
                <w:color w:val="000000"/>
                <w:sz w:val="18"/>
                <w:szCs w:val="18"/>
              </w:rPr>
            </w:pPr>
            <w:r>
              <w:rPr>
                <w:rFonts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7F2C">
            <w:pPr>
              <w:jc w:val="center"/>
              <w:rPr>
                <w:rFonts w:ascii="微软雅黑" w:hAnsi="微软雅黑" w:eastAsia="微软雅黑" w:cs="微软雅黑"/>
                <w:i/>
                <w:iCs/>
                <w:color w:val="000000"/>
                <w:sz w:val="16"/>
                <w:szCs w:val="16"/>
              </w:rPr>
            </w:pPr>
          </w:p>
        </w:tc>
      </w:tr>
      <w:tr w14:paraId="2D98BE91">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BA38FE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06BA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68B9">
            <w:pPr>
              <w:rPr>
                <w:rFonts w:ascii="宋体" w:hAnsi="宋体" w:cs="宋体"/>
                <w:color w:val="000000"/>
                <w:sz w:val="18"/>
                <w:szCs w:val="18"/>
              </w:rPr>
            </w:pPr>
            <w:r>
              <w:rPr>
                <w:rFonts w:ascii="宋体" w:hAnsi="宋体" w:cs="宋体"/>
                <w:color w:val="000000"/>
                <w:sz w:val="18"/>
                <w:szCs w:val="18"/>
              </w:rPr>
              <w:t>89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1A26">
            <w:pPr>
              <w:rPr>
                <w:rFonts w:ascii="宋体" w:hAnsi="宋体" w:cs="宋体"/>
                <w:color w:val="000000"/>
                <w:sz w:val="18"/>
                <w:szCs w:val="18"/>
              </w:rPr>
            </w:pPr>
          </w:p>
        </w:tc>
      </w:tr>
      <w:tr w14:paraId="4D5B3342">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294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A8A25A">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该项目立项必要性和依据充分，绩效目标明确，符合财政资金支持方向。该项目预算156.3万元，实际支付156.3万元，无结余，无资金挪用、挤占等情况发生，评价良好。该项目改善了学校校园环境卫生和绿化成效，提升了安全保障和水电维修服务质量，提高住校生管理效率和人身财产安全，符合学校发展规划和发展需要，为学校发展提供有力保障。</w:t>
            </w:r>
          </w:p>
        </w:tc>
      </w:tr>
      <w:tr w14:paraId="78A5B816">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D3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810A8D">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1.物业巡查不及时：物业两个校区巡查不及时，反馈不及时。</w:t>
            </w:r>
          </w:p>
          <w:p w14:paraId="42FDC395">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2.物业从业人员年龄结构偏大：物业从业人员大多年龄在55岁左右。</w:t>
            </w:r>
          </w:p>
        </w:tc>
      </w:tr>
      <w:tr w14:paraId="45C9EAAE">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898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89EF03">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1.学校和物业公司双方加强管理，对巡查人员提出职责要求，加强校园巡查，并及时报告。</w:t>
            </w:r>
          </w:p>
          <w:p w14:paraId="461EC033">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2.物业公司双方加强人员管理，在同等条件下招聘人员年轻化。</w:t>
            </w:r>
          </w:p>
        </w:tc>
      </w:tr>
      <w:tr w14:paraId="5D57BED6">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A19EA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项目负责人：代波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73D273">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6DFE67CF">
        <w:tblPrEx>
          <w:tblCellMar>
            <w:top w:w="0" w:type="dxa"/>
            <w:left w:w="108" w:type="dxa"/>
            <w:bottom w:w="0" w:type="dxa"/>
            <w:right w:w="108" w:type="dxa"/>
          </w:tblCellMar>
        </w:tblPrEx>
        <w:trPr>
          <w:trHeight w:val="498" w:hRule="atLeast"/>
        </w:trPr>
        <w:tc>
          <w:tcPr>
            <w:tcW w:w="597" w:type="dxa"/>
            <w:tcBorders>
              <w:top w:val="nil"/>
              <w:left w:val="nil"/>
              <w:bottom w:val="nil"/>
              <w:right w:val="nil"/>
            </w:tcBorders>
            <w:shd w:val="clear" w:color="auto" w:fill="auto"/>
            <w:vAlign w:val="center"/>
          </w:tcPr>
          <w:p w14:paraId="52AA1E3C">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68550C2F">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347E273E">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66E843FA">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26706055">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547F9E86">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716B82AB">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45BAE3F3">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10C5F4D1">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08D22428">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36C96065">
            <w:pPr>
              <w:rPr>
                <w:rFonts w:ascii="宋体" w:hAnsi="宋体" w:cs="宋体"/>
                <w:color w:val="000000"/>
                <w:sz w:val="18"/>
                <w:szCs w:val="18"/>
              </w:rPr>
            </w:pPr>
          </w:p>
        </w:tc>
      </w:tr>
      <w:tr w14:paraId="551C7615">
        <w:tblPrEx>
          <w:tblCellMar>
            <w:top w:w="0" w:type="dxa"/>
            <w:left w:w="108" w:type="dxa"/>
            <w:bottom w:w="0" w:type="dxa"/>
            <w:right w:w="108" w:type="dxa"/>
          </w:tblCellMar>
        </w:tblPrEx>
        <w:trPr>
          <w:trHeight w:val="1012" w:hRule="atLeast"/>
        </w:trPr>
        <w:tc>
          <w:tcPr>
            <w:tcW w:w="597" w:type="dxa"/>
            <w:tcBorders>
              <w:top w:val="nil"/>
              <w:left w:val="nil"/>
              <w:bottom w:val="nil"/>
              <w:right w:val="nil"/>
            </w:tcBorders>
            <w:shd w:val="clear" w:color="auto" w:fill="auto"/>
            <w:vAlign w:val="center"/>
          </w:tcPr>
          <w:p w14:paraId="622E3B03">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73F83FD9">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570BE357">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0164DD5D">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7F0AF17D">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111EA5E0">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22C4AA81">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10ED4D8A">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2C629F93">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5E36877A">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49D7E1BD">
            <w:pPr>
              <w:rPr>
                <w:rFonts w:ascii="宋体" w:hAnsi="宋体" w:cs="宋体"/>
                <w:color w:val="000000"/>
                <w:sz w:val="18"/>
                <w:szCs w:val="18"/>
              </w:rPr>
            </w:pPr>
          </w:p>
        </w:tc>
      </w:tr>
      <w:tr w14:paraId="06ACCBC1">
        <w:tblPrEx>
          <w:tblCellMar>
            <w:top w:w="0" w:type="dxa"/>
            <w:left w:w="108" w:type="dxa"/>
            <w:bottom w:w="0" w:type="dxa"/>
            <w:right w:w="108" w:type="dxa"/>
          </w:tblCellMar>
        </w:tblPrEx>
        <w:trPr>
          <w:trHeight w:val="498"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D2D24F">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0A50B0FA">
        <w:tblPrEx>
          <w:tblCellMar>
            <w:top w:w="0" w:type="dxa"/>
            <w:left w:w="108" w:type="dxa"/>
            <w:bottom w:w="0" w:type="dxa"/>
            <w:right w:w="108" w:type="dxa"/>
          </w:tblCellMar>
        </w:tblPrEx>
        <w:trPr>
          <w:trHeight w:val="584"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5F4D4">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772FCF">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51320024T000010365558-西区边坡治理</w:t>
            </w:r>
          </w:p>
        </w:tc>
      </w:tr>
      <w:tr w14:paraId="6E8445B7">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1878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40B42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545AB2E1">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466FE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54ECF3FD">
        <w:tblPrEx>
          <w:tblCellMar>
            <w:top w:w="0" w:type="dxa"/>
            <w:left w:w="108" w:type="dxa"/>
            <w:bottom w:w="0" w:type="dxa"/>
            <w:right w:w="108" w:type="dxa"/>
          </w:tblCellMar>
        </w:tblPrEx>
        <w:trPr>
          <w:trHeight w:val="803"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09E8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A328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A05F7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236D3A">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35466B9C">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B1B4F">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7FAEF">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D7E72F">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保护山体，避免再次发生变形失稳，消除边坡安全隐患。</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EB4EDC">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最高端以格构梁方式保护山体，中部采用抗滑桩方式稳固山体，低端采用挡墙方式校区安全隐患。</w:t>
            </w:r>
          </w:p>
        </w:tc>
      </w:tr>
      <w:tr w14:paraId="388316C8">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59F77">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BA3E">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42A52F">
            <w:pPr>
              <w:rPr>
                <w:rFonts w:ascii="宋体" w:hAnsi="宋体" w:cs="宋体"/>
                <w:color w:val="000000"/>
                <w:sz w:val="18"/>
                <w:szCs w:val="18"/>
              </w:rPr>
            </w:pPr>
            <w:r>
              <w:rPr>
                <w:rFonts w:hint="eastAsia" w:ascii="宋体" w:hAnsi="宋体" w:cs="宋体"/>
                <w:color w:val="000000"/>
                <w:sz w:val="18"/>
                <w:szCs w:val="18"/>
              </w:rPr>
              <w:t>该项目经阿坝州人民政府协调，阿坝州财政局、阿坝州教育局共同配合，学校聘请专家全程指导和前期可研编制、评审，申请该项目部分预算资金254.62万元。</w:t>
            </w:r>
          </w:p>
        </w:tc>
      </w:tr>
      <w:tr w14:paraId="40461C19">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6FE7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D37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6EE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753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B510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378C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FA2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75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E8A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34AC95AD">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F94F2">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E5C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23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478.66</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EED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252.64</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A180C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252.64</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56C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47%</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D91E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28616">
            <w:pPr>
              <w:jc w:val="center"/>
              <w:rPr>
                <w:rFonts w:ascii="宋体" w:hAnsi="宋体" w:cs="宋体"/>
                <w:color w:val="000000"/>
                <w:sz w:val="18"/>
                <w:szCs w:val="18"/>
              </w:rPr>
            </w:pPr>
            <w:r>
              <w:rPr>
                <w:rFonts w:hint="eastAsia" w:ascii="宋体" w:hAnsi="宋体" w:cs="宋体"/>
                <w:color w:val="000000"/>
                <w:sz w:val="18"/>
                <w:szCs w:val="18"/>
              </w:rPr>
              <w:t>6</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E7FB3">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因马尔康停工期较长，从上年11月中旬至次年3月上旬，且该项工程施工进入收尾阶段，目前待竣工结算后再支付。</w:t>
            </w:r>
          </w:p>
        </w:tc>
      </w:tr>
      <w:tr w14:paraId="3B4EB01C">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001F6">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B63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0C3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478.66</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460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252.64</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50D8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252.64</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F2BC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47%</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7304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784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B354A">
            <w:pPr>
              <w:rPr>
                <w:rFonts w:ascii="黑体" w:hAnsi="黑体" w:eastAsia="黑体" w:cs="黑体"/>
                <w:i/>
                <w:iCs/>
                <w:color w:val="000000"/>
                <w:sz w:val="18"/>
                <w:szCs w:val="18"/>
              </w:rPr>
            </w:pPr>
          </w:p>
        </w:tc>
      </w:tr>
      <w:tr w14:paraId="3DC0B401">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A5FB2">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6F1D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F10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8A2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F5F83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757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65A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1F0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880E4">
            <w:pPr>
              <w:rPr>
                <w:rFonts w:ascii="黑体" w:hAnsi="黑体" w:eastAsia="黑体" w:cs="黑体"/>
                <w:i/>
                <w:iCs/>
                <w:color w:val="000000"/>
                <w:sz w:val="18"/>
                <w:szCs w:val="18"/>
              </w:rPr>
            </w:pPr>
          </w:p>
        </w:tc>
      </w:tr>
      <w:tr w14:paraId="4EB42AFF">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E0D94">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9F0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CB45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655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BCA41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A15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2BD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95D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25A92">
            <w:pPr>
              <w:rPr>
                <w:rFonts w:ascii="黑体" w:hAnsi="黑体" w:eastAsia="黑体" w:cs="黑体"/>
                <w:i/>
                <w:iCs/>
                <w:color w:val="000000"/>
                <w:sz w:val="18"/>
                <w:szCs w:val="18"/>
              </w:rPr>
            </w:pPr>
          </w:p>
        </w:tc>
      </w:tr>
      <w:tr w14:paraId="78D6071D">
        <w:tblPrEx>
          <w:tblCellMar>
            <w:top w:w="0" w:type="dxa"/>
            <w:left w:w="108" w:type="dxa"/>
            <w:bottom w:w="0" w:type="dxa"/>
            <w:right w:w="108" w:type="dxa"/>
          </w:tblCellMar>
        </w:tblPrEx>
        <w:trPr>
          <w:trHeight w:val="1914"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F88B7">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F54F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9AC5">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31F60">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5AD03">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B273">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3DC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17F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BCB51">
            <w:pPr>
              <w:rPr>
                <w:rFonts w:ascii="黑体" w:hAnsi="黑体" w:eastAsia="黑体" w:cs="黑体"/>
                <w:i/>
                <w:iCs/>
                <w:color w:val="000000"/>
                <w:sz w:val="18"/>
                <w:szCs w:val="18"/>
              </w:rPr>
            </w:pPr>
          </w:p>
        </w:tc>
      </w:tr>
      <w:tr w14:paraId="20109B15">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92151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0E8C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1A8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B338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F55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39A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492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C6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0D0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D19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0471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2F6EA168">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AEEEC">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147B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33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AF1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滑坡治理平方数</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CE6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59C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8300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E37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ADE0">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8</w:t>
            </w:r>
            <w:r>
              <w:rPr>
                <w:rFonts w:ascii="微软雅黑" w:hAnsi="微软雅黑" w:eastAsia="微软雅黑" w:cs="微软雅黑"/>
                <w:i/>
                <w:iCs/>
                <w:color w:val="000000"/>
                <w:sz w:val="16"/>
                <w:szCs w:val="16"/>
              </w:rPr>
              <w:t>300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8E4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9D64">
            <w:pPr>
              <w:jc w:val="center"/>
              <w:rPr>
                <w:rFonts w:ascii="宋体" w:hAnsi="宋体" w:cs="宋体"/>
                <w:color w:val="000000"/>
                <w:sz w:val="18"/>
                <w:szCs w:val="18"/>
              </w:rPr>
            </w:pPr>
            <w:r>
              <w:rPr>
                <w:rFonts w:ascii="宋体" w:hAnsi="宋体" w:cs="宋体"/>
                <w:color w:val="000000"/>
                <w:sz w:val="18"/>
                <w:szCs w:val="18"/>
              </w:rPr>
              <w:t>18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63AB2">
            <w:pPr>
              <w:jc w:val="center"/>
              <w:rPr>
                <w:rFonts w:ascii="微软雅黑" w:hAnsi="微软雅黑" w:eastAsia="微软雅黑" w:cs="微软雅黑"/>
                <w:i/>
                <w:iCs/>
                <w:color w:val="000000"/>
                <w:sz w:val="16"/>
                <w:szCs w:val="16"/>
              </w:rPr>
            </w:pPr>
          </w:p>
        </w:tc>
      </w:tr>
      <w:tr w14:paraId="4880E9A4">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56487">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F2E71">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734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BA5A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项目完工时间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354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DB9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2024年6月10日前</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51D5">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8B62">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正在施工</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2977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869E">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4</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EA50">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受马尔康季节影响，绿植在每年3、4月份栽种成活率高。</w:t>
            </w:r>
          </w:p>
        </w:tc>
      </w:tr>
      <w:tr w14:paraId="3C0E2413">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AE854">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AA41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718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7A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保障师生生命安全</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7C6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8F5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有效保障</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4094">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9D742">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已保障</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A9D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44B04">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54DC">
            <w:pPr>
              <w:jc w:val="center"/>
              <w:rPr>
                <w:rFonts w:ascii="微软雅黑" w:hAnsi="微软雅黑" w:eastAsia="微软雅黑" w:cs="微软雅黑"/>
                <w:i/>
                <w:iCs/>
                <w:color w:val="000000"/>
                <w:sz w:val="16"/>
                <w:szCs w:val="16"/>
              </w:rPr>
            </w:pPr>
          </w:p>
        </w:tc>
      </w:tr>
      <w:tr w14:paraId="01FB09A6">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473BE">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819BA">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DCC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生态效益指标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3CC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滑坡治理</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3AA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C7C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滑坡治理保护植被</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358AB">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B08E7">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已保护</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3DE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B6E5">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9444">
            <w:pPr>
              <w:jc w:val="center"/>
              <w:rPr>
                <w:rFonts w:ascii="微软雅黑" w:hAnsi="微软雅黑" w:eastAsia="微软雅黑" w:cs="微软雅黑"/>
                <w:i/>
                <w:iCs/>
                <w:color w:val="000000"/>
                <w:sz w:val="16"/>
                <w:szCs w:val="16"/>
              </w:rPr>
            </w:pPr>
          </w:p>
        </w:tc>
      </w:tr>
      <w:tr w14:paraId="02E9E397">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70BEA">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633F5">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6D6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9EA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预防滑坡</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308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B90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有限预防</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2C5CB">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4895">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有预防</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DC9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DC18">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2E51">
            <w:pPr>
              <w:jc w:val="center"/>
              <w:rPr>
                <w:rFonts w:ascii="微软雅黑" w:hAnsi="微软雅黑" w:eastAsia="微软雅黑" w:cs="微软雅黑"/>
                <w:i/>
                <w:iCs/>
                <w:color w:val="000000"/>
                <w:sz w:val="16"/>
                <w:szCs w:val="16"/>
              </w:rPr>
            </w:pPr>
          </w:p>
        </w:tc>
      </w:tr>
      <w:tr w14:paraId="16F7066A">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09752">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B46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309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AA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师生满意度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ED6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0FDF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E0CE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BCF1">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90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349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854E">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0A1BB">
            <w:pPr>
              <w:jc w:val="center"/>
              <w:rPr>
                <w:rFonts w:ascii="微软雅黑" w:hAnsi="微软雅黑" w:eastAsia="微软雅黑" w:cs="微软雅黑"/>
                <w:i/>
                <w:iCs/>
                <w:color w:val="000000"/>
                <w:sz w:val="16"/>
                <w:szCs w:val="16"/>
              </w:rPr>
            </w:pPr>
          </w:p>
        </w:tc>
      </w:tr>
      <w:tr w14:paraId="636451F3">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CFB5F">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8E5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69F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EF1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每平方成本控制范围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A82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788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FDC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元/平方米</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D44A">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1400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ADB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49A4">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8839">
            <w:pPr>
              <w:jc w:val="center"/>
              <w:rPr>
                <w:rFonts w:ascii="微软雅黑" w:hAnsi="微软雅黑" w:eastAsia="微软雅黑" w:cs="微软雅黑"/>
                <w:i/>
                <w:iCs/>
                <w:color w:val="000000"/>
                <w:sz w:val="16"/>
                <w:szCs w:val="16"/>
              </w:rPr>
            </w:pPr>
          </w:p>
        </w:tc>
      </w:tr>
      <w:tr w14:paraId="01B9559D">
        <w:tblPrEx>
          <w:tblCellMar>
            <w:top w:w="0" w:type="dxa"/>
            <w:left w:w="108" w:type="dxa"/>
            <w:bottom w:w="0" w:type="dxa"/>
            <w:right w:w="108" w:type="dxa"/>
          </w:tblCellMar>
        </w:tblPrEx>
        <w:trPr>
          <w:trHeight w:val="1023"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B59A1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46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3A775">
            <w:pPr>
              <w:rPr>
                <w:rFonts w:ascii="宋体" w:hAnsi="宋体" w:cs="宋体"/>
                <w:color w:val="000000"/>
                <w:sz w:val="18"/>
                <w:szCs w:val="18"/>
              </w:rPr>
            </w:pPr>
            <w:r>
              <w:rPr>
                <w:rFonts w:ascii="宋体" w:hAnsi="宋体" w:cs="宋体"/>
                <w:color w:val="000000"/>
                <w:sz w:val="18"/>
                <w:szCs w:val="18"/>
              </w:rPr>
              <w:t>88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A566">
            <w:pPr>
              <w:rPr>
                <w:rFonts w:ascii="宋体" w:hAnsi="宋体" w:cs="宋体"/>
                <w:color w:val="000000"/>
                <w:sz w:val="18"/>
                <w:szCs w:val="18"/>
              </w:rPr>
            </w:pPr>
          </w:p>
        </w:tc>
      </w:tr>
      <w:tr w14:paraId="0C29F2F3">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5E20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9C72B8">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该项目立项必要性和依据充分，绩效目标明确，符合财政资金支持方向。该项目预算254.62万元，实际支付254.62万元，无结余，无挪用、挤占等情况发生，评价良好。该项目保护山体，避免再次发生变形失稳，消除边坡安全隐患；保护学校师生生命和财产安全，构建校园安全环境；保护自然环境，构建人与自然和谐环境。</w:t>
            </w:r>
          </w:p>
        </w:tc>
      </w:tr>
      <w:tr w14:paraId="6BFBC18C">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A73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C5D0EB">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1.工程绿植栽种受季节影响。</w:t>
            </w:r>
          </w:p>
          <w:p w14:paraId="764D7DFD">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2.学校管理人员不专业。</w:t>
            </w:r>
          </w:p>
        </w:tc>
      </w:tr>
      <w:tr w14:paraId="25E24F72">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0C2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F9E9CF">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1.根据马尔康季节，计划在2025年3、4月份完成绿植栽种工作。</w:t>
            </w:r>
          </w:p>
          <w:p w14:paraId="77B941D7">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2.加强学校管理人员集中和自学培训学习，提升管理人员对工程管理水平。</w:t>
            </w:r>
          </w:p>
        </w:tc>
      </w:tr>
      <w:tr w14:paraId="69091162">
        <w:tblPrEx>
          <w:tblCellMar>
            <w:top w:w="0" w:type="dxa"/>
            <w:left w:w="108" w:type="dxa"/>
            <w:bottom w:w="0" w:type="dxa"/>
            <w:right w:w="108" w:type="dxa"/>
          </w:tblCellMar>
        </w:tblPrEx>
        <w:trPr>
          <w:trHeight w:val="803"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6AF2DE">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项目负责人：代波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A957F8">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2BD9AE72">
        <w:tblPrEx>
          <w:tblCellMar>
            <w:top w:w="0" w:type="dxa"/>
            <w:left w:w="108" w:type="dxa"/>
            <w:bottom w:w="0" w:type="dxa"/>
            <w:right w:w="108" w:type="dxa"/>
          </w:tblCellMar>
        </w:tblPrEx>
        <w:trPr>
          <w:trHeight w:val="787" w:hRule="atLeast"/>
        </w:trPr>
        <w:tc>
          <w:tcPr>
            <w:tcW w:w="597" w:type="dxa"/>
            <w:tcBorders>
              <w:top w:val="nil"/>
              <w:left w:val="nil"/>
              <w:bottom w:val="nil"/>
              <w:right w:val="nil"/>
            </w:tcBorders>
            <w:shd w:val="clear" w:color="auto" w:fill="auto"/>
            <w:vAlign w:val="center"/>
          </w:tcPr>
          <w:p w14:paraId="6B4AD4D4">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6B45733A">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5B610136">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7097B04D">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4EF214E9">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698B8456">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504B9F82">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66BD0EDB">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1D032184">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4401080D">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2F1EDBEB">
            <w:pPr>
              <w:rPr>
                <w:rFonts w:ascii="宋体" w:hAnsi="宋体" w:cs="宋体"/>
                <w:color w:val="000000"/>
                <w:sz w:val="18"/>
                <w:szCs w:val="18"/>
              </w:rPr>
            </w:pPr>
          </w:p>
        </w:tc>
      </w:tr>
      <w:tr w14:paraId="3F3E128B">
        <w:tblPrEx>
          <w:tblCellMar>
            <w:top w:w="0" w:type="dxa"/>
            <w:left w:w="108" w:type="dxa"/>
            <w:bottom w:w="0" w:type="dxa"/>
            <w:right w:w="108" w:type="dxa"/>
          </w:tblCellMar>
        </w:tblPrEx>
        <w:trPr>
          <w:trHeight w:val="498"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71A6BD">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0C7950C1">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1A09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EC5E5B">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51320024T000010712387-四川省马尔康中学校西区食堂改造项目</w:t>
            </w:r>
          </w:p>
        </w:tc>
      </w:tr>
      <w:tr w14:paraId="68C1AA00">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85FF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5E0D1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27A4CD1A">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77DC8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1FD577D8">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7A5A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C4092">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43D2C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ACC0E1">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42BF8D4C">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51ECE">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C8DFE">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840663">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完善西区食堂学生就餐条件，达到改善办学条件，提升教育教学质量，使学校校舍环境更加完善。及时消除了学校可能面临的食品安全、设备安全、用电安全等隐患，为校园提供了安全的校园条件，有效的保障了学校师生生命财产安全。</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A2CAFC">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一是满足就餐人数增加的需求；二是提升学校餐饮服务质量，降低食品安全风险；三是改善原材料储存、食品加工、就餐环境，提升办学条件。</w:t>
            </w:r>
          </w:p>
        </w:tc>
      </w:tr>
      <w:tr w14:paraId="1D4177F9">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01248">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02BF">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6A58D2">
            <w:pPr>
              <w:rPr>
                <w:rFonts w:ascii="宋体" w:hAnsi="宋体" w:cs="宋体"/>
                <w:color w:val="000000"/>
                <w:sz w:val="18"/>
                <w:szCs w:val="18"/>
              </w:rPr>
            </w:pPr>
            <w:r>
              <w:rPr>
                <w:rFonts w:hint="eastAsia" w:ascii="宋体" w:hAnsi="宋体" w:cs="宋体"/>
                <w:color w:val="000000"/>
                <w:sz w:val="18"/>
                <w:szCs w:val="18"/>
              </w:rPr>
              <w:t>西区食堂建筑于2009年修建，总建筑面积2202.2平方米，食堂使用长达14年之久，一是不能满足主管部门对学生食堂管理新要求；二是设备设施不能满足食堂备餐需要；三是线路管道老化。主要对食堂生菜熟食售卖布局调整、墙面地面防滑处理、线路管道改造、设备设施升级、智慧食堂建设等全面改造。</w:t>
            </w:r>
          </w:p>
        </w:tc>
      </w:tr>
      <w:tr w14:paraId="0A2C2E76">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20AA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7C6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BD41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E5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B45E3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316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BE8E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98F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0D98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382E9DE7">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ACF9D">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12E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7380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C9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076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477.16</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293E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95.43%</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86E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4995">
            <w:pPr>
              <w:jc w:val="center"/>
              <w:rPr>
                <w:rFonts w:ascii="宋体" w:hAnsi="宋体" w:cs="宋体"/>
                <w:color w:val="000000"/>
                <w:sz w:val="18"/>
                <w:szCs w:val="18"/>
              </w:rPr>
            </w:pPr>
            <w:r>
              <w:rPr>
                <w:rFonts w:hint="eastAsia" w:ascii="宋体" w:hAnsi="宋体" w:cs="宋体"/>
                <w:color w:val="000000"/>
                <w:sz w:val="18"/>
                <w:szCs w:val="18"/>
              </w:rPr>
              <w:t>9</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4E28E">
            <w:pPr>
              <w:widowControl/>
              <w:jc w:val="left"/>
              <w:textAlignment w:val="center"/>
              <w:rPr>
                <w:rFonts w:ascii="黑体" w:hAnsi="黑体" w:eastAsia="黑体" w:cs="黑体"/>
                <w:i/>
                <w:iCs/>
                <w:color w:val="000000"/>
                <w:kern w:val="0"/>
                <w:sz w:val="18"/>
                <w:szCs w:val="18"/>
                <w:lang w:bidi="ar"/>
              </w:rPr>
            </w:pPr>
            <w:r>
              <w:rPr>
                <w:rFonts w:hint="eastAsia" w:ascii="黑体" w:hAnsi="黑体" w:eastAsia="黑体" w:cs="黑体"/>
                <w:i/>
                <w:iCs/>
                <w:color w:val="000000"/>
                <w:kern w:val="0"/>
                <w:sz w:val="18"/>
                <w:szCs w:val="18"/>
                <w:lang w:bidi="ar"/>
              </w:rPr>
              <w:t>1.工程管理经验缺乏，业务指导依赖监理单位。</w:t>
            </w:r>
          </w:p>
          <w:p w14:paraId="0DEF78EC">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2.缺乏专业厨具知识，存在项目实施过程中突击学习的现象。</w:t>
            </w:r>
          </w:p>
        </w:tc>
      </w:tr>
      <w:tr w14:paraId="26315B01">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4A332">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849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F71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7EB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920D4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477.16</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A30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95.43%</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63A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D9A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BA6AB">
            <w:pPr>
              <w:rPr>
                <w:rFonts w:ascii="黑体" w:hAnsi="黑体" w:eastAsia="黑体" w:cs="黑体"/>
                <w:i/>
                <w:iCs/>
                <w:color w:val="000000"/>
                <w:sz w:val="18"/>
                <w:szCs w:val="18"/>
              </w:rPr>
            </w:pPr>
          </w:p>
        </w:tc>
      </w:tr>
      <w:tr w14:paraId="0938F1C5">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6E508">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BC4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912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29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084AB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1A6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292F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123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A4619">
            <w:pPr>
              <w:rPr>
                <w:rFonts w:ascii="黑体" w:hAnsi="黑体" w:eastAsia="黑体" w:cs="黑体"/>
                <w:i/>
                <w:iCs/>
                <w:color w:val="000000"/>
                <w:sz w:val="18"/>
                <w:szCs w:val="18"/>
              </w:rPr>
            </w:pPr>
          </w:p>
        </w:tc>
      </w:tr>
      <w:tr w14:paraId="6E0D479E">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4BB50">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254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912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91E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44297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AAE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4A2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E37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6B98E">
            <w:pPr>
              <w:rPr>
                <w:rFonts w:ascii="黑体" w:hAnsi="黑体" w:eastAsia="黑体" w:cs="黑体"/>
                <w:i/>
                <w:iCs/>
                <w:color w:val="000000"/>
                <w:sz w:val="18"/>
                <w:szCs w:val="18"/>
              </w:rPr>
            </w:pPr>
          </w:p>
        </w:tc>
      </w:tr>
      <w:tr w14:paraId="1FC02141">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56D50">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571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10186">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143C">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4C6338">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F396">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9D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5A8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E5788">
            <w:pPr>
              <w:rPr>
                <w:rFonts w:ascii="黑体" w:hAnsi="黑体" w:eastAsia="黑体" w:cs="黑体"/>
                <w:i/>
                <w:iCs/>
                <w:color w:val="000000"/>
                <w:sz w:val="18"/>
                <w:szCs w:val="18"/>
              </w:rPr>
            </w:pPr>
          </w:p>
        </w:tc>
      </w:tr>
      <w:tr w14:paraId="2BD60D87">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A9F9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16D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D85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CB0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2A0B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CCB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FF2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10A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0F3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A0B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7F0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79A2D20F">
        <w:tblPrEx>
          <w:tblCellMar>
            <w:top w:w="0" w:type="dxa"/>
            <w:left w:w="108" w:type="dxa"/>
            <w:bottom w:w="0" w:type="dxa"/>
            <w:right w:w="108" w:type="dxa"/>
          </w:tblCellMar>
        </w:tblPrEx>
        <w:trPr>
          <w:trHeight w:val="770"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094BB">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1C5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2C9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3D3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达到指标标准</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998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628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92C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5B087">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2</w:t>
            </w:r>
            <w:r>
              <w:rPr>
                <w:rFonts w:ascii="微软雅黑" w:hAnsi="微软雅黑" w:eastAsia="微软雅黑" w:cs="微软雅黑"/>
                <w:i/>
                <w:iCs/>
                <w:color w:val="000000"/>
                <w:sz w:val="16"/>
                <w:szCs w:val="16"/>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B64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E50C">
            <w:pPr>
              <w:jc w:val="center"/>
              <w:rPr>
                <w:rFonts w:ascii="宋体" w:hAnsi="宋体" w:cs="宋体"/>
                <w:color w:val="000000"/>
                <w:sz w:val="18"/>
                <w:szCs w:val="18"/>
              </w:rPr>
            </w:pPr>
            <w:r>
              <w:rPr>
                <w:rFonts w:ascii="宋体" w:hAnsi="宋体" w:cs="宋体"/>
                <w:color w:val="000000"/>
                <w:sz w:val="18"/>
                <w:szCs w:val="18"/>
              </w:rPr>
              <w:t>45</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1C46">
            <w:pPr>
              <w:jc w:val="center"/>
              <w:rPr>
                <w:rFonts w:ascii="微软雅黑" w:hAnsi="微软雅黑" w:eastAsia="微软雅黑" w:cs="微软雅黑"/>
                <w:i/>
                <w:iCs/>
                <w:color w:val="000000"/>
                <w:sz w:val="16"/>
                <w:szCs w:val="16"/>
              </w:rPr>
            </w:pPr>
          </w:p>
        </w:tc>
      </w:tr>
      <w:tr w14:paraId="2386CEBC">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D02A7">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7EF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F890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9FC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达到效益指标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215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1F5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853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6FB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5</w:t>
            </w:r>
            <w:r>
              <w:rPr>
                <w:rFonts w:ascii="微软雅黑" w:hAnsi="微软雅黑" w:eastAsia="微软雅黑" w:cs="微软雅黑"/>
                <w:i/>
                <w:iCs/>
                <w:color w:val="000000"/>
                <w:sz w:val="16"/>
                <w:szCs w:val="16"/>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251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CDF7">
            <w:pPr>
              <w:jc w:val="center"/>
              <w:rPr>
                <w:rFonts w:ascii="宋体" w:hAnsi="宋体" w:cs="宋体"/>
                <w:color w:val="000000"/>
                <w:sz w:val="18"/>
                <w:szCs w:val="18"/>
              </w:rPr>
            </w:pPr>
            <w:r>
              <w:rPr>
                <w:rFonts w:ascii="宋体" w:hAnsi="宋体" w:cs="宋体"/>
                <w:color w:val="000000"/>
                <w:sz w:val="18"/>
                <w:szCs w:val="18"/>
              </w:rPr>
              <w:t>25</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EFD9">
            <w:pPr>
              <w:jc w:val="center"/>
              <w:rPr>
                <w:rFonts w:ascii="微软雅黑" w:hAnsi="微软雅黑" w:eastAsia="微软雅黑" w:cs="微软雅黑"/>
                <w:i/>
                <w:iCs/>
                <w:color w:val="000000"/>
                <w:sz w:val="16"/>
                <w:szCs w:val="16"/>
              </w:rPr>
            </w:pPr>
          </w:p>
        </w:tc>
      </w:tr>
      <w:tr w14:paraId="095F7EAD">
        <w:tblPrEx>
          <w:tblCellMar>
            <w:top w:w="0" w:type="dxa"/>
            <w:left w:w="108" w:type="dxa"/>
            <w:bottom w:w="0" w:type="dxa"/>
            <w:right w:w="108" w:type="dxa"/>
          </w:tblCellMar>
        </w:tblPrEx>
        <w:trPr>
          <w:trHeight w:val="686"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D170C">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54C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848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A9A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达到满意度标准</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053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B0B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654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5F96">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3</w:t>
            </w:r>
            <w:r>
              <w:rPr>
                <w:rFonts w:ascii="微软雅黑" w:hAnsi="微软雅黑" w:eastAsia="微软雅黑" w:cs="微软雅黑"/>
                <w:i/>
                <w:iCs/>
                <w:color w:val="000000"/>
                <w:sz w:val="16"/>
                <w:szCs w:val="16"/>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B20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54E4">
            <w:pPr>
              <w:jc w:val="center"/>
              <w:rPr>
                <w:rFonts w:ascii="宋体" w:hAnsi="宋体" w:cs="宋体"/>
                <w:color w:val="000000"/>
                <w:sz w:val="18"/>
                <w:szCs w:val="18"/>
              </w:rPr>
            </w:pPr>
            <w:r>
              <w:rPr>
                <w:rFonts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8E099">
            <w:pPr>
              <w:jc w:val="center"/>
              <w:rPr>
                <w:rFonts w:ascii="微软雅黑" w:hAnsi="微软雅黑" w:eastAsia="微软雅黑" w:cs="微软雅黑"/>
                <w:i/>
                <w:iCs/>
                <w:color w:val="000000"/>
                <w:sz w:val="16"/>
                <w:szCs w:val="16"/>
              </w:rPr>
            </w:pPr>
          </w:p>
        </w:tc>
      </w:tr>
      <w:tr w14:paraId="3F8EF839">
        <w:tblPrEx>
          <w:tblCellMar>
            <w:top w:w="0" w:type="dxa"/>
            <w:left w:w="108" w:type="dxa"/>
            <w:bottom w:w="0" w:type="dxa"/>
            <w:right w:w="108" w:type="dxa"/>
          </w:tblCellMar>
        </w:tblPrEx>
        <w:trPr>
          <w:trHeight w:val="651"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36754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949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FD86">
            <w:pPr>
              <w:rPr>
                <w:rFonts w:ascii="宋体" w:hAnsi="宋体" w:cs="宋体"/>
                <w:color w:val="000000"/>
                <w:sz w:val="18"/>
                <w:szCs w:val="18"/>
              </w:rPr>
            </w:pPr>
            <w:r>
              <w:rPr>
                <w:rFonts w:ascii="宋体" w:hAnsi="宋体" w:cs="宋体"/>
                <w:color w:val="000000"/>
                <w:sz w:val="18"/>
                <w:szCs w:val="18"/>
              </w:rPr>
              <w:t>87</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0146">
            <w:pPr>
              <w:rPr>
                <w:rFonts w:ascii="宋体" w:hAnsi="宋体" w:cs="宋体"/>
                <w:color w:val="000000"/>
                <w:sz w:val="18"/>
                <w:szCs w:val="18"/>
              </w:rPr>
            </w:pPr>
          </w:p>
        </w:tc>
      </w:tr>
      <w:tr w14:paraId="6B9507F8">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61A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66500E">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综上所述，该项目立项必要性和依据充分，绩效目标明确，符合财政资金支持方向。该项目预算337.25万元，实际支付323.61万元，结转13.64万元（其中质保金90627.73元），无资金挪用、挤占等情况发生，评价良好。该项目提升了学校办学条件，提供了安全、健康、营养的食品，降低了食品安全风险，符合学校发展规划和发展需要，为学校食品安全提供有力保障。</w:t>
            </w:r>
          </w:p>
        </w:tc>
      </w:tr>
      <w:tr w14:paraId="2470B110">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951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3A6279">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.工程管理经验缺乏，业务指导依赖监理单位。</w:t>
            </w:r>
          </w:p>
        </w:tc>
      </w:tr>
      <w:tr w14:paraId="71721417">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D3E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65B6A9">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1.加强工程管理和厨具专业知识学习，多向业务部门沟通、交流、请教，在以后得工程管理中发挥业务指导作用。</w:t>
            </w:r>
          </w:p>
        </w:tc>
      </w:tr>
      <w:tr w14:paraId="0093B404">
        <w:tblPrEx>
          <w:tblCellMar>
            <w:top w:w="0" w:type="dxa"/>
            <w:left w:w="108" w:type="dxa"/>
            <w:bottom w:w="0" w:type="dxa"/>
            <w:right w:w="108" w:type="dxa"/>
          </w:tblCellMar>
        </w:tblPrEx>
        <w:trPr>
          <w:trHeight w:val="1023"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D3917B">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项目负责人：代波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9B2A38">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0EFB2395">
        <w:tblPrEx>
          <w:tblCellMar>
            <w:top w:w="0" w:type="dxa"/>
            <w:left w:w="108" w:type="dxa"/>
            <w:bottom w:w="0" w:type="dxa"/>
            <w:right w:w="108" w:type="dxa"/>
          </w:tblCellMar>
        </w:tblPrEx>
        <w:trPr>
          <w:trHeight w:val="498" w:hRule="atLeast"/>
        </w:trPr>
        <w:tc>
          <w:tcPr>
            <w:tcW w:w="597" w:type="dxa"/>
            <w:tcBorders>
              <w:top w:val="nil"/>
              <w:left w:val="nil"/>
              <w:bottom w:val="nil"/>
              <w:right w:val="nil"/>
            </w:tcBorders>
            <w:shd w:val="clear" w:color="auto" w:fill="auto"/>
            <w:vAlign w:val="center"/>
          </w:tcPr>
          <w:p w14:paraId="4A64940F">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1F193DF3">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043FDAF0">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4CEC23B8">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7CF3B01C">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1D6DF4C2">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773F2985">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724DC25D">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297F7732">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52945775">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5D3064B6">
            <w:pPr>
              <w:rPr>
                <w:rFonts w:ascii="宋体" w:hAnsi="宋体" w:cs="宋体"/>
                <w:color w:val="000000"/>
                <w:sz w:val="18"/>
                <w:szCs w:val="18"/>
              </w:rPr>
            </w:pPr>
          </w:p>
        </w:tc>
      </w:tr>
      <w:tr w14:paraId="0F61D7DC">
        <w:tblPrEx>
          <w:tblCellMar>
            <w:top w:w="0" w:type="dxa"/>
            <w:left w:w="108" w:type="dxa"/>
            <w:bottom w:w="0" w:type="dxa"/>
            <w:right w:w="108" w:type="dxa"/>
          </w:tblCellMar>
        </w:tblPrEx>
        <w:trPr>
          <w:trHeight w:val="584"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2F48955">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3E1EF4BA">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BA68F">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64F04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51320024T000010715784-四川省马尔康中学校西区设备设施采购项目</w:t>
            </w:r>
          </w:p>
        </w:tc>
      </w:tr>
      <w:tr w14:paraId="50D0B1FC">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306D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0B23E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76157076">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8D62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4D73FB56">
        <w:tblPrEx>
          <w:tblCellMar>
            <w:top w:w="0" w:type="dxa"/>
            <w:left w:w="108" w:type="dxa"/>
            <w:bottom w:w="0" w:type="dxa"/>
            <w:right w:w="108" w:type="dxa"/>
          </w:tblCellMar>
        </w:tblPrEx>
        <w:trPr>
          <w:trHeight w:val="787"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41ED2">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5DE3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7824A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6091B4">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49F9549F">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1CC5C">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9E8BC">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DD50C9">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一是提升硬件设备设施，改善学校办学条件；二是满足现代化教育教学需求；三是满足新高考走班制教学要求。</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040E4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一是提升硬件设备设施，改善学校办学条件；二是满足现代化教育教学需求；三是满足新高考走班制教学要求。</w:t>
            </w:r>
          </w:p>
        </w:tc>
      </w:tr>
      <w:tr w14:paraId="7D99347C">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FC7F5">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A62C">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359983">
            <w:pPr>
              <w:rPr>
                <w:rFonts w:ascii="宋体" w:hAnsi="宋体" w:cs="宋体"/>
                <w:color w:val="000000"/>
                <w:sz w:val="18"/>
                <w:szCs w:val="18"/>
              </w:rPr>
            </w:pPr>
            <w:r>
              <w:rPr>
                <w:rFonts w:hint="eastAsia" w:ascii="宋体" w:hAnsi="宋体" w:cs="宋体"/>
                <w:color w:val="000000"/>
                <w:sz w:val="18"/>
                <w:szCs w:val="18"/>
              </w:rPr>
              <w:t>该项目根据实施方案经过学校党委会、校务会多次研讨，该项目上报州教育局、州人民政府，一致认为该项目可行。同时根据上级部门和学校内控制度要求，严格按照采购程序开展各项工作，以招投标方式采购优质产品，按照采购进度实施设备设施采购，严格验收严把质量关。资金拨付按照合同约定按进度支付，由学校审核并上报党委会审议，审议通过后实施支付，该项目资金无挪用、挤占等情况。</w:t>
            </w:r>
          </w:p>
        </w:tc>
      </w:tr>
      <w:tr w14:paraId="5E944A6E">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6EAB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0C49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C5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8DA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C7DB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30F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D29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306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3C0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6C795A54">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81321">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4EE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545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1163</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DCDD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1163</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3C763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863.4</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9F0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74.24%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8B1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0867">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35F3D">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部分项目因招投标过程中被质疑和投诉，及其西区扩建工程（一期）项目施工进度滞后，影响项目实施进度。计划2025年完成项目目标。</w:t>
            </w:r>
          </w:p>
        </w:tc>
      </w:tr>
      <w:tr w14:paraId="4B7495F8">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151AD">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574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B76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1163</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916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1163</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871A8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863.40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D8FD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74.24%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3D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FC64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73C09">
            <w:pPr>
              <w:rPr>
                <w:rFonts w:ascii="黑体" w:hAnsi="黑体" w:eastAsia="黑体" w:cs="黑体"/>
                <w:i/>
                <w:iCs/>
                <w:color w:val="000000"/>
                <w:sz w:val="18"/>
                <w:szCs w:val="18"/>
              </w:rPr>
            </w:pPr>
          </w:p>
        </w:tc>
      </w:tr>
      <w:tr w14:paraId="49804D95">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9FA9A">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6B2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ABA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073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851FF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ABB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0354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D0F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D58C6">
            <w:pPr>
              <w:rPr>
                <w:rFonts w:ascii="黑体" w:hAnsi="黑体" w:eastAsia="黑体" w:cs="黑体"/>
                <w:i/>
                <w:iCs/>
                <w:color w:val="000000"/>
                <w:sz w:val="18"/>
                <w:szCs w:val="18"/>
              </w:rPr>
            </w:pPr>
          </w:p>
        </w:tc>
      </w:tr>
      <w:tr w14:paraId="131D1067">
        <w:tblPrEx>
          <w:tblCellMar>
            <w:top w:w="0" w:type="dxa"/>
            <w:left w:w="108" w:type="dxa"/>
            <w:bottom w:w="0" w:type="dxa"/>
            <w:right w:w="108" w:type="dxa"/>
          </w:tblCellMar>
        </w:tblPrEx>
        <w:trPr>
          <w:trHeight w:val="51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1CC2C">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17C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4DF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4FB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DC69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1930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B60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806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D4686">
            <w:pPr>
              <w:rPr>
                <w:rFonts w:ascii="黑体" w:hAnsi="黑体" w:eastAsia="黑体" w:cs="黑体"/>
                <w:i/>
                <w:iCs/>
                <w:color w:val="000000"/>
                <w:sz w:val="18"/>
                <w:szCs w:val="18"/>
              </w:rPr>
            </w:pPr>
          </w:p>
        </w:tc>
      </w:tr>
      <w:tr w14:paraId="597F3E90">
        <w:tblPrEx>
          <w:tblCellMar>
            <w:top w:w="0" w:type="dxa"/>
            <w:left w:w="108" w:type="dxa"/>
            <w:bottom w:w="0" w:type="dxa"/>
            <w:right w:w="108" w:type="dxa"/>
          </w:tblCellMar>
        </w:tblPrEx>
        <w:trPr>
          <w:trHeight w:val="189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BFDD8">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6C7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C476">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98A8C">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A5F1E">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2D8E">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952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8B1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07296">
            <w:pPr>
              <w:rPr>
                <w:rFonts w:ascii="黑体" w:hAnsi="黑体" w:eastAsia="黑体" w:cs="黑体"/>
                <w:i/>
                <w:iCs/>
                <w:color w:val="000000"/>
                <w:sz w:val="18"/>
                <w:szCs w:val="18"/>
              </w:rPr>
            </w:pPr>
          </w:p>
        </w:tc>
      </w:tr>
      <w:tr w14:paraId="2DAC12D2">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D81F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109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127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7FF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995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29E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83A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891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20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1B5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2B2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36DCB509">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71267">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94D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A3C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488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达到指标标准</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A73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C26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55</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14E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0D8B0">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55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D31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C4A3">
            <w:pPr>
              <w:jc w:val="center"/>
              <w:rPr>
                <w:rFonts w:ascii="宋体" w:hAnsi="宋体" w:cs="宋体"/>
                <w:color w:val="000000"/>
                <w:sz w:val="18"/>
                <w:szCs w:val="18"/>
              </w:rPr>
            </w:pPr>
            <w:r>
              <w:rPr>
                <w:rFonts w:ascii="宋体" w:hAnsi="宋体" w:cs="宋体"/>
                <w:color w:val="000000"/>
                <w:sz w:val="18"/>
                <w:szCs w:val="18"/>
              </w:rPr>
              <w:t>40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CBF3">
            <w:pPr>
              <w:jc w:val="center"/>
              <w:rPr>
                <w:rFonts w:ascii="微软雅黑" w:hAnsi="微软雅黑" w:eastAsia="微软雅黑" w:cs="微软雅黑"/>
                <w:i/>
                <w:iCs/>
                <w:color w:val="000000"/>
                <w:sz w:val="16"/>
                <w:szCs w:val="16"/>
              </w:rPr>
            </w:pPr>
          </w:p>
        </w:tc>
      </w:tr>
      <w:tr w14:paraId="5048B037">
        <w:tblPrEx>
          <w:tblCellMar>
            <w:top w:w="0" w:type="dxa"/>
            <w:left w:w="108" w:type="dxa"/>
            <w:bottom w:w="0" w:type="dxa"/>
            <w:right w:w="108" w:type="dxa"/>
          </w:tblCellMar>
        </w:tblPrEx>
        <w:trPr>
          <w:trHeight w:val="51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8811F">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7D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2C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8C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达到效益指标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2FB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0BE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B21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3DA3">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3</w:t>
            </w:r>
            <w:r>
              <w:rPr>
                <w:rFonts w:ascii="微软雅黑" w:hAnsi="微软雅黑" w:eastAsia="微软雅黑" w:cs="微软雅黑"/>
                <w:i/>
                <w:iCs/>
                <w:color w:val="000000"/>
                <w:sz w:val="16"/>
                <w:szCs w:val="16"/>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48CF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87FF">
            <w:pPr>
              <w:jc w:val="center"/>
              <w:rPr>
                <w:rFonts w:ascii="宋体" w:hAnsi="宋体" w:cs="宋体"/>
                <w:color w:val="000000"/>
                <w:sz w:val="18"/>
                <w:szCs w:val="18"/>
              </w:rPr>
            </w:pPr>
            <w:r>
              <w:rPr>
                <w:rFonts w:hint="eastAsia" w:ascii="宋体" w:hAnsi="宋体" w:cs="宋体"/>
                <w:color w:val="000000"/>
                <w:sz w:val="18"/>
                <w:szCs w:val="18"/>
              </w:rPr>
              <w:t>3</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856C">
            <w:pPr>
              <w:jc w:val="center"/>
              <w:rPr>
                <w:rFonts w:ascii="微软雅黑" w:hAnsi="微软雅黑" w:eastAsia="微软雅黑" w:cs="微软雅黑"/>
                <w:i/>
                <w:iCs/>
                <w:color w:val="000000"/>
                <w:sz w:val="16"/>
                <w:szCs w:val="16"/>
              </w:rPr>
            </w:pPr>
          </w:p>
        </w:tc>
      </w:tr>
      <w:tr w14:paraId="536645F3">
        <w:tblPrEx>
          <w:tblCellMar>
            <w:top w:w="0" w:type="dxa"/>
            <w:left w:w="108" w:type="dxa"/>
            <w:bottom w:w="0" w:type="dxa"/>
            <w:right w:w="108" w:type="dxa"/>
          </w:tblCellMar>
        </w:tblPrEx>
        <w:trPr>
          <w:trHeight w:val="51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9A159">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8E0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4DC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5CAF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达到满意度效果</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34E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220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1E9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A3FA">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1</w:t>
            </w:r>
            <w:r>
              <w:rPr>
                <w:rFonts w:ascii="微软雅黑" w:hAnsi="微软雅黑" w:eastAsia="微软雅黑" w:cs="微软雅黑"/>
                <w:i/>
                <w:iCs/>
                <w:color w:val="000000"/>
                <w:sz w:val="16"/>
                <w:szCs w:val="16"/>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D1E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56C9">
            <w:pPr>
              <w:jc w:val="center"/>
              <w:rPr>
                <w:rFonts w:ascii="宋体" w:hAnsi="宋体" w:cs="宋体"/>
                <w:color w:val="000000"/>
                <w:sz w:val="18"/>
                <w:szCs w:val="18"/>
              </w:rPr>
            </w:pPr>
            <w:r>
              <w:rPr>
                <w:rFonts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E7A8">
            <w:pPr>
              <w:jc w:val="center"/>
              <w:rPr>
                <w:rFonts w:ascii="微软雅黑" w:hAnsi="微软雅黑" w:eastAsia="微软雅黑" w:cs="微软雅黑"/>
                <w:i/>
                <w:iCs/>
                <w:color w:val="000000"/>
                <w:sz w:val="16"/>
                <w:szCs w:val="16"/>
              </w:rPr>
            </w:pPr>
          </w:p>
        </w:tc>
      </w:tr>
      <w:tr w14:paraId="0E58DE66">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F72A0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CC6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7C30">
            <w:pPr>
              <w:rPr>
                <w:rFonts w:ascii="宋体" w:hAnsi="宋体" w:cs="宋体"/>
                <w:color w:val="000000"/>
                <w:sz w:val="18"/>
                <w:szCs w:val="18"/>
              </w:rPr>
            </w:pPr>
            <w:r>
              <w:rPr>
                <w:rFonts w:hint="eastAsia" w:ascii="宋体" w:hAnsi="宋体" w:cs="宋体"/>
                <w:color w:val="000000"/>
                <w:sz w:val="18"/>
                <w:szCs w:val="18"/>
              </w:rPr>
              <w:t>8</w:t>
            </w:r>
            <w:r>
              <w:rPr>
                <w:rFonts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803E">
            <w:pPr>
              <w:rPr>
                <w:rFonts w:ascii="宋体" w:hAnsi="宋体" w:cs="宋体"/>
                <w:color w:val="000000"/>
                <w:sz w:val="18"/>
                <w:szCs w:val="18"/>
              </w:rPr>
            </w:pPr>
          </w:p>
        </w:tc>
      </w:tr>
      <w:tr w14:paraId="1103F6D1">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C69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29F949">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该项目立项必要性和依据充分，绩效目标明确，符合财政资金支持方向。该项目预算1163.00万元，实际支付863.40万元，结转299.6万元，无资金挪用、挤占等情况发生，评价良好。实施与预算规划、项目要求一致，达到了提升硬件设备设施，改善学校办学条件，满足现代化教育教学需求，满足新高考走班制教学要求的目标，符合学校发展规划和发展需要，为学校教育教学高质量发展提供有力保障。</w:t>
            </w:r>
          </w:p>
        </w:tc>
      </w:tr>
      <w:tr w14:paraId="102E9C03">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842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02AFD3">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1.总务处人员配置不足和管理经验缺乏，导致项目实施进度滞后现象。</w:t>
            </w:r>
          </w:p>
        </w:tc>
      </w:tr>
      <w:tr w14:paraId="6E9EBAA6">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B86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A30B4D">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1.加强采购学习，并向校党委会提请增加总务处人员，多向业务部门沟通、交流、请教，在以后的采购中发挥作用，使采购文件更加完善。</w:t>
            </w:r>
          </w:p>
        </w:tc>
      </w:tr>
      <w:tr w14:paraId="5F95F77F">
        <w:tblPrEx>
          <w:tblCellMar>
            <w:top w:w="0" w:type="dxa"/>
            <w:left w:w="108" w:type="dxa"/>
            <w:bottom w:w="0" w:type="dxa"/>
            <w:right w:w="108" w:type="dxa"/>
          </w:tblCellMar>
        </w:tblPrEx>
        <w:trPr>
          <w:trHeight w:val="651"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044F8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项目负责人：代波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DFFDC8">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590C8967">
        <w:tblPrEx>
          <w:tblCellMar>
            <w:top w:w="0" w:type="dxa"/>
            <w:left w:w="108" w:type="dxa"/>
            <w:bottom w:w="0" w:type="dxa"/>
            <w:right w:w="108" w:type="dxa"/>
          </w:tblCellMar>
        </w:tblPrEx>
        <w:trPr>
          <w:trHeight w:val="719" w:hRule="atLeast"/>
        </w:trPr>
        <w:tc>
          <w:tcPr>
            <w:tcW w:w="597" w:type="dxa"/>
            <w:tcBorders>
              <w:top w:val="nil"/>
              <w:left w:val="nil"/>
              <w:bottom w:val="nil"/>
              <w:right w:val="nil"/>
            </w:tcBorders>
            <w:shd w:val="clear" w:color="auto" w:fill="auto"/>
            <w:vAlign w:val="center"/>
          </w:tcPr>
          <w:p w14:paraId="7BB4EEAF">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5F4334FE">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7709C5A6">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2DDB4F8D">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4BD0301F">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693A6A5A">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693427E3">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3BB1B67B">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50771062">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376A7539">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5D7E2FD9">
            <w:pPr>
              <w:rPr>
                <w:rFonts w:ascii="宋体" w:hAnsi="宋体" w:cs="宋体"/>
                <w:color w:val="000000"/>
                <w:sz w:val="18"/>
                <w:szCs w:val="18"/>
              </w:rPr>
            </w:pPr>
          </w:p>
        </w:tc>
      </w:tr>
      <w:tr w14:paraId="71EF9C45">
        <w:tblPrEx>
          <w:tblCellMar>
            <w:top w:w="0" w:type="dxa"/>
            <w:left w:w="108" w:type="dxa"/>
            <w:bottom w:w="0" w:type="dxa"/>
            <w:right w:w="108" w:type="dxa"/>
          </w:tblCellMar>
        </w:tblPrEx>
        <w:trPr>
          <w:trHeight w:val="498"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4B2F25">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3A354185">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91998">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12F3BC">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51320024T000011857291-2024年普通高中学生资助补助资金</w:t>
            </w:r>
          </w:p>
        </w:tc>
      </w:tr>
      <w:tr w14:paraId="309A3303">
        <w:tblPrEx>
          <w:tblCellMar>
            <w:top w:w="0" w:type="dxa"/>
            <w:left w:w="108" w:type="dxa"/>
            <w:bottom w:w="0" w:type="dxa"/>
            <w:right w:w="108" w:type="dxa"/>
          </w:tblCellMar>
        </w:tblPrEx>
        <w:trPr>
          <w:trHeight w:val="1023"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C47A8">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89C71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2709D61B">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EC859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04AF2A8A">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F4F8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681C8">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1C6AC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AE45EA">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71F6F694">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C80D8">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2A4C1">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EEA861">
            <w:pPr>
              <w:rPr>
                <w:rFonts w:ascii="宋体" w:hAnsi="宋体" w:cs="宋体"/>
                <w:color w:val="000000"/>
                <w:sz w:val="18"/>
                <w:szCs w:val="18"/>
              </w:rPr>
            </w:pPr>
            <w:r>
              <w:rPr>
                <w:rFonts w:hint="eastAsia" w:ascii="宋体" w:hAnsi="宋体" w:cs="宋体"/>
                <w:color w:val="000000"/>
                <w:sz w:val="18"/>
                <w:szCs w:val="18"/>
              </w:rPr>
              <w:t>我校国家助学金全年享受人数共计1044人次，共计金额 104.4万元，根据申报核查，全年共有1044名符合条件的学生享受资助，合计104.4万元。国家助学金人数按要求达到覆盖率50.63%，完成度100%；知晓率100%；学生满意度为100%；极大提升学校管理水平。</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6FB4BE">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国家助学金项目立项必要性和依据充分，绩效目标明确，具备实施条件，具有公共性，符合财政资金支持方向等。2024年国家助学金项目在校事业报表上申报我校人数1044人，由财政局根据覆盖率拨发实际金额，通过财政局实际批复2024年度普高国家助学金项目经费104.4万元,共发放104.4万元，无结余。我单位将进一步优化完善实施方案和绩效目标，加强运行监控，节约财政资金并提升资金效益，提升预算绩效管理水平。</w:t>
            </w:r>
          </w:p>
        </w:tc>
      </w:tr>
      <w:tr w14:paraId="656331CF">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FD8F8">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D7E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A62BCB">
            <w:pPr>
              <w:rPr>
                <w:rFonts w:ascii="宋体" w:hAnsi="宋体" w:cs="宋体"/>
                <w:color w:val="000000"/>
                <w:sz w:val="18"/>
                <w:szCs w:val="18"/>
              </w:rPr>
            </w:pPr>
            <w:r>
              <w:rPr>
                <w:rFonts w:hint="eastAsia" w:ascii="宋体" w:hAnsi="宋体" w:cs="宋体"/>
                <w:color w:val="000000"/>
                <w:sz w:val="18"/>
                <w:szCs w:val="18"/>
              </w:rPr>
              <w:t>2024年我校申报助学金1044人次、资金104.4万元。（人数、资金均为实际数据，资助人数根据招生人数、贫困学生人数确定）实施精准扶贫，国家助学金（1）2024年申报高中人数为1044人;（2）春季申报金额为53万元。秋季申报金额为51.4万元。国家助学金现预算总开支为104.4万元（现已全部发放完毕）。具体资金来源为中央、省级、州级财政资金。本次对项目投入经济性的评估是在项目事前绩效评估、预算测算的基础上，按照厉行节约的要求，结合项目2024年开支情况，结合2024年实际需求、相关费用标准及市场价格水平，重点对数量是否合理、投入是否经济、预算测算是否准确、测算过程是否详细、测算依据是否充分等方面进行了评估。评估认为，该项目任务数量基本合理、预算测算过程较为详细、测算依据基本充分、有一定的经济性。预算控制在104.4万元以内，与申报数相比，无增减。</w:t>
            </w:r>
          </w:p>
        </w:tc>
      </w:tr>
      <w:tr w14:paraId="6F848373">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5ABF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750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94D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16D3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8634C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BBA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2F8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451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5CD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435C5C6B">
        <w:tblPrEx>
          <w:tblCellMar>
            <w:top w:w="0" w:type="dxa"/>
            <w:left w:w="108" w:type="dxa"/>
            <w:bottom w:w="0" w:type="dxa"/>
            <w:right w:w="108" w:type="dxa"/>
          </w:tblCellMar>
        </w:tblPrEx>
        <w:trPr>
          <w:trHeight w:val="78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C635C">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0E46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786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104.4</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4B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104.4</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9F093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104.4</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B23E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7132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804C">
            <w:pPr>
              <w:jc w:val="center"/>
              <w:rPr>
                <w:rFonts w:ascii="宋体" w:hAnsi="宋体" w:cs="宋体"/>
                <w:color w:val="000000"/>
                <w:sz w:val="18"/>
                <w:szCs w:val="18"/>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52D8F">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74DD3FEE">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C7A5F">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7AE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C4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104.4</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359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104.4</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4394B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104.4</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A9F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108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8AD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BA1F5">
            <w:pPr>
              <w:rPr>
                <w:rFonts w:ascii="黑体" w:hAnsi="黑体" w:eastAsia="黑体" w:cs="黑体"/>
                <w:i/>
                <w:iCs/>
                <w:color w:val="000000"/>
                <w:sz w:val="18"/>
                <w:szCs w:val="18"/>
              </w:rPr>
            </w:pPr>
          </w:p>
        </w:tc>
      </w:tr>
      <w:tr w14:paraId="26F97594">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388E2">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A989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43F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D8B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B5788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FE8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CB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C08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74FA5">
            <w:pPr>
              <w:rPr>
                <w:rFonts w:ascii="黑体" w:hAnsi="黑体" w:eastAsia="黑体" w:cs="黑体"/>
                <w:i/>
                <w:iCs/>
                <w:color w:val="000000"/>
                <w:sz w:val="18"/>
                <w:szCs w:val="18"/>
              </w:rPr>
            </w:pPr>
          </w:p>
        </w:tc>
      </w:tr>
      <w:tr w14:paraId="6A978722">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EA6C9">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259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734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51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DC485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258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803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7B2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18114">
            <w:pPr>
              <w:rPr>
                <w:rFonts w:ascii="黑体" w:hAnsi="黑体" w:eastAsia="黑体" w:cs="黑体"/>
                <w:i/>
                <w:iCs/>
                <w:color w:val="000000"/>
                <w:sz w:val="18"/>
                <w:szCs w:val="18"/>
              </w:rPr>
            </w:pPr>
          </w:p>
        </w:tc>
      </w:tr>
      <w:tr w14:paraId="643006A1">
        <w:tblPrEx>
          <w:tblCellMar>
            <w:top w:w="0" w:type="dxa"/>
            <w:left w:w="108" w:type="dxa"/>
            <w:bottom w:w="0" w:type="dxa"/>
            <w:right w:w="108" w:type="dxa"/>
          </w:tblCellMar>
        </w:tblPrEx>
        <w:trPr>
          <w:trHeight w:val="162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8C912">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50C7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D53E">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2753">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16E3D4">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94C0">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2CA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C7F1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ACEE0">
            <w:pPr>
              <w:rPr>
                <w:rFonts w:ascii="黑体" w:hAnsi="黑体" w:eastAsia="黑体" w:cs="黑体"/>
                <w:i/>
                <w:iCs/>
                <w:color w:val="000000"/>
                <w:sz w:val="18"/>
                <w:szCs w:val="18"/>
              </w:rPr>
            </w:pPr>
          </w:p>
        </w:tc>
      </w:tr>
      <w:tr w14:paraId="76DDE428">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4937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76A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96A2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116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CEC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926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F8B8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D9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F93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5A6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4D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3AE7BB2E">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5CAD4">
            <w:pPr>
              <w:jc w:val="center"/>
              <w:rPr>
                <w:rFonts w:ascii="宋体" w:hAnsi="宋体" w:cs="宋体"/>
                <w:color w:val="000000"/>
                <w:sz w:val="18"/>
                <w:szCs w:val="18"/>
              </w:rPr>
            </w:pPr>
          </w:p>
        </w:tc>
        <w:tc>
          <w:tcPr>
            <w:tcW w:w="2286" w:type="dxa"/>
            <w:vMerge w:val="restart"/>
            <w:tcBorders>
              <w:top w:val="single" w:color="000000" w:sz="4" w:space="0"/>
              <w:left w:val="single" w:color="000000" w:sz="4" w:space="0"/>
              <w:right w:val="single" w:color="000000" w:sz="4" w:space="0"/>
            </w:tcBorders>
            <w:shd w:val="clear" w:color="auto" w:fill="auto"/>
            <w:vAlign w:val="center"/>
          </w:tcPr>
          <w:tbl>
            <w:tblPr>
              <w:tblStyle w:val="15"/>
              <w:tblW w:w="2060" w:type="dxa"/>
              <w:tblInd w:w="0" w:type="dxa"/>
              <w:tblLayout w:type="fixed"/>
              <w:tblCellMar>
                <w:top w:w="0" w:type="dxa"/>
                <w:left w:w="108" w:type="dxa"/>
                <w:bottom w:w="0" w:type="dxa"/>
                <w:right w:w="108" w:type="dxa"/>
              </w:tblCellMar>
            </w:tblPr>
            <w:tblGrid>
              <w:gridCol w:w="2060"/>
            </w:tblGrid>
            <w:tr w14:paraId="3FBFAC85">
              <w:tblPrEx>
                <w:tblCellMar>
                  <w:top w:w="0" w:type="dxa"/>
                  <w:left w:w="108" w:type="dxa"/>
                  <w:bottom w:w="0" w:type="dxa"/>
                  <w:right w:w="108" w:type="dxa"/>
                </w:tblCellMar>
              </w:tblPrEx>
              <w:trPr>
                <w:trHeight w:val="435" w:hRule="atLeast"/>
              </w:trPr>
              <w:tc>
                <w:tcPr>
                  <w:tcW w:w="2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D554A">
                  <w:pPr>
                    <w:widowControl/>
                    <w:jc w:val="center"/>
                    <w:rPr>
                      <w:rFonts w:ascii="宋体" w:hAnsi="宋体" w:cs="宋体"/>
                      <w:color w:val="000000"/>
                      <w:kern w:val="0"/>
                      <w:sz w:val="18"/>
                      <w:szCs w:val="18"/>
                    </w:rPr>
                  </w:pPr>
                  <w:r>
                    <w:rPr>
                      <w:rFonts w:hint="eastAsia" w:ascii="宋体" w:hAnsi="宋体" w:cs="宋体"/>
                      <w:color w:val="000000"/>
                      <w:kern w:val="0"/>
                      <w:sz w:val="18"/>
                      <w:szCs w:val="18"/>
                    </w:rPr>
                    <w:t>产出指标</w:t>
                  </w:r>
                </w:p>
              </w:tc>
            </w:tr>
            <w:tr w14:paraId="58DEC4D4">
              <w:tblPrEx>
                <w:tblCellMar>
                  <w:top w:w="0" w:type="dxa"/>
                  <w:left w:w="108" w:type="dxa"/>
                  <w:bottom w:w="0" w:type="dxa"/>
                  <w:right w:w="108" w:type="dxa"/>
                </w:tblCellMar>
              </w:tblPrEx>
              <w:trPr>
                <w:trHeight w:val="435" w:hRule="atLeast"/>
              </w:trPr>
              <w:tc>
                <w:tcPr>
                  <w:tcW w:w="2060" w:type="dxa"/>
                  <w:vMerge w:val="continue"/>
                  <w:tcBorders>
                    <w:top w:val="single" w:color="000000" w:sz="4" w:space="0"/>
                    <w:left w:val="single" w:color="000000" w:sz="4" w:space="0"/>
                    <w:bottom w:val="single" w:color="000000" w:sz="4" w:space="0"/>
                    <w:right w:val="single" w:color="000000" w:sz="4" w:space="0"/>
                  </w:tcBorders>
                  <w:vAlign w:val="center"/>
                </w:tcPr>
                <w:p w14:paraId="63171EF4">
                  <w:pPr>
                    <w:widowControl/>
                    <w:jc w:val="left"/>
                    <w:rPr>
                      <w:rFonts w:ascii="宋体" w:hAnsi="宋体" w:cs="宋体"/>
                      <w:color w:val="000000"/>
                      <w:kern w:val="0"/>
                      <w:sz w:val="18"/>
                      <w:szCs w:val="18"/>
                    </w:rPr>
                  </w:pPr>
                </w:p>
              </w:tc>
            </w:tr>
            <w:tr w14:paraId="76F09373">
              <w:tblPrEx>
                <w:tblCellMar>
                  <w:top w:w="0" w:type="dxa"/>
                  <w:left w:w="108" w:type="dxa"/>
                  <w:bottom w:w="0" w:type="dxa"/>
                  <w:right w:w="108" w:type="dxa"/>
                </w:tblCellMar>
              </w:tblPrEx>
              <w:trPr>
                <w:trHeight w:val="435" w:hRule="atLeast"/>
              </w:trPr>
              <w:tc>
                <w:tcPr>
                  <w:tcW w:w="2060" w:type="dxa"/>
                  <w:vMerge w:val="continue"/>
                  <w:tcBorders>
                    <w:top w:val="single" w:color="000000" w:sz="4" w:space="0"/>
                    <w:left w:val="single" w:color="000000" w:sz="4" w:space="0"/>
                    <w:bottom w:val="single" w:color="000000" w:sz="4" w:space="0"/>
                    <w:right w:val="single" w:color="000000" w:sz="4" w:space="0"/>
                  </w:tcBorders>
                  <w:vAlign w:val="center"/>
                </w:tcPr>
                <w:p w14:paraId="3E1B6BA3">
                  <w:pPr>
                    <w:widowControl/>
                    <w:jc w:val="left"/>
                    <w:rPr>
                      <w:rFonts w:ascii="宋体" w:hAnsi="宋体" w:cs="宋体"/>
                      <w:color w:val="000000"/>
                      <w:kern w:val="0"/>
                      <w:sz w:val="18"/>
                      <w:szCs w:val="18"/>
                    </w:rPr>
                  </w:pPr>
                </w:p>
              </w:tc>
            </w:tr>
            <w:tr w14:paraId="563BC17C">
              <w:tblPrEx>
                <w:tblCellMar>
                  <w:top w:w="0" w:type="dxa"/>
                  <w:left w:w="108" w:type="dxa"/>
                  <w:bottom w:w="0" w:type="dxa"/>
                  <w:right w:w="108" w:type="dxa"/>
                </w:tblCellMar>
              </w:tblPrEx>
              <w:trPr>
                <w:trHeight w:val="435" w:hRule="atLeast"/>
              </w:trPr>
              <w:tc>
                <w:tcPr>
                  <w:tcW w:w="2060" w:type="dxa"/>
                  <w:vMerge w:val="continue"/>
                  <w:tcBorders>
                    <w:top w:val="single" w:color="000000" w:sz="4" w:space="0"/>
                    <w:left w:val="single" w:color="000000" w:sz="4" w:space="0"/>
                    <w:bottom w:val="single" w:color="000000" w:sz="4" w:space="0"/>
                    <w:right w:val="single" w:color="000000" w:sz="4" w:space="0"/>
                  </w:tcBorders>
                  <w:vAlign w:val="center"/>
                </w:tcPr>
                <w:p w14:paraId="01BE65B9">
                  <w:pPr>
                    <w:widowControl/>
                    <w:jc w:val="left"/>
                    <w:rPr>
                      <w:rFonts w:ascii="宋体" w:hAnsi="宋体" w:cs="宋体"/>
                      <w:color w:val="000000"/>
                      <w:kern w:val="0"/>
                      <w:sz w:val="18"/>
                      <w:szCs w:val="18"/>
                    </w:rPr>
                  </w:pPr>
                </w:p>
              </w:tc>
            </w:tr>
          </w:tbl>
          <w:p w14:paraId="145CB3C6">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EB41">
            <w:pPr>
              <w:jc w:val="center"/>
              <w:rPr>
                <w:rFonts w:ascii="宋体" w:hAnsi="宋体" w:cs="宋体"/>
                <w:color w:val="000000"/>
                <w:sz w:val="18"/>
                <w:szCs w:val="18"/>
              </w:rPr>
            </w:pPr>
            <w:r>
              <w:rPr>
                <w:rFonts w:hint="eastAsia" w:ascii="宋体" w:hAnsi="宋体" w:cs="宋体"/>
                <w:color w:val="000000"/>
                <w:sz w:val="18"/>
                <w:szCs w:val="18"/>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B824">
            <w:pPr>
              <w:jc w:val="center"/>
              <w:rPr>
                <w:rFonts w:ascii="宋体" w:hAnsi="宋体" w:cs="宋体"/>
                <w:color w:val="000000"/>
                <w:sz w:val="18"/>
                <w:szCs w:val="18"/>
              </w:rPr>
            </w:pPr>
            <w:r>
              <w:rPr>
                <w:rFonts w:hint="eastAsia" w:ascii="宋体" w:hAnsi="宋体" w:cs="宋体"/>
                <w:color w:val="000000"/>
                <w:sz w:val="18"/>
                <w:szCs w:val="18"/>
              </w:rPr>
              <w:t>学生覆盖率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3F99">
            <w:pPr>
              <w:jc w:val="center"/>
              <w:rPr>
                <w:rFonts w:ascii="宋体" w:hAnsi="宋体" w:cs="宋体"/>
                <w:color w:val="000000"/>
                <w:sz w:val="18"/>
                <w:szCs w:val="18"/>
              </w:rPr>
            </w:pPr>
            <w:r>
              <w:rPr>
                <w:rFonts w:hint="eastAsia" w:ascii="宋体" w:hAnsi="宋体" w:cs="宋体"/>
                <w:color w:val="000000"/>
                <w:sz w:val="18"/>
                <w:szCs w:val="18"/>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B9CB">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98021">
            <w:pPr>
              <w:jc w:val="center"/>
              <w:rPr>
                <w:rFonts w:ascii="宋体" w:hAnsi="宋体" w:cs="宋体"/>
                <w:color w:val="000000"/>
                <w:sz w:val="18"/>
                <w:szCs w:val="18"/>
              </w:rPr>
            </w:pPr>
            <w:r>
              <w:rPr>
                <w:rFonts w:ascii="宋体" w:hAnsi="宋体" w:cs="宋体"/>
                <w:color w:val="000000"/>
                <w:sz w:val="18"/>
                <w:szCs w:val="18"/>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8912">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1B59A">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89D8">
            <w:pPr>
              <w:jc w:val="center"/>
              <w:rPr>
                <w:rFonts w:ascii="宋体" w:hAnsi="宋体" w:cs="宋体"/>
                <w:color w:val="000000"/>
                <w:sz w:val="18"/>
                <w:szCs w:val="18"/>
              </w:rPr>
            </w:pPr>
            <w:r>
              <w:rPr>
                <w:rFonts w:hint="eastAsia"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54237">
            <w:pPr>
              <w:jc w:val="center"/>
              <w:rPr>
                <w:rFonts w:ascii="微软雅黑" w:hAnsi="微软雅黑" w:eastAsia="微软雅黑" w:cs="微软雅黑"/>
                <w:i/>
                <w:iCs/>
                <w:color w:val="000000"/>
                <w:sz w:val="16"/>
                <w:szCs w:val="16"/>
              </w:rPr>
            </w:pPr>
          </w:p>
        </w:tc>
      </w:tr>
      <w:tr w14:paraId="01E53176">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4951">
            <w:pPr>
              <w:jc w:val="center"/>
              <w:rPr>
                <w:rFonts w:ascii="宋体" w:hAnsi="宋体" w:cs="宋体"/>
                <w:color w:val="000000"/>
                <w:sz w:val="18"/>
                <w:szCs w:val="18"/>
              </w:rPr>
            </w:pPr>
          </w:p>
        </w:tc>
        <w:tc>
          <w:tcPr>
            <w:tcW w:w="2286" w:type="dxa"/>
            <w:vMerge w:val="continue"/>
            <w:tcBorders>
              <w:left w:val="single" w:color="000000" w:sz="4" w:space="0"/>
              <w:right w:val="single" w:color="000000" w:sz="4" w:space="0"/>
            </w:tcBorders>
            <w:shd w:val="clear" w:color="auto" w:fill="auto"/>
            <w:vAlign w:val="center"/>
          </w:tcPr>
          <w:p w14:paraId="4775C881">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EE7F">
            <w:pPr>
              <w:jc w:val="center"/>
              <w:rPr>
                <w:rFonts w:ascii="宋体" w:hAnsi="宋体" w:cs="宋体"/>
                <w:color w:val="000000"/>
                <w:sz w:val="18"/>
                <w:szCs w:val="18"/>
              </w:rPr>
            </w:pPr>
            <w:r>
              <w:rPr>
                <w:rFonts w:hint="eastAsia" w:ascii="宋体" w:hAnsi="宋体" w:cs="宋体"/>
                <w:color w:val="000000"/>
                <w:sz w:val="18"/>
                <w:szCs w:val="18"/>
              </w:rPr>
              <w:t>质量指标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C4AC2">
            <w:pPr>
              <w:jc w:val="center"/>
              <w:rPr>
                <w:rFonts w:ascii="宋体" w:hAnsi="宋体" w:cs="宋体"/>
                <w:color w:val="000000"/>
                <w:sz w:val="18"/>
                <w:szCs w:val="18"/>
              </w:rPr>
            </w:pPr>
            <w:r>
              <w:rPr>
                <w:rFonts w:hint="eastAsia" w:ascii="宋体" w:hAnsi="宋体" w:cs="宋体"/>
                <w:color w:val="000000"/>
                <w:sz w:val="18"/>
                <w:szCs w:val="18"/>
              </w:rPr>
              <w:t>指标的完成率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F8A9">
            <w:pPr>
              <w:jc w:val="center"/>
              <w:rPr>
                <w:rFonts w:ascii="宋体" w:hAnsi="宋体" w:cs="宋体"/>
                <w:color w:val="000000"/>
                <w:sz w:val="18"/>
                <w:szCs w:val="18"/>
              </w:rPr>
            </w:pPr>
            <w:r>
              <w:rPr>
                <w:rFonts w:hint="eastAsia" w:ascii="宋体" w:hAnsi="宋体" w:cs="宋体"/>
                <w:color w:val="000000"/>
                <w:sz w:val="18"/>
                <w:szCs w:val="18"/>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AC35">
            <w:pPr>
              <w:jc w:val="center"/>
              <w:rPr>
                <w:rFonts w:ascii="宋体" w:hAnsi="宋体" w:cs="宋体"/>
                <w:color w:val="000000"/>
                <w:sz w:val="18"/>
                <w:szCs w:val="18"/>
              </w:rPr>
            </w:pPr>
            <w:r>
              <w:rPr>
                <w:rFonts w:ascii="宋体" w:hAnsi="宋体" w:cs="宋体"/>
                <w:color w:val="000000"/>
                <w:sz w:val="18"/>
                <w:szCs w:val="18"/>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8B63">
            <w:pPr>
              <w:jc w:val="center"/>
              <w:rPr>
                <w:rFonts w:ascii="宋体" w:hAnsi="宋体" w:cs="宋体"/>
                <w:color w:val="000000"/>
                <w:sz w:val="18"/>
                <w:szCs w:val="18"/>
              </w:rPr>
            </w:pPr>
            <w:r>
              <w:rPr>
                <w:rFonts w:ascii="宋体" w:hAnsi="宋体" w:cs="宋体"/>
                <w:color w:val="000000"/>
                <w:sz w:val="18"/>
                <w:szCs w:val="18"/>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181B">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68172">
            <w:pPr>
              <w:jc w:val="center"/>
              <w:rPr>
                <w:rFonts w:ascii="宋体" w:hAnsi="宋体" w:cs="宋体"/>
                <w:color w:val="000000"/>
                <w:sz w:val="18"/>
                <w:szCs w:val="18"/>
              </w:rPr>
            </w:pPr>
            <w:r>
              <w:rPr>
                <w:rFonts w:hint="eastAsia" w:ascii="宋体" w:hAnsi="宋体" w:cs="宋体"/>
                <w:color w:val="000000"/>
                <w:sz w:val="18"/>
                <w:szCs w:val="18"/>
              </w:rPr>
              <w:t>2</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051B">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85C1B">
            <w:pPr>
              <w:jc w:val="center"/>
              <w:rPr>
                <w:rFonts w:ascii="微软雅黑" w:hAnsi="微软雅黑" w:eastAsia="微软雅黑" w:cs="微软雅黑"/>
                <w:i/>
                <w:iCs/>
                <w:color w:val="000000"/>
                <w:sz w:val="16"/>
                <w:szCs w:val="16"/>
              </w:rPr>
            </w:pPr>
          </w:p>
        </w:tc>
      </w:tr>
      <w:tr w14:paraId="6478898E">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84E3">
            <w:pPr>
              <w:jc w:val="center"/>
              <w:rPr>
                <w:rFonts w:ascii="宋体" w:hAnsi="宋体" w:cs="宋体"/>
                <w:color w:val="000000"/>
                <w:sz w:val="18"/>
                <w:szCs w:val="18"/>
              </w:rPr>
            </w:pPr>
          </w:p>
        </w:tc>
        <w:tc>
          <w:tcPr>
            <w:tcW w:w="2286" w:type="dxa"/>
            <w:vMerge w:val="continue"/>
            <w:tcBorders>
              <w:left w:val="single" w:color="000000" w:sz="4" w:space="0"/>
              <w:right w:val="single" w:color="000000" w:sz="4" w:space="0"/>
            </w:tcBorders>
            <w:shd w:val="clear" w:color="auto" w:fill="auto"/>
            <w:vAlign w:val="center"/>
          </w:tcPr>
          <w:p w14:paraId="5B9DEE26">
            <w:pPr>
              <w:jc w:val="center"/>
              <w:rPr>
                <w:rFonts w:ascii="宋体" w:hAnsi="宋体" w:cs="宋体"/>
                <w:color w:val="000000"/>
                <w:sz w:val="18"/>
                <w:szCs w:val="18"/>
              </w:rPr>
            </w:pPr>
          </w:p>
        </w:tc>
        <w:tc>
          <w:tcPr>
            <w:tcW w:w="914" w:type="dxa"/>
            <w:vMerge w:val="restart"/>
            <w:tcBorders>
              <w:top w:val="single" w:color="000000" w:sz="4" w:space="0"/>
              <w:left w:val="single" w:color="000000" w:sz="4" w:space="0"/>
              <w:right w:val="single" w:color="000000" w:sz="4" w:space="0"/>
            </w:tcBorders>
            <w:shd w:val="clear" w:color="auto" w:fill="auto"/>
            <w:vAlign w:val="center"/>
          </w:tcPr>
          <w:p w14:paraId="313615E5">
            <w:pPr>
              <w:jc w:val="center"/>
              <w:rPr>
                <w:rFonts w:ascii="宋体" w:hAnsi="宋体" w:cs="宋体"/>
                <w:color w:val="000000"/>
                <w:sz w:val="18"/>
                <w:szCs w:val="18"/>
              </w:rPr>
            </w:pPr>
            <w:r>
              <w:rPr>
                <w:rFonts w:hint="eastAsia" w:ascii="宋体" w:hAnsi="宋体" w:cs="宋体"/>
                <w:color w:val="000000"/>
                <w:sz w:val="18"/>
                <w:szCs w:val="18"/>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D819">
            <w:pPr>
              <w:jc w:val="center"/>
              <w:rPr>
                <w:rFonts w:ascii="宋体" w:hAnsi="宋体" w:cs="宋体"/>
                <w:color w:val="000000"/>
                <w:sz w:val="18"/>
                <w:szCs w:val="18"/>
              </w:rPr>
            </w:pPr>
            <w:r>
              <w:rPr>
                <w:rFonts w:hint="eastAsia" w:ascii="宋体" w:hAnsi="宋体" w:cs="宋体"/>
                <w:color w:val="000000"/>
                <w:sz w:val="18"/>
                <w:szCs w:val="18"/>
              </w:rPr>
              <w:t>执行进度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83F9">
            <w:pPr>
              <w:jc w:val="center"/>
              <w:rPr>
                <w:rFonts w:ascii="宋体" w:hAnsi="宋体" w:cs="宋体"/>
                <w:color w:val="000000"/>
                <w:sz w:val="18"/>
                <w:szCs w:val="18"/>
              </w:rPr>
            </w:pPr>
            <w:r>
              <w:rPr>
                <w:rFonts w:hint="eastAsia" w:ascii="宋体" w:hAnsi="宋体" w:cs="宋体"/>
                <w:color w:val="000000"/>
                <w:sz w:val="18"/>
                <w:szCs w:val="18"/>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B54F">
            <w:pPr>
              <w:jc w:val="center"/>
              <w:rPr>
                <w:rFonts w:ascii="宋体" w:hAnsi="宋体" w:cs="宋体"/>
                <w:color w:val="000000"/>
                <w:sz w:val="18"/>
                <w:szCs w:val="18"/>
              </w:rPr>
            </w:pPr>
            <w:r>
              <w:rPr>
                <w:rFonts w:hint="eastAsia" w:ascii="宋体" w:hAnsi="宋体" w:cs="宋体"/>
                <w:color w:val="000000"/>
                <w:sz w:val="18"/>
                <w:szCs w:val="18"/>
              </w:rPr>
              <w:t>9</w:t>
            </w:r>
            <w:r>
              <w:rPr>
                <w:rFonts w:ascii="宋体" w:hAnsi="宋体" w:cs="宋体"/>
                <w:color w:val="000000"/>
                <w:sz w:val="18"/>
                <w:szCs w:val="18"/>
              </w:rPr>
              <w:t>8</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4182">
            <w:pPr>
              <w:jc w:val="center"/>
              <w:rPr>
                <w:rFonts w:ascii="宋体" w:hAnsi="宋体" w:cs="宋体"/>
                <w:color w:val="000000"/>
                <w:sz w:val="18"/>
                <w:szCs w:val="18"/>
              </w:rPr>
            </w:pPr>
            <w:r>
              <w:rPr>
                <w:rFonts w:ascii="宋体" w:hAnsi="宋体" w:cs="宋体"/>
                <w:color w:val="000000"/>
                <w:sz w:val="18"/>
                <w:szCs w:val="18"/>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B42A">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98%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D736">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A930">
            <w:pPr>
              <w:jc w:val="center"/>
              <w:rPr>
                <w:rFonts w:ascii="宋体" w:hAnsi="宋体" w:cs="宋体"/>
                <w:color w:val="000000"/>
                <w:sz w:val="18"/>
                <w:szCs w:val="18"/>
              </w:rPr>
            </w:pPr>
            <w:r>
              <w:rPr>
                <w:rFonts w:hint="eastAsia"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B343A">
            <w:pPr>
              <w:jc w:val="center"/>
              <w:rPr>
                <w:rFonts w:ascii="微软雅黑" w:hAnsi="微软雅黑" w:eastAsia="微软雅黑" w:cs="微软雅黑"/>
                <w:i/>
                <w:iCs/>
                <w:color w:val="000000"/>
                <w:sz w:val="16"/>
                <w:szCs w:val="16"/>
              </w:rPr>
            </w:pPr>
          </w:p>
        </w:tc>
      </w:tr>
      <w:tr w14:paraId="009AFF2A">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0EE9">
            <w:pPr>
              <w:jc w:val="center"/>
              <w:rPr>
                <w:rFonts w:ascii="宋体" w:hAnsi="宋体" w:cs="宋体"/>
                <w:color w:val="000000"/>
                <w:sz w:val="18"/>
                <w:szCs w:val="18"/>
              </w:rPr>
            </w:pPr>
          </w:p>
        </w:tc>
        <w:tc>
          <w:tcPr>
            <w:tcW w:w="2286" w:type="dxa"/>
            <w:vMerge w:val="continue"/>
            <w:tcBorders>
              <w:left w:val="single" w:color="000000" w:sz="4" w:space="0"/>
              <w:bottom w:val="single" w:color="000000" w:sz="4" w:space="0"/>
              <w:right w:val="single" w:color="000000" w:sz="4" w:space="0"/>
            </w:tcBorders>
            <w:shd w:val="clear" w:color="auto" w:fill="auto"/>
            <w:vAlign w:val="center"/>
          </w:tcPr>
          <w:p w14:paraId="303FD905">
            <w:pPr>
              <w:jc w:val="center"/>
              <w:rPr>
                <w:rFonts w:ascii="宋体" w:hAnsi="宋体" w:cs="宋体"/>
                <w:color w:val="000000"/>
                <w:sz w:val="18"/>
                <w:szCs w:val="18"/>
              </w:rPr>
            </w:pPr>
          </w:p>
        </w:tc>
        <w:tc>
          <w:tcPr>
            <w:tcW w:w="914" w:type="dxa"/>
            <w:vMerge w:val="continue"/>
            <w:tcBorders>
              <w:left w:val="single" w:color="000000" w:sz="4" w:space="0"/>
              <w:bottom w:val="single" w:color="000000" w:sz="4" w:space="0"/>
              <w:right w:val="single" w:color="000000" w:sz="4" w:space="0"/>
            </w:tcBorders>
            <w:shd w:val="clear" w:color="auto" w:fill="auto"/>
            <w:vAlign w:val="center"/>
          </w:tcPr>
          <w:p w14:paraId="10A14145">
            <w:pPr>
              <w:jc w:val="center"/>
              <w:rPr>
                <w:rFonts w:ascii="宋体" w:hAnsi="宋体" w:cs="宋体"/>
                <w:color w:val="000000"/>
                <w:sz w:val="18"/>
                <w:szCs w:val="18"/>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2AFA">
            <w:pPr>
              <w:jc w:val="center"/>
              <w:rPr>
                <w:rFonts w:ascii="宋体" w:hAnsi="宋体" w:cs="宋体"/>
                <w:color w:val="000000"/>
                <w:sz w:val="18"/>
                <w:szCs w:val="18"/>
              </w:rPr>
            </w:pPr>
            <w:r>
              <w:rPr>
                <w:rFonts w:hint="eastAsia" w:ascii="宋体" w:hAnsi="宋体" w:cs="宋体"/>
                <w:color w:val="000000"/>
                <w:sz w:val="18"/>
                <w:szCs w:val="18"/>
              </w:rPr>
              <w:t>完成时效</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3D75">
            <w:pPr>
              <w:jc w:val="center"/>
              <w:rPr>
                <w:rFonts w:ascii="宋体" w:hAnsi="宋体" w:cs="宋体"/>
                <w:color w:val="000000"/>
                <w:sz w:val="18"/>
                <w:szCs w:val="18"/>
              </w:rPr>
            </w:pPr>
            <w:r>
              <w:rPr>
                <w:rFonts w:hint="eastAsia" w:ascii="宋体" w:hAnsi="宋体" w:cs="宋体"/>
                <w:color w:val="000000"/>
                <w:sz w:val="18"/>
                <w:szCs w:val="18"/>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D790">
            <w:pPr>
              <w:jc w:val="center"/>
              <w:rPr>
                <w:rFonts w:ascii="宋体" w:hAnsi="宋体" w:cs="宋体"/>
                <w:color w:val="000000"/>
                <w:sz w:val="18"/>
                <w:szCs w:val="18"/>
              </w:rPr>
            </w:pPr>
            <w:r>
              <w:rPr>
                <w:rFonts w:hint="eastAsia" w:ascii="宋体" w:hAnsi="宋体" w:cs="宋体"/>
                <w:color w:val="000000"/>
                <w:sz w:val="18"/>
                <w:szCs w:val="18"/>
              </w:rPr>
              <w:t>24年12月31日</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4CC3">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ACAE">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已于12月31日前完成</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F3B5">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ECDA">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A81BF">
            <w:pPr>
              <w:jc w:val="center"/>
              <w:rPr>
                <w:rFonts w:ascii="微软雅黑" w:hAnsi="微软雅黑" w:eastAsia="微软雅黑" w:cs="微软雅黑"/>
                <w:i/>
                <w:iCs/>
                <w:color w:val="000000"/>
                <w:sz w:val="16"/>
                <w:szCs w:val="16"/>
              </w:rPr>
            </w:pPr>
          </w:p>
        </w:tc>
      </w:tr>
      <w:tr w14:paraId="141E8361">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2EE37">
            <w:pPr>
              <w:jc w:val="center"/>
              <w:rPr>
                <w:rFonts w:ascii="宋体" w:hAnsi="宋体" w:cs="宋体"/>
                <w:color w:val="000000"/>
                <w:sz w:val="18"/>
                <w:szCs w:val="18"/>
              </w:rPr>
            </w:pPr>
          </w:p>
        </w:tc>
        <w:tc>
          <w:tcPr>
            <w:tcW w:w="2286" w:type="dxa"/>
            <w:vMerge w:val="restart"/>
            <w:tcBorders>
              <w:top w:val="single" w:color="000000" w:sz="4" w:space="0"/>
              <w:left w:val="single" w:color="000000" w:sz="4" w:space="0"/>
              <w:right w:val="single" w:color="000000" w:sz="4" w:space="0"/>
            </w:tcBorders>
            <w:shd w:val="clear" w:color="auto" w:fill="auto"/>
            <w:vAlign w:val="center"/>
          </w:tcPr>
          <w:p w14:paraId="5B73AF72">
            <w:pPr>
              <w:jc w:val="center"/>
              <w:rPr>
                <w:rFonts w:ascii="宋体" w:hAnsi="宋体" w:cs="宋体"/>
                <w:color w:val="000000"/>
                <w:sz w:val="18"/>
                <w:szCs w:val="18"/>
              </w:rPr>
            </w:pPr>
            <w:r>
              <w:rPr>
                <w:rFonts w:hint="eastAsia" w:ascii="宋体" w:hAnsi="宋体" w:cs="宋体"/>
                <w:color w:val="000000"/>
                <w:sz w:val="18"/>
                <w:szCs w:val="18"/>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FEF9">
            <w:pPr>
              <w:jc w:val="center"/>
              <w:rPr>
                <w:rFonts w:ascii="宋体" w:hAnsi="宋体" w:cs="宋体"/>
                <w:color w:val="000000"/>
                <w:sz w:val="18"/>
                <w:szCs w:val="18"/>
              </w:rPr>
            </w:pPr>
            <w:r>
              <w:rPr>
                <w:rFonts w:hint="eastAsia" w:ascii="宋体" w:hAnsi="宋体" w:cs="宋体"/>
                <w:color w:val="000000"/>
                <w:sz w:val="18"/>
                <w:szCs w:val="18"/>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FB825">
            <w:pPr>
              <w:jc w:val="center"/>
              <w:rPr>
                <w:rFonts w:ascii="宋体" w:hAnsi="宋体" w:cs="宋体"/>
                <w:color w:val="000000"/>
                <w:sz w:val="18"/>
                <w:szCs w:val="18"/>
              </w:rPr>
            </w:pPr>
            <w:r>
              <w:rPr>
                <w:rFonts w:hint="eastAsia" w:ascii="宋体" w:hAnsi="宋体" w:cs="宋体"/>
                <w:color w:val="000000"/>
                <w:sz w:val="18"/>
                <w:szCs w:val="18"/>
              </w:rPr>
              <w:t>学校常规管理水平</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A582">
            <w:pPr>
              <w:jc w:val="center"/>
              <w:rPr>
                <w:rFonts w:ascii="宋体" w:hAnsi="宋体" w:cs="宋体"/>
                <w:color w:val="000000"/>
                <w:sz w:val="18"/>
                <w:szCs w:val="18"/>
              </w:rPr>
            </w:pPr>
            <w:r>
              <w:rPr>
                <w:rFonts w:hint="eastAsia" w:ascii="宋体" w:hAnsi="宋体" w:cs="宋体"/>
                <w:color w:val="000000"/>
                <w:sz w:val="18"/>
                <w:szCs w:val="18"/>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9C93">
            <w:pPr>
              <w:jc w:val="center"/>
              <w:rPr>
                <w:rFonts w:ascii="宋体" w:hAnsi="宋体" w:cs="宋体"/>
                <w:color w:val="000000"/>
                <w:sz w:val="18"/>
                <w:szCs w:val="18"/>
              </w:rPr>
            </w:pPr>
            <w:r>
              <w:rPr>
                <w:rFonts w:hint="eastAsia" w:ascii="宋体" w:hAnsi="宋体" w:cs="宋体"/>
                <w:color w:val="000000"/>
                <w:sz w:val="18"/>
                <w:szCs w:val="18"/>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66677">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0799">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取得显著效果</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8280">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17F82">
            <w:pPr>
              <w:jc w:val="center"/>
              <w:rPr>
                <w:rFonts w:ascii="宋体" w:hAnsi="宋体" w:cs="宋体"/>
                <w:color w:val="000000"/>
                <w:sz w:val="18"/>
                <w:szCs w:val="18"/>
              </w:rPr>
            </w:pPr>
            <w:r>
              <w:rPr>
                <w:rFonts w:hint="eastAsia"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2F35">
            <w:pPr>
              <w:jc w:val="center"/>
              <w:rPr>
                <w:rFonts w:ascii="微软雅黑" w:hAnsi="微软雅黑" w:eastAsia="微软雅黑" w:cs="微软雅黑"/>
                <w:i/>
                <w:iCs/>
                <w:color w:val="000000"/>
                <w:sz w:val="16"/>
                <w:szCs w:val="16"/>
              </w:rPr>
            </w:pPr>
          </w:p>
        </w:tc>
      </w:tr>
      <w:tr w14:paraId="56747A25">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2556">
            <w:pPr>
              <w:jc w:val="center"/>
              <w:rPr>
                <w:rFonts w:ascii="宋体" w:hAnsi="宋体" w:cs="宋体"/>
                <w:color w:val="000000"/>
                <w:sz w:val="18"/>
                <w:szCs w:val="18"/>
              </w:rPr>
            </w:pPr>
          </w:p>
        </w:tc>
        <w:tc>
          <w:tcPr>
            <w:tcW w:w="2286" w:type="dxa"/>
            <w:vMerge w:val="continue"/>
            <w:tcBorders>
              <w:left w:val="single" w:color="000000" w:sz="4" w:space="0"/>
              <w:bottom w:val="single" w:color="000000" w:sz="4" w:space="0"/>
              <w:right w:val="single" w:color="000000" w:sz="4" w:space="0"/>
            </w:tcBorders>
            <w:shd w:val="clear" w:color="auto" w:fill="auto"/>
            <w:vAlign w:val="center"/>
          </w:tcPr>
          <w:p w14:paraId="4FD72C28">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1AF2">
            <w:pPr>
              <w:jc w:val="center"/>
              <w:rPr>
                <w:rFonts w:ascii="宋体" w:hAnsi="宋体" w:cs="宋体"/>
                <w:color w:val="000000"/>
                <w:sz w:val="18"/>
                <w:szCs w:val="18"/>
              </w:rPr>
            </w:pPr>
            <w:r>
              <w:rPr>
                <w:rFonts w:hint="eastAsia" w:ascii="宋体" w:hAnsi="宋体" w:cs="宋体"/>
                <w:color w:val="000000"/>
                <w:sz w:val="18"/>
                <w:szCs w:val="18"/>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4724">
            <w:pPr>
              <w:jc w:val="center"/>
              <w:rPr>
                <w:rFonts w:ascii="宋体" w:hAnsi="宋体" w:cs="宋体"/>
                <w:color w:val="000000"/>
                <w:sz w:val="18"/>
                <w:szCs w:val="18"/>
              </w:rPr>
            </w:pPr>
            <w:r>
              <w:rPr>
                <w:rFonts w:hint="eastAsia" w:ascii="宋体" w:hAnsi="宋体" w:cs="宋体"/>
                <w:color w:val="000000"/>
                <w:sz w:val="18"/>
                <w:szCs w:val="18"/>
              </w:rPr>
              <w:t>学生养成教育水平</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214F">
            <w:pPr>
              <w:jc w:val="center"/>
              <w:rPr>
                <w:rFonts w:ascii="宋体" w:hAnsi="宋体" w:cs="宋体"/>
                <w:color w:val="000000"/>
                <w:sz w:val="18"/>
                <w:szCs w:val="18"/>
              </w:rPr>
            </w:pPr>
            <w:r>
              <w:rPr>
                <w:rFonts w:hint="eastAsia" w:ascii="宋体" w:hAnsi="宋体" w:cs="宋体"/>
                <w:color w:val="000000"/>
                <w:sz w:val="18"/>
                <w:szCs w:val="18"/>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61FF">
            <w:pPr>
              <w:jc w:val="center"/>
              <w:rPr>
                <w:rFonts w:ascii="宋体" w:hAnsi="宋体" w:cs="宋体"/>
                <w:color w:val="000000"/>
                <w:sz w:val="18"/>
                <w:szCs w:val="18"/>
              </w:rPr>
            </w:pPr>
            <w:r>
              <w:rPr>
                <w:rFonts w:hint="eastAsia" w:ascii="宋体" w:hAnsi="宋体" w:cs="宋体"/>
                <w:color w:val="000000"/>
                <w:sz w:val="18"/>
                <w:szCs w:val="18"/>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7090">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1241">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实现有效提升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08D4">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FA74">
            <w:pPr>
              <w:jc w:val="center"/>
              <w:rPr>
                <w:rFonts w:ascii="宋体" w:hAnsi="宋体" w:cs="宋体"/>
                <w:color w:val="000000"/>
                <w:sz w:val="18"/>
                <w:szCs w:val="18"/>
              </w:rPr>
            </w:pPr>
            <w:r>
              <w:rPr>
                <w:rFonts w:hint="eastAsia"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CA12">
            <w:pPr>
              <w:jc w:val="center"/>
              <w:rPr>
                <w:rFonts w:ascii="微软雅黑" w:hAnsi="微软雅黑" w:eastAsia="微软雅黑" w:cs="微软雅黑"/>
                <w:i/>
                <w:iCs/>
                <w:color w:val="000000"/>
                <w:sz w:val="16"/>
                <w:szCs w:val="16"/>
              </w:rPr>
            </w:pPr>
          </w:p>
        </w:tc>
      </w:tr>
      <w:tr w14:paraId="3E342CCE">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C144">
            <w:pPr>
              <w:jc w:val="center"/>
              <w:rPr>
                <w:rFonts w:ascii="宋体" w:hAnsi="宋体" w:cs="宋体"/>
                <w:color w:val="000000"/>
                <w:sz w:val="18"/>
                <w:szCs w:val="18"/>
              </w:rPr>
            </w:pPr>
          </w:p>
        </w:tc>
        <w:tc>
          <w:tcPr>
            <w:tcW w:w="2286" w:type="dxa"/>
            <w:vMerge w:val="restart"/>
            <w:tcBorders>
              <w:top w:val="single" w:color="000000" w:sz="4" w:space="0"/>
              <w:left w:val="single" w:color="000000" w:sz="4" w:space="0"/>
              <w:right w:val="single" w:color="000000" w:sz="4" w:space="0"/>
            </w:tcBorders>
            <w:shd w:val="clear" w:color="auto" w:fill="auto"/>
            <w:vAlign w:val="center"/>
          </w:tcPr>
          <w:p w14:paraId="6E44FAD3">
            <w:pPr>
              <w:jc w:val="center"/>
              <w:rPr>
                <w:rFonts w:ascii="宋体" w:hAnsi="宋体" w:cs="宋体"/>
                <w:color w:val="000000"/>
                <w:sz w:val="18"/>
                <w:szCs w:val="18"/>
              </w:rPr>
            </w:pPr>
            <w:r>
              <w:rPr>
                <w:rFonts w:hint="eastAsia" w:ascii="宋体" w:hAnsi="宋体" w:cs="宋体"/>
                <w:color w:val="000000"/>
                <w:sz w:val="18"/>
                <w:szCs w:val="18"/>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4601">
            <w:pPr>
              <w:jc w:val="center"/>
              <w:rPr>
                <w:rFonts w:ascii="宋体" w:hAnsi="宋体" w:cs="宋体"/>
                <w:color w:val="000000"/>
                <w:sz w:val="18"/>
                <w:szCs w:val="18"/>
              </w:rPr>
            </w:pPr>
            <w:r>
              <w:rPr>
                <w:rFonts w:hint="eastAsia" w:ascii="宋体" w:hAnsi="宋体" w:cs="宋体"/>
                <w:color w:val="000000"/>
                <w:sz w:val="18"/>
                <w:szCs w:val="18"/>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159B">
            <w:pPr>
              <w:jc w:val="center"/>
              <w:rPr>
                <w:rFonts w:ascii="宋体" w:hAnsi="宋体" w:cs="宋体"/>
                <w:color w:val="000000"/>
                <w:sz w:val="18"/>
                <w:szCs w:val="18"/>
              </w:rPr>
            </w:pPr>
            <w:r>
              <w:rPr>
                <w:rFonts w:hint="eastAsia" w:ascii="宋体" w:hAnsi="宋体" w:cs="宋体"/>
                <w:color w:val="000000"/>
                <w:sz w:val="18"/>
                <w:szCs w:val="18"/>
              </w:rPr>
              <w:t>成本控制率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A53D0">
            <w:pPr>
              <w:jc w:val="center"/>
              <w:rPr>
                <w:rFonts w:ascii="宋体" w:hAnsi="宋体" w:cs="宋体"/>
                <w:color w:val="000000"/>
                <w:sz w:val="18"/>
                <w:szCs w:val="18"/>
              </w:rPr>
            </w:pPr>
            <w:r>
              <w:rPr>
                <w:rFonts w:hint="eastAsia" w:ascii="宋体" w:hAnsi="宋体" w:cs="宋体"/>
                <w:color w:val="000000"/>
                <w:sz w:val="18"/>
                <w:szCs w:val="18"/>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7ACD">
            <w:pPr>
              <w:jc w:val="center"/>
              <w:rPr>
                <w:rFonts w:ascii="宋体" w:hAnsi="宋体" w:cs="宋体"/>
                <w:color w:val="000000"/>
                <w:sz w:val="18"/>
                <w:szCs w:val="18"/>
              </w:rPr>
            </w:pPr>
            <w:r>
              <w:rPr>
                <w:rFonts w:hint="eastAsia" w:ascii="宋体" w:hAnsi="宋体" w:cs="宋体"/>
                <w:color w:val="000000"/>
                <w:sz w:val="18"/>
                <w:szCs w:val="18"/>
              </w:rPr>
              <w:t>不超预算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B13F">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AA44">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未超预算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94869">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3DAD">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78BB">
            <w:pPr>
              <w:jc w:val="center"/>
              <w:rPr>
                <w:rFonts w:ascii="微软雅黑" w:hAnsi="微软雅黑" w:eastAsia="微软雅黑" w:cs="微软雅黑"/>
                <w:i/>
                <w:iCs/>
                <w:color w:val="000000"/>
                <w:sz w:val="16"/>
                <w:szCs w:val="16"/>
              </w:rPr>
            </w:pPr>
          </w:p>
        </w:tc>
      </w:tr>
      <w:tr w14:paraId="6B4C88B9">
        <w:tblPrEx>
          <w:tblCellMar>
            <w:top w:w="0" w:type="dxa"/>
            <w:left w:w="108" w:type="dxa"/>
            <w:bottom w:w="0" w:type="dxa"/>
            <w:right w:w="108" w:type="dxa"/>
          </w:tblCellMar>
        </w:tblPrEx>
        <w:trPr>
          <w:trHeight w:val="498"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4A828">
            <w:pPr>
              <w:jc w:val="center"/>
              <w:rPr>
                <w:rFonts w:ascii="宋体" w:hAnsi="宋体" w:cs="宋体"/>
                <w:color w:val="000000"/>
                <w:sz w:val="18"/>
                <w:szCs w:val="18"/>
              </w:rPr>
            </w:pPr>
          </w:p>
        </w:tc>
        <w:tc>
          <w:tcPr>
            <w:tcW w:w="2286" w:type="dxa"/>
            <w:vMerge w:val="continue"/>
            <w:tcBorders>
              <w:left w:val="single" w:color="000000" w:sz="4" w:space="0"/>
              <w:bottom w:val="single" w:color="000000" w:sz="4" w:space="0"/>
              <w:right w:val="single" w:color="000000" w:sz="4" w:space="0"/>
            </w:tcBorders>
            <w:shd w:val="clear" w:color="auto" w:fill="auto"/>
            <w:vAlign w:val="center"/>
          </w:tcPr>
          <w:p w14:paraId="0B622AC3">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7192">
            <w:pPr>
              <w:jc w:val="center"/>
              <w:rPr>
                <w:rFonts w:ascii="宋体" w:hAnsi="宋体" w:cs="宋体"/>
                <w:color w:val="000000"/>
                <w:sz w:val="18"/>
                <w:szCs w:val="18"/>
              </w:rPr>
            </w:pPr>
            <w:r>
              <w:rPr>
                <w:rFonts w:hint="eastAsia" w:ascii="宋体" w:hAnsi="宋体" w:cs="宋体"/>
                <w:color w:val="000000"/>
                <w:sz w:val="18"/>
                <w:szCs w:val="18"/>
              </w:rPr>
              <w:t>社会成本指标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A1B8C">
            <w:pPr>
              <w:jc w:val="center"/>
              <w:rPr>
                <w:rFonts w:ascii="宋体" w:hAnsi="宋体" w:cs="宋体"/>
                <w:color w:val="000000"/>
                <w:sz w:val="18"/>
                <w:szCs w:val="18"/>
              </w:rPr>
            </w:pPr>
            <w:r>
              <w:rPr>
                <w:rFonts w:hint="eastAsia" w:ascii="宋体" w:hAnsi="宋体" w:cs="宋体"/>
                <w:color w:val="000000"/>
                <w:sz w:val="18"/>
                <w:szCs w:val="18"/>
              </w:rPr>
              <w:t>成本节约率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86E1">
            <w:pPr>
              <w:jc w:val="center"/>
              <w:rPr>
                <w:rFonts w:ascii="宋体" w:hAnsi="宋体" w:cs="宋体"/>
                <w:color w:val="000000"/>
                <w:sz w:val="18"/>
                <w:szCs w:val="18"/>
              </w:rPr>
            </w:pPr>
            <w:r>
              <w:rPr>
                <w:rFonts w:hint="eastAsia" w:ascii="宋体" w:hAnsi="宋体" w:cs="宋体"/>
                <w:color w:val="000000"/>
                <w:sz w:val="18"/>
                <w:szCs w:val="18"/>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BE9E">
            <w:pPr>
              <w:jc w:val="center"/>
              <w:rPr>
                <w:rFonts w:ascii="宋体" w:hAnsi="宋体" w:cs="宋体"/>
                <w:color w:val="000000"/>
                <w:sz w:val="18"/>
                <w:szCs w:val="18"/>
              </w:rPr>
            </w:pPr>
            <w:r>
              <w:rPr>
                <w:rFonts w:hint="eastAsia" w:ascii="宋体" w:hAnsi="宋体" w:cs="宋体"/>
                <w:color w:val="000000"/>
                <w:sz w:val="18"/>
                <w:szCs w:val="18"/>
              </w:rPr>
              <w:t>经济效益显著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F23F">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FD9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取得显著经济效益</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8811">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35FF">
            <w:pPr>
              <w:jc w:val="center"/>
              <w:rPr>
                <w:rFonts w:ascii="宋体" w:hAnsi="宋体" w:cs="宋体"/>
                <w:color w:val="000000"/>
                <w:sz w:val="18"/>
                <w:szCs w:val="18"/>
              </w:rPr>
            </w:pPr>
            <w:r>
              <w:rPr>
                <w:rFonts w:hint="eastAsia"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C3109">
            <w:pPr>
              <w:jc w:val="center"/>
              <w:rPr>
                <w:rFonts w:ascii="微软雅黑" w:hAnsi="微软雅黑" w:eastAsia="微软雅黑" w:cs="微软雅黑"/>
                <w:i/>
                <w:iCs/>
                <w:color w:val="000000"/>
                <w:sz w:val="16"/>
                <w:szCs w:val="16"/>
              </w:rPr>
            </w:pPr>
          </w:p>
        </w:tc>
      </w:tr>
      <w:tr w14:paraId="1B9F73A9">
        <w:tblPrEx>
          <w:tblCellMar>
            <w:top w:w="0" w:type="dxa"/>
            <w:left w:w="108" w:type="dxa"/>
            <w:bottom w:w="0" w:type="dxa"/>
            <w:right w:w="108" w:type="dxa"/>
          </w:tblCellMar>
        </w:tblPrEx>
        <w:trPr>
          <w:trHeight w:val="517"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37B3B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ECA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8617">
            <w:pPr>
              <w:rPr>
                <w:rFonts w:ascii="宋体" w:hAnsi="宋体" w:cs="宋体"/>
                <w:color w:val="000000"/>
                <w:sz w:val="18"/>
                <w:szCs w:val="18"/>
              </w:rPr>
            </w:pPr>
            <w:r>
              <w:rPr>
                <w:rFonts w:hint="eastAsia" w:ascii="宋体" w:hAnsi="宋体" w:cs="宋体"/>
                <w:color w:val="000000"/>
                <w:sz w:val="18"/>
                <w:szCs w:val="18"/>
              </w:rPr>
              <w:t>8</w:t>
            </w:r>
            <w:r>
              <w:rPr>
                <w:rFonts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6467">
            <w:pPr>
              <w:rPr>
                <w:rFonts w:ascii="宋体" w:hAnsi="宋体" w:cs="宋体"/>
                <w:color w:val="000000"/>
                <w:sz w:val="18"/>
                <w:szCs w:val="18"/>
              </w:rPr>
            </w:pPr>
          </w:p>
        </w:tc>
      </w:tr>
      <w:tr w14:paraId="06142467">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79C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351554">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综合前述评估内容来看，国家助学金项目立项必要性和依据充分，绩效目标明确，具备实施条件，具有公共性，符合财政资金支持方向等。2024年国家助学金项目申请资金总预算 104.4万元，经评审，由于覆盖率的调整实际拨款数为104.4万元。无剩余。我单位将进一步优化完善实施方案和绩效目标，加强运行监控，节约财政资金并提升资金效益，提升预算绩效管理水平。</w:t>
            </w:r>
          </w:p>
        </w:tc>
      </w:tr>
      <w:tr w14:paraId="6B672320">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4E7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3A7CEB">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学校没有办法核实学生的真实贫困情况，只能依托学生所在的乡镇提供的贫困证明。有部分班主任反映学生十分贫困但又不是建档立卡及贫困户。</w:t>
            </w:r>
          </w:p>
          <w:p w14:paraId="1C63C06C">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班主任宣传力度不够，信息审核出现漏洞以及学生重视度不够，出现学生姓名与卡号不符，或者银行卡冻结未及时解冻，最终导致未能及时将补助发放到学生卡上的情况。助学金使用打卡到位，学生领取助学金理所当然，感恩意识薄弱。</w:t>
            </w:r>
          </w:p>
        </w:tc>
      </w:tr>
      <w:tr w14:paraId="4C7E1A9E">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69A5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EABC40">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一是希望有关部门加大对乡镇贫困学生家庭的实际情况考察，如实开发贫困证明，以供学校考证。二是加强班主任对学生的宣传力度，提高学生的重视度，保证上报信息准确无误。三是举办助学金发放仪式，举行感恩演讲。四是进一步精简资助卡的办卡手续和所需资料，扩大资助卡发卡代理银行，切实解决资助卡办卡难等突出问题，以提高高中国家助学金的发放进度和财政资金的使用效益。</w:t>
            </w:r>
          </w:p>
        </w:tc>
      </w:tr>
      <w:tr w14:paraId="12EDF6CC">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07C548">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项目负责人：张绿波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FE4ED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r w14:paraId="6EC82164">
        <w:tblPrEx>
          <w:tblCellMar>
            <w:top w:w="0" w:type="dxa"/>
            <w:left w:w="108" w:type="dxa"/>
            <w:bottom w:w="0" w:type="dxa"/>
            <w:right w:w="108" w:type="dxa"/>
          </w:tblCellMar>
        </w:tblPrEx>
        <w:trPr>
          <w:trHeight w:val="686" w:hRule="atLeast"/>
        </w:trPr>
        <w:tc>
          <w:tcPr>
            <w:tcW w:w="597" w:type="dxa"/>
            <w:tcBorders>
              <w:top w:val="nil"/>
              <w:left w:val="nil"/>
              <w:bottom w:val="nil"/>
              <w:right w:val="nil"/>
            </w:tcBorders>
            <w:shd w:val="clear" w:color="auto" w:fill="auto"/>
            <w:vAlign w:val="center"/>
          </w:tcPr>
          <w:p w14:paraId="2294F010">
            <w:pPr>
              <w:rPr>
                <w:rFonts w:ascii="宋体" w:hAnsi="宋体" w:cs="宋体"/>
                <w:color w:val="000000"/>
                <w:sz w:val="18"/>
                <w:szCs w:val="18"/>
              </w:rPr>
            </w:pPr>
          </w:p>
        </w:tc>
        <w:tc>
          <w:tcPr>
            <w:tcW w:w="2286" w:type="dxa"/>
            <w:tcBorders>
              <w:top w:val="nil"/>
              <w:left w:val="nil"/>
              <w:bottom w:val="nil"/>
              <w:right w:val="nil"/>
            </w:tcBorders>
            <w:shd w:val="clear" w:color="auto" w:fill="auto"/>
            <w:vAlign w:val="center"/>
          </w:tcPr>
          <w:p w14:paraId="77FAA195">
            <w:pPr>
              <w:rPr>
                <w:rFonts w:ascii="宋体" w:hAnsi="宋体" w:cs="宋体"/>
                <w:color w:val="000000"/>
                <w:sz w:val="18"/>
                <w:szCs w:val="18"/>
              </w:rPr>
            </w:pPr>
          </w:p>
        </w:tc>
        <w:tc>
          <w:tcPr>
            <w:tcW w:w="914" w:type="dxa"/>
            <w:tcBorders>
              <w:top w:val="nil"/>
              <w:left w:val="nil"/>
              <w:bottom w:val="nil"/>
              <w:right w:val="nil"/>
            </w:tcBorders>
            <w:shd w:val="clear" w:color="auto" w:fill="auto"/>
            <w:vAlign w:val="center"/>
          </w:tcPr>
          <w:p w14:paraId="64E3DB9E">
            <w:pPr>
              <w:rPr>
                <w:rFonts w:ascii="宋体" w:hAnsi="宋体" w:cs="宋体"/>
                <w:color w:val="000000"/>
                <w:sz w:val="18"/>
                <w:szCs w:val="18"/>
              </w:rPr>
            </w:pPr>
          </w:p>
        </w:tc>
        <w:tc>
          <w:tcPr>
            <w:tcW w:w="1145" w:type="dxa"/>
            <w:tcBorders>
              <w:top w:val="nil"/>
              <w:left w:val="nil"/>
              <w:bottom w:val="nil"/>
              <w:right w:val="nil"/>
            </w:tcBorders>
            <w:shd w:val="clear" w:color="auto" w:fill="auto"/>
            <w:vAlign w:val="center"/>
          </w:tcPr>
          <w:p w14:paraId="5B69C63E">
            <w:pPr>
              <w:rPr>
                <w:rFonts w:ascii="宋体" w:hAnsi="宋体" w:cs="宋体"/>
                <w:color w:val="000000"/>
                <w:sz w:val="18"/>
                <w:szCs w:val="18"/>
              </w:rPr>
            </w:pPr>
          </w:p>
        </w:tc>
        <w:tc>
          <w:tcPr>
            <w:tcW w:w="411" w:type="dxa"/>
            <w:tcBorders>
              <w:top w:val="nil"/>
              <w:left w:val="nil"/>
              <w:bottom w:val="nil"/>
              <w:right w:val="nil"/>
            </w:tcBorders>
            <w:shd w:val="clear" w:color="auto" w:fill="auto"/>
            <w:vAlign w:val="center"/>
          </w:tcPr>
          <w:p w14:paraId="2CFC4C9A">
            <w:pPr>
              <w:rPr>
                <w:rFonts w:ascii="宋体" w:hAnsi="宋体" w:cs="宋体"/>
                <w:color w:val="000000"/>
                <w:sz w:val="18"/>
                <w:szCs w:val="18"/>
              </w:rPr>
            </w:pPr>
          </w:p>
        </w:tc>
        <w:tc>
          <w:tcPr>
            <w:tcW w:w="957" w:type="dxa"/>
            <w:tcBorders>
              <w:top w:val="nil"/>
              <w:left w:val="nil"/>
              <w:bottom w:val="nil"/>
              <w:right w:val="nil"/>
            </w:tcBorders>
            <w:shd w:val="clear" w:color="auto" w:fill="auto"/>
            <w:vAlign w:val="center"/>
          </w:tcPr>
          <w:p w14:paraId="0F06DCF0">
            <w:pPr>
              <w:rPr>
                <w:rFonts w:ascii="宋体" w:hAnsi="宋体" w:cs="宋体"/>
                <w:color w:val="000000"/>
                <w:sz w:val="18"/>
                <w:szCs w:val="18"/>
              </w:rPr>
            </w:pPr>
          </w:p>
        </w:tc>
        <w:tc>
          <w:tcPr>
            <w:tcW w:w="785" w:type="dxa"/>
            <w:tcBorders>
              <w:top w:val="nil"/>
              <w:left w:val="nil"/>
              <w:bottom w:val="nil"/>
              <w:right w:val="nil"/>
            </w:tcBorders>
            <w:shd w:val="clear" w:color="auto" w:fill="auto"/>
            <w:vAlign w:val="center"/>
          </w:tcPr>
          <w:p w14:paraId="43EADAB8">
            <w:pPr>
              <w:rPr>
                <w:rFonts w:ascii="宋体" w:hAnsi="宋体" w:cs="宋体"/>
                <w:color w:val="000000"/>
                <w:sz w:val="18"/>
                <w:szCs w:val="18"/>
              </w:rPr>
            </w:pPr>
          </w:p>
        </w:tc>
        <w:tc>
          <w:tcPr>
            <w:tcW w:w="668" w:type="dxa"/>
            <w:tcBorders>
              <w:top w:val="nil"/>
              <w:left w:val="nil"/>
              <w:bottom w:val="nil"/>
              <w:right w:val="nil"/>
            </w:tcBorders>
            <w:shd w:val="clear" w:color="auto" w:fill="auto"/>
            <w:vAlign w:val="center"/>
          </w:tcPr>
          <w:p w14:paraId="01C6DA59">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39D3FD28">
            <w:pPr>
              <w:rPr>
                <w:rFonts w:ascii="宋体" w:hAnsi="宋体" w:cs="宋体"/>
                <w:color w:val="000000"/>
                <w:sz w:val="18"/>
                <w:szCs w:val="18"/>
              </w:rPr>
            </w:pPr>
          </w:p>
        </w:tc>
        <w:tc>
          <w:tcPr>
            <w:tcW w:w="567" w:type="dxa"/>
            <w:tcBorders>
              <w:top w:val="nil"/>
              <w:left w:val="nil"/>
              <w:bottom w:val="nil"/>
              <w:right w:val="nil"/>
            </w:tcBorders>
            <w:shd w:val="clear" w:color="auto" w:fill="auto"/>
            <w:vAlign w:val="center"/>
          </w:tcPr>
          <w:p w14:paraId="229F2DA4">
            <w:pPr>
              <w:rPr>
                <w:rFonts w:ascii="宋体" w:hAnsi="宋体" w:cs="宋体"/>
                <w:color w:val="000000"/>
                <w:sz w:val="18"/>
                <w:szCs w:val="18"/>
              </w:rPr>
            </w:pPr>
          </w:p>
        </w:tc>
        <w:tc>
          <w:tcPr>
            <w:tcW w:w="1263" w:type="dxa"/>
            <w:tcBorders>
              <w:top w:val="nil"/>
              <w:left w:val="nil"/>
              <w:bottom w:val="nil"/>
              <w:right w:val="nil"/>
            </w:tcBorders>
            <w:shd w:val="clear" w:color="auto" w:fill="auto"/>
            <w:vAlign w:val="center"/>
          </w:tcPr>
          <w:p w14:paraId="0942EB76">
            <w:pPr>
              <w:rPr>
                <w:rFonts w:ascii="宋体" w:hAnsi="宋体" w:cs="宋体"/>
                <w:color w:val="000000"/>
                <w:sz w:val="18"/>
                <w:szCs w:val="18"/>
              </w:rPr>
            </w:pPr>
          </w:p>
        </w:tc>
      </w:tr>
      <w:tr w14:paraId="436EA8F9">
        <w:tblPrEx>
          <w:tblCellMar>
            <w:top w:w="0" w:type="dxa"/>
            <w:left w:w="108" w:type="dxa"/>
            <w:bottom w:w="0" w:type="dxa"/>
            <w:right w:w="108" w:type="dxa"/>
          </w:tblCellMar>
        </w:tblPrEx>
        <w:trPr>
          <w:trHeight w:val="651"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5EADE5">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部门预算项目支出绩效自评表（2024年度）</w:t>
            </w:r>
          </w:p>
        </w:tc>
      </w:tr>
      <w:tr w14:paraId="4359B245">
        <w:tblPrEx>
          <w:tblCellMar>
            <w:top w:w="0" w:type="dxa"/>
            <w:left w:w="108" w:type="dxa"/>
            <w:bottom w:w="0" w:type="dxa"/>
            <w:right w:w="108" w:type="dxa"/>
          </w:tblCellMar>
        </w:tblPrEx>
        <w:trPr>
          <w:trHeight w:val="719"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A201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1F9B29">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国家寄宿制生活补助</w:t>
            </w:r>
          </w:p>
        </w:tc>
      </w:tr>
      <w:tr w14:paraId="610BC51B">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09C0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FCEE7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0C27524A">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2AEF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6AC2602D">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F7090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B54CB">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A14AA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25A63E">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326434A0">
        <w:tblPrEx>
          <w:tblCellMar>
            <w:top w:w="0" w:type="dxa"/>
            <w:left w:w="108" w:type="dxa"/>
            <w:bottom w:w="0" w:type="dxa"/>
            <w:right w:w="108" w:type="dxa"/>
          </w:tblCellMar>
        </w:tblPrEx>
        <w:trPr>
          <w:trHeight w:val="1023"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C9B3D">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2A1FB">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E7EEB8">
            <w:pPr>
              <w:rPr>
                <w:rFonts w:ascii="宋体" w:hAnsi="宋体" w:cs="宋体"/>
                <w:color w:val="000000"/>
                <w:sz w:val="18"/>
                <w:szCs w:val="18"/>
              </w:rPr>
            </w:pPr>
            <w:r>
              <w:rPr>
                <w:rFonts w:hint="eastAsia" w:ascii="宋体" w:hAnsi="宋体" w:cs="宋体"/>
                <w:color w:val="000000"/>
                <w:sz w:val="18"/>
                <w:szCs w:val="18"/>
              </w:rPr>
              <w:t>我校国家寄宿制生活补助项目预算申报我校全年享受人数共计1696人次，除开体校生享有资助外共计金额 165.36万元，根据申报核查，全年共有1696名符合条件的学生享受资助，合计 165.36万元。寄宿生按要求覆盖率100%，完成度100%;学生满意度为100%;极大提升学校管理水平。。</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B4443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我校国家寄宿制生活补助项目预算申报我校全年享受人数共计1696人次，除开体校生享有资助外共计金额 165.36万元，根据申报核查，全年共有1696名符合条件的学生享受资助，合计 165.36万元。寄宿生按要求覆盖率100%，完成度100%;学生满意度为100%;极大提升学校管理水平。</w:t>
            </w:r>
          </w:p>
        </w:tc>
      </w:tr>
      <w:tr w14:paraId="314439B6">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8BF20">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8454">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B05FEB">
            <w:pPr>
              <w:rPr>
                <w:rFonts w:ascii="宋体" w:hAnsi="宋体" w:cs="宋体"/>
                <w:color w:val="000000"/>
                <w:sz w:val="18"/>
                <w:szCs w:val="18"/>
              </w:rPr>
            </w:pPr>
            <w:r>
              <w:rPr>
                <w:rFonts w:hint="eastAsia"/>
              </w:rPr>
              <w:t xml:space="preserve">2024年我校申报助学金1696人次、资金165.36万元。（人数、资金均为实际数据，资助人数根据招生人数、贫困学生人数确定）实施精准扶贫，国家助学金（1）2023年春季申报寄宿制生活补助享受人数为948人;（体校110人、马中为838人、我校实际发放人数为838人）（2）春季金额为838*975=81.705万元。国家寄宿制生活补助春季预算开支为81.705万元。（3）2024年秋季申报寄宿制生活补助享受人数为966人;（体校108人、马中为865人、我校实际发放人数为858人）（2）秋季实际发放金额为858*975=83.655万元。国家寄宿制生活补助春秋季预算总开支为165.36 万元。具体资金来源为中央、省级、州级财政资金。本次对项目投入经济性的评估是在项目事前绩效评估、预算测算的基础上，按照厉行节约的要求，结合项目2024年开支情况，结合2024年实际需求、相关费用标准及市场价格水平，重点对数量是否合理、投入是否经济、预算测算是否准确、测算过程是否详细、测算依据是否充分等方面进行了评估。评估认为，该项目任务数量基本合理、预算测算过程较为详细、测算依据基本充分、有一定的经济性。预算控制在187.59万元以内，与申报数相比，无增减。   </w:t>
            </w:r>
          </w:p>
        </w:tc>
      </w:tr>
      <w:tr w14:paraId="248ADF44">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FA63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EB8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BE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9B5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A9FC8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882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33AC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37D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2FAE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22E8B80D">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4BF98">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7F5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8EC1">
            <w:pPr>
              <w:widowControl/>
              <w:jc w:val="center"/>
              <w:textAlignment w:val="center"/>
              <w:rPr>
                <w:rFonts w:ascii="宋体" w:hAnsi="宋体" w:cs="宋体"/>
                <w:color w:val="000000"/>
                <w:sz w:val="18"/>
                <w:szCs w:val="18"/>
              </w:rPr>
            </w:pPr>
            <w:r>
              <w:rPr>
                <w:rFonts w:hint="eastAsia" w:ascii="宋体" w:hAnsi="宋体" w:cs="宋体"/>
                <w:color w:val="000000"/>
                <w:sz w:val="18"/>
                <w:szCs w:val="18"/>
              </w:rPr>
              <w:t>187.59</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6380">
            <w:pPr>
              <w:widowControl/>
              <w:jc w:val="center"/>
              <w:textAlignment w:val="center"/>
              <w:rPr>
                <w:rFonts w:ascii="宋体" w:hAnsi="宋体" w:cs="宋体"/>
                <w:color w:val="000000"/>
                <w:sz w:val="18"/>
                <w:szCs w:val="18"/>
              </w:rPr>
            </w:pPr>
            <w:r>
              <w:rPr>
                <w:rFonts w:hint="eastAsia" w:ascii="宋体" w:hAnsi="宋体" w:cs="宋体"/>
                <w:color w:val="000000"/>
                <w:sz w:val="18"/>
                <w:szCs w:val="18"/>
              </w:rPr>
              <w:t>187.59</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58FB9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187.59</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AA0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680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7B0A">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AC59D4">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650164F5">
        <w:tblPrEx>
          <w:tblCellMar>
            <w:top w:w="0" w:type="dxa"/>
            <w:left w:w="108" w:type="dxa"/>
            <w:bottom w:w="0" w:type="dxa"/>
            <w:right w:w="108" w:type="dxa"/>
          </w:tblCellMar>
        </w:tblPrEx>
        <w:trPr>
          <w:trHeight w:val="803"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42924">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616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70F9">
            <w:pPr>
              <w:widowControl/>
              <w:jc w:val="center"/>
              <w:textAlignment w:val="center"/>
              <w:rPr>
                <w:rFonts w:ascii="宋体" w:hAnsi="宋体" w:cs="宋体"/>
                <w:color w:val="000000"/>
                <w:sz w:val="18"/>
                <w:szCs w:val="18"/>
              </w:rPr>
            </w:pPr>
            <w:r>
              <w:rPr>
                <w:rFonts w:hint="eastAsia" w:ascii="宋体" w:hAnsi="宋体" w:cs="宋体"/>
                <w:color w:val="000000"/>
                <w:sz w:val="18"/>
                <w:szCs w:val="18"/>
              </w:rPr>
              <w:t>187.59</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24EC">
            <w:pPr>
              <w:widowControl/>
              <w:jc w:val="center"/>
              <w:textAlignment w:val="center"/>
              <w:rPr>
                <w:rFonts w:ascii="宋体" w:hAnsi="宋体" w:cs="宋体"/>
                <w:color w:val="000000"/>
                <w:sz w:val="18"/>
                <w:szCs w:val="18"/>
              </w:rPr>
            </w:pPr>
            <w:r>
              <w:rPr>
                <w:rFonts w:hint="eastAsia" w:ascii="宋体" w:hAnsi="宋体" w:cs="宋体"/>
                <w:color w:val="000000"/>
                <w:sz w:val="18"/>
                <w:szCs w:val="18"/>
              </w:rPr>
              <w:t>187.59</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E25EA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187.59</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568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33C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8A1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C45EC">
            <w:pPr>
              <w:rPr>
                <w:rFonts w:ascii="黑体" w:hAnsi="黑体" w:eastAsia="黑体" w:cs="黑体"/>
                <w:i/>
                <w:iCs/>
                <w:color w:val="000000"/>
                <w:sz w:val="18"/>
                <w:szCs w:val="18"/>
              </w:rPr>
            </w:pPr>
          </w:p>
        </w:tc>
      </w:tr>
      <w:tr w14:paraId="0EC90875">
        <w:tblPrEx>
          <w:tblCellMar>
            <w:top w:w="0" w:type="dxa"/>
            <w:left w:w="108" w:type="dxa"/>
            <w:bottom w:w="0" w:type="dxa"/>
            <w:right w:w="108" w:type="dxa"/>
          </w:tblCellMar>
        </w:tblPrEx>
        <w:trPr>
          <w:trHeight w:val="78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0CAE2">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B47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834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F65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EDFC0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65F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144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28F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82239">
            <w:pPr>
              <w:rPr>
                <w:rFonts w:ascii="黑体" w:hAnsi="黑体" w:eastAsia="黑体" w:cs="黑体"/>
                <w:i/>
                <w:iCs/>
                <w:color w:val="000000"/>
                <w:sz w:val="18"/>
                <w:szCs w:val="18"/>
              </w:rPr>
            </w:pPr>
          </w:p>
        </w:tc>
      </w:tr>
      <w:tr w14:paraId="59756831">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729E6">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1B3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833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2111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FD5BD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527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78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61D0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FFAD4">
            <w:pPr>
              <w:rPr>
                <w:rFonts w:ascii="黑体" w:hAnsi="黑体" w:eastAsia="黑体" w:cs="黑体"/>
                <w:i/>
                <w:iCs/>
                <w:color w:val="000000"/>
                <w:sz w:val="18"/>
                <w:szCs w:val="18"/>
              </w:rPr>
            </w:pPr>
          </w:p>
        </w:tc>
      </w:tr>
      <w:tr w14:paraId="12AD521C">
        <w:tblPrEx>
          <w:tblCellMar>
            <w:top w:w="0" w:type="dxa"/>
            <w:left w:w="108" w:type="dxa"/>
            <w:bottom w:w="0" w:type="dxa"/>
            <w:right w:w="108" w:type="dxa"/>
          </w:tblCellMar>
        </w:tblPrEx>
        <w:trPr>
          <w:trHeight w:val="1320"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578C7">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BC04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DFEB6">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A591">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5483FF">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92CAB">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2CE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2F22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F3229">
            <w:pPr>
              <w:rPr>
                <w:rFonts w:ascii="黑体" w:hAnsi="黑体" w:eastAsia="黑体" w:cs="黑体"/>
                <w:i/>
                <w:iCs/>
                <w:color w:val="000000"/>
                <w:sz w:val="18"/>
                <w:szCs w:val="18"/>
              </w:rPr>
            </w:pPr>
          </w:p>
        </w:tc>
      </w:tr>
    </w:tbl>
    <w:tbl>
      <w:tblPr>
        <w:tblStyle w:val="15"/>
        <w:tblW w:w="9675" w:type="dxa"/>
        <w:tblInd w:w="96" w:type="dxa"/>
        <w:tblLayout w:type="autofit"/>
        <w:tblCellMar>
          <w:top w:w="0" w:type="dxa"/>
          <w:left w:w="108" w:type="dxa"/>
          <w:bottom w:w="0" w:type="dxa"/>
          <w:right w:w="108" w:type="dxa"/>
        </w:tblCellMar>
      </w:tblPr>
      <w:tblGrid>
        <w:gridCol w:w="601"/>
        <w:gridCol w:w="1304"/>
        <w:gridCol w:w="1139"/>
        <w:gridCol w:w="1432"/>
        <w:gridCol w:w="413"/>
        <w:gridCol w:w="1093"/>
        <w:gridCol w:w="413"/>
        <w:gridCol w:w="742"/>
        <w:gridCol w:w="507"/>
        <w:gridCol w:w="413"/>
        <w:gridCol w:w="1618"/>
      </w:tblGrid>
      <w:tr w14:paraId="1801709B">
        <w:tblPrEx>
          <w:tblCellMar>
            <w:top w:w="0" w:type="dxa"/>
            <w:left w:w="108" w:type="dxa"/>
            <w:bottom w:w="0" w:type="dxa"/>
            <w:right w:w="108" w:type="dxa"/>
          </w:tblCellMar>
        </w:tblPrEx>
        <w:trPr>
          <w:trHeight w:val="1788" w:hRule="atLeast"/>
        </w:trPr>
        <w:tc>
          <w:tcPr>
            <w:tcW w:w="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4DCD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DA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9EC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8E1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07D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EF77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5AF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BEC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93B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680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3DC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09E4A87B">
        <w:tblPrEx>
          <w:tblCellMar>
            <w:top w:w="0" w:type="dxa"/>
            <w:left w:w="108" w:type="dxa"/>
            <w:bottom w:w="0" w:type="dxa"/>
            <w:right w:w="108" w:type="dxa"/>
          </w:tblCellMar>
        </w:tblPrEx>
        <w:trPr>
          <w:trHeight w:val="457"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6EA9E">
            <w:pPr>
              <w:jc w:val="center"/>
              <w:rPr>
                <w:rFonts w:ascii="宋体" w:hAnsi="宋体" w:cs="宋体"/>
                <w:color w:val="000000"/>
                <w:sz w:val="18"/>
                <w:szCs w:val="18"/>
              </w:rPr>
            </w:pPr>
          </w:p>
        </w:tc>
        <w:tc>
          <w:tcPr>
            <w:tcW w:w="13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D88B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E4E0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778E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学生覆盖率</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892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40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C9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0D1E">
            <w:pPr>
              <w:widowControl/>
              <w:jc w:val="center"/>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CB0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186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B829">
            <w:pPr>
              <w:jc w:val="center"/>
              <w:rPr>
                <w:rFonts w:ascii="微软雅黑" w:hAnsi="微软雅黑" w:eastAsia="微软雅黑" w:cs="微软雅黑"/>
                <w:i/>
                <w:iCs/>
                <w:color w:val="000000"/>
                <w:sz w:val="16"/>
                <w:szCs w:val="16"/>
              </w:rPr>
            </w:pPr>
          </w:p>
        </w:tc>
      </w:tr>
      <w:tr w14:paraId="39BFE7E3">
        <w:tblPrEx>
          <w:tblCellMar>
            <w:top w:w="0" w:type="dxa"/>
            <w:left w:w="108" w:type="dxa"/>
            <w:bottom w:w="0" w:type="dxa"/>
            <w:right w:w="108" w:type="dxa"/>
          </w:tblCellMar>
        </w:tblPrEx>
        <w:trPr>
          <w:trHeight w:val="457"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8EEE5">
            <w:pPr>
              <w:jc w:val="center"/>
              <w:rPr>
                <w:rFonts w:ascii="宋体" w:hAnsi="宋体" w:cs="宋体"/>
                <w:color w:val="000000"/>
                <w:sz w:val="18"/>
                <w:szCs w:val="18"/>
              </w:rPr>
            </w:pPr>
          </w:p>
        </w:tc>
        <w:tc>
          <w:tcPr>
            <w:tcW w:w="13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22305">
            <w:pPr>
              <w:jc w:val="center"/>
              <w:rPr>
                <w:rFonts w:ascii="宋体" w:hAnsi="宋体" w:cs="宋体"/>
                <w:color w:val="000000"/>
                <w:sz w:val="18"/>
                <w:szCs w:val="18"/>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48F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831D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指标的完成率</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786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A87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3B0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DFD6">
            <w:pPr>
              <w:widowControl/>
              <w:jc w:val="center"/>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CDF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8261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18</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9823">
            <w:pPr>
              <w:jc w:val="center"/>
              <w:rPr>
                <w:rFonts w:ascii="微软雅黑" w:hAnsi="微软雅黑" w:eastAsia="微软雅黑" w:cs="微软雅黑"/>
                <w:i/>
                <w:iCs/>
                <w:color w:val="000000"/>
                <w:sz w:val="16"/>
                <w:szCs w:val="16"/>
              </w:rPr>
            </w:pPr>
          </w:p>
        </w:tc>
      </w:tr>
      <w:tr w14:paraId="34AEC965">
        <w:tblPrEx>
          <w:tblCellMar>
            <w:top w:w="0" w:type="dxa"/>
            <w:left w:w="108" w:type="dxa"/>
            <w:bottom w:w="0" w:type="dxa"/>
            <w:right w:w="108" w:type="dxa"/>
          </w:tblCellMar>
        </w:tblPrEx>
        <w:trPr>
          <w:trHeight w:val="457"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070F7">
            <w:pPr>
              <w:jc w:val="center"/>
              <w:rPr>
                <w:rFonts w:ascii="宋体" w:hAnsi="宋体" w:cs="宋体"/>
                <w:color w:val="000000"/>
                <w:sz w:val="18"/>
                <w:szCs w:val="18"/>
              </w:rPr>
            </w:pPr>
          </w:p>
        </w:tc>
        <w:tc>
          <w:tcPr>
            <w:tcW w:w="13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38B8B">
            <w:pPr>
              <w:jc w:val="center"/>
              <w:rPr>
                <w:rFonts w:ascii="宋体" w:hAnsi="宋体" w:cs="宋体"/>
                <w:color w:val="000000"/>
                <w:sz w:val="18"/>
                <w:szCs w:val="18"/>
              </w:rPr>
            </w:pPr>
          </w:p>
        </w:tc>
        <w:tc>
          <w:tcPr>
            <w:tcW w:w="11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82A2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42E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执行进度</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FE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B13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98</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A92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8958">
            <w:pPr>
              <w:widowControl/>
              <w:jc w:val="center"/>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98%</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3CF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8FE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1017">
            <w:pPr>
              <w:jc w:val="center"/>
              <w:rPr>
                <w:rFonts w:ascii="微软雅黑" w:hAnsi="微软雅黑" w:eastAsia="微软雅黑" w:cs="微软雅黑"/>
                <w:i/>
                <w:iCs/>
                <w:color w:val="000000"/>
                <w:sz w:val="16"/>
                <w:szCs w:val="16"/>
              </w:rPr>
            </w:pPr>
          </w:p>
        </w:tc>
      </w:tr>
      <w:tr w14:paraId="0BDFF180">
        <w:tblPrEx>
          <w:tblCellMar>
            <w:top w:w="0" w:type="dxa"/>
            <w:left w:w="108" w:type="dxa"/>
            <w:bottom w:w="0" w:type="dxa"/>
            <w:right w:w="108" w:type="dxa"/>
          </w:tblCellMar>
        </w:tblPrEx>
        <w:trPr>
          <w:trHeight w:val="1788"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7C993">
            <w:pPr>
              <w:jc w:val="center"/>
              <w:rPr>
                <w:rFonts w:ascii="宋体" w:hAnsi="宋体" w:cs="宋体"/>
                <w:color w:val="000000"/>
                <w:sz w:val="18"/>
                <w:szCs w:val="18"/>
              </w:rPr>
            </w:pPr>
          </w:p>
        </w:tc>
        <w:tc>
          <w:tcPr>
            <w:tcW w:w="13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F401C">
            <w:pPr>
              <w:jc w:val="center"/>
              <w:rPr>
                <w:rFonts w:ascii="宋体" w:hAnsi="宋体" w:cs="宋体"/>
                <w:color w:val="000000"/>
                <w:sz w:val="18"/>
                <w:szCs w:val="18"/>
              </w:rPr>
            </w:pPr>
          </w:p>
        </w:tc>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C9163">
            <w:pPr>
              <w:jc w:val="center"/>
              <w:rPr>
                <w:rFonts w:ascii="宋体" w:hAnsi="宋体" w:cs="宋体"/>
                <w:color w:val="000000"/>
                <w:sz w:val="18"/>
                <w:szCs w:val="18"/>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A2C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完成时效</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07E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AC2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2024年12月31日</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00E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472D">
            <w:pPr>
              <w:widowControl/>
              <w:jc w:val="center"/>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已于12月31日前完成</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8E9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6BF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A645">
            <w:pPr>
              <w:jc w:val="center"/>
              <w:rPr>
                <w:rFonts w:ascii="微软雅黑" w:hAnsi="微软雅黑" w:eastAsia="微软雅黑" w:cs="微软雅黑"/>
                <w:i/>
                <w:iCs/>
                <w:color w:val="000000"/>
                <w:sz w:val="16"/>
                <w:szCs w:val="16"/>
              </w:rPr>
            </w:pPr>
          </w:p>
        </w:tc>
      </w:tr>
      <w:tr w14:paraId="39E6611D">
        <w:tblPrEx>
          <w:tblCellMar>
            <w:top w:w="0" w:type="dxa"/>
            <w:left w:w="108" w:type="dxa"/>
            <w:bottom w:w="0" w:type="dxa"/>
            <w:right w:w="108" w:type="dxa"/>
          </w:tblCellMar>
        </w:tblPrEx>
        <w:trPr>
          <w:trHeight w:val="899"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AF16D">
            <w:pPr>
              <w:jc w:val="center"/>
              <w:rPr>
                <w:rFonts w:ascii="宋体" w:hAnsi="宋体" w:cs="宋体"/>
                <w:color w:val="000000"/>
                <w:sz w:val="18"/>
                <w:szCs w:val="18"/>
              </w:rPr>
            </w:pPr>
          </w:p>
        </w:tc>
        <w:tc>
          <w:tcPr>
            <w:tcW w:w="13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59C3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B06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790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学校常规管理水平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F4A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C07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8354">
            <w:pPr>
              <w:jc w:val="center"/>
              <w:rPr>
                <w:rFonts w:ascii="宋体" w:hAnsi="宋体" w:cs="宋体"/>
                <w:color w:val="000000"/>
                <w:sz w:val="18"/>
                <w:szCs w:val="18"/>
              </w:rPr>
            </w:pP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ABE2">
            <w:pPr>
              <w:widowControl/>
              <w:jc w:val="center"/>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取得显著效果</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165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F74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3E0E">
            <w:pPr>
              <w:jc w:val="center"/>
              <w:rPr>
                <w:rFonts w:ascii="微软雅黑" w:hAnsi="微软雅黑" w:eastAsia="微软雅黑" w:cs="微软雅黑"/>
                <w:i/>
                <w:iCs/>
                <w:color w:val="000000"/>
                <w:sz w:val="16"/>
                <w:szCs w:val="16"/>
              </w:rPr>
            </w:pPr>
          </w:p>
        </w:tc>
      </w:tr>
      <w:tr w14:paraId="5A751D32">
        <w:tblPrEx>
          <w:tblCellMar>
            <w:top w:w="0" w:type="dxa"/>
            <w:left w:w="108" w:type="dxa"/>
            <w:bottom w:w="0" w:type="dxa"/>
            <w:right w:w="108" w:type="dxa"/>
          </w:tblCellMar>
        </w:tblPrEx>
        <w:trPr>
          <w:trHeight w:val="899"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24F96">
            <w:pPr>
              <w:jc w:val="center"/>
              <w:rPr>
                <w:rFonts w:ascii="宋体" w:hAnsi="宋体" w:cs="宋体"/>
                <w:color w:val="000000"/>
                <w:sz w:val="18"/>
                <w:szCs w:val="18"/>
              </w:rPr>
            </w:pPr>
          </w:p>
        </w:tc>
        <w:tc>
          <w:tcPr>
            <w:tcW w:w="13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AA069">
            <w:pPr>
              <w:jc w:val="center"/>
              <w:rPr>
                <w:rFonts w:ascii="宋体" w:hAnsi="宋体" w:cs="宋体"/>
                <w:color w:val="000000"/>
                <w:sz w:val="18"/>
                <w:szCs w:val="18"/>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36D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13C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学生养成教育水平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F73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BAF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81E4">
            <w:pPr>
              <w:jc w:val="center"/>
              <w:rPr>
                <w:rFonts w:ascii="宋体" w:hAnsi="宋体" w:cs="宋体"/>
                <w:color w:val="000000"/>
                <w:sz w:val="18"/>
                <w:szCs w:val="18"/>
              </w:rPr>
            </w:pP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33EF8">
            <w:pPr>
              <w:widowControl/>
              <w:jc w:val="center"/>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实现有效提升</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455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E9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E60D">
            <w:pPr>
              <w:jc w:val="center"/>
              <w:rPr>
                <w:rFonts w:ascii="微软雅黑" w:hAnsi="微软雅黑" w:eastAsia="微软雅黑" w:cs="微软雅黑"/>
                <w:i/>
                <w:iCs/>
                <w:color w:val="000000"/>
                <w:sz w:val="16"/>
                <w:szCs w:val="16"/>
              </w:rPr>
            </w:pPr>
          </w:p>
        </w:tc>
      </w:tr>
      <w:tr w14:paraId="4A39B22F">
        <w:tblPrEx>
          <w:tblCellMar>
            <w:top w:w="0" w:type="dxa"/>
            <w:left w:w="108" w:type="dxa"/>
            <w:bottom w:w="0" w:type="dxa"/>
            <w:right w:w="108" w:type="dxa"/>
          </w:tblCellMar>
        </w:tblPrEx>
        <w:trPr>
          <w:trHeight w:val="899"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B3E9B">
            <w:pPr>
              <w:jc w:val="center"/>
              <w:rPr>
                <w:rFonts w:ascii="宋体" w:hAnsi="宋体" w:cs="宋体"/>
                <w:color w:val="000000"/>
                <w:sz w:val="18"/>
                <w:szCs w:val="18"/>
              </w:rPr>
            </w:pPr>
          </w:p>
        </w:tc>
        <w:tc>
          <w:tcPr>
            <w:tcW w:w="13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7042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5AC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DDBE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成本控制率</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BF6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AE5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不超预算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81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12FC">
            <w:pPr>
              <w:widowControl/>
              <w:jc w:val="center"/>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未超预算</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69B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3CE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413A">
            <w:pPr>
              <w:jc w:val="center"/>
              <w:rPr>
                <w:rFonts w:ascii="微软雅黑" w:hAnsi="微软雅黑" w:eastAsia="微软雅黑" w:cs="微软雅黑"/>
                <w:i/>
                <w:iCs/>
                <w:color w:val="000000"/>
                <w:sz w:val="16"/>
                <w:szCs w:val="16"/>
              </w:rPr>
            </w:pPr>
          </w:p>
        </w:tc>
      </w:tr>
      <w:tr w14:paraId="5034938A">
        <w:tblPrEx>
          <w:tblCellMar>
            <w:top w:w="0" w:type="dxa"/>
            <w:left w:w="108" w:type="dxa"/>
            <w:bottom w:w="0" w:type="dxa"/>
            <w:right w:w="108" w:type="dxa"/>
          </w:tblCellMar>
        </w:tblPrEx>
        <w:trPr>
          <w:trHeight w:val="1344"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25845">
            <w:pPr>
              <w:jc w:val="center"/>
              <w:rPr>
                <w:rFonts w:ascii="宋体" w:hAnsi="宋体" w:cs="宋体"/>
                <w:color w:val="000000"/>
                <w:sz w:val="18"/>
                <w:szCs w:val="18"/>
              </w:rPr>
            </w:pPr>
          </w:p>
        </w:tc>
        <w:tc>
          <w:tcPr>
            <w:tcW w:w="13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BB9AC">
            <w:pPr>
              <w:jc w:val="center"/>
              <w:rPr>
                <w:rFonts w:ascii="宋体" w:hAnsi="宋体" w:cs="宋体"/>
                <w:color w:val="000000"/>
                <w:sz w:val="18"/>
                <w:szCs w:val="18"/>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591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社会成本指标</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BDE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成本节约率</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A62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B10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经济效益显著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75B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BEBF">
            <w:pPr>
              <w:widowControl/>
              <w:jc w:val="center"/>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取得显著经济效益</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C8C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BE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60E5F">
            <w:pPr>
              <w:jc w:val="center"/>
              <w:rPr>
                <w:rFonts w:ascii="微软雅黑" w:hAnsi="微软雅黑" w:eastAsia="微软雅黑" w:cs="微软雅黑"/>
                <w:i/>
                <w:iCs/>
                <w:color w:val="000000"/>
                <w:sz w:val="16"/>
                <w:szCs w:val="16"/>
              </w:rPr>
            </w:pPr>
          </w:p>
        </w:tc>
      </w:tr>
      <w:tr w14:paraId="5A8B932F">
        <w:trPr>
          <w:trHeight w:val="457" w:hRule="atLeast"/>
        </w:trPr>
        <w:tc>
          <w:tcPr>
            <w:tcW w:w="713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C427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8F9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02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88</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9CD0">
            <w:pPr>
              <w:rPr>
                <w:rFonts w:ascii="宋体" w:hAnsi="宋体" w:cs="宋体"/>
                <w:color w:val="000000"/>
                <w:sz w:val="18"/>
                <w:szCs w:val="18"/>
              </w:rPr>
            </w:pPr>
          </w:p>
        </w:tc>
      </w:tr>
      <w:tr w14:paraId="53D85A55">
        <w:tblPrEx>
          <w:tblCellMar>
            <w:top w:w="0" w:type="dxa"/>
            <w:left w:w="108" w:type="dxa"/>
            <w:bottom w:w="0" w:type="dxa"/>
            <w:right w:w="108" w:type="dxa"/>
          </w:tblCellMar>
        </w:tblPrEx>
        <w:trPr>
          <w:trHeight w:val="1788" w:hRule="atLeast"/>
        </w:trPr>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9B8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0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060CAD">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综合前述评估内容来看，国家寄宿制生活补助项目立项必要性和依据充分，绩效目标明确，具备实施条件，具有公共性，符合财政资金支持方向等。2024年国家寄宿制生活补助项目申请资金总预算 187.59万元，经评审，实际拨款数为186.615万元，剩余0.975万元，现存于财政代管资金账户中。我单位将进一步优化完善实施方案和绩效目标，加强运行监控，节约财政资金并提升资金效益，提升预算绩效管理水平。</w:t>
            </w:r>
          </w:p>
        </w:tc>
      </w:tr>
      <w:tr w14:paraId="007CD404">
        <w:tblPrEx>
          <w:tblCellMar>
            <w:top w:w="0" w:type="dxa"/>
            <w:left w:w="108" w:type="dxa"/>
            <w:bottom w:w="0" w:type="dxa"/>
            <w:right w:w="108" w:type="dxa"/>
          </w:tblCellMar>
        </w:tblPrEx>
        <w:trPr>
          <w:trHeight w:val="1344" w:hRule="atLeast"/>
        </w:trPr>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506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0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22B02A">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各环节需紧密衔接，准确无误。及时拨付资金，有利于普通中小学困难寄宿学生改善生活条件。班主任宣传力度不够，信息审核出现漏洞以及学生重视度不够，出现学生姓名与卡号不符，或者银行卡冻结未及时解冻，最终导致未能及时将补助发放到学生卡上的情况。</w:t>
            </w:r>
          </w:p>
        </w:tc>
      </w:tr>
      <w:tr w14:paraId="57AF0238">
        <w:tblPrEx>
          <w:tblCellMar>
            <w:top w:w="0" w:type="dxa"/>
            <w:left w:w="108" w:type="dxa"/>
            <w:bottom w:w="0" w:type="dxa"/>
            <w:right w:w="108" w:type="dxa"/>
          </w:tblCellMar>
        </w:tblPrEx>
        <w:trPr>
          <w:trHeight w:val="899" w:hRule="atLeast"/>
        </w:trPr>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CB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0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31D879">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加强班主任对学生的宣传力度，提高学生的重视度，保证上报信息准确无误。向上级申请部分经济困难的通校生享受寄宿制生活补助。</w:t>
            </w:r>
          </w:p>
        </w:tc>
      </w:tr>
      <w:tr w14:paraId="398EB416">
        <w:tblPrEx>
          <w:tblCellMar>
            <w:top w:w="0" w:type="dxa"/>
            <w:left w:w="108" w:type="dxa"/>
            <w:bottom w:w="0" w:type="dxa"/>
            <w:right w:w="108" w:type="dxa"/>
          </w:tblCellMar>
        </w:tblPrEx>
        <w:trPr>
          <w:trHeight w:val="478" w:hRule="atLeast"/>
        </w:trPr>
        <w:tc>
          <w:tcPr>
            <w:tcW w:w="488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9F9CE2">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项目负责人：张绿波</w:t>
            </w:r>
          </w:p>
        </w:tc>
        <w:tc>
          <w:tcPr>
            <w:tcW w:w="47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9494F1">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财务负责人：代 波</w:t>
            </w:r>
          </w:p>
        </w:tc>
      </w:tr>
    </w:tbl>
    <w:p w14:paraId="770FC4C1">
      <w:pPr>
        <w:pStyle w:val="19"/>
        <w:spacing w:before="0" w:after="0" w:line="578" w:lineRule="exact"/>
        <w:rPr>
          <w:rFonts w:ascii="Times New Roman" w:hAnsi="Times New Roman" w:eastAsia="仿宋_GB2312"/>
          <w:b w:val="0"/>
          <w:color w:val="000000"/>
          <w:kern w:val="0"/>
          <w:sz w:val="32"/>
          <w:szCs w:val="32"/>
          <w:shd w:val="clear" w:color="auto" w:fill="FFFFFF"/>
        </w:rPr>
      </w:pPr>
    </w:p>
    <w:p w14:paraId="1E763A1C"/>
    <w:p w14:paraId="493AEE44">
      <w:pPr>
        <w:pStyle w:val="19"/>
        <w:spacing w:before="0" w:after="0" w:line="578" w:lineRule="exact"/>
        <w:ind w:firstLine="482" w:firstLineChars="200"/>
      </w:pPr>
    </w:p>
    <w:bookmarkEnd w:id="52"/>
    <w:p w14:paraId="5F0F645C">
      <w:pPr>
        <w:spacing w:line="578" w:lineRule="exact"/>
        <w:ind w:firstLine="640"/>
        <w:rPr>
          <w:rFonts w:eastAsia="仿宋_GB2312" w:cs="仿宋_GB2312"/>
          <w:kern w:val="0"/>
          <w:sz w:val="32"/>
          <w:szCs w:val="32"/>
        </w:rPr>
      </w:pPr>
    </w:p>
    <w:p w14:paraId="3CE49FAA">
      <w:pPr>
        <w:spacing w:line="578" w:lineRule="exact"/>
        <w:ind w:firstLine="640"/>
        <w:rPr>
          <w:rFonts w:eastAsia="仿宋_GB2312" w:cs="仿宋_GB2312"/>
          <w:kern w:val="0"/>
          <w:sz w:val="32"/>
          <w:szCs w:val="32"/>
        </w:rPr>
      </w:pPr>
      <w:bookmarkStart w:id="59" w:name="_Toc15396618"/>
      <w:r>
        <w:rPr>
          <w:rFonts w:hint="eastAsia" w:eastAsia="仿宋_GB2312" w:cs="仿宋_GB2312"/>
          <w:kern w:val="0"/>
          <w:sz w:val="32"/>
          <w:szCs w:val="32"/>
        </w:rPr>
        <w:br w:type="page"/>
      </w:r>
    </w:p>
    <w:p w14:paraId="4C754EBE">
      <w:pPr>
        <w:widowControl/>
        <w:jc w:val="center"/>
        <w:rPr>
          <w:rFonts w:eastAsia="仿宋"/>
        </w:rPr>
      </w:pPr>
      <w:r>
        <w:rPr>
          <w:rFonts w:hint="eastAsia" w:eastAsia="黑体"/>
          <w:sz w:val="44"/>
          <w:szCs w:val="44"/>
        </w:rPr>
        <w:t>第</w:t>
      </w:r>
      <w:r>
        <w:rPr>
          <w:rStyle w:val="28"/>
          <w:rFonts w:hint="eastAsia" w:eastAsia="黑体"/>
          <w:b w:val="0"/>
        </w:rPr>
        <w:t>五部分 附表</w:t>
      </w:r>
      <w:bookmarkEnd w:id="51"/>
      <w:bookmarkEnd w:id="59"/>
      <w:bookmarkStart w:id="60" w:name="_Toc15396619"/>
    </w:p>
    <w:p w14:paraId="24BC4CA2">
      <w:pPr>
        <w:pStyle w:val="14"/>
        <w:adjustRightInd w:val="0"/>
        <w:snapToGrid w:val="0"/>
        <w:spacing w:line="560" w:lineRule="exact"/>
        <w:jc w:val="left"/>
        <w:rPr>
          <w:rFonts w:eastAsia="仿宋_GB2312" w:cs="仿宋_GB2312"/>
          <w:sz w:val="32"/>
          <w:szCs w:val="32"/>
        </w:rPr>
      </w:pPr>
    </w:p>
    <w:p w14:paraId="246F81C4">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60"/>
    </w:p>
    <w:p w14:paraId="34704A31">
      <w:pPr>
        <w:pStyle w:val="14"/>
        <w:adjustRightInd w:val="0"/>
        <w:snapToGrid w:val="0"/>
        <w:spacing w:line="560" w:lineRule="exact"/>
        <w:jc w:val="left"/>
        <w:rPr>
          <w:rFonts w:eastAsia="仿宋_GB2312" w:cs="仿宋_GB2312"/>
          <w:sz w:val="32"/>
          <w:szCs w:val="32"/>
        </w:rPr>
      </w:pPr>
      <w:bookmarkStart w:id="61" w:name="_Toc15396620"/>
      <w:r>
        <w:rPr>
          <w:rFonts w:hint="eastAsia" w:eastAsia="仿宋_GB2312" w:cs="仿宋_GB2312"/>
          <w:sz w:val="32"/>
          <w:szCs w:val="32"/>
        </w:rPr>
        <w:t>二、收入决算表</w:t>
      </w:r>
      <w:bookmarkEnd w:id="61"/>
    </w:p>
    <w:p w14:paraId="051AAF38">
      <w:pPr>
        <w:pStyle w:val="14"/>
        <w:adjustRightInd w:val="0"/>
        <w:snapToGrid w:val="0"/>
        <w:spacing w:line="560" w:lineRule="exact"/>
        <w:jc w:val="left"/>
        <w:rPr>
          <w:rFonts w:eastAsia="仿宋_GB2312" w:cs="仿宋_GB2312"/>
          <w:sz w:val="32"/>
          <w:szCs w:val="32"/>
        </w:rPr>
      </w:pPr>
      <w:bookmarkStart w:id="62" w:name="_Toc15396621"/>
      <w:r>
        <w:rPr>
          <w:rFonts w:hint="eastAsia" w:eastAsia="仿宋_GB2312" w:cs="仿宋_GB2312"/>
          <w:sz w:val="32"/>
          <w:szCs w:val="32"/>
        </w:rPr>
        <w:t>三、支出决算表</w:t>
      </w:r>
      <w:bookmarkEnd w:id="62"/>
    </w:p>
    <w:p w14:paraId="78D5873C">
      <w:pPr>
        <w:pStyle w:val="14"/>
        <w:adjustRightInd w:val="0"/>
        <w:snapToGrid w:val="0"/>
        <w:spacing w:line="560" w:lineRule="exact"/>
        <w:jc w:val="left"/>
        <w:rPr>
          <w:rFonts w:eastAsia="仿宋_GB2312" w:cs="仿宋_GB2312"/>
          <w:sz w:val="32"/>
          <w:szCs w:val="32"/>
        </w:rPr>
      </w:pPr>
      <w:bookmarkStart w:id="63" w:name="_Toc15396622"/>
      <w:r>
        <w:rPr>
          <w:rFonts w:hint="eastAsia" w:eastAsia="仿宋_GB2312" w:cs="仿宋_GB2312"/>
          <w:sz w:val="32"/>
          <w:szCs w:val="32"/>
        </w:rPr>
        <w:t>四、财政拨款收入支出决算总表</w:t>
      </w:r>
      <w:bookmarkEnd w:id="63"/>
    </w:p>
    <w:p w14:paraId="6766A314">
      <w:pPr>
        <w:pStyle w:val="14"/>
        <w:adjustRightInd w:val="0"/>
        <w:snapToGrid w:val="0"/>
        <w:spacing w:line="560" w:lineRule="exact"/>
        <w:jc w:val="left"/>
        <w:rPr>
          <w:rFonts w:eastAsia="仿宋_GB2312" w:cs="仿宋_GB2312"/>
          <w:sz w:val="32"/>
          <w:szCs w:val="32"/>
        </w:rPr>
      </w:pPr>
      <w:bookmarkStart w:id="64" w:name="_Toc15396623"/>
      <w:r>
        <w:rPr>
          <w:rFonts w:hint="eastAsia" w:eastAsia="仿宋_GB2312" w:cs="仿宋_GB2312"/>
          <w:sz w:val="32"/>
          <w:szCs w:val="32"/>
        </w:rPr>
        <w:t>五、财政拨款支出决算明细表</w:t>
      </w:r>
      <w:bookmarkEnd w:id="64"/>
      <w:bookmarkStart w:id="65" w:name="_Toc15396624"/>
    </w:p>
    <w:p w14:paraId="409DC6D0">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5"/>
    </w:p>
    <w:p w14:paraId="53FB2B06">
      <w:pPr>
        <w:pStyle w:val="14"/>
        <w:adjustRightInd w:val="0"/>
        <w:snapToGrid w:val="0"/>
        <w:spacing w:line="560" w:lineRule="exact"/>
        <w:jc w:val="left"/>
        <w:rPr>
          <w:rFonts w:eastAsia="仿宋_GB2312" w:cs="仿宋_GB2312"/>
          <w:sz w:val="32"/>
          <w:szCs w:val="32"/>
        </w:rPr>
      </w:pPr>
      <w:bookmarkStart w:id="66" w:name="_Toc15396625"/>
      <w:r>
        <w:rPr>
          <w:rFonts w:hint="eastAsia" w:eastAsia="仿宋_GB2312" w:cs="仿宋_GB2312"/>
          <w:sz w:val="32"/>
          <w:szCs w:val="32"/>
        </w:rPr>
        <w:t>七、一般公共预算财政拨款支出决算明细表</w:t>
      </w:r>
      <w:bookmarkEnd w:id="66"/>
    </w:p>
    <w:p w14:paraId="12D69236">
      <w:pPr>
        <w:pStyle w:val="14"/>
        <w:adjustRightInd w:val="0"/>
        <w:snapToGrid w:val="0"/>
        <w:spacing w:line="560" w:lineRule="exact"/>
        <w:jc w:val="left"/>
        <w:rPr>
          <w:rFonts w:eastAsia="仿宋_GB2312" w:cs="仿宋_GB2312"/>
          <w:sz w:val="32"/>
          <w:szCs w:val="32"/>
        </w:rPr>
      </w:pPr>
      <w:bookmarkStart w:id="67" w:name="_Toc15396626"/>
      <w:r>
        <w:rPr>
          <w:rFonts w:hint="eastAsia" w:eastAsia="仿宋_GB2312" w:cs="仿宋_GB2312"/>
          <w:sz w:val="32"/>
          <w:szCs w:val="32"/>
        </w:rPr>
        <w:t>八、一般公共预算财政拨款基本支出决算表</w:t>
      </w:r>
      <w:bookmarkEnd w:id="67"/>
    </w:p>
    <w:p w14:paraId="487404BC">
      <w:pPr>
        <w:pStyle w:val="14"/>
        <w:adjustRightInd w:val="0"/>
        <w:snapToGrid w:val="0"/>
        <w:spacing w:line="560" w:lineRule="exact"/>
        <w:jc w:val="left"/>
        <w:rPr>
          <w:rFonts w:eastAsia="仿宋_GB2312" w:cs="仿宋_GB2312"/>
          <w:sz w:val="32"/>
          <w:szCs w:val="32"/>
        </w:rPr>
      </w:pPr>
      <w:bookmarkStart w:id="68" w:name="_Toc15396627"/>
      <w:r>
        <w:rPr>
          <w:rFonts w:hint="eastAsia" w:eastAsia="仿宋_GB2312" w:cs="仿宋_GB2312"/>
          <w:sz w:val="32"/>
          <w:szCs w:val="32"/>
        </w:rPr>
        <w:t>九、一般公共预算财政拨款项目支出决算表</w:t>
      </w:r>
      <w:bookmarkEnd w:id="68"/>
    </w:p>
    <w:p w14:paraId="34AA9D99">
      <w:pPr>
        <w:pStyle w:val="14"/>
        <w:adjustRightInd w:val="0"/>
        <w:snapToGrid w:val="0"/>
        <w:spacing w:line="560" w:lineRule="exact"/>
        <w:jc w:val="left"/>
        <w:rPr>
          <w:rFonts w:eastAsia="仿宋_GB2312" w:cs="仿宋_GB2312"/>
          <w:sz w:val="32"/>
          <w:szCs w:val="32"/>
        </w:rPr>
      </w:pPr>
      <w:bookmarkStart w:id="69" w:name="_Toc15396628"/>
      <w:r>
        <w:rPr>
          <w:rFonts w:hint="eastAsia" w:eastAsia="仿宋_GB2312" w:cs="仿宋_GB2312"/>
          <w:sz w:val="32"/>
          <w:szCs w:val="32"/>
        </w:rPr>
        <w:t>十、</w:t>
      </w:r>
      <w:bookmarkEnd w:id="69"/>
      <w:r>
        <w:rPr>
          <w:rFonts w:hint="eastAsia" w:eastAsia="仿宋_GB2312" w:cs="仿宋_GB2312"/>
          <w:sz w:val="32"/>
          <w:szCs w:val="32"/>
        </w:rPr>
        <w:t>政府性基金预算财政拨款收入支出决算表</w:t>
      </w:r>
    </w:p>
    <w:p w14:paraId="4D222827">
      <w:pPr>
        <w:pStyle w:val="14"/>
        <w:adjustRightInd w:val="0"/>
        <w:snapToGrid w:val="0"/>
        <w:spacing w:line="560" w:lineRule="exact"/>
        <w:jc w:val="left"/>
        <w:rPr>
          <w:rFonts w:eastAsia="仿宋_GB2312" w:cs="仿宋_GB2312"/>
          <w:sz w:val="32"/>
          <w:szCs w:val="32"/>
        </w:rPr>
      </w:pPr>
      <w:bookmarkStart w:id="70" w:name="_Toc15396629"/>
      <w:r>
        <w:rPr>
          <w:rFonts w:hint="eastAsia" w:eastAsia="仿宋_GB2312" w:cs="仿宋_GB2312"/>
          <w:sz w:val="32"/>
          <w:szCs w:val="32"/>
        </w:rPr>
        <w:t>十一、</w:t>
      </w:r>
      <w:bookmarkEnd w:id="70"/>
      <w:r>
        <w:rPr>
          <w:rFonts w:hint="eastAsia" w:eastAsia="仿宋_GB2312" w:cs="仿宋_GB2312"/>
          <w:sz w:val="32"/>
          <w:szCs w:val="32"/>
        </w:rPr>
        <w:t>国有资本经营预算财政拨款收入支出决算表</w:t>
      </w:r>
    </w:p>
    <w:p w14:paraId="6CC10701">
      <w:pPr>
        <w:pStyle w:val="14"/>
        <w:adjustRightInd w:val="0"/>
        <w:snapToGrid w:val="0"/>
        <w:spacing w:line="560" w:lineRule="exact"/>
        <w:jc w:val="left"/>
        <w:rPr>
          <w:rFonts w:eastAsia="仿宋_GB2312" w:cs="仿宋_GB2312"/>
          <w:sz w:val="32"/>
          <w:szCs w:val="32"/>
        </w:rPr>
      </w:pPr>
      <w:bookmarkStart w:id="71" w:name="_Toc15396630"/>
      <w:r>
        <w:rPr>
          <w:rFonts w:hint="eastAsia" w:eastAsia="仿宋_GB2312" w:cs="仿宋_GB2312"/>
          <w:sz w:val="32"/>
          <w:szCs w:val="32"/>
        </w:rPr>
        <w:t>十二、</w:t>
      </w:r>
      <w:bookmarkEnd w:id="71"/>
      <w:r>
        <w:rPr>
          <w:rFonts w:hint="eastAsia" w:eastAsia="仿宋_GB2312" w:cs="仿宋_GB2312"/>
          <w:sz w:val="32"/>
          <w:szCs w:val="32"/>
        </w:rPr>
        <w:t>国有资本经营预算财政拨款支出决算表</w:t>
      </w:r>
    </w:p>
    <w:p w14:paraId="3CCB5D48">
      <w:pPr>
        <w:pStyle w:val="14"/>
        <w:adjustRightInd w:val="0"/>
        <w:snapToGrid w:val="0"/>
        <w:spacing w:line="560" w:lineRule="exact"/>
        <w:jc w:val="left"/>
        <w:rPr>
          <w:rFonts w:eastAsia="仿宋_GB2312" w:cs="仿宋_GB2312"/>
          <w:sz w:val="32"/>
          <w:szCs w:val="32"/>
        </w:rPr>
      </w:pPr>
      <w:bookmarkStart w:id="72" w:name="_Toc15396631"/>
      <w:r>
        <w:rPr>
          <w:rFonts w:hint="eastAsia" w:eastAsia="仿宋_GB2312" w:cs="仿宋_GB2312"/>
          <w:sz w:val="32"/>
          <w:szCs w:val="32"/>
        </w:rPr>
        <w:t>十三、</w:t>
      </w:r>
      <w:bookmarkEnd w:id="72"/>
      <w:r>
        <w:rPr>
          <w:rFonts w:hint="eastAsia" w:eastAsia="仿宋_GB2312" w:cs="仿宋_GB2312"/>
          <w:sz w:val="32"/>
          <w:szCs w:val="32"/>
        </w:rPr>
        <w:t>财政拨款“三公”经费支出决算表</w:t>
      </w:r>
    </w:p>
    <w:p w14:paraId="355B97B2">
      <w:r>
        <w:rPr>
          <w:rFonts w:hint="eastAsia"/>
        </w:rPr>
        <w:object>
          <v:shape id="_x0000_i1025" o:spt="75" type="#_x0000_t75" style="height:41.25pt;width:147.75pt;" o:ole="t" filled="f" o:preferrelative="t" stroked="f" coordsize="21600,21600">
            <v:path/>
            <v:fill on="f" focussize="0,0"/>
            <v:stroke on="f" joinstyle="miter"/>
            <v:imagedata r:id="rId16" o:title=""/>
            <o:lock v:ext="edit" aspectratio="t"/>
            <w10:wrap type="none"/>
            <w10:anchorlock/>
          </v:shape>
          <o:OLEObject Type="Embed" ProgID="Package" ShapeID="_x0000_i1025" DrawAspect="Content" ObjectID="_1468075725" r:id="rId15">
            <o:LockedField>false</o:LockedField>
          </o:OLEObject>
        </w:object>
      </w:r>
    </w:p>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FBF056-93DF-42EB-A618-82537A09136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embedRegular r:id="rId2" w:fontKey="{4823630E-2F1B-4B09-B3D0-F13FD25BF779}"/>
  </w:font>
  <w:font w:name="仿宋">
    <w:panose1 w:val="02010609060101010101"/>
    <w:charset w:val="86"/>
    <w:family w:val="modern"/>
    <w:pitch w:val="default"/>
    <w:sig w:usb0="800002BF" w:usb1="38CF7CFA" w:usb2="00000016" w:usb3="00000000" w:csb0="00040001" w:csb1="00000000"/>
    <w:embedRegular r:id="rId3" w:fontKey="{14D0FA67-44FC-47CF-98AD-BD21A6902D6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方正舒体"/>
    <w:panose1 w:val="00000000000000000000"/>
    <w:charset w:val="86"/>
    <w:family w:val="script"/>
    <w:pitch w:val="default"/>
    <w:sig w:usb0="00000000" w:usb1="00000000" w:usb2="00000010" w:usb3="00000000" w:csb0="00040000" w:csb1="00000000"/>
    <w:embedRegular r:id="rId4" w:fontKey="{E668E5F8-86E9-492B-9DD6-AA1F67ADCA1B}"/>
  </w:font>
  <w:font w:name="方正舒体">
    <w:panose1 w:val="02010601030101010101"/>
    <w:charset w:val="86"/>
    <w:family w:val="auto"/>
    <w:pitch w:val="default"/>
    <w:sig w:usb0="00000003"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embedRegular r:id="rId5" w:fontKey="{5D961D50-9D50-4920-9CF0-D86249F9E771}"/>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embedRegular r:id="rId6" w:fontKey="{748A735D-F24D-46EB-8EF0-CCC233E6A0A0}"/>
  </w:font>
  <w:font w:name="微软雅黑">
    <w:panose1 w:val="020B0503020204020204"/>
    <w:charset w:val="86"/>
    <w:family w:val="swiss"/>
    <w:pitch w:val="default"/>
    <w:sig w:usb0="80000287" w:usb1="2ACF3C50" w:usb2="00000016" w:usb3="00000000" w:csb0="0004001F" w:csb1="00000000"/>
    <w:embedRegular r:id="rId7" w:fontKey="{06795038-6A2B-48EC-A5CA-0BF641B533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DB040">
    <w:pPr>
      <w:pStyle w:val="9"/>
      <w:jc w:val="center"/>
    </w:pPr>
  </w:p>
  <w:p w14:paraId="26E3C886">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00519">
    <w:pPr>
      <w:pStyle w:val="9"/>
      <w:jc w:val="center"/>
    </w:pPr>
  </w:p>
  <w:p w14:paraId="70B6BEE4">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59361">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7B25A">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85BD88"/>
    <w:multiLevelType w:val="singleLevel"/>
    <w:tmpl w:val="A385BD8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71C"/>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2A27"/>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815C2"/>
    <w:rsid w:val="00294DC9"/>
    <w:rsid w:val="00295495"/>
    <w:rsid w:val="002A31DE"/>
    <w:rsid w:val="002B2613"/>
    <w:rsid w:val="002D6D05"/>
    <w:rsid w:val="002F1818"/>
    <w:rsid w:val="002F567B"/>
    <w:rsid w:val="003216A9"/>
    <w:rsid w:val="00335A74"/>
    <w:rsid w:val="00354287"/>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34F2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608E"/>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04E7"/>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A25DF"/>
    <w:rsid w:val="00FD3CC1"/>
    <w:rsid w:val="00FF1E02"/>
    <w:rsid w:val="00FF30B4"/>
    <w:rsid w:val="012A5EC2"/>
    <w:rsid w:val="01444924"/>
    <w:rsid w:val="015975B8"/>
    <w:rsid w:val="02FEBE30"/>
    <w:rsid w:val="035E4865"/>
    <w:rsid w:val="048D6A34"/>
    <w:rsid w:val="04916F1E"/>
    <w:rsid w:val="061E35DE"/>
    <w:rsid w:val="06411C85"/>
    <w:rsid w:val="066E0107"/>
    <w:rsid w:val="07996F6E"/>
    <w:rsid w:val="07DFD8BA"/>
    <w:rsid w:val="08D613F6"/>
    <w:rsid w:val="09867E8F"/>
    <w:rsid w:val="0A2032A3"/>
    <w:rsid w:val="0C33361B"/>
    <w:rsid w:val="0CA8290A"/>
    <w:rsid w:val="0CC060F5"/>
    <w:rsid w:val="0D35B1ED"/>
    <w:rsid w:val="0DFA7935"/>
    <w:rsid w:val="0E254B6B"/>
    <w:rsid w:val="0E3964EA"/>
    <w:rsid w:val="0F98263C"/>
    <w:rsid w:val="101860EC"/>
    <w:rsid w:val="101F47CC"/>
    <w:rsid w:val="105B01EF"/>
    <w:rsid w:val="10C055FF"/>
    <w:rsid w:val="11694EBD"/>
    <w:rsid w:val="11772AA4"/>
    <w:rsid w:val="118107EC"/>
    <w:rsid w:val="12296A3A"/>
    <w:rsid w:val="12E24EE2"/>
    <w:rsid w:val="13D50BC4"/>
    <w:rsid w:val="14B17F78"/>
    <w:rsid w:val="15004274"/>
    <w:rsid w:val="165E0673"/>
    <w:rsid w:val="16B831D5"/>
    <w:rsid w:val="16BB723D"/>
    <w:rsid w:val="17E50567"/>
    <w:rsid w:val="186504BB"/>
    <w:rsid w:val="19173670"/>
    <w:rsid w:val="19A445FC"/>
    <w:rsid w:val="1BE8440E"/>
    <w:rsid w:val="1CC6347C"/>
    <w:rsid w:val="1D155CEE"/>
    <w:rsid w:val="1D1638FE"/>
    <w:rsid w:val="1DB72151"/>
    <w:rsid w:val="1DCD2970"/>
    <w:rsid w:val="1E312DEB"/>
    <w:rsid w:val="1E740ACF"/>
    <w:rsid w:val="1E9677A8"/>
    <w:rsid w:val="1FF35744"/>
    <w:rsid w:val="1FF6BC77"/>
    <w:rsid w:val="2186353C"/>
    <w:rsid w:val="22681350"/>
    <w:rsid w:val="23860B96"/>
    <w:rsid w:val="240371BF"/>
    <w:rsid w:val="244F3473"/>
    <w:rsid w:val="24C97D99"/>
    <w:rsid w:val="253D03DB"/>
    <w:rsid w:val="25A718F0"/>
    <w:rsid w:val="25BB59F6"/>
    <w:rsid w:val="260F557C"/>
    <w:rsid w:val="26970054"/>
    <w:rsid w:val="281408E2"/>
    <w:rsid w:val="28AD21FB"/>
    <w:rsid w:val="29A679D5"/>
    <w:rsid w:val="29FD04D3"/>
    <w:rsid w:val="2BFF7BC6"/>
    <w:rsid w:val="2C8A61B5"/>
    <w:rsid w:val="2DF04E50"/>
    <w:rsid w:val="2E586DFA"/>
    <w:rsid w:val="2F040D46"/>
    <w:rsid w:val="2F2F1092"/>
    <w:rsid w:val="2F6B035B"/>
    <w:rsid w:val="2F7E0B17"/>
    <w:rsid w:val="2FAE5751"/>
    <w:rsid w:val="2FB1A395"/>
    <w:rsid w:val="2FD9A7D8"/>
    <w:rsid w:val="2FDBF714"/>
    <w:rsid w:val="30843362"/>
    <w:rsid w:val="30AB6865"/>
    <w:rsid w:val="319F7F4E"/>
    <w:rsid w:val="32BD1EF1"/>
    <w:rsid w:val="3304709D"/>
    <w:rsid w:val="33A773CB"/>
    <w:rsid w:val="349D6851"/>
    <w:rsid w:val="35E6413B"/>
    <w:rsid w:val="36AA5135"/>
    <w:rsid w:val="36BE0DA7"/>
    <w:rsid w:val="376B6AA6"/>
    <w:rsid w:val="376D39B2"/>
    <w:rsid w:val="37E16F03"/>
    <w:rsid w:val="37F53A3B"/>
    <w:rsid w:val="389B6C89"/>
    <w:rsid w:val="38D469F0"/>
    <w:rsid w:val="39627CCD"/>
    <w:rsid w:val="397BAF1F"/>
    <w:rsid w:val="3A4F7B6D"/>
    <w:rsid w:val="3AB79AF3"/>
    <w:rsid w:val="3AE834C0"/>
    <w:rsid w:val="3B042217"/>
    <w:rsid w:val="3B7EF35A"/>
    <w:rsid w:val="3B9FDB6C"/>
    <w:rsid w:val="3BF5BC2F"/>
    <w:rsid w:val="3C836BC3"/>
    <w:rsid w:val="3CEBA265"/>
    <w:rsid w:val="3D98207C"/>
    <w:rsid w:val="3DEE7CF3"/>
    <w:rsid w:val="3E740A63"/>
    <w:rsid w:val="3E78745D"/>
    <w:rsid w:val="3EE17838"/>
    <w:rsid w:val="3F241A1A"/>
    <w:rsid w:val="3F55381A"/>
    <w:rsid w:val="3F7F7599"/>
    <w:rsid w:val="3FF4CAE0"/>
    <w:rsid w:val="3FF7B227"/>
    <w:rsid w:val="409E06B6"/>
    <w:rsid w:val="435353A8"/>
    <w:rsid w:val="44E268DA"/>
    <w:rsid w:val="450D13D7"/>
    <w:rsid w:val="453C33E9"/>
    <w:rsid w:val="45506656"/>
    <w:rsid w:val="46A936CA"/>
    <w:rsid w:val="46B964DE"/>
    <w:rsid w:val="486A6C7A"/>
    <w:rsid w:val="48902893"/>
    <w:rsid w:val="49787ACA"/>
    <w:rsid w:val="4A627F82"/>
    <w:rsid w:val="4B0E749A"/>
    <w:rsid w:val="4B2477C4"/>
    <w:rsid w:val="4B4F25DA"/>
    <w:rsid w:val="4BE068DB"/>
    <w:rsid w:val="4BE62CCB"/>
    <w:rsid w:val="4C8127A2"/>
    <w:rsid w:val="4D577224"/>
    <w:rsid w:val="4DBF1CEB"/>
    <w:rsid w:val="4DF0007C"/>
    <w:rsid w:val="4EAB630A"/>
    <w:rsid w:val="4ECE2238"/>
    <w:rsid w:val="4F833267"/>
    <w:rsid w:val="4FE9BD67"/>
    <w:rsid w:val="4FFB052F"/>
    <w:rsid w:val="5016681D"/>
    <w:rsid w:val="537E6D0A"/>
    <w:rsid w:val="53F74C96"/>
    <w:rsid w:val="55170BA8"/>
    <w:rsid w:val="553218C9"/>
    <w:rsid w:val="567E1AA5"/>
    <w:rsid w:val="56E47B74"/>
    <w:rsid w:val="57175D52"/>
    <w:rsid w:val="57BD3DD4"/>
    <w:rsid w:val="58421289"/>
    <w:rsid w:val="59417793"/>
    <w:rsid w:val="5AF92295"/>
    <w:rsid w:val="5AFF7905"/>
    <w:rsid w:val="5B250254"/>
    <w:rsid w:val="5BDD79E6"/>
    <w:rsid w:val="5BF561CA"/>
    <w:rsid w:val="5BFF5DFC"/>
    <w:rsid w:val="5C531CB7"/>
    <w:rsid w:val="5CD71FC4"/>
    <w:rsid w:val="5D1F11B5"/>
    <w:rsid w:val="5D695134"/>
    <w:rsid w:val="5DAE1B18"/>
    <w:rsid w:val="5DE7D9E5"/>
    <w:rsid w:val="5ECEC941"/>
    <w:rsid w:val="5ED469C5"/>
    <w:rsid w:val="5F0674B4"/>
    <w:rsid w:val="5FBF9FF3"/>
    <w:rsid w:val="5FCD4E2C"/>
    <w:rsid w:val="5FEF394A"/>
    <w:rsid w:val="5FF67715"/>
    <w:rsid w:val="62BF3928"/>
    <w:rsid w:val="63B3701E"/>
    <w:rsid w:val="646031C3"/>
    <w:rsid w:val="647F5392"/>
    <w:rsid w:val="65E66580"/>
    <w:rsid w:val="664B1D71"/>
    <w:rsid w:val="664B4E8E"/>
    <w:rsid w:val="67277B67"/>
    <w:rsid w:val="67AA3209"/>
    <w:rsid w:val="682529C0"/>
    <w:rsid w:val="69767C4D"/>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85E2C"/>
    <w:rsid w:val="6FCE6052"/>
    <w:rsid w:val="6FD57C00"/>
    <w:rsid w:val="6FEFFFD8"/>
    <w:rsid w:val="6FF5CC65"/>
    <w:rsid w:val="6FFB47EC"/>
    <w:rsid w:val="6FFF034A"/>
    <w:rsid w:val="70484440"/>
    <w:rsid w:val="7101188A"/>
    <w:rsid w:val="712A28F1"/>
    <w:rsid w:val="715C0E4B"/>
    <w:rsid w:val="71992E7C"/>
    <w:rsid w:val="71AA1F21"/>
    <w:rsid w:val="72233669"/>
    <w:rsid w:val="72734D90"/>
    <w:rsid w:val="73160E6D"/>
    <w:rsid w:val="7332FE48"/>
    <w:rsid w:val="73AB61DA"/>
    <w:rsid w:val="73AD73D5"/>
    <w:rsid w:val="73B6EB34"/>
    <w:rsid w:val="73B92ABB"/>
    <w:rsid w:val="73FA497D"/>
    <w:rsid w:val="744731E5"/>
    <w:rsid w:val="74BBD01D"/>
    <w:rsid w:val="74ED5379"/>
    <w:rsid w:val="75DEEEC2"/>
    <w:rsid w:val="75E32345"/>
    <w:rsid w:val="76E3355F"/>
    <w:rsid w:val="76EA2DC0"/>
    <w:rsid w:val="76FF5125"/>
    <w:rsid w:val="773A5AF5"/>
    <w:rsid w:val="776F6FFA"/>
    <w:rsid w:val="778769C8"/>
    <w:rsid w:val="778F6F79"/>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DF02E1B"/>
    <w:rsid w:val="7E8ADEBF"/>
    <w:rsid w:val="7EEF11D3"/>
    <w:rsid w:val="7EFE4840"/>
    <w:rsid w:val="7F0971A6"/>
    <w:rsid w:val="7F1D62E7"/>
    <w:rsid w:val="7F3F679B"/>
    <w:rsid w:val="7F4C53CD"/>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8"/>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普通(网站) Char"/>
    <w:basedOn w:val="1"/>
    <w:qFormat/>
    <w:uiPriority w:val="0"/>
    <w:pPr>
      <w:widowControl/>
      <w:spacing w:beforeAutospacing="1" w:afterAutospacing="1"/>
      <w:jc w:val="left"/>
    </w:pPr>
    <w:rPr>
      <w:rFonts w:asci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emf"/><Relationship Id="rId15" Type="http://schemas.openxmlformats.org/officeDocument/2006/relationships/oleObject" Target="embeddings/oleObject1.bin"/><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2023年</c:v>
                </c:pt>
                <c:pt idx="1">
                  <c:v>2024年</c:v>
                </c:pt>
              </c:strCache>
            </c:strRef>
          </c:cat>
          <c:val>
            <c:numRef>
              <c:f>Sheet1!$B$2:$B$5</c:f>
              <c:numCache>
                <c:formatCode>General</c:formatCode>
                <c:ptCount val="4"/>
                <c:pt idx="0">
                  <c:v>9874.46</c:v>
                </c:pt>
                <c:pt idx="1">
                  <c:v>10442.81</c:v>
                </c:pt>
              </c:numCache>
            </c:numRef>
          </c:val>
        </c:ser>
        <c:ser>
          <c:idx val="1"/>
          <c:order val="1"/>
          <c:tx>
            <c:strRef>
              <c:f>Sheet1!$C$1</c:f>
              <c:strCache>
                <c:ptCount val="1"/>
                <c:pt idx="0">
                  <c:v>列2</c:v>
                </c:pt>
              </c:strCache>
            </c:strRef>
          </c:tx>
          <c:spPr>
            <a:solidFill>
              <a:schemeClr val="accent2"/>
            </a:solidFill>
            <a:ln>
              <a:noFill/>
            </a:ln>
            <a:effectLst/>
          </c:spPr>
          <c:invertIfNegative val="0"/>
          <c:dLbls>
            <c:delete val="1"/>
          </c:dLbls>
          <c:cat>
            <c:strRef>
              <c:f>Sheet1!$A$2:$A$5</c:f>
              <c:strCache>
                <c:ptCount val="4"/>
                <c:pt idx="0">
                  <c:v>2023年</c:v>
                </c:pt>
                <c:pt idx="1">
                  <c:v>2024年</c:v>
                </c:pt>
              </c:strCache>
            </c:strRef>
          </c:cat>
          <c:val>
            <c:numRef>
              <c:f>Sheet1!$C$2:$C$5</c:f>
              <c:numCache>
                <c:formatCode>General</c:formatCode>
                <c:ptCount val="4"/>
              </c:numCache>
            </c:numRef>
          </c:val>
        </c:ser>
        <c:ser>
          <c:idx val="2"/>
          <c:order val="2"/>
          <c:tx>
            <c:strRef>
              <c:f>Sheet1!$D$1</c:f>
              <c:strCache>
                <c:ptCount val="1"/>
                <c:pt idx="0">
                  <c:v>列1</c:v>
                </c:pt>
              </c:strCache>
            </c:strRef>
          </c:tx>
          <c:spPr>
            <a:solidFill>
              <a:schemeClr val="accent3"/>
            </a:solidFill>
            <a:ln>
              <a:noFill/>
            </a:ln>
            <a:effectLst/>
          </c:spPr>
          <c:invertIfNegative val="0"/>
          <c:dLbls>
            <c:delete val="1"/>
          </c:dLbls>
          <c:cat>
            <c:strRef>
              <c:f>Sheet1!$A$2:$A$5</c:f>
              <c:strCache>
                <c:ptCount val="4"/>
                <c:pt idx="0">
                  <c:v>2023年</c:v>
                </c:pt>
                <c:pt idx="1">
                  <c:v>2024年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692141984"/>
        <c:axId val="-1692151232"/>
      </c:barChart>
      <c:catAx>
        <c:axId val="-1692141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92151232"/>
        <c:crosses val="autoZero"/>
        <c:auto val="1"/>
        <c:lblAlgn val="ctr"/>
        <c:lblOffset val="100"/>
        <c:noMultiLvlLbl val="0"/>
      </c:catAx>
      <c:valAx>
        <c:axId val="-1692151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921419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809219e-0d90-47bb-a7dd-1535a769cd5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一般公共预算（9639.05）</c:v>
                </c:pt>
                <c:pt idx="1">
                  <c:v>政府性基金预算财政拨款收入（0）</c:v>
                </c:pt>
                <c:pt idx="2">
                  <c:v>国有资本经营预算财政收入（0）</c:v>
                </c:pt>
                <c:pt idx="3">
                  <c:v>上级补助收入（0）</c:v>
                </c:pt>
                <c:pt idx="4">
                  <c:v>事业收入（0）</c:v>
                </c:pt>
                <c:pt idx="5">
                  <c:v>经营收入（0）</c:v>
                </c:pt>
                <c:pt idx="6">
                  <c:v>附属单位上缴收入（0）</c:v>
                </c:pt>
                <c:pt idx="7">
                  <c:v>经营收入（0）</c:v>
                </c:pt>
                <c:pt idx="8">
                  <c:v>其他收入（803.76）</c:v>
                </c:pt>
              </c:strCache>
            </c:strRef>
          </c:cat>
          <c:val>
            <c:numRef>
              <c:f>Sheet1!$B$2:$B$10</c:f>
              <c:numCache>
                <c:formatCode>General</c:formatCode>
                <c:ptCount val="9"/>
                <c:pt idx="0">
                  <c:v>9639.05</c:v>
                </c:pt>
                <c:pt idx="1">
                  <c:v>0</c:v>
                </c:pt>
                <c:pt idx="2">
                  <c:v>0</c:v>
                </c:pt>
                <c:pt idx="3">
                  <c:v>0</c:v>
                </c:pt>
                <c:pt idx="4">
                  <c:v>0</c:v>
                </c:pt>
                <c:pt idx="5">
                  <c:v>0</c:v>
                </c:pt>
                <c:pt idx="6">
                  <c:v>0</c:v>
                </c:pt>
                <c:pt idx="7">
                  <c:v>0</c:v>
                </c:pt>
                <c:pt idx="8">
                  <c:v>803.76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42dd5e9-d518-4683-85a0-a5896a10bd1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tx>
            <c:strRef>
              <c:f>Sheet1!$B$1</c:f>
              <c:strCache>
                <c:ptCount val="1"/>
                <c:pt idx="0">
                  <c:v>占比</c:v>
                </c:pt>
              </c:strCache>
            </c:strRef>
          </c:tx>
          <c:spPr/>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contourClr>
                  <a:schemeClr val="lt1"/>
                </a:contourClr>
              </a:sp3d>
            </c:spPr>
          </c:dPt>
          <c:dPt>
            <c:idx val="4"/>
            <c:bubble3D val="0"/>
            <c:spPr>
              <a:solidFill>
                <a:schemeClr val="accent5"/>
              </a:solidFill>
              <a:ln w="25400">
                <a:solidFill>
                  <a:schemeClr val="lt1"/>
                </a:solidFill>
              </a:ln>
              <a:effectLst/>
              <a:scene3d>
                <a:camera prst="orthographicFront"/>
                <a:lightRig rig="threePt" dir="t"/>
              </a:scene3d>
              <a:sp3d contourW="25400">
                <a:contourClr>
                  <a:schemeClr val="lt1"/>
                </a:contourClr>
              </a:sp3d>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基本支出（7167.18）</c:v>
                </c:pt>
                <c:pt idx="1">
                  <c:v>项目支出（2980.65）</c:v>
                </c:pt>
                <c:pt idx="2">
                  <c:v>上缴支出（0）</c:v>
                </c:pt>
                <c:pt idx="3">
                  <c:v>经营支出（0）</c:v>
                </c:pt>
                <c:pt idx="4">
                  <c:v>附属单位补助支出（0）</c:v>
                </c:pt>
              </c:strCache>
            </c:strRef>
          </c:cat>
          <c:val>
            <c:numRef>
              <c:f>Sheet1!$B$2:$B$6</c:f>
              <c:numCache>
                <c:formatCode>General</c:formatCode>
                <c:ptCount val="5"/>
                <c:pt idx="0">
                  <c:v>7167.18</c:v>
                </c:pt>
                <c:pt idx="1">
                  <c:v>2980.65</c:v>
                </c:pt>
                <c:pt idx="2">
                  <c:v>0</c:v>
                </c:pt>
                <c:pt idx="3">
                  <c:v>0</c:v>
                </c:pt>
                <c:pt idx="4">
                  <c:v>0</c:v>
                </c:pt>
              </c:numCache>
            </c:numRef>
          </c:val>
        </c:ser>
        <c:dLbls>
          <c:showLegendKey val="0"/>
          <c:showVal val="0"/>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a6a25a8-e0e8-414a-ab93-db702e5ccd2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9403.64</c:v>
                </c:pt>
                <c:pt idx="1">
                  <c:v>9639.05</c:v>
                </c:pt>
              </c:numCache>
            </c:numRef>
          </c:val>
        </c:ser>
        <c:dLbls>
          <c:showLegendKey val="0"/>
          <c:showVal val="0"/>
          <c:showCatName val="0"/>
          <c:showSerName val="0"/>
          <c:showPercent val="0"/>
          <c:showBubbleSize val="0"/>
        </c:dLbls>
        <c:gapWidth val="246"/>
        <c:overlap val="-28"/>
        <c:axId val="563338734"/>
        <c:axId val="546407877"/>
      </c:barChart>
      <c:catAx>
        <c:axId val="56333873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407877"/>
        <c:crosses val="autoZero"/>
        <c:auto val="1"/>
        <c:lblAlgn val="ctr"/>
        <c:lblOffset val="100"/>
        <c:noMultiLvlLbl val="0"/>
      </c:catAx>
      <c:valAx>
        <c:axId val="54640787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333873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749ff7d-3280-4ce3-824a-c10b48710a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2023年</c:v>
                </c:pt>
                <c:pt idx="1">
                  <c:v>2024年</c:v>
                </c:pt>
              </c:strCache>
            </c:strRef>
          </c:cat>
          <c:val>
            <c:numRef>
              <c:f>Sheet1!$B$2:$B$6</c:f>
              <c:numCache>
                <c:formatCode>General</c:formatCode>
                <c:ptCount val="5"/>
                <c:pt idx="0">
                  <c:v>9403.64</c:v>
                </c:pt>
                <c:pt idx="1">
                  <c:v>9639.05</c:v>
                </c:pt>
              </c:numCache>
            </c:numRef>
          </c:val>
        </c:ser>
        <c:dLbls>
          <c:showLegendKey val="0"/>
          <c:showVal val="0"/>
          <c:showCatName val="0"/>
          <c:showSerName val="0"/>
          <c:showPercent val="0"/>
          <c:showBubbleSize val="0"/>
        </c:dLbls>
        <c:gapWidth val="219"/>
        <c:overlap val="-27"/>
        <c:axId val="-1692146880"/>
        <c:axId val="-1692139264"/>
      </c:barChart>
      <c:catAx>
        <c:axId val="-1692146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92139264"/>
        <c:crosses val="autoZero"/>
        <c:auto val="1"/>
        <c:lblAlgn val="ctr"/>
        <c:lblOffset val="100"/>
        <c:noMultiLvlLbl val="0"/>
      </c:catAx>
      <c:valAx>
        <c:axId val="-1692139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921468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d67d071-3c4f-4351-8eef-1949d292a89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占比</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7745.36</c:v>
                </c:pt>
                <c:pt idx="1">
                  <c:v>991.85</c:v>
                </c:pt>
                <c:pt idx="2">
                  <c:v>392.36</c:v>
                </c:pt>
                <c:pt idx="3">
                  <c:v>509.47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db92236-3abf-49fb-b260-1abe649bee5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占比</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因公出国支出</c:v>
                </c:pt>
                <c:pt idx="1">
                  <c:v>公务用车及维护费支出</c:v>
                </c:pt>
                <c:pt idx="2">
                  <c:v>公务接待支出支出</c:v>
                </c:pt>
              </c:strCache>
            </c:strRef>
          </c:cat>
          <c:val>
            <c:numRef>
              <c:f>Sheet1!$B$2:$B$4</c:f>
              <c:numCache>
                <c:formatCode>General</c:formatCode>
                <c:ptCount val="3"/>
                <c:pt idx="0">
                  <c:v>0</c:v>
                </c:pt>
                <c:pt idx="1">
                  <c:v>18.03</c:v>
                </c:pt>
                <c:pt idx="2">
                  <c:v>0.99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5981f9e-a980-4d1c-9c8e-87ccae4e47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60</Pages>
  <Words>16207</Words>
  <Characters>18107</Characters>
  <Lines>233</Lines>
  <Paragraphs>65</Paragraphs>
  <TotalTime>42</TotalTime>
  <ScaleCrop>false</ScaleCrop>
  <LinksUpToDate>false</LinksUpToDate>
  <CharactersWithSpaces>18206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又是你个孙猴子</cp:lastModifiedBy>
  <cp:lastPrinted>2025-08-06T17:34:00Z</cp:lastPrinted>
  <dcterms:modified xsi:type="dcterms:W3CDTF">2025-09-16T08:56:40Z</dcterms:modified>
  <dc:title>四川省***</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04787F2533EB45DC91BCDE4AB213247F</vt:lpwstr>
  </property>
  <property fmtid="{D5CDD505-2E9C-101B-9397-08002B2CF9AE}" pid="4" name="KSOTemplateDocerSaveRecord">
    <vt:lpwstr>eyJoZGlkIjoiYWMyODQ0MmQ0ZWQ5MDEyMzc0NTUyYWJlMjFjNTZhMzEiLCJ1c2VySWQiOiIzNTIxMTEyMTUifQ==</vt:lpwstr>
  </property>
</Properties>
</file>