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55884">
      <w:pPr>
        <w:keepNext w:val="0"/>
        <w:keepLines w:val="0"/>
        <w:pageBreakBefore w:val="0"/>
        <w:kinsoku/>
        <w:wordWrap/>
        <w:overflowPunct/>
        <w:topLinePunct w:val="0"/>
        <w:autoSpaceDE/>
        <w:autoSpaceDN/>
        <w:bidi w:val="0"/>
        <w:adjustRightInd/>
        <w:snapToGrid/>
        <w:spacing w:beforeAutospacing="0" w:afterAutospacing="0" w:line="560" w:lineRule="exact"/>
        <w:ind w:left="0" w:right="0"/>
      </w:pPr>
    </w:p>
    <w:p w14:paraId="57522838">
      <w:pPr>
        <w:keepNext w:val="0"/>
        <w:keepLines w:val="0"/>
        <w:pageBreakBefore w:val="0"/>
        <w:kinsoku/>
        <w:wordWrap/>
        <w:overflowPunct/>
        <w:topLinePunct w:val="0"/>
        <w:autoSpaceDE/>
        <w:autoSpaceDN/>
        <w:bidi w:val="0"/>
        <w:adjustRightInd/>
        <w:snapToGrid/>
        <w:spacing w:beforeAutospacing="0" w:afterAutospacing="0" w:line="560" w:lineRule="exact"/>
        <w:ind w:left="0" w:right="0"/>
      </w:pPr>
    </w:p>
    <w:p w14:paraId="75D5F76F">
      <w:pPr>
        <w:keepNext w:val="0"/>
        <w:keepLines w:val="0"/>
        <w:pageBreakBefore w:val="0"/>
        <w:kinsoku/>
        <w:wordWrap/>
        <w:overflowPunct/>
        <w:topLinePunct w:val="0"/>
        <w:autoSpaceDE/>
        <w:autoSpaceDN/>
        <w:bidi w:val="0"/>
        <w:adjustRightInd/>
        <w:snapToGrid/>
        <w:spacing w:beforeAutospacing="0" w:afterAutospacing="0" w:line="560" w:lineRule="exact"/>
        <w:ind w:left="0" w:right="0"/>
      </w:pPr>
    </w:p>
    <w:p w14:paraId="65830E5A">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050" w:firstLineChars="500"/>
      </w:pPr>
    </w:p>
    <w:p w14:paraId="286749AC">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050" w:firstLineChars="500"/>
      </w:pPr>
    </w:p>
    <w:p w14:paraId="7BF165AC">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760" w:firstLineChars="400"/>
        <w:rPr>
          <w:rFonts w:ascii="黑体" w:eastAsia="黑体"/>
          <w:sz w:val="44"/>
          <w:szCs w:val="44"/>
        </w:rPr>
      </w:pPr>
    </w:p>
    <w:p w14:paraId="057CF4F9">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760" w:firstLineChars="400"/>
        <w:rPr>
          <w:rFonts w:ascii="黑体" w:eastAsia="黑体"/>
          <w:sz w:val="44"/>
          <w:szCs w:val="44"/>
        </w:rPr>
      </w:pPr>
    </w:p>
    <w:p w14:paraId="76FA0AFC">
      <w:pPr>
        <w:keepNext w:val="0"/>
        <w:keepLines w:val="0"/>
        <w:pageBreakBefore w:val="0"/>
        <w:kinsoku/>
        <w:wordWrap/>
        <w:overflowPunct/>
        <w:topLinePunct w:val="0"/>
        <w:autoSpaceDE/>
        <w:autoSpaceDN/>
        <w:bidi w:val="0"/>
        <w:adjustRightInd/>
        <w:snapToGrid/>
        <w:spacing w:beforeAutospacing="0" w:afterAutospacing="0" w:line="560" w:lineRule="exact"/>
        <w:ind w:left="0" w:right="0"/>
        <w:jc w:val="center"/>
        <w:rPr>
          <w:rFonts w:hint="eastAsia" w:ascii="黑体" w:eastAsia="黑体"/>
          <w:sz w:val="44"/>
          <w:szCs w:val="44"/>
        </w:rPr>
      </w:pPr>
      <w:r>
        <w:rPr>
          <w:rFonts w:hint="eastAsia" w:ascii="黑体" w:eastAsia="黑体"/>
          <w:sz w:val="44"/>
          <w:szCs w:val="44"/>
        </w:rPr>
        <w:t>阿坝州青少年校外教育活动中心</w:t>
      </w:r>
    </w:p>
    <w:p w14:paraId="51F5A39C">
      <w:pPr>
        <w:keepNext w:val="0"/>
        <w:keepLines w:val="0"/>
        <w:pageBreakBefore w:val="0"/>
        <w:kinsoku/>
        <w:wordWrap/>
        <w:overflowPunct/>
        <w:topLinePunct w:val="0"/>
        <w:autoSpaceDE/>
        <w:autoSpaceDN/>
        <w:bidi w:val="0"/>
        <w:adjustRightInd/>
        <w:snapToGrid/>
        <w:spacing w:beforeAutospacing="0" w:afterAutospacing="0" w:line="560" w:lineRule="exact"/>
        <w:ind w:left="0" w:right="0"/>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14:paraId="0CCA075D">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760" w:firstLineChars="400"/>
        <w:rPr>
          <w:rFonts w:ascii="黑体" w:eastAsia="黑体"/>
          <w:sz w:val="44"/>
          <w:szCs w:val="44"/>
        </w:rPr>
      </w:pPr>
    </w:p>
    <w:p w14:paraId="56FF2B00">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760" w:firstLineChars="400"/>
        <w:rPr>
          <w:rFonts w:ascii="黑体" w:eastAsia="黑体"/>
          <w:sz w:val="44"/>
          <w:szCs w:val="44"/>
        </w:rPr>
      </w:pPr>
    </w:p>
    <w:p w14:paraId="6D6AC2A7">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760" w:firstLineChars="400"/>
        <w:rPr>
          <w:rFonts w:ascii="黑体" w:eastAsia="黑体"/>
          <w:sz w:val="44"/>
          <w:szCs w:val="44"/>
        </w:rPr>
      </w:pPr>
    </w:p>
    <w:p w14:paraId="364682E7">
      <w:pPr>
        <w:pStyle w:val="5"/>
        <w:keepNext w:val="0"/>
        <w:keepLines w:val="0"/>
        <w:pageBreakBefore w:val="0"/>
        <w:kinsoku/>
        <w:wordWrap/>
        <w:overflowPunct/>
        <w:topLinePunct w:val="0"/>
        <w:autoSpaceDE/>
        <w:autoSpaceDN/>
        <w:bidi w:val="0"/>
        <w:adjustRightInd/>
        <w:snapToGrid/>
        <w:spacing w:beforeAutospacing="0" w:afterAutospacing="0" w:line="560" w:lineRule="exact"/>
        <w:ind w:left="0" w:right="0"/>
        <w:rPr>
          <w:rFonts w:ascii="黑体" w:eastAsia="黑体"/>
          <w:sz w:val="44"/>
          <w:szCs w:val="44"/>
        </w:rPr>
      </w:pPr>
    </w:p>
    <w:p w14:paraId="5B7B250A">
      <w:pPr>
        <w:keepNext w:val="0"/>
        <w:keepLines w:val="0"/>
        <w:pageBreakBefore w:val="0"/>
        <w:kinsoku/>
        <w:wordWrap/>
        <w:overflowPunct/>
        <w:topLinePunct w:val="0"/>
        <w:autoSpaceDE/>
        <w:autoSpaceDN/>
        <w:bidi w:val="0"/>
        <w:adjustRightInd/>
        <w:snapToGrid/>
        <w:spacing w:beforeAutospacing="0" w:afterAutospacing="0" w:line="560" w:lineRule="exact"/>
        <w:ind w:left="0" w:right="0"/>
        <w:rPr>
          <w:rFonts w:ascii="黑体" w:eastAsia="黑体"/>
          <w:sz w:val="44"/>
          <w:szCs w:val="44"/>
        </w:rPr>
      </w:pPr>
    </w:p>
    <w:p w14:paraId="4F99DD28">
      <w:pPr>
        <w:pStyle w:val="5"/>
        <w:keepNext w:val="0"/>
        <w:keepLines w:val="0"/>
        <w:pageBreakBefore w:val="0"/>
        <w:kinsoku/>
        <w:wordWrap/>
        <w:overflowPunct/>
        <w:topLinePunct w:val="0"/>
        <w:autoSpaceDE/>
        <w:autoSpaceDN/>
        <w:bidi w:val="0"/>
        <w:adjustRightInd/>
        <w:snapToGrid/>
        <w:spacing w:beforeAutospacing="0" w:afterAutospacing="0" w:line="560" w:lineRule="exact"/>
        <w:ind w:left="0" w:right="0"/>
        <w:rPr>
          <w:rFonts w:ascii="黑体" w:eastAsia="黑体"/>
          <w:sz w:val="44"/>
          <w:szCs w:val="44"/>
        </w:rPr>
      </w:pPr>
    </w:p>
    <w:p w14:paraId="5E2AEA1A">
      <w:pPr>
        <w:keepNext w:val="0"/>
        <w:keepLines w:val="0"/>
        <w:pageBreakBefore w:val="0"/>
        <w:kinsoku/>
        <w:wordWrap/>
        <w:overflowPunct/>
        <w:topLinePunct w:val="0"/>
        <w:autoSpaceDE/>
        <w:autoSpaceDN/>
        <w:bidi w:val="0"/>
        <w:adjustRightInd/>
        <w:snapToGrid/>
        <w:spacing w:beforeAutospacing="0" w:afterAutospacing="0" w:line="560" w:lineRule="exact"/>
        <w:ind w:left="0" w:right="0"/>
        <w:rPr>
          <w:rFonts w:ascii="黑体" w:eastAsia="黑体"/>
          <w:sz w:val="44"/>
          <w:szCs w:val="44"/>
        </w:rPr>
      </w:pPr>
    </w:p>
    <w:p w14:paraId="01BF09F1">
      <w:pPr>
        <w:pStyle w:val="5"/>
        <w:keepNext w:val="0"/>
        <w:keepLines w:val="0"/>
        <w:pageBreakBefore w:val="0"/>
        <w:kinsoku/>
        <w:wordWrap/>
        <w:overflowPunct/>
        <w:topLinePunct w:val="0"/>
        <w:autoSpaceDE/>
        <w:autoSpaceDN/>
        <w:bidi w:val="0"/>
        <w:adjustRightInd/>
        <w:snapToGrid/>
        <w:spacing w:beforeAutospacing="0" w:afterAutospacing="0" w:line="560" w:lineRule="exact"/>
        <w:ind w:left="0" w:right="0"/>
        <w:rPr>
          <w:rFonts w:ascii="黑体" w:eastAsia="黑体"/>
          <w:sz w:val="44"/>
          <w:szCs w:val="44"/>
        </w:rPr>
      </w:pPr>
      <w:bookmarkStart w:id="3" w:name="_GoBack"/>
      <w:bookmarkEnd w:id="3"/>
    </w:p>
    <w:p w14:paraId="07ED9B96">
      <w:pPr>
        <w:keepNext w:val="0"/>
        <w:keepLines w:val="0"/>
        <w:pageBreakBefore w:val="0"/>
        <w:kinsoku/>
        <w:wordWrap/>
        <w:overflowPunct/>
        <w:topLinePunct w:val="0"/>
        <w:autoSpaceDE/>
        <w:autoSpaceDN/>
        <w:bidi w:val="0"/>
        <w:adjustRightInd/>
        <w:snapToGrid/>
        <w:spacing w:beforeAutospacing="0" w:afterAutospacing="0" w:line="560" w:lineRule="exact"/>
        <w:ind w:left="0" w:right="0"/>
        <w:rPr>
          <w:rFonts w:hint="default" w:eastAsia="黑体"/>
          <w:lang w:val="en-US" w:eastAsia="zh-CN"/>
        </w:rPr>
      </w:pPr>
      <w:r>
        <w:rPr>
          <w:rFonts w:hint="eastAsia" w:ascii="黑体" w:eastAsia="黑体"/>
          <w:sz w:val="44"/>
          <w:szCs w:val="44"/>
          <w:lang w:val="en-US" w:eastAsia="zh-CN"/>
        </w:rPr>
        <w:t xml:space="preserve">             </w:t>
      </w: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w:t>
      </w:r>
      <w:r>
        <w:rPr>
          <w:rFonts w:hint="eastAsia" w:ascii="黑体" w:eastAsia="黑体"/>
          <w:sz w:val="32"/>
          <w:szCs w:val="32"/>
          <w:lang w:val="en-US" w:eastAsia="zh-CN"/>
        </w:rPr>
        <w:t>1</w:t>
      </w:r>
      <w:r>
        <w:rPr>
          <w:rFonts w:hint="eastAsia" w:ascii="黑体" w:eastAsia="黑体"/>
          <w:sz w:val="32"/>
          <w:szCs w:val="32"/>
        </w:rPr>
        <w:t>月</w:t>
      </w:r>
      <w:r>
        <w:rPr>
          <w:rFonts w:hint="eastAsia" w:ascii="黑体" w:eastAsia="黑体"/>
          <w:sz w:val="32"/>
          <w:szCs w:val="32"/>
          <w:lang w:val="en-US" w:eastAsia="zh-CN"/>
        </w:rPr>
        <w:t>28</w:t>
      </w:r>
      <w:r>
        <w:rPr>
          <w:rFonts w:hint="eastAsia" w:ascii="黑体" w:eastAsia="黑体"/>
          <w:sz w:val="32"/>
          <w:szCs w:val="32"/>
        </w:rPr>
        <w:t>日</w:t>
      </w:r>
    </w:p>
    <w:p w14:paraId="5953B2A6">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760" w:firstLineChars="400"/>
        <w:rPr>
          <w:rFonts w:ascii="黑体" w:eastAsia="黑体"/>
          <w:sz w:val="44"/>
          <w:szCs w:val="44"/>
        </w:rPr>
      </w:pPr>
    </w:p>
    <w:p w14:paraId="70B9B137">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760" w:firstLineChars="400"/>
        <w:rPr>
          <w:rFonts w:ascii="黑体" w:eastAsia="黑体"/>
          <w:sz w:val="44"/>
          <w:szCs w:val="44"/>
        </w:rPr>
      </w:pPr>
    </w:p>
    <w:p w14:paraId="41CB9E3D">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760" w:firstLineChars="400"/>
        <w:rPr>
          <w:rFonts w:ascii="黑体" w:eastAsia="黑体"/>
          <w:sz w:val="44"/>
          <w:szCs w:val="44"/>
        </w:rPr>
      </w:pPr>
    </w:p>
    <w:p w14:paraId="4CF2131B">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760" w:firstLineChars="400"/>
        <w:rPr>
          <w:rFonts w:ascii="黑体" w:eastAsia="黑体"/>
          <w:sz w:val="44"/>
          <w:szCs w:val="44"/>
        </w:rPr>
      </w:pPr>
    </w:p>
    <w:p w14:paraId="4429DBF2">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1760" w:firstLineChars="400"/>
        <w:rPr>
          <w:rFonts w:ascii="黑体" w:eastAsia="黑体"/>
          <w:sz w:val="44"/>
          <w:szCs w:val="44"/>
        </w:rPr>
      </w:pPr>
    </w:p>
    <w:p w14:paraId="625A51F6">
      <w:pPr>
        <w:keepNext w:val="0"/>
        <w:keepLines w:val="0"/>
        <w:pageBreakBefore w:val="0"/>
        <w:kinsoku/>
        <w:wordWrap/>
        <w:overflowPunct/>
        <w:topLinePunct w:val="0"/>
        <w:autoSpaceDE/>
        <w:autoSpaceDN/>
        <w:bidi w:val="0"/>
        <w:adjustRightInd/>
        <w:snapToGrid/>
        <w:spacing w:beforeAutospacing="0" w:afterAutospacing="0" w:line="560" w:lineRule="exact"/>
        <w:ind w:left="0" w:right="0"/>
        <w:rPr>
          <w:rFonts w:ascii="黑体" w:eastAsia="黑体"/>
          <w:sz w:val="44"/>
          <w:szCs w:val="44"/>
        </w:rPr>
      </w:pPr>
    </w:p>
    <w:p w14:paraId="6D8D64C0">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3120" w:firstLineChars="600"/>
        <w:outlineLvl w:val="0"/>
        <w:rPr>
          <w:rFonts w:ascii="黑体" w:eastAsia="黑体"/>
          <w:sz w:val="52"/>
          <w:szCs w:val="52"/>
        </w:rPr>
      </w:pPr>
      <w:r>
        <w:rPr>
          <w:rFonts w:hint="eastAsia" w:ascii="黑体" w:eastAsia="黑体"/>
          <w:sz w:val="52"/>
          <w:szCs w:val="52"/>
        </w:rPr>
        <w:t>目录</w:t>
      </w:r>
    </w:p>
    <w:p w14:paraId="53E5B6B5">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3080" w:firstLineChars="700"/>
        <w:outlineLvl w:val="0"/>
        <w:rPr>
          <w:rFonts w:ascii="黑体" w:eastAsia="黑体"/>
          <w:sz w:val="44"/>
          <w:szCs w:val="44"/>
        </w:rPr>
      </w:pPr>
    </w:p>
    <w:p w14:paraId="6AC31886">
      <w:pPr>
        <w:pStyle w:val="14"/>
        <w:keepNext w:val="0"/>
        <w:keepLines w:val="0"/>
        <w:pageBreakBefore w:val="0"/>
        <w:kinsoku/>
        <w:wordWrap/>
        <w:overflowPunct/>
        <w:topLinePunct w:val="0"/>
        <w:autoSpaceDE/>
        <w:autoSpaceDN/>
        <w:bidi w:val="0"/>
        <w:adjustRightInd/>
        <w:snapToGrid/>
        <w:spacing w:beforeAutospacing="0" w:afterAutospacing="0" w:line="560" w:lineRule="exact"/>
        <w:ind w:left="0" w:right="0" w:firstLine="0" w:firstLineChars="0"/>
        <w:outlineLvl w:val="0"/>
        <w:rPr>
          <w:rFonts w:ascii="黑体" w:eastAsia="黑体"/>
          <w:sz w:val="32"/>
          <w:szCs w:val="32"/>
        </w:rPr>
      </w:pPr>
      <w:r>
        <w:rPr>
          <w:rFonts w:hint="eastAsia" w:ascii="黑体" w:eastAsia="黑体"/>
          <w:sz w:val="32"/>
          <w:szCs w:val="32"/>
        </w:rPr>
        <w:t>一、基本职能及主要工作</w:t>
      </w:r>
    </w:p>
    <w:p w14:paraId="0C22E170">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0"/>
        <w:rPr>
          <w:rFonts w:ascii="楷体" w:eastAsia="楷体"/>
          <w:sz w:val="32"/>
          <w:szCs w:val="32"/>
        </w:rPr>
      </w:pPr>
      <w:r>
        <w:rPr>
          <w:rFonts w:hint="eastAsia" w:ascii="楷体" w:eastAsia="楷体"/>
          <w:sz w:val="32"/>
          <w:szCs w:val="32"/>
        </w:rPr>
        <w:t>（一）部门职能简介</w:t>
      </w:r>
    </w:p>
    <w:p w14:paraId="3574AC5A">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0"/>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6F99C3C0">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0"/>
        <w:rPr>
          <w:rFonts w:ascii="黑体" w:eastAsia="黑体"/>
          <w:sz w:val="32"/>
          <w:szCs w:val="32"/>
        </w:rPr>
      </w:pPr>
      <w:r>
        <w:rPr>
          <w:rFonts w:hint="eastAsia" w:ascii="黑体" w:eastAsia="黑体"/>
          <w:sz w:val="32"/>
          <w:szCs w:val="32"/>
        </w:rPr>
        <w:t>二、部门预算单位构成</w:t>
      </w:r>
    </w:p>
    <w:p w14:paraId="47754BD6">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0"/>
        <w:rPr>
          <w:rFonts w:ascii="黑体" w:eastAsia="黑体"/>
          <w:sz w:val="32"/>
          <w:szCs w:val="32"/>
        </w:rPr>
      </w:pPr>
      <w:r>
        <w:rPr>
          <w:rFonts w:hint="eastAsia" w:ascii="黑体" w:eastAsia="黑体"/>
          <w:sz w:val="32"/>
          <w:szCs w:val="32"/>
        </w:rPr>
        <w:t>三、收支预算情况说明</w:t>
      </w:r>
    </w:p>
    <w:p w14:paraId="3FCCAB3E">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0"/>
        <w:rPr>
          <w:rFonts w:ascii="楷体" w:eastAsia="楷体"/>
          <w:sz w:val="32"/>
          <w:szCs w:val="32"/>
        </w:rPr>
      </w:pPr>
      <w:r>
        <w:rPr>
          <w:rFonts w:hint="eastAsia" w:ascii="楷体" w:eastAsia="楷体"/>
          <w:sz w:val="32"/>
          <w:szCs w:val="32"/>
        </w:rPr>
        <w:t>（一）收入预算情况</w:t>
      </w:r>
    </w:p>
    <w:p w14:paraId="07C96E49">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0"/>
        <w:rPr>
          <w:rFonts w:ascii="楷体" w:eastAsia="楷体"/>
          <w:sz w:val="32"/>
          <w:szCs w:val="32"/>
        </w:rPr>
      </w:pPr>
      <w:r>
        <w:rPr>
          <w:rFonts w:hint="eastAsia" w:ascii="楷体" w:eastAsia="楷体"/>
          <w:sz w:val="32"/>
          <w:szCs w:val="32"/>
        </w:rPr>
        <w:t>（二）支出预算情况</w:t>
      </w:r>
    </w:p>
    <w:p w14:paraId="243E2E56">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0"/>
        <w:rPr>
          <w:rFonts w:ascii="黑体" w:eastAsia="黑体"/>
          <w:sz w:val="32"/>
          <w:szCs w:val="32"/>
        </w:rPr>
      </w:pPr>
      <w:r>
        <w:rPr>
          <w:rFonts w:hint="eastAsia" w:ascii="黑体" w:eastAsia="黑体"/>
          <w:sz w:val="32"/>
          <w:szCs w:val="32"/>
        </w:rPr>
        <w:t>四、财政拨款收支预算情况说明</w:t>
      </w:r>
    </w:p>
    <w:p w14:paraId="476D0A1A">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0"/>
        <w:rPr>
          <w:rFonts w:ascii="黑体" w:eastAsia="黑体"/>
          <w:sz w:val="32"/>
          <w:szCs w:val="32"/>
        </w:rPr>
      </w:pPr>
      <w:r>
        <w:rPr>
          <w:rFonts w:hint="eastAsia" w:ascii="黑体" w:eastAsia="黑体"/>
          <w:sz w:val="32"/>
          <w:szCs w:val="32"/>
        </w:rPr>
        <w:t>五、一般公共预算当年拨款情况说明</w:t>
      </w:r>
    </w:p>
    <w:p w14:paraId="71FBD8C3">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0"/>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24B1628">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0"/>
        <w:rPr>
          <w:rFonts w:ascii="黑体" w:eastAsia="黑体"/>
          <w:sz w:val="32"/>
          <w:szCs w:val="32"/>
        </w:rPr>
      </w:pPr>
    </w:p>
    <w:p w14:paraId="6A7FEDE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jc w:val="left"/>
        <w:outlineLvl w:val="0"/>
        <w:rPr>
          <w:rFonts w:ascii="??" w:hAnsi="??" w:cs="宋体"/>
          <w:kern w:val="0"/>
          <w:sz w:val="12"/>
          <w:szCs w:val="12"/>
        </w:rPr>
      </w:pPr>
    </w:p>
    <w:p w14:paraId="2F74397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jc w:val="left"/>
        <w:outlineLvl w:val="0"/>
        <w:rPr>
          <w:rFonts w:ascii="??" w:hAnsi="??" w:cs="宋体"/>
          <w:kern w:val="0"/>
          <w:sz w:val="12"/>
          <w:szCs w:val="12"/>
        </w:rPr>
      </w:pPr>
    </w:p>
    <w:p w14:paraId="3D37F71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jc w:val="left"/>
        <w:outlineLvl w:val="0"/>
        <w:rPr>
          <w:rFonts w:ascii="??" w:hAnsi="??" w:cs="宋体"/>
          <w:kern w:val="0"/>
          <w:sz w:val="12"/>
          <w:szCs w:val="12"/>
        </w:rPr>
      </w:pPr>
    </w:p>
    <w:p w14:paraId="1DB9233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jc w:val="left"/>
        <w:outlineLvl w:val="0"/>
        <w:rPr>
          <w:rFonts w:ascii="??" w:hAnsi="??" w:cs="宋体"/>
          <w:kern w:val="0"/>
          <w:sz w:val="12"/>
          <w:szCs w:val="12"/>
        </w:rPr>
      </w:pPr>
    </w:p>
    <w:p w14:paraId="000D3B32">
      <w:pPr>
        <w:pStyle w:val="14"/>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outlineLvl w:val="0"/>
        <w:rPr>
          <w:rFonts w:ascii="黑体" w:eastAsia="黑体"/>
          <w:sz w:val="32"/>
          <w:szCs w:val="32"/>
        </w:rPr>
      </w:pPr>
      <w:r>
        <w:rPr>
          <w:rFonts w:hint="eastAsia" w:ascii="黑体" w:eastAsia="黑体"/>
          <w:sz w:val="32"/>
          <w:szCs w:val="32"/>
        </w:rPr>
        <w:t>一、基本职能及主要工作</w:t>
      </w:r>
    </w:p>
    <w:p w14:paraId="4082E83A">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textAlignment w:val="auto"/>
        <w:outlineLvl w:val="1"/>
        <w:rPr>
          <w:rFonts w:ascii="楷体" w:eastAsia="楷体"/>
          <w:sz w:val="32"/>
          <w:szCs w:val="32"/>
        </w:rPr>
      </w:pPr>
      <w:r>
        <w:rPr>
          <w:rFonts w:hint="eastAsia" w:ascii="楷体" w:eastAsia="楷体"/>
          <w:sz w:val="32"/>
          <w:szCs w:val="32"/>
        </w:rPr>
        <w:t>（一）部门职能简介</w:t>
      </w:r>
    </w:p>
    <w:p w14:paraId="3EDAEE23">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ascii="仿宋_GB2312" w:hAnsi="仿宋" w:eastAsia="仿宋_GB2312"/>
          <w:sz w:val="32"/>
          <w:szCs w:val="32"/>
        </w:rPr>
      </w:pPr>
      <w:r>
        <w:rPr>
          <w:rFonts w:hint="eastAsia" w:ascii="仿宋_GB2312" w:hAnsi="宋体" w:eastAsia="仿宋_GB2312" w:cs="仿宋_GB2312"/>
          <w:kern w:val="0"/>
          <w:sz w:val="32"/>
          <w:szCs w:val="32"/>
        </w:rPr>
        <w:t>根据阿编发（2003）89号文件规定，主要职责是：</w:t>
      </w:r>
      <w:r>
        <w:rPr>
          <w:rFonts w:ascii="仿宋_GB2312" w:eastAsia="仿宋_GB2312" w:cs="仿宋_GB2312"/>
          <w:sz w:val="32"/>
          <w:szCs w:val="32"/>
        </w:rPr>
        <w:t>对广大少年儿童进行</w:t>
      </w:r>
      <w:r>
        <w:rPr>
          <w:rFonts w:hint="eastAsia" w:ascii="仿宋_GB2312" w:eastAsia="仿宋_GB2312" w:cs="仿宋_GB2312"/>
          <w:sz w:val="32"/>
          <w:szCs w:val="32"/>
          <w:lang w:val="en-US" w:eastAsia="zh-CN"/>
        </w:rPr>
        <w:t>校外</w:t>
      </w:r>
      <w:r>
        <w:rPr>
          <w:rFonts w:ascii="仿宋_GB2312" w:eastAsia="仿宋_GB2312" w:cs="仿宋_GB2312"/>
          <w:sz w:val="32"/>
          <w:szCs w:val="32"/>
        </w:rPr>
        <w:t>兴趣</w:t>
      </w:r>
      <w:r>
        <w:rPr>
          <w:rFonts w:hint="eastAsia" w:ascii="仿宋_GB2312" w:eastAsia="仿宋_GB2312" w:cs="仿宋_GB2312"/>
          <w:sz w:val="32"/>
          <w:szCs w:val="32"/>
          <w:lang w:val="en-US" w:eastAsia="zh-CN"/>
        </w:rPr>
        <w:t>特长</w:t>
      </w:r>
      <w:r>
        <w:rPr>
          <w:rFonts w:ascii="仿宋_GB2312" w:eastAsia="仿宋_GB2312" w:cs="仿宋_GB2312"/>
          <w:sz w:val="32"/>
          <w:szCs w:val="32"/>
        </w:rPr>
        <w:t>培训</w:t>
      </w:r>
      <w:r>
        <w:rPr>
          <w:rFonts w:hint="eastAsia" w:ascii="仿宋_GB2312" w:eastAsia="仿宋_GB2312" w:cs="仿宋_GB2312"/>
          <w:sz w:val="32"/>
          <w:szCs w:val="32"/>
          <w:lang w:eastAsia="zh-CN"/>
        </w:rPr>
        <w:t>，</w:t>
      </w:r>
      <w:r>
        <w:rPr>
          <w:rFonts w:ascii="仿宋_GB2312" w:eastAsia="仿宋_GB2312" w:cs="仿宋_GB2312"/>
          <w:sz w:val="32"/>
          <w:szCs w:val="32"/>
        </w:rPr>
        <w:t>丰富学生课余生活，使</w:t>
      </w:r>
      <w:r>
        <w:rPr>
          <w:rFonts w:hint="eastAsia" w:ascii="仿宋_GB2312" w:eastAsia="仿宋_GB2312" w:cs="仿宋_GB2312"/>
          <w:sz w:val="32"/>
          <w:szCs w:val="32"/>
          <w:lang w:val="en-US" w:eastAsia="zh-CN"/>
        </w:rPr>
        <w:t>其</w:t>
      </w:r>
      <w:r>
        <w:rPr>
          <w:rFonts w:ascii="仿宋_GB2312" w:eastAsia="仿宋_GB2312" w:cs="仿宋_GB2312"/>
          <w:sz w:val="32"/>
          <w:szCs w:val="32"/>
        </w:rPr>
        <w:t>学到课本以外的知识，增长见识，扩大视野</w:t>
      </w:r>
      <w:r>
        <w:rPr>
          <w:rFonts w:hint="eastAsia" w:ascii="仿宋_GB2312" w:eastAsia="仿宋_GB2312" w:cs="仿宋_GB2312"/>
          <w:sz w:val="32"/>
          <w:szCs w:val="32"/>
          <w:lang w:eastAsia="zh-CN"/>
        </w:rPr>
        <w:t>。</w:t>
      </w:r>
    </w:p>
    <w:p w14:paraId="5B5056CE">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textAlignment w:val="auto"/>
        <w:outlineLvl w:val="1"/>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680326FD">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以习近平新时代中国特色社会主义思想为指导，全面贯彻党的教育方针，紧扣州委“1610”系统部署，深化群众工作“石榴籽”工程，锚定“立德树人”根本任务，构建"课程育人、阵地育人、实践育人"三位一体育人体系，促进青少年德智体美劳全面发展，培养担当民族复兴大任的时代新人,结合我中心职能，特制定本工作计划。</w:t>
      </w:r>
    </w:p>
    <w:p w14:paraId="46B73F0D">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课程育人：周末兴趣班、流动少年宫、寒暑假托管班覆盖学生2000人次以上；周末兴趣班建设，开设规模：全年开设36个兴趣班（涵盖美术、音乐、舞蹈、体育、科技、语言等类别），每周六、周日常态化开展。课程设置：春季学期（3-6月）、秋季学期（9-12月）各开设16周课程，每班每周1次课。师资保障：聘请专业教师25名，建立教师培训与考核机制。质量监控：建立课程评价体系，定期开展教学检查与成果展示。</w:t>
      </w:r>
    </w:p>
    <w:p w14:paraId="518360BE">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阵地育人：红领巾宣讲团、少工委组织、关工委共建、立德大讲堂、青少年素养基地建设取得实质性进展；流动少年宫项目。覆盖范围：全年开展4次流动少年宫进社区、进乡村活动（4月、10月各2次）；活动内容：非遗体验（唐卡、羌绣）、科技体验、艺术工作坊等；服务对象：重点面向偏远地区、留守儿童集中的学校或乡镇；寒暑假托管班时间安排：寒假（1月）开展3周托管服务，暑假（7-8月）开展3周托管服务服务内容：作业辅导、兴趣拓展、社会实践、文体活动相结合；安全保障：建立完善的安全管理制度和应急预案。师资配备：专职教师+志愿者+专业教师相结合的模式。红领巾宣讲团：组建30人规模的宣讲团，开展"红色故事我来讲""家乡文化我传承"等主题宣讲活动不少于6次。</w:t>
      </w:r>
    </w:p>
    <w:p w14:paraId="79DB118A">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立德大讲堂：邀请老干部、老专家、先进模范等开展专题讲座，全年不少于3次。青少年素养基地：打造1-2个校外教育实践基地，开展常态化教育活动。少工委组织：规范建立少先队工作委员会，完善组织架构，定期召开少代会</w:t>
      </w:r>
    </w:p>
    <w:p w14:paraId="430B2E72">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共青团组织：加强团组织建设，开展团员发展、主题团日活动。结合重大节日、纪念日，开展爱国主义、传统文化、法治教育等主题活动。活动中心场馆面向青少年常态化开放，提高使用效率。建设微信公众号、视频号等新媒体平台，扩大教育覆盖面。</w:t>
      </w:r>
    </w:p>
    <w:p w14:paraId="49AE7615">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实践育人：石榴籽爱国型研学、国防梦军事夏令营、各级各类比赛；开展"重走长征路""红色足迹""家乡文化寻访"等主题研学活动。春季、秋季各开展1次，每次3-5天。参与规模：每次组织100-150名学生。石榴籽国防梦军事夏令营。暑假期间（7月）开展为期5天的军事夏令营。军事训练、国防教育、团队拓展、野外生存体验。面向小学高年级和初中学生，规模100人左右。</w:t>
      </w:r>
    </w:p>
    <w:p w14:paraId="155811B8">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学生综合素质显著提升，形成"唤醒兴趣、点燃梦想、促进成长"的良好育人生态。建立"中心-县市-学校"三级比赛体系。比赛类别：艺术类（书画、舞蹈、声乐）、科技类（科技创新、机器人）、体育类（武术、跆拳道、游泳）、语言类（演讲、朗诵）等。时间安排：每学期至少举办1次大型比赛，全年不少于4次。</w:t>
      </w:r>
    </w:p>
    <w:p w14:paraId="461DBC5C">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 w:hAnsi="仿宋" w:eastAsia="仿宋" w:cs="仿宋"/>
          <w:sz w:val="28"/>
          <w:szCs w:val="28"/>
        </w:rPr>
      </w:pPr>
      <w:r>
        <w:rPr>
          <w:rFonts w:hint="eastAsia" w:ascii="仿宋_GB2312" w:hAnsi="宋体" w:eastAsia="仿宋_GB2312" w:cs="仿宋_GB2312"/>
          <w:kern w:val="0"/>
          <w:sz w:val="32"/>
          <w:szCs w:val="32"/>
          <w:lang w:val="en-US" w:eastAsia="zh-CN" w:bidi="ar"/>
        </w:rPr>
        <w:t>4.育人成效：通过2026年工作计划的实施，预期达到以下成效：育人体系更加完善，课程、阵地、实践三大育人体系协同推进，形成育人合力。学生受益面扩大，各类活动覆盖学生3000人次以上，学生参与度、满意度显著提升。品牌项目初显，形成“石榴籽”“流动少年宫”“托管班”等特色品牌项目。社会影响力增强：家长满意度、社会认可度明显提高。学生在思想品德、综合素质、实践能力等方面得到全面发展。</w:t>
      </w:r>
    </w:p>
    <w:p w14:paraId="15F47C27">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right="0" w:rightChars="0"/>
        <w:outlineLvl w:val="0"/>
        <w:rPr>
          <w:rFonts w:ascii="黑体" w:eastAsia="黑体"/>
          <w:sz w:val="32"/>
          <w:szCs w:val="32"/>
        </w:rPr>
      </w:pPr>
      <w:r>
        <w:rPr>
          <w:rFonts w:hint="default" w:ascii="黑体" w:hAnsi="Calibri" w:eastAsia="黑体" w:cs="Times New Roman"/>
          <w:kern w:val="2"/>
          <w:sz w:val="32"/>
          <w:szCs w:val="32"/>
          <w:lang w:val="en-US" w:eastAsia="zh-CN" w:bidi="ar-SA"/>
        </w:rPr>
        <w:t>二、</w:t>
      </w:r>
      <w:r>
        <w:rPr>
          <w:rFonts w:hint="eastAsia" w:ascii="黑体" w:eastAsia="黑体"/>
          <w:sz w:val="32"/>
          <w:szCs w:val="32"/>
        </w:rPr>
        <w:t>部门预算单位构成</w:t>
      </w:r>
    </w:p>
    <w:p w14:paraId="14496C02">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rPr>
          <w:rFonts w:hint="default" w:ascii="Calibri" w:hAnsi="Calibri" w:cs="Calibri"/>
          <w:color w:val="000000" w:themeColor="text1"/>
          <w:sz w:val="21"/>
          <w:szCs w:val="21"/>
          <w14:textFill>
            <w14:solidFill>
              <w14:schemeClr w14:val="tx1"/>
            </w14:solidFill>
          </w14:textFill>
        </w:rPr>
      </w:pPr>
      <w:r>
        <w:rPr>
          <w:rFonts w:hint="eastAsia" w:ascii="仿宋_GB2312" w:eastAsia="仿宋_GB2312" w:cs="仿宋_GB2312"/>
          <w:sz w:val="32"/>
          <w:szCs w:val="32"/>
          <w:lang w:val="en-US" w:eastAsia="zh-CN"/>
        </w:rPr>
        <w:t>本中心为阿坝州教体局</w:t>
      </w:r>
      <w:r>
        <w:rPr>
          <w:rFonts w:ascii="仿宋_GB2312" w:eastAsia="仿宋_GB2312" w:cs="仿宋_GB2312"/>
          <w:sz w:val="32"/>
          <w:szCs w:val="32"/>
        </w:rPr>
        <w:t>下</w:t>
      </w:r>
      <w:r>
        <w:rPr>
          <w:rFonts w:hint="eastAsia" w:ascii="仿宋_GB2312" w:eastAsia="仿宋_GB2312" w:cs="仿宋_GB2312"/>
          <w:sz w:val="32"/>
          <w:szCs w:val="32"/>
          <w:lang w:val="en-US" w:eastAsia="zh-CN"/>
        </w:rPr>
        <w:t>设</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二级预算单位，属于全额拨款</w:t>
      </w:r>
      <w:r>
        <w:rPr>
          <w:rFonts w:ascii="仿宋_GB2312" w:eastAsia="仿宋_GB2312" w:cs="仿宋_GB2312"/>
          <w:sz w:val="32"/>
          <w:szCs w:val="32"/>
        </w:rPr>
        <w:t>公益一类事业单位</w:t>
      </w:r>
      <w:r>
        <w:rPr>
          <w:rFonts w:hint="eastAsia" w:ascii="仿宋_GB2312" w:eastAsia="仿宋_GB2312" w:cs="仿宋_GB2312"/>
          <w:sz w:val="32"/>
          <w:szCs w:val="32"/>
          <w:lang w:eastAsia="zh-CN"/>
        </w:rPr>
        <w:t>。</w:t>
      </w:r>
      <w:r>
        <w:rPr>
          <w:rFonts w:hint="eastAsia" w:ascii="仿宋" w:hAnsi="仿宋" w:eastAsia="仿宋" w:cs="仿宋"/>
          <w:kern w:val="0"/>
          <w:sz w:val="32"/>
          <w:szCs w:val="32"/>
          <w:lang w:val="en-US" w:eastAsia="zh-CN" w:bidi="ar"/>
        </w:rPr>
        <w:t>内设主任办公室、总务部、教科部、办公室四个部门。年末实有人数为6人，年末实有离退休人数为1人。</w:t>
      </w:r>
    </w:p>
    <w:p w14:paraId="1AF86F00">
      <w:pPr>
        <w:pStyle w:val="14"/>
        <w:keepNext w:val="0"/>
        <w:keepLines w:val="0"/>
        <w:pageBreakBefore w:val="0"/>
        <w:kinsoku/>
        <w:wordWrap/>
        <w:overflowPunct/>
        <w:topLinePunct w:val="0"/>
        <w:autoSpaceDE/>
        <w:autoSpaceDN/>
        <w:bidi w:val="0"/>
        <w:adjustRightInd/>
        <w:snapToGrid/>
        <w:spacing w:beforeAutospacing="0" w:afterAutospacing="0" w:line="560" w:lineRule="exact"/>
        <w:ind w:left="0" w:right="0" w:firstLine="0" w:firstLineChars="0"/>
        <w:outlineLvl w:val="0"/>
        <w:rPr>
          <w:rFonts w:ascii="黑体" w:eastAsia="黑体"/>
          <w:sz w:val="32"/>
          <w:szCs w:val="32"/>
        </w:rPr>
      </w:pPr>
      <w:r>
        <w:rPr>
          <w:rFonts w:hint="eastAsia" w:ascii="黑体" w:eastAsia="黑体"/>
          <w:sz w:val="32"/>
          <w:szCs w:val="32"/>
        </w:rPr>
        <w:t>三、收支预算情况说明</w:t>
      </w:r>
    </w:p>
    <w:p w14:paraId="595CE271">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outlineLvl w:val="1"/>
        <w:rPr>
          <w:rFonts w:hint="eastAsia" w:ascii="楷体" w:eastAsia="楷体"/>
          <w:sz w:val="32"/>
          <w:szCs w:val="32"/>
        </w:rPr>
      </w:pPr>
      <w:r>
        <w:rPr>
          <w:rFonts w:hint="eastAsia" w:ascii="楷体" w:eastAsia="楷体"/>
          <w:sz w:val="32"/>
          <w:szCs w:val="32"/>
        </w:rPr>
        <w:t>（一）收入预算情况</w:t>
      </w:r>
    </w:p>
    <w:p w14:paraId="0252E4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baseline"/>
        <w:rPr>
          <w:rFonts w:hint="default" w:ascii="Calibri" w:hAnsi="Calibri" w:cs="Calibri"/>
          <w:color w:val="000000" w:themeColor="text1"/>
          <w:sz w:val="21"/>
          <w:szCs w:val="21"/>
          <w:lang w:val="en-US"/>
          <w14:textFill>
            <w14:solidFill>
              <w14:schemeClr w14:val="tx1"/>
            </w14:solidFill>
          </w14:textFill>
        </w:rPr>
      </w:pP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青少年活动中心</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2026年</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所有收入和支出均纳入部门预算管理。收入包括：一般公共预算拨款收入331.56万元，事业收入0万元，其他收入0万元，上年结转0万元；支出包括：教育支出277.9万元，社会保障和就业支出26.19万元，卫生健康支出11.2万元，住房保障支出16.27万元。比202</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5</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年收支预算总数</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增加35.76</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万元。主要是</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人员支出社保缴费及日常公用支出和项目支出等有所增加。</w:t>
      </w:r>
    </w:p>
    <w:p w14:paraId="7C436D78">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outlineLvl w:val="1"/>
        <w:rPr>
          <w:rFonts w:hint="eastAsia" w:ascii="楷体" w:eastAsia="楷体" w:cs="仿宋_GB2312"/>
          <w:sz w:val="32"/>
          <w:szCs w:val="32"/>
        </w:rPr>
      </w:pPr>
      <w:r>
        <w:rPr>
          <w:rFonts w:hint="eastAsia" w:ascii="楷体" w:hAnsi="Calibri" w:eastAsia="楷体" w:cs="仿宋_GB2312"/>
          <w:kern w:val="2"/>
          <w:sz w:val="32"/>
          <w:szCs w:val="32"/>
          <w:lang w:val="en-US" w:eastAsia="zh-CN" w:bidi="ar-SA"/>
        </w:rPr>
        <w:t>（二）</w:t>
      </w:r>
      <w:r>
        <w:rPr>
          <w:rFonts w:hint="eastAsia" w:ascii="楷体" w:eastAsia="楷体" w:cs="仿宋_GB2312"/>
          <w:sz w:val="32"/>
          <w:szCs w:val="32"/>
        </w:rPr>
        <w:t>支出预算情况</w:t>
      </w:r>
    </w:p>
    <w:p w14:paraId="5DBF3F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rPr>
          <w:rFonts w:ascii="楷体" w:eastAsia="楷体"/>
          <w:sz w:val="32"/>
          <w:szCs w:val="32"/>
        </w:rPr>
      </w:pP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单位202</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6</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年支出预算331.56万元，其中：一般公共预算拨款支出331.56万元，占100%；上年结转0万元。其中：基本支出</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211.56</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万元，占6</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3.81</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%；项目支出</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120</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万元，占</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36.19</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p>
    <w:p w14:paraId="15ADAA6E">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right="0" w:rightChars="0"/>
        <w:outlineLvl w:val="0"/>
        <w:rPr>
          <w:rFonts w:hint="eastAsia" w:ascii="黑体" w:eastAsia="黑体"/>
          <w:sz w:val="32"/>
          <w:szCs w:val="32"/>
        </w:rPr>
      </w:pPr>
      <w:r>
        <w:rPr>
          <w:rFonts w:hint="eastAsia" w:ascii="黑体" w:eastAsia="黑体" w:cs="Times New Roman"/>
          <w:kern w:val="2"/>
          <w:sz w:val="32"/>
          <w:szCs w:val="32"/>
          <w:lang w:val="en-US" w:eastAsia="zh-CN" w:bidi="ar-SA"/>
        </w:rPr>
        <w:t>四</w:t>
      </w:r>
      <w:r>
        <w:rPr>
          <w:rFonts w:hint="default" w:ascii="黑体" w:hAnsi="Calibri" w:eastAsia="黑体" w:cs="Times New Roman"/>
          <w:kern w:val="2"/>
          <w:sz w:val="32"/>
          <w:szCs w:val="32"/>
          <w:lang w:val="en-US" w:eastAsia="zh-CN" w:bidi="ar-SA"/>
        </w:rPr>
        <w:t>、</w:t>
      </w:r>
      <w:r>
        <w:rPr>
          <w:rFonts w:hint="eastAsia" w:ascii="黑体" w:eastAsia="黑体"/>
          <w:sz w:val="32"/>
          <w:szCs w:val="32"/>
        </w:rPr>
        <w:t>财政拨款收支预算情况说明</w:t>
      </w:r>
    </w:p>
    <w:p w14:paraId="622E1B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baseline"/>
        <w:rPr>
          <w:rFonts w:ascii="仿宋_GB2312" w:eastAsia="仿宋_GB2312"/>
          <w:sz w:val="32"/>
          <w:szCs w:val="32"/>
        </w:rPr>
      </w:pPr>
      <w:r>
        <w:rPr>
          <w:rFonts w:hint="eastAsia" w:ascii="仿宋_GB2312" w:eastAsia="仿宋_GB2312" w:cs="仿宋_GB2312"/>
          <w:sz w:val="32"/>
          <w:szCs w:val="32"/>
        </w:rPr>
        <w:t>单位</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331.56</w:t>
      </w:r>
      <w:r>
        <w:rPr>
          <w:rFonts w:hint="eastAsia" w:ascii="仿宋_GB2312" w:eastAsia="仿宋_GB2312"/>
          <w:sz w:val="32"/>
          <w:szCs w:val="32"/>
        </w:rPr>
        <w:t>万元,比202</w:t>
      </w:r>
      <w:r>
        <w:rPr>
          <w:rFonts w:hint="eastAsia" w:ascii="仿宋_GB2312" w:eastAsia="仿宋_GB2312"/>
          <w:sz w:val="32"/>
          <w:szCs w:val="32"/>
          <w:lang w:val="en-US" w:eastAsia="zh-CN"/>
        </w:rPr>
        <w:t>5</w:t>
      </w:r>
      <w:r>
        <w:rPr>
          <w:rFonts w:hint="eastAsia" w:ascii="仿宋_GB2312" w:eastAsia="仿宋_GB2312"/>
          <w:sz w:val="32"/>
          <w:szCs w:val="32"/>
        </w:rPr>
        <w:t>年财政拨款收支总预算增加</w:t>
      </w:r>
      <w:r>
        <w:rPr>
          <w:rFonts w:hint="eastAsia" w:ascii="仿宋_GB2312" w:eastAsia="仿宋_GB2312"/>
          <w:sz w:val="32"/>
          <w:szCs w:val="32"/>
          <w:lang w:val="en-US" w:eastAsia="zh-CN"/>
        </w:rPr>
        <w:t>35.76</w:t>
      </w:r>
      <w:r>
        <w:rPr>
          <w:rFonts w:hint="eastAsia" w:ascii="仿宋_GB2312" w:eastAsia="仿宋_GB2312"/>
          <w:sz w:val="32"/>
          <w:szCs w:val="32"/>
        </w:rPr>
        <w:t>万元，主要原因:</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人员支出社保缴费及日常公用支出及项目支出等有所增加。</w:t>
      </w:r>
    </w:p>
    <w:p w14:paraId="11701E52">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eastAsia="仿宋_GB2312" w:cs="仿宋_GB2312"/>
          <w:sz w:val="32"/>
          <w:szCs w:val="32"/>
        </w:rPr>
        <w:t>收入包括：</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一般公共预算当年拨款</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331.56</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w:t>
      </w:r>
    </w:p>
    <w:p w14:paraId="21F675ED">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一般公共预算当年拨款</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331.56</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w:t>
      </w:r>
    </w:p>
    <w:p w14:paraId="0CF92A89">
      <w:pPr>
        <w:keepNext w:val="0"/>
        <w:keepLines w:val="0"/>
        <w:pageBreakBefore w:val="0"/>
        <w:kinsoku/>
        <w:wordWrap/>
        <w:overflowPunct/>
        <w:topLinePunct w:val="0"/>
        <w:autoSpaceDE/>
        <w:autoSpaceDN/>
        <w:bidi w:val="0"/>
        <w:adjustRightInd/>
        <w:snapToGrid/>
        <w:spacing w:beforeAutospacing="0" w:afterAutospacing="0" w:line="560" w:lineRule="exact"/>
        <w:ind w:right="0"/>
        <w:outlineLvl w:val="0"/>
        <w:rPr>
          <w:rFonts w:ascii="黑体" w:eastAsia="黑体"/>
          <w:sz w:val="32"/>
          <w:szCs w:val="32"/>
        </w:rPr>
      </w:pPr>
      <w:r>
        <w:rPr>
          <w:rFonts w:hint="eastAsia" w:ascii="黑体" w:eastAsia="黑体"/>
          <w:sz w:val="32"/>
          <w:szCs w:val="32"/>
        </w:rPr>
        <w:t>五、一般公共预算当年拨款情况说明</w:t>
      </w:r>
    </w:p>
    <w:p w14:paraId="43E180DB">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right="0"/>
        <w:outlineLvl w:val="1"/>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64F797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baseline"/>
        <w:rPr>
          <w:rFonts w:cs="仿宋_GB2312"/>
          <w:kern w:val="2"/>
          <w:sz w:val="32"/>
          <w:szCs w:val="32"/>
        </w:rPr>
      </w:pPr>
      <w:r>
        <w:rPr>
          <w:rFonts w:hint="eastAsia" w:ascii="仿宋_GB2312" w:hAnsi="Calibri" w:eastAsia="仿宋_GB2312" w:cs="宋体"/>
          <w:kern w:val="0"/>
          <w:sz w:val="32"/>
          <w:szCs w:val="32"/>
          <w:lang w:val="en-US" w:eastAsia="zh-CN" w:bidi="ar-SA"/>
        </w:rPr>
        <w:t>单位202</w:t>
      </w:r>
      <w:r>
        <w:rPr>
          <w:rFonts w:hint="eastAsia" w:ascii="仿宋_GB2312" w:eastAsia="仿宋_GB2312" w:cs="宋体"/>
          <w:kern w:val="0"/>
          <w:sz w:val="32"/>
          <w:szCs w:val="32"/>
          <w:lang w:val="en-US" w:eastAsia="zh-CN" w:bidi="ar-SA"/>
        </w:rPr>
        <w:t>6</w:t>
      </w:r>
      <w:r>
        <w:rPr>
          <w:rFonts w:hint="eastAsia" w:ascii="仿宋_GB2312" w:hAnsi="Calibri" w:eastAsia="仿宋_GB2312" w:cs="宋体"/>
          <w:kern w:val="0"/>
          <w:sz w:val="32"/>
          <w:szCs w:val="32"/>
          <w:lang w:val="en-US" w:eastAsia="zh-CN" w:bidi="ar-SA"/>
        </w:rPr>
        <w:t>年一般公共预算当年拨款</w:t>
      </w:r>
      <w:r>
        <w:rPr>
          <w:rFonts w:hint="eastAsia" w:ascii="仿宋_GB2312" w:eastAsia="仿宋_GB2312" w:cs="宋体"/>
          <w:kern w:val="0"/>
          <w:sz w:val="32"/>
          <w:szCs w:val="32"/>
          <w:lang w:val="en-US" w:eastAsia="zh-CN" w:bidi="ar-SA"/>
        </w:rPr>
        <w:t>331.56</w:t>
      </w:r>
      <w:r>
        <w:rPr>
          <w:rFonts w:hint="eastAsia" w:ascii="仿宋_GB2312" w:hAnsi="Calibri" w:eastAsia="仿宋_GB2312" w:cs="宋体"/>
          <w:kern w:val="0"/>
          <w:sz w:val="32"/>
          <w:szCs w:val="32"/>
          <w:lang w:val="en-US" w:eastAsia="zh-CN" w:bidi="ar-SA"/>
        </w:rPr>
        <w:t>万元，比202</w:t>
      </w:r>
      <w:r>
        <w:rPr>
          <w:rFonts w:hint="eastAsia" w:ascii="仿宋_GB2312" w:eastAsia="仿宋_GB2312" w:cs="宋体"/>
          <w:kern w:val="0"/>
          <w:sz w:val="32"/>
          <w:szCs w:val="32"/>
          <w:lang w:val="en-US" w:eastAsia="zh-CN" w:bidi="ar-SA"/>
        </w:rPr>
        <w:t>5</w:t>
      </w:r>
      <w:r>
        <w:rPr>
          <w:rFonts w:hint="eastAsia" w:ascii="仿宋_GB2312" w:hAnsi="Calibri" w:eastAsia="仿宋_GB2312" w:cs="宋体"/>
          <w:kern w:val="0"/>
          <w:sz w:val="32"/>
          <w:szCs w:val="32"/>
          <w:lang w:val="en-US" w:eastAsia="zh-CN" w:bidi="ar-SA"/>
        </w:rPr>
        <w:t>年预算数增加</w:t>
      </w:r>
      <w:r>
        <w:rPr>
          <w:rFonts w:hint="eastAsia" w:ascii="仿宋_GB2312" w:eastAsia="仿宋_GB2312" w:cs="宋体"/>
          <w:kern w:val="0"/>
          <w:sz w:val="32"/>
          <w:szCs w:val="32"/>
          <w:lang w:val="en-US" w:eastAsia="zh-CN" w:bidi="ar-SA"/>
        </w:rPr>
        <w:t>35.76</w:t>
      </w:r>
      <w:r>
        <w:rPr>
          <w:rFonts w:hint="eastAsia" w:ascii="仿宋_GB2312" w:hAnsi="Calibri" w:eastAsia="仿宋_GB2312" w:cs="宋体"/>
          <w:kern w:val="0"/>
          <w:sz w:val="32"/>
          <w:szCs w:val="32"/>
          <w:lang w:val="en-US" w:eastAsia="zh-CN" w:bidi="ar-SA"/>
        </w:rPr>
        <w:t>万元，主要原因:人员支出社保缴费</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日常公用支出及项目支出等有所增加。</w:t>
      </w:r>
      <w:r>
        <w:rPr>
          <w:rFonts w:hint="eastAsia" w:cs="仿宋_GB2312"/>
          <w:kern w:val="2"/>
          <w:sz w:val="32"/>
          <w:szCs w:val="32"/>
        </w:rPr>
        <w:t>　　</w:t>
      </w:r>
    </w:p>
    <w:p w14:paraId="4DE08207">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Autospacing="0" w:line="560" w:lineRule="exact"/>
        <w:ind w:left="0" w:leftChars="0" w:right="0"/>
        <w:jc w:val="left"/>
        <w:outlineLvl w:val="1"/>
        <w:rPr>
          <w:rFonts w:hint="eastAsia" w:eastAsia="仿宋_GB2312" w:cs="仿宋_GB2312"/>
          <w:kern w:val="2"/>
          <w:sz w:val="32"/>
          <w:szCs w:val="32"/>
          <w:lang w:eastAsia="zh-CN"/>
        </w:rPr>
      </w:pPr>
      <w:r>
        <w:rPr>
          <w:rFonts w:hint="eastAsia" w:ascii="楷体" w:eastAsia="楷体" w:cs="宋体"/>
          <w:sz w:val="32"/>
          <w:szCs w:val="32"/>
          <w:lang w:eastAsia="zh-CN"/>
        </w:rPr>
        <w:t>（</w:t>
      </w:r>
      <w:r>
        <w:rPr>
          <w:rFonts w:hint="eastAsia" w:ascii="楷体" w:eastAsia="楷体" w:cs="宋体"/>
          <w:sz w:val="32"/>
          <w:szCs w:val="32"/>
          <w:lang w:val="en-US" w:eastAsia="zh-CN"/>
        </w:rPr>
        <w:t>二</w:t>
      </w:r>
      <w:r>
        <w:rPr>
          <w:rFonts w:hint="eastAsia" w:ascii="楷体" w:eastAsia="楷体" w:cs="宋体"/>
          <w:sz w:val="32"/>
          <w:szCs w:val="32"/>
          <w:lang w:eastAsia="zh-CN"/>
        </w:rPr>
        <w:t>）</w:t>
      </w:r>
      <w:r>
        <w:rPr>
          <w:rFonts w:hint="eastAsia" w:ascii="楷体" w:eastAsia="楷体" w:cs="宋体"/>
          <w:sz w:val="32"/>
          <w:szCs w:val="32"/>
        </w:rPr>
        <w:t>一般公共预算当年拨款结构情况</w:t>
      </w:r>
    </w:p>
    <w:p w14:paraId="0AD909D2">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Autospacing="0" w:line="560" w:lineRule="exact"/>
        <w:ind w:left="0" w:right="0" w:firstLine="640" w:firstLineChars="200"/>
        <w:jc w:val="left"/>
        <w:rPr>
          <w:rFonts w:hint="eastAsia" w:eastAsia="仿宋_GB2312" w:cs="仿宋_GB2312"/>
          <w:kern w:val="2"/>
          <w:sz w:val="32"/>
          <w:szCs w:val="32"/>
          <w:lang w:eastAsia="zh-CN"/>
        </w:rPr>
      </w:pPr>
      <w:r>
        <w:rPr>
          <w:rFonts w:hint="eastAsia" w:cs="宋体"/>
          <w:sz w:val="32"/>
          <w:szCs w:val="32"/>
        </w:rPr>
        <w:t>一般公共预算</w:t>
      </w:r>
      <w:r>
        <w:rPr>
          <w:rFonts w:hint="eastAsia" w:cs="宋体"/>
          <w:sz w:val="32"/>
          <w:szCs w:val="32"/>
          <w:lang w:val="en-US" w:eastAsia="zh-CN"/>
        </w:rPr>
        <w:t>当年</w:t>
      </w:r>
      <w:r>
        <w:rPr>
          <w:rFonts w:hint="eastAsia" w:cs="宋体"/>
          <w:sz w:val="32"/>
          <w:szCs w:val="32"/>
        </w:rPr>
        <w:t>拨款</w:t>
      </w:r>
      <w:r>
        <w:rPr>
          <w:rFonts w:hint="eastAsia" w:cs="宋体"/>
          <w:sz w:val="32"/>
          <w:szCs w:val="32"/>
          <w:lang w:val="en-US" w:eastAsia="zh-CN"/>
        </w:rPr>
        <w:t>收入</w:t>
      </w:r>
      <w:r>
        <w:rPr>
          <w:rFonts w:hint="eastAsia"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331.56</w:t>
      </w:r>
      <w:r>
        <w:rPr>
          <w:rFonts w:hint="eastAsia" w:cs="宋体"/>
          <w:sz w:val="32"/>
          <w:szCs w:val="32"/>
        </w:rPr>
        <w:t>万元，</w:t>
      </w:r>
      <w:r>
        <w:rPr>
          <w:rFonts w:hint="eastAsia" w:cs="宋体"/>
          <w:sz w:val="32"/>
          <w:szCs w:val="32"/>
          <w:lang w:val="en-US" w:eastAsia="zh-CN"/>
        </w:rPr>
        <w:t>其中教育支出277.90万元</w:t>
      </w:r>
      <w:r>
        <w:rPr>
          <w:rFonts w:hint="eastAsia" w:cs="宋体"/>
          <w:sz w:val="32"/>
          <w:szCs w:val="32"/>
        </w:rPr>
        <w:t>占</w:t>
      </w:r>
      <w:r>
        <w:rPr>
          <w:rFonts w:hint="eastAsia" w:cs="宋体"/>
          <w:sz w:val="32"/>
          <w:szCs w:val="32"/>
          <w:lang w:val="en-US" w:eastAsia="zh-CN"/>
        </w:rPr>
        <w:t>比83.82</w:t>
      </w:r>
      <w:r>
        <w:rPr>
          <w:rFonts w:hint="eastAsia" w:cs="宋体"/>
          <w:sz w:val="32"/>
          <w:szCs w:val="32"/>
        </w:rPr>
        <w:t>%；社会保障和就业支</w:t>
      </w:r>
      <w:r>
        <w:rPr>
          <w:rFonts w:hint="eastAsia" w:cs="宋体"/>
          <w:sz w:val="32"/>
          <w:szCs w:val="32"/>
          <w:lang w:val="en-US" w:eastAsia="zh-CN"/>
        </w:rPr>
        <w:t>出26.19万元</w:t>
      </w:r>
      <w:r>
        <w:rPr>
          <w:rFonts w:hint="eastAsia" w:cs="宋体"/>
          <w:sz w:val="32"/>
          <w:szCs w:val="32"/>
        </w:rPr>
        <w:t>占</w:t>
      </w:r>
      <w:r>
        <w:rPr>
          <w:rFonts w:hint="eastAsia" w:cs="宋体"/>
          <w:sz w:val="32"/>
          <w:szCs w:val="32"/>
          <w:lang w:val="en-US" w:eastAsia="zh-CN"/>
        </w:rPr>
        <w:t>比7.89</w:t>
      </w:r>
      <w:r>
        <w:rPr>
          <w:rFonts w:hint="eastAsia" w:cs="宋体"/>
          <w:sz w:val="32"/>
          <w:szCs w:val="32"/>
        </w:rPr>
        <w:t>%；卫生健康支出</w:t>
      </w:r>
      <w:r>
        <w:rPr>
          <w:rFonts w:hint="eastAsia" w:cs="宋体"/>
          <w:sz w:val="32"/>
          <w:szCs w:val="32"/>
          <w:lang w:val="en-US" w:eastAsia="zh-CN"/>
        </w:rPr>
        <w:t>11.20万元</w:t>
      </w:r>
      <w:r>
        <w:rPr>
          <w:rFonts w:hint="eastAsia" w:cs="宋体"/>
          <w:sz w:val="32"/>
          <w:szCs w:val="32"/>
        </w:rPr>
        <w:t>占</w:t>
      </w:r>
      <w:r>
        <w:rPr>
          <w:rFonts w:hint="eastAsia" w:cs="宋体"/>
          <w:sz w:val="32"/>
          <w:szCs w:val="32"/>
          <w:lang w:val="en-US" w:eastAsia="zh-CN"/>
        </w:rPr>
        <w:t>比3.38</w:t>
      </w:r>
      <w:r>
        <w:rPr>
          <w:rFonts w:hint="eastAsia" w:cs="宋体"/>
          <w:sz w:val="32"/>
          <w:szCs w:val="32"/>
        </w:rPr>
        <w:t>%</w:t>
      </w:r>
      <w:r>
        <w:rPr>
          <w:rFonts w:hint="eastAsia" w:cs="宋体"/>
          <w:sz w:val="32"/>
          <w:szCs w:val="32"/>
          <w:lang w:eastAsia="zh-CN"/>
        </w:rPr>
        <w:t>；</w:t>
      </w:r>
      <w:r>
        <w:rPr>
          <w:rFonts w:hint="eastAsia" w:cs="宋体"/>
          <w:sz w:val="32"/>
          <w:szCs w:val="32"/>
        </w:rPr>
        <w:t>住房保障支出</w:t>
      </w:r>
      <w:r>
        <w:rPr>
          <w:rFonts w:hint="eastAsia" w:cs="宋体"/>
          <w:sz w:val="32"/>
          <w:szCs w:val="32"/>
          <w:lang w:val="en-US" w:eastAsia="zh-CN"/>
        </w:rPr>
        <w:t>16.27</w:t>
      </w:r>
      <w:r>
        <w:rPr>
          <w:rFonts w:hint="eastAsia" w:cs="宋体"/>
          <w:sz w:val="32"/>
          <w:szCs w:val="32"/>
        </w:rPr>
        <w:t>万元占</w:t>
      </w:r>
      <w:r>
        <w:rPr>
          <w:rFonts w:hint="eastAsia" w:cs="宋体"/>
          <w:sz w:val="32"/>
          <w:szCs w:val="32"/>
          <w:lang w:val="en-US" w:eastAsia="zh-CN"/>
        </w:rPr>
        <w:t>比4.91</w:t>
      </w:r>
      <w:r>
        <w:rPr>
          <w:rFonts w:hint="eastAsia" w:cs="宋体"/>
          <w:sz w:val="32"/>
          <w:szCs w:val="32"/>
        </w:rPr>
        <w:t>%</w:t>
      </w:r>
      <w:r>
        <w:rPr>
          <w:rFonts w:hint="eastAsia" w:cs="宋体"/>
          <w:sz w:val="32"/>
          <w:szCs w:val="32"/>
          <w:lang w:eastAsia="zh-CN"/>
        </w:rPr>
        <w:t>。</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一般公共预算</w:t>
      </w:r>
      <w:r>
        <w:rPr>
          <w:rFonts w:hint="eastAsia"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2026年</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拨款比202</w:t>
      </w:r>
      <w:r>
        <w:rPr>
          <w:rFonts w:hint="eastAsia"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5</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年收支预算总数</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增加</w:t>
      </w:r>
      <w:r>
        <w:rPr>
          <w:rFonts w:hint="eastAsia"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35.76</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w:t>
      </w:r>
    </w:p>
    <w:p w14:paraId="3D7FD775">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right="0"/>
        <w:outlineLvl w:val="1"/>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1910B1FE">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outlineLvl w:val="9"/>
        <w:rPr>
          <w:rFonts w:hint="eastAsia" w:ascii="仿宋" w:hAnsi="仿宋" w:eastAsia="仿宋" w:cs="Times New Roman"/>
          <w:sz w:val="32"/>
          <w:szCs w:val="32"/>
          <w:lang w:eastAsia="zh-CN"/>
        </w:rPr>
      </w:pPr>
      <w:bookmarkStart w:id="0" w:name="_Toc27626"/>
      <w:bookmarkStart w:id="1" w:name="_Toc8959"/>
      <w:bookmarkStart w:id="2" w:name="_Toc6823"/>
      <w:r>
        <w:rPr>
          <w:rFonts w:hint="eastAsia" w:ascii="仿宋" w:hAnsi="仿宋" w:eastAsia="仿宋" w:cs="Times New Roman"/>
          <w:sz w:val="32"/>
          <w:szCs w:val="32"/>
        </w:rPr>
        <w:t>一般公共预算当年拨款具体使用支出合计</w:t>
      </w:r>
      <w:r>
        <w:rPr>
          <w:rFonts w:hint="eastAsia" w:ascii="仿宋" w:hAnsi="仿宋" w:eastAsia="仿宋" w:cs="Times New Roman"/>
          <w:sz w:val="32"/>
          <w:szCs w:val="32"/>
          <w:lang w:val="en-US" w:eastAsia="zh-CN"/>
        </w:rPr>
        <w:t>331.56</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其中：</w:t>
      </w:r>
      <w:r>
        <w:rPr>
          <w:rFonts w:hint="eastAsia" w:ascii="仿宋" w:hAnsi="仿宋" w:eastAsia="仿宋" w:cs="Times New Roman"/>
          <w:sz w:val="32"/>
          <w:szCs w:val="32"/>
        </w:rPr>
        <w:t>基本支出</w:t>
      </w:r>
      <w:r>
        <w:rPr>
          <w:rFonts w:hint="eastAsia" w:ascii="仿宋" w:hAnsi="仿宋" w:eastAsia="仿宋" w:cs="Times New Roman"/>
          <w:sz w:val="32"/>
          <w:szCs w:val="32"/>
          <w:lang w:val="en-US" w:eastAsia="zh-CN"/>
        </w:rPr>
        <w:t>211.56</w:t>
      </w:r>
      <w:r>
        <w:rPr>
          <w:rFonts w:hint="eastAsia" w:ascii="仿宋" w:hAnsi="仿宋" w:eastAsia="仿宋" w:cs="Times New Roman"/>
          <w:sz w:val="32"/>
          <w:szCs w:val="32"/>
        </w:rPr>
        <w:t>万元，</w:t>
      </w:r>
      <w:r>
        <w:rPr>
          <w:rFonts w:hint="eastAsia" w:ascii="仿宋" w:hAnsi="仿宋" w:eastAsia="仿宋" w:cs="Times New Roman"/>
          <w:sz w:val="32"/>
          <w:szCs w:val="32"/>
          <w:lang w:val="en-US" w:eastAsia="zh-CN"/>
        </w:rPr>
        <w:t>其中</w:t>
      </w:r>
      <w:r>
        <w:rPr>
          <w:rFonts w:hint="eastAsia" w:ascii="仿宋" w:hAnsi="仿宋" w:eastAsia="仿宋" w:cs="Times New Roman"/>
          <w:sz w:val="32"/>
          <w:szCs w:val="32"/>
        </w:rPr>
        <w:t>工资</w:t>
      </w:r>
      <w:r>
        <w:rPr>
          <w:rFonts w:hint="eastAsia" w:ascii="仿宋" w:hAnsi="仿宋" w:eastAsia="仿宋"/>
          <w:b w:val="0"/>
          <w:bCs/>
          <w:sz w:val="32"/>
          <w:szCs w:val="32"/>
        </w:rPr>
        <w:t>福利支出</w:t>
      </w:r>
      <w:r>
        <w:rPr>
          <w:rFonts w:hint="eastAsia" w:ascii="仿宋" w:hAnsi="仿宋" w:eastAsia="仿宋"/>
          <w:b w:val="0"/>
          <w:bCs/>
          <w:sz w:val="32"/>
          <w:szCs w:val="32"/>
          <w:lang w:val="en-US" w:eastAsia="zh-CN"/>
        </w:rPr>
        <w:t>190.52万元、  商品和服务支出18.03万元、对个人和家庭的补助3.01万元。</w:t>
      </w:r>
      <w:r>
        <w:rPr>
          <w:rFonts w:hint="eastAsia" w:ascii="仿宋" w:hAnsi="仿宋" w:eastAsia="仿宋"/>
          <w:b w:val="0"/>
          <w:bCs/>
          <w:sz w:val="32"/>
          <w:szCs w:val="32"/>
        </w:rPr>
        <w:t>项目支出</w:t>
      </w:r>
      <w:r>
        <w:rPr>
          <w:rFonts w:hint="eastAsia" w:ascii="仿宋" w:hAnsi="仿宋" w:eastAsia="仿宋"/>
          <w:b w:val="0"/>
          <w:bCs/>
          <w:sz w:val="32"/>
          <w:szCs w:val="32"/>
          <w:lang w:val="en-US" w:eastAsia="zh-CN"/>
        </w:rPr>
        <w:t>120.00</w:t>
      </w:r>
      <w:r>
        <w:rPr>
          <w:rFonts w:hint="eastAsia" w:ascii="仿宋" w:hAnsi="仿宋" w:eastAsia="仿宋"/>
          <w:b w:val="0"/>
          <w:bCs/>
          <w:sz w:val="32"/>
          <w:szCs w:val="32"/>
        </w:rPr>
        <w:t>万元，</w:t>
      </w:r>
      <w:r>
        <w:rPr>
          <w:rFonts w:hint="eastAsia" w:ascii="仿宋" w:hAnsi="仿宋" w:eastAsia="仿宋"/>
          <w:b w:val="0"/>
          <w:bCs/>
          <w:sz w:val="32"/>
          <w:szCs w:val="32"/>
          <w:lang w:val="en-US" w:eastAsia="zh-CN"/>
        </w:rPr>
        <w:t>其中</w:t>
      </w:r>
      <w:r>
        <w:rPr>
          <w:rFonts w:hint="eastAsia" w:ascii="仿宋" w:hAnsi="仿宋" w:eastAsia="仿宋"/>
          <w:b w:val="0"/>
          <w:bCs/>
          <w:sz w:val="32"/>
          <w:szCs w:val="32"/>
        </w:rPr>
        <w:t>活动运转经费</w:t>
      </w:r>
      <w:r>
        <w:rPr>
          <w:rFonts w:hint="eastAsia" w:ascii="仿宋" w:hAnsi="仿宋" w:eastAsia="仿宋"/>
          <w:b w:val="0"/>
          <w:bCs/>
          <w:sz w:val="32"/>
          <w:szCs w:val="32"/>
          <w:lang w:val="en-US" w:eastAsia="zh-CN"/>
        </w:rPr>
        <w:t>项目120.00万元。</w:t>
      </w:r>
    </w:p>
    <w:p w14:paraId="352249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rPr>
          <w:rFonts w:hint="eastAsia"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1.教育支出（20</w:t>
      </w:r>
      <w:r>
        <w:rPr>
          <w:rFonts w:hint="eastAsia" w:ascii="仿宋_GB2312" w:eastAsia="仿宋_GB2312" w:cs="宋体"/>
          <w:kern w:val="0"/>
          <w:sz w:val="32"/>
          <w:szCs w:val="32"/>
          <w:lang w:val="en-US" w:eastAsia="zh-CN" w:bidi="ar-SA"/>
        </w:rPr>
        <w:t>5</w:t>
      </w:r>
      <w:r>
        <w:rPr>
          <w:rFonts w:hint="eastAsia" w:ascii="仿宋_GB2312" w:hAnsi="Calibri" w:eastAsia="仿宋_GB2312" w:cs="宋体"/>
          <w:kern w:val="0"/>
          <w:sz w:val="32"/>
          <w:szCs w:val="32"/>
          <w:lang w:val="en-US" w:eastAsia="zh-CN" w:bidi="ar-SA"/>
        </w:rPr>
        <w:t>）普通教育（0</w:t>
      </w:r>
      <w:r>
        <w:rPr>
          <w:rFonts w:hint="eastAsia" w:ascii="仿宋_GB2312" w:eastAsia="仿宋_GB2312" w:cs="宋体"/>
          <w:kern w:val="0"/>
          <w:sz w:val="32"/>
          <w:szCs w:val="32"/>
          <w:lang w:val="en-US" w:eastAsia="zh-CN" w:bidi="ar-SA"/>
        </w:rPr>
        <w:t>2</w:t>
      </w:r>
      <w:r>
        <w:rPr>
          <w:rFonts w:hint="eastAsia" w:ascii="仿宋_GB2312" w:hAnsi="Calibri" w:eastAsia="仿宋_GB2312" w:cs="宋体"/>
          <w:kern w:val="0"/>
          <w:sz w:val="32"/>
          <w:szCs w:val="32"/>
          <w:lang w:val="en-US" w:eastAsia="zh-CN" w:bidi="ar-SA"/>
        </w:rPr>
        <w:t>） 其他普通教育支出（99)，202</w:t>
      </w:r>
      <w:r>
        <w:rPr>
          <w:rFonts w:hint="eastAsia" w:ascii="仿宋_GB2312" w:eastAsia="仿宋_GB2312" w:cs="宋体"/>
          <w:kern w:val="0"/>
          <w:sz w:val="32"/>
          <w:szCs w:val="32"/>
          <w:lang w:val="en-US" w:eastAsia="zh-CN" w:bidi="ar-SA"/>
        </w:rPr>
        <w:t>6</w:t>
      </w:r>
      <w:r>
        <w:rPr>
          <w:rFonts w:hint="eastAsia" w:ascii="仿宋_GB2312" w:hAnsi="Calibri" w:eastAsia="仿宋_GB2312" w:cs="宋体"/>
          <w:kern w:val="0"/>
          <w:sz w:val="32"/>
          <w:szCs w:val="32"/>
          <w:lang w:val="en-US" w:eastAsia="zh-CN" w:bidi="ar-SA"/>
        </w:rPr>
        <w:t>年预算数为</w:t>
      </w:r>
      <w:r>
        <w:rPr>
          <w:rFonts w:hint="eastAsia" w:ascii="仿宋_GB2312" w:eastAsia="仿宋_GB2312" w:cs="宋体"/>
          <w:kern w:val="0"/>
          <w:sz w:val="32"/>
          <w:szCs w:val="32"/>
          <w:lang w:val="en-US" w:eastAsia="zh-CN" w:bidi="ar-SA"/>
        </w:rPr>
        <w:t>277.90</w:t>
      </w:r>
      <w:r>
        <w:rPr>
          <w:rFonts w:hint="eastAsia" w:ascii="仿宋_GB2312" w:hAnsi="Calibri" w:eastAsia="仿宋_GB2312" w:cs="宋体"/>
          <w:kern w:val="0"/>
          <w:sz w:val="32"/>
          <w:szCs w:val="32"/>
          <w:lang w:val="en-US" w:eastAsia="zh-CN" w:bidi="ar-SA"/>
        </w:rPr>
        <w:t>万元，主要用于：基本工资</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津贴补贴</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日常公务经费</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生活补助</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失业保险</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工伤保险</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残疾人就业保障金支出</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常年性项目支出等。</w:t>
      </w:r>
    </w:p>
    <w:p w14:paraId="02D2C7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rPr>
          <w:rFonts w:hint="default"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2．社会保障和就业支出（208）行政事业单位养老支山(05）机关事业单位基本养老保险缴费支出（05）机关事业单位职业年金缴费支出（06），202</w:t>
      </w:r>
      <w:r>
        <w:rPr>
          <w:rFonts w:hint="eastAsia" w:ascii="仿宋_GB2312" w:eastAsia="仿宋_GB2312" w:cs="宋体"/>
          <w:kern w:val="0"/>
          <w:sz w:val="32"/>
          <w:szCs w:val="32"/>
          <w:lang w:val="en-US" w:eastAsia="zh-CN" w:bidi="ar-SA"/>
        </w:rPr>
        <w:t>6</w:t>
      </w:r>
      <w:r>
        <w:rPr>
          <w:rFonts w:hint="eastAsia" w:ascii="仿宋_GB2312" w:hAnsi="Calibri" w:eastAsia="仿宋_GB2312" w:cs="宋体"/>
          <w:kern w:val="0"/>
          <w:sz w:val="32"/>
          <w:szCs w:val="32"/>
          <w:lang w:val="en-US" w:eastAsia="zh-CN" w:bidi="ar-SA"/>
        </w:rPr>
        <w:t>年预算数为</w:t>
      </w:r>
      <w:r>
        <w:rPr>
          <w:rFonts w:hint="eastAsia" w:ascii="仿宋_GB2312" w:eastAsia="仿宋_GB2312" w:cs="宋体"/>
          <w:kern w:val="0"/>
          <w:sz w:val="32"/>
          <w:szCs w:val="32"/>
          <w:lang w:val="en-US" w:eastAsia="zh-CN" w:bidi="ar-SA"/>
        </w:rPr>
        <w:t>26.19</w:t>
      </w:r>
      <w:r>
        <w:rPr>
          <w:rFonts w:hint="eastAsia" w:ascii="仿宋_GB2312" w:hAnsi="Calibri" w:eastAsia="仿宋_GB2312" w:cs="宋体"/>
          <w:kern w:val="0"/>
          <w:sz w:val="32"/>
          <w:szCs w:val="32"/>
          <w:lang w:val="en-US" w:eastAsia="zh-CN" w:bidi="ar-SA"/>
        </w:rPr>
        <w:t>万元，主要用于：</w:t>
      </w:r>
      <w:r>
        <w:rPr>
          <w:rFonts w:hint="eastAsia" w:ascii="仿宋_GB2312" w:eastAsia="仿宋_GB2312" w:cs="宋体"/>
          <w:kern w:val="0"/>
          <w:sz w:val="32"/>
          <w:szCs w:val="32"/>
          <w:lang w:val="en-US" w:eastAsia="zh-CN" w:bidi="ar-SA"/>
        </w:rPr>
        <w:t>单位职工</w:t>
      </w:r>
      <w:r>
        <w:rPr>
          <w:rFonts w:hint="eastAsia" w:ascii="仿宋_GB2312" w:hAnsi="Calibri" w:eastAsia="仿宋_GB2312" w:cs="宋体"/>
          <w:kern w:val="0"/>
          <w:sz w:val="32"/>
          <w:szCs w:val="32"/>
          <w:lang w:val="en-US" w:eastAsia="zh-CN" w:bidi="ar-SA"/>
        </w:rPr>
        <w:t>养老保险</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职业年金</w:t>
      </w:r>
      <w:r>
        <w:rPr>
          <w:rFonts w:hint="eastAsia" w:ascii="仿宋_GB2312" w:eastAsia="仿宋_GB2312" w:cs="宋体"/>
          <w:kern w:val="0"/>
          <w:sz w:val="32"/>
          <w:szCs w:val="32"/>
          <w:lang w:val="en-US" w:eastAsia="zh-CN" w:bidi="ar-SA"/>
        </w:rPr>
        <w:t>缴费。</w:t>
      </w:r>
    </w:p>
    <w:p w14:paraId="5E4165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rPr>
          <w:rFonts w:hint="eastAsia"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3．卫生健康支出（210）行政事业单位医疗（11）事业单位医疗（02)，202</w:t>
      </w:r>
      <w:r>
        <w:rPr>
          <w:rFonts w:hint="eastAsia" w:ascii="仿宋_GB2312" w:eastAsia="仿宋_GB2312" w:cs="宋体"/>
          <w:kern w:val="0"/>
          <w:sz w:val="32"/>
          <w:szCs w:val="32"/>
          <w:lang w:val="en-US" w:eastAsia="zh-CN" w:bidi="ar-SA"/>
        </w:rPr>
        <w:t>6</w:t>
      </w:r>
      <w:r>
        <w:rPr>
          <w:rFonts w:hint="eastAsia" w:ascii="仿宋_GB2312" w:hAnsi="Calibri" w:eastAsia="仿宋_GB2312" w:cs="宋体"/>
          <w:kern w:val="0"/>
          <w:sz w:val="32"/>
          <w:szCs w:val="32"/>
          <w:lang w:val="en-US" w:eastAsia="zh-CN" w:bidi="ar-SA"/>
        </w:rPr>
        <w:t>年预算数为</w:t>
      </w:r>
      <w:r>
        <w:rPr>
          <w:rFonts w:hint="eastAsia" w:ascii="仿宋_GB2312" w:eastAsia="仿宋_GB2312" w:cs="宋体"/>
          <w:kern w:val="0"/>
          <w:sz w:val="32"/>
          <w:szCs w:val="32"/>
          <w:lang w:val="en-US" w:eastAsia="zh-CN" w:bidi="ar-SA"/>
        </w:rPr>
        <w:t>11.20</w:t>
      </w:r>
      <w:r>
        <w:rPr>
          <w:rFonts w:hint="eastAsia" w:ascii="仿宋_GB2312" w:hAnsi="Calibri" w:eastAsia="仿宋_GB2312" w:cs="宋体"/>
          <w:kern w:val="0"/>
          <w:sz w:val="32"/>
          <w:szCs w:val="32"/>
          <w:lang w:val="en-US" w:eastAsia="zh-CN" w:bidi="ar-SA"/>
        </w:rPr>
        <w:t>万元，主要用于医疗保险支出。</w:t>
      </w:r>
    </w:p>
    <w:p w14:paraId="22ADA2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rPr>
          <w:rFonts w:hint="eastAsia"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4．住房保障支出（221）住房改革支出（02）住房公积金（O1)，202</w:t>
      </w:r>
      <w:r>
        <w:rPr>
          <w:rFonts w:hint="eastAsia" w:ascii="仿宋_GB2312" w:eastAsia="仿宋_GB2312" w:cs="宋体"/>
          <w:kern w:val="0"/>
          <w:sz w:val="32"/>
          <w:szCs w:val="32"/>
          <w:lang w:val="en-US" w:eastAsia="zh-CN" w:bidi="ar-SA"/>
        </w:rPr>
        <w:t>6</w:t>
      </w:r>
      <w:r>
        <w:rPr>
          <w:rFonts w:hint="eastAsia" w:ascii="仿宋_GB2312" w:hAnsi="Calibri" w:eastAsia="仿宋_GB2312" w:cs="宋体"/>
          <w:kern w:val="0"/>
          <w:sz w:val="32"/>
          <w:szCs w:val="32"/>
          <w:lang w:val="en-US" w:eastAsia="zh-CN" w:bidi="ar-SA"/>
        </w:rPr>
        <w:t>年预算数为</w:t>
      </w:r>
      <w:r>
        <w:rPr>
          <w:rFonts w:hint="eastAsia" w:ascii="仿宋_GB2312" w:eastAsia="仿宋_GB2312" w:cs="宋体"/>
          <w:kern w:val="0"/>
          <w:sz w:val="32"/>
          <w:szCs w:val="32"/>
          <w:lang w:val="en-US" w:eastAsia="zh-CN" w:bidi="ar-SA"/>
        </w:rPr>
        <w:t>16.27</w:t>
      </w:r>
      <w:r>
        <w:rPr>
          <w:rFonts w:hint="eastAsia" w:ascii="仿宋_GB2312" w:hAnsi="Calibri" w:eastAsia="仿宋_GB2312" w:cs="宋体"/>
          <w:kern w:val="0"/>
          <w:sz w:val="32"/>
          <w:szCs w:val="32"/>
          <w:lang w:val="en-US" w:eastAsia="zh-CN" w:bidi="ar-SA"/>
        </w:rPr>
        <w:t>万元，主要用于住房公积金支出。</w:t>
      </w:r>
      <w:bookmarkEnd w:id="0"/>
      <w:bookmarkEnd w:id="1"/>
      <w:bookmarkEnd w:id="2"/>
    </w:p>
    <w:p w14:paraId="0EAC4D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outlineLvl w:val="0"/>
        <w:rPr>
          <w:rFonts w:ascii="黑体" w:eastAsia="黑体"/>
          <w:sz w:val="32"/>
          <w:szCs w:val="32"/>
        </w:rPr>
      </w:pPr>
      <w:r>
        <w:rPr>
          <w:rFonts w:hint="eastAsia" w:ascii="仿宋" w:hAnsi="仿宋" w:eastAsia="仿宋"/>
          <w:b w:val="0"/>
          <w:bCs/>
          <w:sz w:val="32"/>
          <w:szCs w:val="32"/>
        </w:rPr>
        <w:t> </w:t>
      </w:r>
      <w:r>
        <w:rPr>
          <w:rFonts w:hint="eastAsia" w:ascii="黑体" w:eastAsia="黑体"/>
          <w:sz w:val="32"/>
          <w:szCs w:val="32"/>
        </w:rPr>
        <w:t>六、一般公共预算基本支出情况说明</w:t>
      </w:r>
    </w:p>
    <w:p w14:paraId="35988B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baseline"/>
        <w:rPr>
          <w:rFonts w:hint="default"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单位202</w:t>
      </w:r>
      <w:r>
        <w:rPr>
          <w:rFonts w:hint="eastAsia" w:ascii="仿宋_GB2312" w:eastAsia="仿宋_GB2312" w:cs="宋体"/>
          <w:kern w:val="0"/>
          <w:sz w:val="32"/>
          <w:szCs w:val="32"/>
          <w:lang w:val="en-US" w:eastAsia="zh-CN" w:bidi="ar-SA"/>
        </w:rPr>
        <w:t>6</w:t>
      </w:r>
      <w:r>
        <w:rPr>
          <w:rFonts w:hint="eastAsia" w:ascii="仿宋_GB2312" w:hAnsi="Calibri" w:eastAsia="仿宋_GB2312" w:cs="宋体"/>
          <w:kern w:val="0"/>
          <w:sz w:val="32"/>
          <w:szCs w:val="32"/>
          <w:lang w:val="en-US" w:eastAsia="zh-CN" w:bidi="ar-SA"/>
        </w:rPr>
        <w:t>年一般公共预算基本支出</w:t>
      </w:r>
      <w:r>
        <w:rPr>
          <w:rFonts w:hint="eastAsia" w:ascii="仿宋_GB2312" w:eastAsia="仿宋_GB2312" w:cs="宋体"/>
          <w:kern w:val="0"/>
          <w:sz w:val="32"/>
          <w:szCs w:val="32"/>
          <w:lang w:val="en-US" w:eastAsia="zh-CN" w:bidi="ar-SA"/>
        </w:rPr>
        <w:t>211.56</w:t>
      </w:r>
      <w:r>
        <w:rPr>
          <w:rFonts w:hint="eastAsia" w:ascii="仿宋_GB2312" w:hAnsi="Calibri" w:eastAsia="仿宋_GB2312" w:cs="宋体"/>
          <w:kern w:val="0"/>
          <w:sz w:val="32"/>
          <w:szCs w:val="32"/>
          <w:lang w:val="en-US" w:eastAsia="zh-CN" w:bidi="ar-SA"/>
        </w:rPr>
        <w:t>万元，其中：人员经费</w:t>
      </w:r>
      <w:r>
        <w:rPr>
          <w:rFonts w:hint="eastAsia" w:ascii="仿宋_GB2312" w:eastAsia="仿宋_GB2312" w:cs="宋体"/>
          <w:kern w:val="0"/>
          <w:sz w:val="32"/>
          <w:szCs w:val="32"/>
          <w:lang w:val="en-US" w:eastAsia="zh-CN" w:bidi="ar-SA"/>
        </w:rPr>
        <w:t>193.53</w:t>
      </w:r>
      <w:r>
        <w:rPr>
          <w:rFonts w:hint="eastAsia" w:ascii="仿宋_GB2312" w:hAnsi="Calibri" w:eastAsia="仿宋_GB2312" w:cs="宋体"/>
          <w:kern w:val="0"/>
          <w:sz w:val="32"/>
          <w:szCs w:val="32"/>
          <w:lang w:val="en-US" w:eastAsia="zh-CN" w:bidi="ar-SA"/>
        </w:rPr>
        <w:t>万元，主要包括：基本工资</w:t>
      </w:r>
      <w:r>
        <w:rPr>
          <w:rFonts w:hint="eastAsia" w:ascii="仿宋_GB2312" w:eastAsia="仿宋_GB2312" w:cs="宋体"/>
          <w:kern w:val="0"/>
          <w:sz w:val="32"/>
          <w:szCs w:val="32"/>
          <w:lang w:val="en-US" w:eastAsia="zh-CN" w:bidi="ar-SA"/>
        </w:rPr>
        <w:t>37.38</w:t>
      </w:r>
      <w:r>
        <w:rPr>
          <w:rFonts w:hint="eastAsia" w:ascii="仿宋_GB2312" w:hAnsi="Calibri" w:eastAsia="仿宋_GB2312" w:cs="宋体"/>
          <w:kern w:val="0"/>
          <w:sz w:val="32"/>
          <w:szCs w:val="32"/>
          <w:lang w:val="en-US" w:eastAsia="zh-CN" w:bidi="ar-SA"/>
        </w:rPr>
        <w:t>万元、津贴补贴</w:t>
      </w:r>
      <w:r>
        <w:rPr>
          <w:rFonts w:hint="eastAsia" w:ascii="仿宋_GB2312" w:eastAsia="仿宋_GB2312" w:cs="宋体"/>
          <w:kern w:val="0"/>
          <w:sz w:val="32"/>
          <w:szCs w:val="32"/>
          <w:lang w:val="en-US" w:eastAsia="zh-CN" w:bidi="ar-SA"/>
        </w:rPr>
        <w:t>13.48</w:t>
      </w:r>
      <w:r>
        <w:rPr>
          <w:rFonts w:hint="eastAsia" w:ascii="仿宋_GB2312" w:hAnsi="Calibri" w:eastAsia="仿宋_GB2312" w:cs="宋体"/>
          <w:kern w:val="0"/>
          <w:sz w:val="32"/>
          <w:szCs w:val="32"/>
          <w:lang w:val="en-US" w:eastAsia="zh-CN" w:bidi="ar-SA"/>
        </w:rPr>
        <w:t>万元、奖金</w:t>
      </w:r>
      <w:r>
        <w:rPr>
          <w:rFonts w:hint="eastAsia" w:ascii="仿宋_GB2312" w:eastAsia="仿宋_GB2312" w:cs="宋体"/>
          <w:kern w:val="0"/>
          <w:sz w:val="32"/>
          <w:szCs w:val="32"/>
          <w:lang w:val="en-US" w:eastAsia="zh-CN" w:bidi="ar-SA"/>
        </w:rPr>
        <w:t>25.65</w:t>
      </w:r>
      <w:r>
        <w:rPr>
          <w:rFonts w:hint="eastAsia" w:ascii="仿宋_GB2312" w:hAnsi="Calibri" w:eastAsia="仿宋_GB2312" w:cs="宋体"/>
          <w:kern w:val="0"/>
          <w:sz w:val="32"/>
          <w:szCs w:val="32"/>
          <w:lang w:val="en-US" w:eastAsia="zh-CN" w:bidi="ar-SA"/>
        </w:rPr>
        <w:t>万元、其他社会保障缴费</w:t>
      </w:r>
      <w:r>
        <w:rPr>
          <w:rFonts w:hint="eastAsia" w:ascii="仿宋_GB2312" w:eastAsia="仿宋_GB2312" w:cs="宋体"/>
          <w:kern w:val="0"/>
          <w:sz w:val="32"/>
          <w:szCs w:val="32"/>
          <w:lang w:val="en-US" w:eastAsia="zh-CN" w:bidi="ar-SA"/>
        </w:rPr>
        <w:t>2.45</w:t>
      </w:r>
      <w:r>
        <w:rPr>
          <w:rFonts w:hint="eastAsia" w:ascii="仿宋_GB2312" w:hAnsi="Calibri" w:eastAsia="仿宋_GB2312" w:cs="宋体"/>
          <w:kern w:val="0"/>
          <w:sz w:val="32"/>
          <w:szCs w:val="32"/>
          <w:lang w:val="en-US" w:eastAsia="zh-CN" w:bidi="ar-SA"/>
        </w:rPr>
        <w:t>万元、绩效工资</w:t>
      </w:r>
      <w:r>
        <w:rPr>
          <w:rFonts w:hint="eastAsia" w:ascii="仿宋_GB2312" w:eastAsia="仿宋_GB2312" w:cs="宋体"/>
          <w:kern w:val="0"/>
          <w:sz w:val="32"/>
          <w:szCs w:val="32"/>
          <w:lang w:val="en-US" w:eastAsia="zh-CN" w:bidi="ar-SA"/>
        </w:rPr>
        <w:t>30.14</w:t>
      </w:r>
      <w:r>
        <w:rPr>
          <w:rFonts w:hint="eastAsia" w:ascii="仿宋_GB2312" w:hAnsi="Calibri" w:eastAsia="仿宋_GB2312" w:cs="宋体"/>
          <w:kern w:val="0"/>
          <w:sz w:val="32"/>
          <w:szCs w:val="32"/>
          <w:lang w:val="en-US" w:eastAsia="zh-CN" w:bidi="ar-SA"/>
        </w:rPr>
        <w:t>万元、城镇职工基本医疗保险缴费</w:t>
      </w:r>
      <w:r>
        <w:rPr>
          <w:rFonts w:hint="eastAsia" w:ascii="仿宋_GB2312" w:eastAsia="仿宋_GB2312" w:cs="宋体"/>
          <w:kern w:val="0"/>
          <w:sz w:val="32"/>
          <w:szCs w:val="32"/>
          <w:lang w:val="en-US" w:eastAsia="zh-CN" w:bidi="ar-SA"/>
        </w:rPr>
        <w:t>9.69</w:t>
      </w:r>
      <w:r>
        <w:rPr>
          <w:rFonts w:hint="eastAsia" w:ascii="仿宋_GB2312" w:hAnsi="Calibri" w:eastAsia="仿宋_GB2312" w:cs="宋体"/>
          <w:kern w:val="0"/>
          <w:sz w:val="32"/>
          <w:szCs w:val="32"/>
          <w:lang w:val="en-US" w:eastAsia="zh-CN" w:bidi="ar-SA"/>
        </w:rPr>
        <w:t>万元、机关事业单位基本养老保险缴费</w:t>
      </w:r>
      <w:r>
        <w:rPr>
          <w:rFonts w:hint="eastAsia" w:ascii="仿宋_GB2312" w:eastAsia="仿宋_GB2312" w:cs="宋体"/>
          <w:kern w:val="0"/>
          <w:sz w:val="32"/>
          <w:szCs w:val="32"/>
          <w:lang w:val="en-US" w:eastAsia="zh-CN" w:bidi="ar-SA"/>
        </w:rPr>
        <w:t>17.46</w:t>
      </w:r>
      <w:r>
        <w:rPr>
          <w:rFonts w:hint="eastAsia" w:ascii="仿宋_GB2312" w:hAnsi="Calibri" w:eastAsia="仿宋_GB2312" w:cs="宋体"/>
          <w:kern w:val="0"/>
          <w:sz w:val="32"/>
          <w:szCs w:val="32"/>
          <w:lang w:val="en-US" w:eastAsia="zh-CN" w:bidi="ar-SA"/>
        </w:rPr>
        <w:t>万元、职业年金缴费</w:t>
      </w:r>
      <w:r>
        <w:rPr>
          <w:rFonts w:hint="eastAsia" w:ascii="仿宋_GB2312" w:eastAsia="仿宋_GB2312" w:cs="宋体"/>
          <w:kern w:val="0"/>
          <w:sz w:val="32"/>
          <w:szCs w:val="32"/>
          <w:lang w:val="en-US" w:eastAsia="zh-CN" w:bidi="ar-SA"/>
        </w:rPr>
        <w:t>8.73</w:t>
      </w:r>
      <w:r>
        <w:rPr>
          <w:rFonts w:hint="eastAsia" w:ascii="仿宋_GB2312" w:hAnsi="Calibri" w:eastAsia="仿宋_GB2312" w:cs="宋体"/>
          <w:kern w:val="0"/>
          <w:sz w:val="32"/>
          <w:szCs w:val="32"/>
          <w:lang w:val="en-US" w:eastAsia="zh-CN" w:bidi="ar-SA"/>
        </w:rPr>
        <w:t>万元、其他工资福利支出</w:t>
      </w:r>
      <w:r>
        <w:rPr>
          <w:rFonts w:hint="eastAsia" w:ascii="仿宋_GB2312" w:eastAsia="仿宋_GB2312" w:cs="宋体"/>
          <w:kern w:val="0"/>
          <w:sz w:val="32"/>
          <w:szCs w:val="32"/>
          <w:lang w:val="en-US" w:eastAsia="zh-CN" w:bidi="ar-SA"/>
        </w:rPr>
        <w:t>29.27</w:t>
      </w:r>
      <w:r>
        <w:rPr>
          <w:rFonts w:hint="eastAsia" w:ascii="仿宋_GB2312" w:hAnsi="Calibri" w:eastAsia="仿宋_GB2312" w:cs="宋体"/>
          <w:kern w:val="0"/>
          <w:sz w:val="32"/>
          <w:szCs w:val="32"/>
          <w:lang w:val="en-US" w:eastAsia="zh-CN" w:bidi="ar-SA"/>
        </w:rPr>
        <w:t>万元、住房公积金</w:t>
      </w:r>
      <w:r>
        <w:rPr>
          <w:rFonts w:hint="eastAsia" w:ascii="仿宋_GB2312" w:eastAsia="仿宋_GB2312" w:cs="宋体"/>
          <w:kern w:val="0"/>
          <w:sz w:val="32"/>
          <w:szCs w:val="32"/>
          <w:lang w:val="en-US" w:eastAsia="zh-CN" w:bidi="ar-SA"/>
        </w:rPr>
        <w:t>16.27</w:t>
      </w:r>
      <w:r>
        <w:rPr>
          <w:rFonts w:hint="eastAsia" w:ascii="仿宋_GB2312" w:hAnsi="Calibri" w:eastAsia="仿宋_GB2312" w:cs="宋体"/>
          <w:kern w:val="0"/>
          <w:sz w:val="32"/>
          <w:szCs w:val="32"/>
          <w:lang w:val="en-US" w:eastAsia="zh-CN" w:bidi="ar-SA"/>
        </w:rPr>
        <w:t>万元、对个人和家庭的补助3.01万元。</w:t>
      </w:r>
    </w:p>
    <w:p w14:paraId="1755F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baseline"/>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Calibri" w:eastAsia="仿宋_GB2312" w:cs="宋体"/>
          <w:kern w:val="0"/>
          <w:sz w:val="32"/>
          <w:szCs w:val="32"/>
          <w:lang w:val="en-US" w:eastAsia="zh-CN" w:bidi="ar-SA"/>
        </w:rPr>
        <w:t>公用经费</w:t>
      </w:r>
      <w:r>
        <w:rPr>
          <w:rFonts w:hint="eastAsia" w:ascii="仿宋_GB2312" w:eastAsia="仿宋_GB2312" w:cs="宋体"/>
          <w:kern w:val="0"/>
          <w:sz w:val="32"/>
          <w:szCs w:val="32"/>
          <w:lang w:val="en-US" w:eastAsia="zh-CN" w:bidi="ar-SA"/>
        </w:rPr>
        <w:t>18.03</w:t>
      </w:r>
      <w:r>
        <w:rPr>
          <w:rFonts w:hint="eastAsia" w:ascii="仿宋_GB2312" w:hAnsi="Calibri" w:eastAsia="仿宋_GB2312" w:cs="宋体"/>
          <w:kern w:val="0"/>
          <w:sz w:val="32"/>
          <w:szCs w:val="32"/>
          <w:lang w:val="en-US" w:eastAsia="zh-CN" w:bidi="ar-SA"/>
        </w:rPr>
        <w:t>万元，主要包括：办公费0.65万元、水费0.19万元、邮电费2.</w:t>
      </w:r>
      <w:r>
        <w:rPr>
          <w:rFonts w:hint="eastAsia" w:ascii="仿宋_GB2312" w:eastAsia="仿宋_GB2312" w:cs="宋体"/>
          <w:kern w:val="0"/>
          <w:sz w:val="32"/>
          <w:szCs w:val="32"/>
          <w:lang w:val="en-US" w:eastAsia="zh-CN" w:bidi="ar-SA"/>
        </w:rPr>
        <w:t>03</w:t>
      </w:r>
      <w:r>
        <w:rPr>
          <w:rFonts w:hint="eastAsia" w:ascii="仿宋_GB2312" w:hAnsi="Calibri" w:eastAsia="仿宋_GB2312" w:cs="宋体"/>
          <w:kern w:val="0"/>
          <w:sz w:val="32"/>
          <w:szCs w:val="32"/>
          <w:lang w:val="en-US" w:eastAsia="zh-CN" w:bidi="ar-SA"/>
        </w:rPr>
        <w:t>万元、取暖费0.26万元、差旅费2.85万元、维修（护）费</w:t>
      </w:r>
      <w:r>
        <w:rPr>
          <w:rFonts w:hint="eastAsia" w:ascii="仿宋_GB2312" w:eastAsia="仿宋_GB2312" w:cs="宋体"/>
          <w:kern w:val="0"/>
          <w:sz w:val="32"/>
          <w:szCs w:val="32"/>
          <w:lang w:val="en-US" w:eastAsia="zh-CN" w:bidi="ar-SA"/>
        </w:rPr>
        <w:t>2.03</w:t>
      </w:r>
      <w:r>
        <w:rPr>
          <w:rFonts w:hint="eastAsia" w:ascii="仿宋_GB2312" w:hAnsi="Calibri" w:eastAsia="仿宋_GB2312" w:cs="宋体"/>
          <w:kern w:val="0"/>
          <w:sz w:val="32"/>
          <w:szCs w:val="32"/>
          <w:lang w:val="en-US" w:eastAsia="zh-CN" w:bidi="ar-SA"/>
        </w:rPr>
        <w:t>万元、培训费1.</w:t>
      </w:r>
      <w:r>
        <w:rPr>
          <w:rFonts w:hint="eastAsia" w:ascii="仿宋_GB2312" w:eastAsia="仿宋_GB2312" w:cs="宋体"/>
          <w:kern w:val="0"/>
          <w:sz w:val="32"/>
          <w:szCs w:val="32"/>
          <w:lang w:val="en-US" w:eastAsia="zh-CN" w:bidi="ar-SA"/>
        </w:rPr>
        <w:t>34</w:t>
      </w:r>
      <w:r>
        <w:rPr>
          <w:rFonts w:hint="eastAsia" w:ascii="仿宋_GB2312" w:hAnsi="Calibri" w:eastAsia="仿宋_GB2312" w:cs="宋体"/>
          <w:kern w:val="0"/>
          <w:sz w:val="32"/>
          <w:szCs w:val="32"/>
          <w:lang w:val="en-US" w:eastAsia="zh-CN" w:bidi="ar-SA"/>
        </w:rPr>
        <w:t>万</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元、公务接待费0.</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23</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万元、其他商品和服务支出</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8.45</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w:t>
      </w:r>
    </w:p>
    <w:p w14:paraId="48DC3F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both"/>
        <w:textAlignment w:val="baseline"/>
        <w:outlineLvl w:val="0"/>
        <w:rPr>
          <w:rFonts w:ascii="黑体" w:eastAsia="黑体"/>
          <w:sz w:val="32"/>
          <w:szCs w:val="32"/>
        </w:rPr>
      </w:pPr>
      <w:r>
        <w:rPr>
          <w:rFonts w:hint="eastAsia" w:ascii="黑体" w:eastAsia="黑体"/>
          <w:sz w:val="32"/>
          <w:szCs w:val="32"/>
        </w:rPr>
        <w:t>七、“三公”经费财政拨款预算安排情况说明</w:t>
      </w:r>
    </w:p>
    <w:p w14:paraId="4A39E5F0">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left="0" w:right="0" w:firstLine="640" w:firstLineChars="200"/>
        <w:rPr>
          <w:rFonts w:cs="仿宋_GB2312"/>
          <w:kern w:val="2"/>
          <w:sz w:val="32"/>
          <w:szCs w:val="32"/>
        </w:rPr>
      </w:pPr>
      <w:r>
        <w:rPr>
          <w:rFonts w:hint="eastAsia" w:cs="仿宋_GB2312"/>
          <w:kern w:val="2"/>
          <w:sz w:val="32"/>
          <w:szCs w:val="32"/>
        </w:rPr>
        <w:t>单位202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0.23</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0.23</w:t>
      </w:r>
      <w:r>
        <w:rPr>
          <w:rFonts w:hint="eastAsia" w:cs="仿宋_GB2312"/>
          <w:kern w:val="2"/>
          <w:sz w:val="32"/>
          <w:szCs w:val="32"/>
        </w:rPr>
        <w:t>万元，公务用车购置及运行维护费</w:t>
      </w:r>
      <w:r>
        <w:rPr>
          <w:rFonts w:hint="eastAsia" w:cs="仿宋_GB2312"/>
          <w:kern w:val="2"/>
          <w:sz w:val="32"/>
          <w:szCs w:val="32"/>
          <w:lang w:val="en-US" w:eastAsia="zh-CN"/>
        </w:rPr>
        <w:t>0</w:t>
      </w:r>
      <w:r>
        <w:rPr>
          <w:rFonts w:hint="eastAsia" w:cs="仿宋_GB2312"/>
          <w:kern w:val="2"/>
          <w:sz w:val="32"/>
          <w:szCs w:val="32"/>
        </w:rPr>
        <w:t>万元。</w:t>
      </w:r>
    </w:p>
    <w:p w14:paraId="30B3E279">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left="0" w:right="0"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14:paraId="4E9BB3D2">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left="0" w:right="0"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0.23</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rPr>
        <w:t>增加</w:t>
      </w:r>
      <w:r>
        <w:rPr>
          <w:rFonts w:hint="eastAsia" w:cs="仿宋_GB2312"/>
          <w:color w:val="000000"/>
          <w:kern w:val="2"/>
          <w:sz w:val="32"/>
          <w:szCs w:val="32"/>
          <w:lang w:val="en-US" w:eastAsia="zh-CN"/>
        </w:rPr>
        <w:t>0.05</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27.78</w:t>
      </w:r>
      <w:r>
        <w:rPr>
          <w:rFonts w:hint="eastAsia" w:cs="仿宋_GB2312"/>
          <w:color w:val="000000"/>
          <w:kern w:val="2"/>
          <w:sz w:val="32"/>
          <w:szCs w:val="32"/>
        </w:rPr>
        <w:t>%</w:t>
      </w:r>
      <w:r>
        <w:rPr>
          <w:rFonts w:hint="eastAsia" w:cs="仿宋_GB2312"/>
          <w:color w:val="000000"/>
          <w:kern w:val="2"/>
          <w:sz w:val="32"/>
          <w:szCs w:val="32"/>
          <w:lang w:eastAsia="zh-CN"/>
        </w:rPr>
        <w:t>。</w:t>
      </w:r>
    </w:p>
    <w:p w14:paraId="28CFA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eastAsia" w:eastAsia="仿宋_GB2312" w:cs="仿宋_GB2312"/>
          <w:color w:val="000000"/>
          <w:kern w:val="2"/>
          <w:sz w:val="32"/>
          <w:szCs w:val="32"/>
          <w:lang w:eastAsia="zh-CN"/>
        </w:rPr>
      </w:pPr>
      <w:r>
        <w:rPr>
          <w:rFonts w:hint="eastAsia" w:cs="仿宋_GB2312"/>
          <w:color w:val="000000"/>
          <w:kern w:val="2"/>
          <w:sz w:val="32"/>
          <w:szCs w:val="32"/>
        </w:rPr>
        <w:t>（三）</w:t>
      </w:r>
      <w:r>
        <w:rPr>
          <w:rFonts w:hint="eastAsia" w:ascii="仿宋_GB2312" w:hAnsi="Calibri" w:eastAsia="仿宋_GB2312" w:cs="仿宋_GB2312"/>
          <w:color w:val="000000"/>
          <w:kern w:val="2"/>
          <w:sz w:val="32"/>
          <w:szCs w:val="32"/>
          <w:lang w:val="en-US" w:eastAsia="zh-CN" w:bidi="ar-SA"/>
        </w:rPr>
        <w:t>2026</w:t>
      </w:r>
      <w:r>
        <w:rPr>
          <w:rFonts w:hint="eastAsia" w:ascii="仿宋_GB2312" w:hAnsi="Calibri" w:eastAsia="仿宋_GB2312" w:cs="仿宋_GB2312"/>
          <w:kern w:val="2"/>
          <w:sz w:val="32"/>
          <w:szCs w:val="32"/>
          <w:lang w:val="en-US" w:eastAsia="zh-CN" w:bidi="ar-SA"/>
        </w:rPr>
        <w:t>年公务用车购置及运行维护费0万元。较202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年预算经费增加/减少0万元，增长0%。单位无公务用车车辆</w:t>
      </w:r>
      <w:r>
        <w:rPr>
          <w:rFonts w:hint="eastAsia" w:ascii="仿宋_GB2312" w:eastAsia="仿宋_GB2312" w:cs="仿宋_GB2312"/>
          <w:kern w:val="2"/>
          <w:sz w:val="32"/>
          <w:szCs w:val="32"/>
          <w:lang w:val="en-US" w:eastAsia="zh-CN" w:bidi="ar-SA"/>
        </w:rPr>
        <w:t>。</w:t>
      </w:r>
    </w:p>
    <w:p w14:paraId="35FDB904">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right="0"/>
        <w:outlineLvl w:val="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7851D6B4">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left="0" w:right="0" w:firstLine="640" w:firstLineChars="200"/>
        <w:rPr>
          <w:rFonts w:cs="仿宋_GB2312"/>
          <w:kern w:val="2"/>
          <w:sz w:val="32"/>
          <w:szCs w:val="32"/>
        </w:rPr>
      </w:pPr>
      <w:r>
        <w:rPr>
          <w:rFonts w:hint="eastAsia" w:cs="仿宋_GB2312"/>
          <w:kern w:val="2"/>
          <w:sz w:val="32"/>
          <w:szCs w:val="32"/>
        </w:rPr>
        <w:t>单位</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5</w:t>
      </w:r>
      <w:r>
        <w:rPr>
          <w:rFonts w:hint="eastAsia" w:cs="仿宋_GB2312"/>
          <w:kern w:val="2"/>
          <w:sz w:val="32"/>
          <w:szCs w:val="32"/>
        </w:rPr>
        <w:t>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14:paraId="12AB5AC7">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right="0"/>
        <w:outlineLvl w:val="0"/>
        <w:rPr>
          <w:rFonts w:ascii="黑体" w:eastAsia="黑体"/>
          <w:sz w:val="32"/>
          <w:szCs w:val="32"/>
        </w:rPr>
      </w:pPr>
      <w:r>
        <w:rPr>
          <w:rFonts w:hint="eastAsia" w:ascii="黑体" w:eastAsia="黑体"/>
          <w:sz w:val="32"/>
          <w:szCs w:val="32"/>
        </w:rPr>
        <w:t>九、其他重要事项的情况说明</w:t>
      </w:r>
    </w:p>
    <w:p w14:paraId="090E5E17">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left="0" w:right="0" w:firstLine="640" w:firstLineChars="200"/>
        <w:outlineLvl w:val="9"/>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kern w:val="2"/>
          <w:sz w:val="32"/>
          <w:szCs w:val="32"/>
        </w:rPr>
        <w:t>年机关运行经费财政拨款预算为</w:t>
      </w:r>
      <w:r>
        <w:rPr>
          <w:rFonts w:hint="eastAsia" w:cs="仿宋_GB2312"/>
          <w:kern w:val="2"/>
          <w:sz w:val="32"/>
          <w:szCs w:val="32"/>
          <w:lang w:val="en-US" w:eastAsia="zh-CN"/>
        </w:rPr>
        <w:t>18.03</w:t>
      </w:r>
      <w:r>
        <w:rPr>
          <w:rFonts w:hint="eastAsia" w:cs="仿宋_GB2312"/>
          <w:kern w:val="2"/>
          <w:sz w:val="32"/>
          <w:szCs w:val="32"/>
        </w:rPr>
        <w:t>万元，比202</w:t>
      </w:r>
      <w:r>
        <w:rPr>
          <w:rFonts w:hint="eastAsia" w:cs="仿宋_GB2312"/>
          <w:kern w:val="2"/>
          <w:sz w:val="32"/>
          <w:szCs w:val="32"/>
          <w:lang w:val="en-US" w:eastAsia="zh-CN"/>
        </w:rPr>
        <w:t>5</w:t>
      </w:r>
      <w:r>
        <w:rPr>
          <w:rFonts w:hint="eastAsia" w:cs="仿宋_GB2312"/>
          <w:kern w:val="2"/>
          <w:sz w:val="32"/>
          <w:szCs w:val="32"/>
        </w:rPr>
        <w:t>年预算</w:t>
      </w:r>
      <w:r>
        <w:rPr>
          <w:rFonts w:hint="eastAsia" w:cs="宋体"/>
          <w:sz w:val="32"/>
          <w:szCs w:val="32"/>
        </w:rPr>
        <w:t>增加</w:t>
      </w:r>
      <w:r>
        <w:rPr>
          <w:rFonts w:hint="eastAsia" w:cs="宋体"/>
          <w:sz w:val="32"/>
          <w:szCs w:val="32"/>
          <w:lang w:val="en-US" w:eastAsia="zh-CN"/>
        </w:rPr>
        <w:t>2.34</w:t>
      </w:r>
      <w:r>
        <w:rPr>
          <w:rFonts w:hint="eastAsia" w:cs="仿宋_GB2312"/>
          <w:color w:val="000000"/>
          <w:kern w:val="2"/>
          <w:sz w:val="32"/>
          <w:szCs w:val="32"/>
        </w:rPr>
        <w:t>万元，</w:t>
      </w:r>
      <w:r>
        <w:rPr>
          <w:rFonts w:hint="eastAsia" w:cs="仿宋_GB2312"/>
          <w:color w:val="000000"/>
          <w:kern w:val="2"/>
          <w:sz w:val="32"/>
          <w:szCs w:val="32"/>
          <w:lang w:val="en-US" w:eastAsia="zh-CN"/>
        </w:rPr>
        <w:t>增加14.91</w:t>
      </w:r>
      <w:r>
        <w:rPr>
          <w:rFonts w:hint="eastAsia" w:cs="仿宋_GB2312"/>
          <w:color w:val="000000"/>
          <w:kern w:val="2"/>
          <w:sz w:val="32"/>
          <w:szCs w:val="32"/>
        </w:rPr>
        <w:t xml:space="preserve">%。 </w:t>
      </w:r>
    </w:p>
    <w:p w14:paraId="332DD731">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left="0" w:right="0" w:firstLine="640" w:firstLineChars="200"/>
        <w:outlineLvl w:val="9"/>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12A2636C">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left="0" w:right="0" w:firstLine="640" w:firstLineChars="200"/>
        <w:outlineLvl w:val="9"/>
        <w:rPr>
          <w:rFonts w:ascii="楷体" w:eastAsia="楷体" w:cs="仿宋_GB2312"/>
          <w:kern w:val="2"/>
          <w:sz w:val="32"/>
          <w:szCs w:val="32"/>
        </w:rPr>
      </w:pPr>
      <w:r>
        <w:rPr>
          <w:rFonts w:hint="eastAsia" w:ascii="楷体" w:eastAsia="楷体" w:cs="仿宋_GB2312"/>
          <w:kern w:val="2"/>
          <w:sz w:val="32"/>
          <w:szCs w:val="32"/>
        </w:rPr>
        <w:t>（三）国有资产占有使用情况</w:t>
      </w:r>
    </w:p>
    <w:p w14:paraId="575D2777">
      <w:pPr>
        <w:pStyle w:val="15"/>
        <w:keepNext w:val="0"/>
        <w:keepLines w:val="0"/>
        <w:pageBreakBefore w:val="0"/>
        <w:kinsoku/>
        <w:wordWrap/>
        <w:overflowPunct/>
        <w:topLinePunct w:val="0"/>
        <w:autoSpaceDE/>
        <w:autoSpaceDN/>
        <w:bidi w:val="0"/>
        <w:adjustRightInd/>
        <w:snapToGrid/>
        <w:spacing w:before="0" w:beforeAutospacing="0" w:afterAutospacing="0" w:line="560" w:lineRule="exact"/>
        <w:ind w:left="0" w:right="0" w:firstLine="640" w:firstLineChars="200"/>
        <w:outlineLvl w:val="9"/>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5</w:t>
      </w:r>
      <w:r>
        <w:rPr>
          <w:rFonts w:hint="eastAsia" w:cs="仿宋_GB2312"/>
          <w:kern w:val="2"/>
          <w:sz w:val="32"/>
          <w:szCs w:val="32"/>
        </w:rPr>
        <w:t>年12月31日，我单位固定资产2</w:t>
      </w:r>
      <w:r>
        <w:rPr>
          <w:rFonts w:hint="eastAsia" w:cs="仿宋_GB2312"/>
          <w:kern w:val="2"/>
          <w:sz w:val="32"/>
          <w:szCs w:val="32"/>
          <w:lang w:val="en-US" w:eastAsia="zh-CN"/>
        </w:rPr>
        <w:t>,</w:t>
      </w:r>
      <w:r>
        <w:rPr>
          <w:rFonts w:hint="eastAsia" w:cs="仿宋_GB2312"/>
          <w:kern w:val="2"/>
          <w:sz w:val="32"/>
          <w:szCs w:val="32"/>
        </w:rPr>
        <w:t>399.22万元。</w:t>
      </w:r>
    </w:p>
    <w:p w14:paraId="778FBBE5">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outlineLvl w:val="9"/>
        <w:rPr>
          <w:rFonts w:hint="eastAsia" w:cs="仿宋_GB2312"/>
          <w:kern w:val="2"/>
          <w:sz w:val="32"/>
          <w:szCs w:val="32"/>
          <w:lang w:val="en-US" w:eastAsia="zh-CN"/>
        </w:rPr>
      </w:pPr>
      <w:r>
        <w:rPr>
          <w:rFonts w:hint="eastAsia" w:ascii="仿宋_GB2312" w:hAnsi="Calibri" w:eastAsia="仿宋_GB2312" w:cs="仿宋_GB2312"/>
          <w:kern w:val="2"/>
          <w:sz w:val="32"/>
          <w:szCs w:val="32"/>
          <w:lang w:val="en-US" w:eastAsia="zh-CN" w:bidi="ar-SA"/>
        </w:rPr>
        <w:t>（</w:t>
      </w:r>
      <w:r>
        <w:rPr>
          <w:rFonts w:hint="eastAsia" w:cs="仿宋_GB2312"/>
          <w:kern w:val="2"/>
          <w:sz w:val="32"/>
          <w:szCs w:val="32"/>
          <w:lang w:val="en-US" w:eastAsia="zh-CN" w:bidi="ar-SA"/>
        </w:rPr>
        <w:t>四</w:t>
      </w:r>
      <w:r>
        <w:rPr>
          <w:rFonts w:hint="eastAsia" w:ascii="仿宋_GB2312" w:hAnsi="Calibri" w:eastAsia="仿宋_GB2312" w:cs="仿宋_GB2312"/>
          <w:kern w:val="2"/>
          <w:sz w:val="32"/>
          <w:szCs w:val="32"/>
          <w:lang w:val="en-US" w:eastAsia="zh-CN" w:bidi="ar-SA"/>
        </w:rPr>
        <w:t>）</w:t>
      </w:r>
      <w:r>
        <w:rPr>
          <w:rFonts w:hint="eastAsia" w:ascii="楷体" w:eastAsia="楷体" w:cs="仿宋_GB2312"/>
          <w:kern w:val="2"/>
          <w:sz w:val="32"/>
          <w:szCs w:val="32"/>
        </w:rPr>
        <w:t>绩效目标设置情况</w:t>
      </w:r>
      <w:r>
        <w:rPr>
          <w:rFonts w:hint="eastAsia" w:cs="仿宋_GB2312"/>
          <w:kern w:val="2"/>
          <w:sz w:val="32"/>
          <w:szCs w:val="32"/>
        </w:rPr>
        <w:br w:type="textWrapping"/>
      </w:r>
      <w:r>
        <w:rPr>
          <w:rFonts w:hint="eastAsia" w:cs="仿宋_GB2312"/>
          <w:kern w:val="2"/>
          <w:sz w:val="32"/>
          <w:szCs w:val="32"/>
        </w:rPr>
        <w:t>　　单位202</w:t>
      </w:r>
      <w:r>
        <w:rPr>
          <w:rFonts w:hint="eastAsia" w:cs="仿宋_GB2312"/>
          <w:kern w:val="2"/>
          <w:sz w:val="32"/>
          <w:szCs w:val="32"/>
          <w:lang w:val="en-US" w:eastAsia="zh-CN"/>
        </w:rPr>
        <w:t>6</w:t>
      </w:r>
      <w:r>
        <w:rPr>
          <w:rFonts w:hint="eastAsia" w:cs="仿宋_GB2312"/>
          <w:kern w:val="2"/>
          <w:sz w:val="32"/>
          <w:szCs w:val="32"/>
        </w:rPr>
        <w:t>年部门预算教育专项经费均按省、州相关要求实行绩效目标管理，开展绩效目标管理的项目</w:t>
      </w:r>
      <w:r>
        <w:rPr>
          <w:rFonts w:hint="eastAsia" w:cs="仿宋_GB2312"/>
          <w:kern w:val="2"/>
          <w:sz w:val="32"/>
          <w:szCs w:val="32"/>
          <w:lang w:val="en-US" w:eastAsia="zh-CN"/>
        </w:rPr>
        <w:t>8</w:t>
      </w:r>
      <w:r>
        <w:rPr>
          <w:rFonts w:hint="eastAsia" w:cs="仿宋_GB2312"/>
          <w:kern w:val="2"/>
          <w:sz w:val="32"/>
          <w:szCs w:val="32"/>
        </w:rPr>
        <w:t>个，涉及一般公共预算当年拨款预算</w:t>
      </w:r>
      <w:r>
        <w:rPr>
          <w:rFonts w:hint="eastAsia" w:cs="仿宋_GB2312"/>
          <w:kern w:val="2"/>
          <w:sz w:val="32"/>
          <w:szCs w:val="32"/>
          <w:lang w:val="en-US" w:eastAsia="zh-CN"/>
        </w:rPr>
        <w:t>331.56</w:t>
      </w:r>
      <w:r>
        <w:rPr>
          <w:rFonts w:hint="eastAsia" w:cs="仿宋_GB2312"/>
          <w:kern w:val="2"/>
          <w:sz w:val="32"/>
          <w:szCs w:val="32"/>
        </w:rPr>
        <w:t>万元;其中:人员类项目</w:t>
      </w:r>
      <w:r>
        <w:rPr>
          <w:rFonts w:hint="eastAsia" w:cs="仿宋_GB2312"/>
          <w:kern w:val="2"/>
          <w:sz w:val="32"/>
          <w:szCs w:val="32"/>
          <w:lang w:val="en-US" w:eastAsia="zh-CN"/>
        </w:rPr>
        <w:t>6</w:t>
      </w:r>
      <w:r>
        <w:rPr>
          <w:rFonts w:hint="eastAsia" w:cs="仿宋_GB2312"/>
          <w:kern w:val="2"/>
          <w:sz w:val="32"/>
          <w:szCs w:val="32"/>
        </w:rPr>
        <w:t>个，涉及预算</w:t>
      </w:r>
      <w:r>
        <w:rPr>
          <w:rFonts w:hint="eastAsia" w:cs="仿宋_GB2312"/>
          <w:kern w:val="2"/>
          <w:sz w:val="32"/>
          <w:szCs w:val="32"/>
          <w:lang w:val="en-US" w:eastAsia="zh-CN"/>
        </w:rPr>
        <w:t>193.53</w:t>
      </w:r>
      <w:r>
        <w:rPr>
          <w:rFonts w:hint="eastAsia" w:cs="仿宋_GB2312"/>
          <w:kern w:val="2"/>
          <w:sz w:val="32"/>
          <w:szCs w:val="32"/>
        </w:rPr>
        <w:t>万元;运转类项目</w:t>
      </w:r>
      <w:r>
        <w:rPr>
          <w:rFonts w:hint="eastAsia" w:cs="仿宋_GB2312"/>
          <w:kern w:val="2"/>
          <w:sz w:val="32"/>
          <w:szCs w:val="32"/>
          <w:lang w:val="en-US" w:eastAsia="zh-CN"/>
        </w:rPr>
        <w:t>3</w:t>
      </w:r>
      <w:r>
        <w:rPr>
          <w:rFonts w:hint="eastAsia" w:cs="仿宋_GB2312"/>
          <w:kern w:val="2"/>
          <w:sz w:val="32"/>
          <w:szCs w:val="32"/>
        </w:rPr>
        <w:t>个，涉及预算</w:t>
      </w:r>
      <w:r>
        <w:rPr>
          <w:rFonts w:hint="eastAsia" w:cs="仿宋_GB2312"/>
          <w:kern w:val="2"/>
          <w:sz w:val="32"/>
          <w:szCs w:val="32"/>
          <w:lang w:val="en-US" w:eastAsia="zh-CN"/>
        </w:rPr>
        <w:t>138.03</w:t>
      </w:r>
      <w:r>
        <w:rPr>
          <w:rFonts w:hint="eastAsia" w:cs="仿宋_GB2312"/>
          <w:kern w:val="2"/>
          <w:sz w:val="32"/>
          <w:szCs w:val="32"/>
        </w:rPr>
        <w:t>万元</w:t>
      </w:r>
      <w:r>
        <w:rPr>
          <w:rFonts w:hint="eastAsia" w:cs="仿宋_GB2312"/>
          <w:kern w:val="2"/>
          <w:sz w:val="32"/>
          <w:szCs w:val="32"/>
          <w:lang w:eastAsia="zh-CN"/>
        </w:rPr>
        <w:t>。</w:t>
      </w:r>
    </w:p>
    <w:p w14:paraId="485C7C6C">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Autospacing="0" w:line="560" w:lineRule="exact"/>
        <w:ind w:right="0" w:rightChars="0"/>
        <w:outlineLvl w:val="0"/>
        <w:rPr>
          <w:rFonts w:cs="仿宋_GB2312"/>
          <w:kern w:val="2"/>
          <w:sz w:val="32"/>
          <w:szCs w:val="32"/>
        </w:rPr>
      </w:pPr>
      <w:r>
        <w:rPr>
          <w:rFonts w:hint="eastAsia" w:ascii="黑体" w:hAnsi="Calibri" w:eastAsia="黑体" w:cs="Times New Roman"/>
          <w:kern w:val="0"/>
          <w:sz w:val="32"/>
          <w:szCs w:val="32"/>
          <w:lang w:val="en-US" w:eastAsia="zh-CN" w:bidi="ar-SA"/>
        </w:rPr>
        <w:t>十、</w:t>
      </w:r>
      <w:r>
        <w:rPr>
          <w:rFonts w:hint="eastAsia" w:ascii="黑体" w:eastAsia="黑体"/>
          <w:sz w:val="32"/>
          <w:szCs w:val="32"/>
        </w:rPr>
        <w:t xml:space="preserve">名称解释 </w:t>
      </w:r>
      <w:r>
        <w:rPr>
          <w:rFonts w:hint="eastAsia" w:ascii="黑体" w:eastAsia="黑体"/>
          <w:sz w:val="32"/>
          <w:szCs w:val="32"/>
          <w:lang w:val="en-US" w:eastAsia="zh-CN"/>
        </w:rPr>
        <w:t xml:space="preserve">                                                                         </w:t>
      </w:r>
      <w:r>
        <w:rPr>
          <w:rFonts w:hint="eastAsia" w:cs="仿宋_GB2312"/>
          <w:sz w:val="32"/>
          <w:szCs w:val="32"/>
        </w:rPr>
        <w:br w:type="textWrapping"/>
      </w:r>
      <w:r>
        <w:rPr>
          <w:rFonts w:hint="eastAsia" w:ascii="??" w:hAnsi="??" w:eastAsia="宋体" w:cs="宋体"/>
          <w:sz w:val="16"/>
        </w:rPr>
        <w:t>　</w:t>
      </w:r>
      <w:r>
        <w:rPr>
          <w:rFonts w:hint="eastAsia" w:ascii="??" w:hAnsi="??" w:eastAsia="宋体" w:cs="宋体"/>
          <w:sz w:val="16"/>
          <w:lang w:val="en-US" w:eastAsia="zh-CN"/>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6DA7FA3">
      <w:pPr>
        <w:keepNext w:val="0"/>
        <w:keepLines w:val="0"/>
        <w:pageBreakBefore w:val="0"/>
        <w:kinsoku/>
        <w:wordWrap/>
        <w:overflowPunct/>
        <w:topLinePunct w:val="0"/>
        <w:autoSpaceDE/>
        <w:autoSpaceDN/>
        <w:bidi w:val="0"/>
        <w:adjustRightInd/>
        <w:snapToGrid/>
        <w:spacing w:beforeAutospacing="0" w:afterAutospacing="0" w:line="560" w:lineRule="exact"/>
        <w:ind w:left="0" w:right="0"/>
        <w:outlineLvl w:val="9"/>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7098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38F541B"/>
    <w:rsid w:val="068D4A78"/>
    <w:rsid w:val="0A7C2614"/>
    <w:rsid w:val="1E122A78"/>
    <w:rsid w:val="1FCD68ED"/>
    <w:rsid w:val="20B971DB"/>
    <w:rsid w:val="2A376D63"/>
    <w:rsid w:val="2CF25F4F"/>
    <w:rsid w:val="3676374D"/>
    <w:rsid w:val="3A7B5DDD"/>
    <w:rsid w:val="3CE53C74"/>
    <w:rsid w:val="484216E1"/>
    <w:rsid w:val="486E01FB"/>
    <w:rsid w:val="53EB5322"/>
    <w:rsid w:val="61A24FB0"/>
    <w:rsid w:val="62DE22D9"/>
    <w:rsid w:val="654D1458"/>
    <w:rsid w:val="6B7C6AD4"/>
    <w:rsid w:val="6E3851B0"/>
    <w:rsid w:val="73335F46"/>
    <w:rsid w:val="795310F0"/>
    <w:rsid w:val="79F30F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qFormat/>
    <w:uiPriority w:val="0"/>
    <w:pPr>
      <w:keepNext/>
      <w:keepLines/>
      <w:widowControl w:val="0"/>
      <w:spacing w:before="340" w:after="330" w:line="578" w:lineRule="auto"/>
      <w:outlineLvl w:val="0"/>
    </w:pPr>
    <w:rPr>
      <w:b/>
      <w:bCs/>
      <w:kern w:val="44"/>
      <w:sz w:val="44"/>
    </w:rPr>
  </w:style>
  <w:style w:type="paragraph" w:styleId="3">
    <w:name w:val="heading 2"/>
    <w:basedOn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widowControl w:val="0"/>
      <w:ind w:left="1680"/>
      <w:jc w:val="both"/>
    </w:pPr>
    <w:rPr>
      <w:rFonts w:ascii="Calibri" w:hAnsi="Calibri" w:eastAsia="宋体" w:cs="Arial"/>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bidi="ar-SA"/>
    </w:rPr>
  </w:style>
  <w:style w:type="paragraph" w:customStyle="1" w:styleId="12">
    <w:name w:val="正文-公1"/>
    <w:basedOn w:val="13"/>
    <w:next w:val="1"/>
    <w:qFormat/>
    <w:uiPriority w:val="0"/>
    <w:pPr>
      <w:ind w:firstLine="20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Times New Roman" w:hAnsi="Times New Roman" w:eastAsia="宋体" w:cs="Times New Roman"/>
      <w:kern w:val="2"/>
      <w:sz w:val="21"/>
      <w:lang w:val="en-US" w:eastAsia="zh-CN"/>
    </w:rPr>
  </w:style>
  <w:style w:type="paragraph" w:styleId="14">
    <w:name w:val="List Paragraph"/>
    <w:basedOn w:val="1"/>
    <w:qFormat/>
    <w:uiPriority w:val="0"/>
    <w:pPr>
      <w:ind w:firstLine="200" w:firstLineChars="200"/>
    </w:pPr>
  </w:style>
  <w:style w:type="paragraph" w:customStyle="1" w:styleId="15">
    <w:name w:val="正文文本1"/>
    <w:basedOn w:val="1"/>
    <w:qFormat/>
    <w:uiPriority w:val="0"/>
    <w:pPr>
      <w:spacing w:before="93"/>
    </w:pPr>
    <w:rPr>
      <w:rFonts w:ascii="仿宋_GB2312" w:eastAsia="仿宋_GB2312"/>
      <w:kern w:val="0"/>
      <w:sz w:val="30"/>
      <w:szCs w:val="20"/>
    </w:rPr>
  </w:style>
  <w:style w:type="paragraph" w:customStyle="1" w:styleId="16">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3899</Words>
  <Characters>4372</Characters>
  <Lines>124</Lines>
  <Paragraphs>51</Paragraphs>
  <TotalTime>57</TotalTime>
  <ScaleCrop>false</ScaleCrop>
  <LinksUpToDate>false</LinksUpToDate>
  <CharactersWithSpaces>4481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艳姐</cp:lastModifiedBy>
  <cp:lastPrinted>2018-01-30T09:39:00Z</cp:lastPrinted>
  <dcterms:modified xsi:type="dcterms:W3CDTF">2026-01-27T09:27:27Z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eyJoZGlkIjoiZTQ0N2JkZmM0NDg0NTRlYjhhNWMzM2U5YzgzODYwODgiLCJ1c2VySWQiOiIxMDAzMTg5NjY0In0=</vt:lpwstr>
  </property>
  <property fmtid="{D5CDD505-2E9C-101B-9397-08002B2CF9AE}" pid="4" name="ICV">
    <vt:lpwstr>5D445552ABF3475394B2D47E25A122DD_12</vt:lpwstr>
  </property>
</Properties>
</file>