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pP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pPr>
    </w:p>
    <w:p>
      <w:pPr>
        <w:keepNext w:val="0"/>
        <w:keepLines w:val="0"/>
        <w:pageBreakBefore w:val="0"/>
        <w:widowControl w:val="0"/>
        <w:kinsoku/>
        <w:wordWrap/>
        <w:overflowPunct/>
        <w:topLinePunct w:val="0"/>
        <w:autoSpaceDE/>
        <w:autoSpaceDN/>
        <w:bidi w:val="0"/>
        <w:adjustRightInd/>
        <w:snapToGrid/>
        <w:spacing w:line="560" w:lineRule="exact"/>
        <w:ind w:firstLine="1760" w:firstLineChars="400"/>
        <w:textAlignment w:val="auto"/>
        <w:rPr>
          <w:rFonts w:ascii="黑体" w:hAnsi="黑体" w:eastAsia="黑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1760" w:firstLineChars="400"/>
        <w:textAlignment w:val="auto"/>
        <w:rPr>
          <w:rFonts w:ascii="黑体" w:hAnsi="黑体" w:eastAsia="黑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default" w:ascii="方正小标宋简体" w:hAnsi="方正小标宋简体" w:eastAsia="方正小标宋简体" w:cs="方正小标宋简体"/>
          <w:sz w:val="44"/>
          <w:szCs w:val="44"/>
        </w:rPr>
        <w:t>阿坝</w:t>
      </w:r>
      <w:r>
        <w:rPr>
          <w:rFonts w:hint="eastAsia" w:ascii="方正小标宋简体" w:hAnsi="方正小标宋简体" w:eastAsia="方正小标宋简体" w:cs="方正小标宋简体"/>
          <w:sz w:val="44"/>
          <w:szCs w:val="44"/>
        </w:rPr>
        <w:t>州教育考试中心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default" w:ascii="方正小标宋简体" w:hAnsi="方正小标宋简体" w:eastAsia="方正小标宋简体" w:cs="方正小标宋简体"/>
          <w:sz w:val="44"/>
          <w:szCs w:val="44"/>
          <w:lang w:eastAsia="zh-CN"/>
        </w:rPr>
        <w:t>2026年</w:t>
      </w:r>
      <w:r>
        <w:rPr>
          <w:rFonts w:hint="eastAsia" w:ascii="方正小标宋简体" w:hAnsi="方正小标宋简体" w:eastAsia="方正小标宋简体" w:cs="方正小标宋简体"/>
          <w:sz w:val="44"/>
          <w:szCs w:val="44"/>
        </w:rPr>
        <w:t>部门预算</w:t>
      </w:r>
      <w:r>
        <w:rPr>
          <w:rFonts w:hint="eastAsia" w:ascii="方正小标宋简体" w:hAnsi="方正小标宋简体" w:eastAsia="方正小标宋简体" w:cs="方正小标宋简体"/>
          <w:sz w:val="44"/>
          <w:szCs w:val="44"/>
          <w:lang w:val="en-US" w:eastAsia="zh-CN"/>
        </w:rPr>
        <w:t>公开</w:t>
      </w:r>
    </w:p>
    <w:p>
      <w:pPr>
        <w:keepNext w:val="0"/>
        <w:keepLines w:val="0"/>
        <w:pageBreakBefore w:val="0"/>
        <w:widowControl w:val="0"/>
        <w:kinsoku/>
        <w:wordWrap/>
        <w:overflowPunct/>
        <w:topLinePunct w:val="0"/>
        <w:autoSpaceDE/>
        <w:autoSpaceDN/>
        <w:bidi w:val="0"/>
        <w:adjustRightInd/>
        <w:snapToGrid/>
        <w:spacing w:line="560" w:lineRule="exact"/>
        <w:ind w:firstLine="1760" w:firstLineChars="400"/>
        <w:textAlignment w:val="auto"/>
        <w:rPr>
          <w:rFonts w:ascii="黑体" w:hAnsi="黑体" w:eastAsia="黑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1760" w:firstLineChars="400"/>
        <w:textAlignment w:val="auto"/>
        <w:rPr>
          <w:rFonts w:ascii="黑体" w:hAnsi="黑体" w:eastAsia="黑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1760" w:firstLineChars="400"/>
        <w:textAlignment w:val="auto"/>
        <w:rPr>
          <w:rFonts w:ascii="黑体" w:hAnsi="黑体" w:eastAsia="黑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1760" w:firstLineChars="400"/>
        <w:textAlignment w:val="auto"/>
        <w:rPr>
          <w:rFonts w:ascii="黑体" w:hAnsi="黑体" w:eastAsia="黑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1760" w:firstLineChars="400"/>
        <w:textAlignment w:val="auto"/>
        <w:rPr>
          <w:rFonts w:ascii="黑体" w:hAnsi="黑体" w:eastAsia="黑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1760" w:firstLineChars="400"/>
        <w:textAlignment w:val="auto"/>
        <w:rPr>
          <w:rFonts w:ascii="黑体" w:hAnsi="黑体" w:eastAsia="黑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1760" w:firstLineChars="400"/>
        <w:textAlignment w:val="auto"/>
        <w:rPr>
          <w:rFonts w:ascii="黑体" w:hAnsi="黑体" w:eastAsia="黑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1760" w:firstLineChars="400"/>
        <w:textAlignment w:val="auto"/>
        <w:rPr>
          <w:rFonts w:ascii="黑体" w:hAnsi="黑体" w:eastAsia="黑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1760" w:firstLineChars="400"/>
        <w:textAlignment w:val="auto"/>
        <w:rPr>
          <w:rFonts w:ascii="黑体" w:hAnsi="黑体" w:eastAsia="黑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1760" w:firstLineChars="400"/>
        <w:textAlignment w:val="auto"/>
        <w:rPr>
          <w:rFonts w:ascii="黑体" w:hAnsi="黑体" w:eastAsia="黑体"/>
          <w:sz w:val="44"/>
          <w:szCs w:val="4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录</w:t>
      </w:r>
    </w:p>
    <w:sdt>
      <w:sdtPr>
        <w:rPr>
          <w:rFonts w:ascii="宋体" w:hAnsi="宋体" w:eastAsia="宋体" w:cs="Times New Roman"/>
          <w:kern w:val="2"/>
          <w:sz w:val="21"/>
          <w:szCs w:val="22"/>
          <w:lang w:val="en-US" w:eastAsia="zh-CN" w:bidi="ar-SA"/>
        </w:rPr>
        <w:id w:val="147468350"/>
        <w15:color w:val="DBDBDB"/>
        <w:docPartObj>
          <w:docPartGallery w:val="Table of Contents"/>
          <w:docPartUnique/>
        </w:docPartObj>
      </w:sdtPr>
      <w:sdtEndPr>
        <w:rPr>
          <w:rFonts w:ascii="黑体" w:hAnsi="黑体" w:eastAsia="黑体" w:cs="Times New Roman"/>
          <w:kern w:val="2"/>
          <w:sz w:val="32"/>
          <w:szCs w:val="44"/>
          <w:lang w:val="en-US" w:eastAsia="zh-CN" w:bidi="ar-SA"/>
        </w:rPr>
      </w:sdtEndPr>
      <w:sdtContent>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pPr>
        </w:p>
        <w:p>
          <w:pPr>
            <w:pStyle w:val="21"/>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firstLine="220" w:firstLineChars="100"/>
            <w:textAlignment w:val="auto"/>
            <w:rPr>
              <w:sz w:val="21"/>
              <w:szCs w:val="21"/>
            </w:rPr>
          </w:pPr>
          <w:r>
            <w:rPr>
              <w:rFonts w:ascii="黑体" w:hAnsi="黑体" w:eastAsia="黑体" w:cs="Times New Roman"/>
              <w:kern w:val="2"/>
              <w:sz w:val="22"/>
              <w:szCs w:val="48"/>
              <w:lang w:val="en-US" w:eastAsia="zh-CN" w:bidi="ar-SA"/>
            </w:rPr>
            <w:fldChar w:fldCharType="begin"/>
          </w:r>
          <w:r>
            <w:rPr>
              <w:rFonts w:ascii="黑体" w:hAnsi="黑体" w:eastAsia="黑体" w:cs="Times New Roman"/>
              <w:kern w:val="2"/>
              <w:sz w:val="22"/>
              <w:szCs w:val="48"/>
              <w:lang w:val="en-US" w:eastAsia="zh-CN" w:bidi="ar-SA"/>
            </w:rPr>
            <w:instrText xml:space="preserve">TOC \o "1-3" \h \u </w:instrText>
          </w:r>
          <w:r>
            <w:rPr>
              <w:rFonts w:ascii="黑体" w:hAnsi="黑体" w:eastAsia="黑体" w:cs="Times New Roman"/>
              <w:kern w:val="2"/>
              <w:sz w:val="22"/>
              <w:szCs w:val="48"/>
              <w:lang w:val="en-US" w:eastAsia="zh-CN" w:bidi="ar-SA"/>
            </w:rPr>
            <w:fldChar w:fldCharType="separate"/>
          </w:r>
          <w:r>
            <w:rPr>
              <w:rFonts w:ascii="黑体" w:hAnsi="黑体" w:eastAsia="黑体" w:cs="Times New Roman"/>
              <w:kern w:val="2"/>
              <w:sz w:val="21"/>
              <w:szCs w:val="48"/>
              <w:lang w:val="en-US" w:eastAsia="zh-CN" w:bidi="ar-SA"/>
            </w:rPr>
            <w:fldChar w:fldCharType="begin"/>
          </w:r>
          <w:r>
            <w:rPr>
              <w:rFonts w:ascii="黑体" w:hAnsi="黑体" w:eastAsia="黑体" w:cs="Times New Roman"/>
              <w:kern w:val="2"/>
              <w:sz w:val="21"/>
              <w:szCs w:val="48"/>
              <w:lang w:val="en-US" w:eastAsia="zh-CN" w:bidi="ar-SA"/>
            </w:rPr>
            <w:instrText xml:space="preserve"> HYPERLINK \l _Toc9259 </w:instrText>
          </w:r>
          <w:r>
            <w:rPr>
              <w:rFonts w:ascii="黑体" w:hAnsi="黑体" w:eastAsia="黑体" w:cs="Times New Roman"/>
              <w:kern w:val="2"/>
              <w:sz w:val="21"/>
              <w:szCs w:val="48"/>
              <w:lang w:val="en-US" w:eastAsia="zh-CN" w:bidi="ar-SA"/>
            </w:rPr>
            <w:fldChar w:fldCharType="separate"/>
          </w:r>
          <w:r>
            <w:rPr>
              <w:rFonts w:hint="eastAsia"/>
              <w:sz w:val="21"/>
              <w:szCs w:val="21"/>
            </w:rPr>
            <w:t>一、基本职能及主要工作</w:t>
          </w:r>
          <w:r>
            <w:rPr>
              <w:sz w:val="21"/>
              <w:szCs w:val="21"/>
            </w:rPr>
            <w:tab/>
          </w:r>
          <w:r>
            <w:rPr>
              <w:sz w:val="21"/>
              <w:szCs w:val="21"/>
            </w:rPr>
            <w:fldChar w:fldCharType="begin"/>
          </w:r>
          <w:r>
            <w:rPr>
              <w:sz w:val="21"/>
              <w:szCs w:val="21"/>
            </w:rPr>
            <w:instrText xml:space="preserve"> PAGEREF _Toc18152 \h </w:instrText>
          </w:r>
          <w:r>
            <w:rPr>
              <w:sz w:val="21"/>
              <w:szCs w:val="21"/>
            </w:rPr>
            <w:fldChar w:fldCharType="separate"/>
          </w:r>
          <w:r>
            <w:rPr>
              <w:sz w:val="21"/>
              <w:szCs w:val="21"/>
            </w:rPr>
            <w:t>- 1 -</w:t>
          </w:r>
          <w:r>
            <w:rPr>
              <w:sz w:val="21"/>
              <w:szCs w:val="21"/>
            </w:rPr>
            <w:fldChar w:fldCharType="end"/>
          </w:r>
          <w:r>
            <w:rPr>
              <w:rFonts w:ascii="黑体" w:hAnsi="黑体" w:eastAsia="黑体" w:cs="Times New Roman"/>
              <w:kern w:val="2"/>
              <w:sz w:val="21"/>
              <w:szCs w:val="48"/>
              <w:lang w:val="en-US" w:eastAsia="zh-CN" w:bidi="ar-SA"/>
            </w:rPr>
            <w:fldChar w:fldCharType="end"/>
          </w:r>
        </w:p>
        <w:p>
          <w:pPr>
            <w:pStyle w:val="22"/>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sz w:val="21"/>
              <w:szCs w:val="21"/>
            </w:rPr>
          </w:pPr>
          <w:r>
            <w:rPr>
              <w:rFonts w:ascii="黑体" w:hAnsi="黑体" w:eastAsia="黑体" w:cs="Times New Roman"/>
              <w:kern w:val="2"/>
              <w:sz w:val="21"/>
              <w:szCs w:val="48"/>
              <w:lang w:val="en-US" w:eastAsia="zh-CN" w:bidi="ar-SA"/>
            </w:rPr>
            <w:fldChar w:fldCharType="begin"/>
          </w:r>
          <w:r>
            <w:rPr>
              <w:rFonts w:ascii="黑体" w:hAnsi="黑体" w:eastAsia="黑体" w:cs="Times New Roman"/>
              <w:kern w:val="2"/>
              <w:sz w:val="21"/>
              <w:szCs w:val="48"/>
              <w:lang w:val="en-US" w:eastAsia="zh-CN" w:bidi="ar-SA"/>
            </w:rPr>
            <w:instrText xml:space="preserve"> HYPERLINK \l _Toc18152 </w:instrText>
          </w:r>
          <w:r>
            <w:rPr>
              <w:rFonts w:ascii="黑体" w:hAnsi="黑体" w:eastAsia="黑体" w:cs="Times New Roman"/>
              <w:kern w:val="2"/>
              <w:sz w:val="21"/>
              <w:szCs w:val="48"/>
              <w:lang w:val="en-US" w:eastAsia="zh-CN" w:bidi="ar-SA"/>
            </w:rPr>
            <w:fldChar w:fldCharType="separate"/>
          </w:r>
          <w:r>
            <w:rPr>
              <w:rFonts w:hint="eastAsia"/>
              <w:sz w:val="21"/>
              <w:szCs w:val="21"/>
            </w:rPr>
            <w:t>（一）部门职能简介</w:t>
          </w:r>
          <w:r>
            <w:rPr>
              <w:sz w:val="21"/>
              <w:szCs w:val="21"/>
            </w:rPr>
            <w:tab/>
          </w:r>
          <w:r>
            <w:rPr>
              <w:sz w:val="21"/>
              <w:szCs w:val="21"/>
            </w:rPr>
            <w:fldChar w:fldCharType="begin"/>
          </w:r>
          <w:r>
            <w:rPr>
              <w:sz w:val="21"/>
              <w:szCs w:val="21"/>
            </w:rPr>
            <w:instrText xml:space="preserve"> PAGEREF _Toc18152 \h </w:instrText>
          </w:r>
          <w:r>
            <w:rPr>
              <w:sz w:val="21"/>
              <w:szCs w:val="21"/>
            </w:rPr>
            <w:fldChar w:fldCharType="separate"/>
          </w:r>
          <w:r>
            <w:rPr>
              <w:sz w:val="21"/>
              <w:szCs w:val="21"/>
            </w:rPr>
            <w:t>- 1 -</w:t>
          </w:r>
          <w:r>
            <w:rPr>
              <w:sz w:val="21"/>
              <w:szCs w:val="21"/>
            </w:rPr>
            <w:fldChar w:fldCharType="end"/>
          </w:r>
          <w:r>
            <w:rPr>
              <w:rFonts w:ascii="黑体" w:hAnsi="黑体" w:eastAsia="黑体" w:cs="Times New Roman"/>
              <w:kern w:val="2"/>
              <w:sz w:val="21"/>
              <w:szCs w:val="48"/>
              <w:lang w:val="en-US" w:eastAsia="zh-CN" w:bidi="ar-SA"/>
            </w:rPr>
            <w:fldChar w:fldCharType="end"/>
          </w:r>
        </w:p>
        <w:p>
          <w:pPr>
            <w:pStyle w:val="22"/>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sz w:val="21"/>
              <w:szCs w:val="21"/>
            </w:rPr>
          </w:pPr>
          <w:r>
            <w:rPr>
              <w:rFonts w:ascii="黑体" w:hAnsi="黑体" w:eastAsia="黑体" w:cs="Times New Roman"/>
              <w:kern w:val="2"/>
              <w:sz w:val="21"/>
              <w:szCs w:val="48"/>
              <w:lang w:val="en-US" w:eastAsia="zh-CN" w:bidi="ar-SA"/>
            </w:rPr>
            <w:fldChar w:fldCharType="begin"/>
          </w:r>
          <w:r>
            <w:rPr>
              <w:rFonts w:ascii="黑体" w:hAnsi="黑体" w:eastAsia="黑体" w:cs="Times New Roman"/>
              <w:kern w:val="2"/>
              <w:sz w:val="21"/>
              <w:szCs w:val="48"/>
              <w:lang w:val="en-US" w:eastAsia="zh-CN" w:bidi="ar-SA"/>
            </w:rPr>
            <w:instrText xml:space="preserve"> HYPERLINK \l _Toc29500 </w:instrText>
          </w:r>
          <w:r>
            <w:rPr>
              <w:rFonts w:ascii="黑体" w:hAnsi="黑体" w:eastAsia="黑体" w:cs="Times New Roman"/>
              <w:kern w:val="2"/>
              <w:sz w:val="21"/>
              <w:szCs w:val="48"/>
              <w:lang w:val="en-US" w:eastAsia="zh-CN" w:bidi="ar-SA"/>
            </w:rPr>
            <w:fldChar w:fldCharType="separate"/>
          </w:r>
          <w:r>
            <w:rPr>
              <w:rFonts w:hint="eastAsia"/>
              <w:sz w:val="21"/>
              <w:szCs w:val="21"/>
            </w:rPr>
            <w:t>（二）</w:t>
          </w:r>
          <w:r>
            <w:rPr>
              <w:rFonts w:hint="default"/>
              <w:sz w:val="21"/>
              <w:szCs w:val="21"/>
              <w:lang w:eastAsia="zh-CN"/>
            </w:rPr>
            <w:t>2026年</w:t>
          </w:r>
          <w:r>
            <w:rPr>
              <w:rFonts w:hint="eastAsia"/>
              <w:sz w:val="21"/>
              <w:szCs w:val="21"/>
            </w:rPr>
            <w:t>重点工作</w:t>
          </w:r>
          <w:r>
            <w:rPr>
              <w:sz w:val="21"/>
              <w:szCs w:val="21"/>
            </w:rPr>
            <w:tab/>
          </w:r>
          <w:r>
            <w:rPr>
              <w:sz w:val="21"/>
              <w:szCs w:val="21"/>
            </w:rPr>
            <w:fldChar w:fldCharType="begin"/>
          </w:r>
          <w:r>
            <w:rPr>
              <w:sz w:val="21"/>
              <w:szCs w:val="21"/>
            </w:rPr>
            <w:instrText xml:space="preserve"> PAGEREF _Toc29500 \h </w:instrText>
          </w:r>
          <w:r>
            <w:rPr>
              <w:sz w:val="21"/>
              <w:szCs w:val="21"/>
            </w:rPr>
            <w:fldChar w:fldCharType="separate"/>
          </w:r>
          <w:r>
            <w:rPr>
              <w:sz w:val="21"/>
              <w:szCs w:val="21"/>
            </w:rPr>
            <w:t>- 1 -</w:t>
          </w:r>
          <w:r>
            <w:rPr>
              <w:sz w:val="21"/>
              <w:szCs w:val="21"/>
            </w:rPr>
            <w:fldChar w:fldCharType="end"/>
          </w:r>
          <w:r>
            <w:rPr>
              <w:rFonts w:ascii="黑体" w:hAnsi="黑体" w:eastAsia="黑体" w:cs="Times New Roman"/>
              <w:kern w:val="2"/>
              <w:sz w:val="21"/>
              <w:szCs w:val="48"/>
              <w:lang w:val="en-US" w:eastAsia="zh-CN" w:bidi="ar-SA"/>
            </w:rPr>
            <w:fldChar w:fldCharType="end"/>
          </w:r>
        </w:p>
        <w:p>
          <w:pPr>
            <w:pStyle w:val="21"/>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firstLine="210" w:firstLineChars="100"/>
            <w:textAlignment w:val="auto"/>
            <w:rPr>
              <w:sz w:val="21"/>
              <w:szCs w:val="21"/>
            </w:rPr>
          </w:pPr>
          <w:r>
            <w:rPr>
              <w:rFonts w:ascii="黑体" w:hAnsi="黑体" w:eastAsia="黑体" w:cs="Times New Roman"/>
              <w:kern w:val="2"/>
              <w:sz w:val="21"/>
              <w:szCs w:val="48"/>
              <w:lang w:val="en-US" w:eastAsia="zh-CN" w:bidi="ar-SA"/>
            </w:rPr>
            <w:fldChar w:fldCharType="begin"/>
          </w:r>
          <w:r>
            <w:rPr>
              <w:rFonts w:ascii="黑体" w:hAnsi="黑体" w:eastAsia="黑体" w:cs="Times New Roman"/>
              <w:kern w:val="2"/>
              <w:sz w:val="21"/>
              <w:szCs w:val="48"/>
              <w:lang w:val="en-US" w:eastAsia="zh-CN" w:bidi="ar-SA"/>
            </w:rPr>
            <w:instrText xml:space="preserve"> HYPERLINK \l _Toc16679 </w:instrText>
          </w:r>
          <w:r>
            <w:rPr>
              <w:rFonts w:ascii="黑体" w:hAnsi="黑体" w:eastAsia="黑体" w:cs="Times New Roman"/>
              <w:kern w:val="2"/>
              <w:sz w:val="21"/>
              <w:szCs w:val="48"/>
              <w:lang w:val="en-US" w:eastAsia="zh-CN" w:bidi="ar-SA"/>
            </w:rPr>
            <w:fldChar w:fldCharType="separate"/>
          </w:r>
          <w:r>
            <w:rPr>
              <w:rFonts w:hint="eastAsia"/>
              <w:sz w:val="21"/>
              <w:szCs w:val="21"/>
              <w:lang w:val="en-US" w:eastAsia="zh-CN"/>
            </w:rPr>
            <w:t>二、</w:t>
          </w:r>
          <w:r>
            <w:rPr>
              <w:rFonts w:hint="eastAsia"/>
              <w:sz w:val="21"/>
              <w:szCs w:val="21"/>
            </w:rPr>
            <w:t>部门预算单位构成</w:t>
          </w:r>
          <w:r>
            <w:rPr>
              <w:sz w:val="21"/>
              <w:szCs w:val="21"/>
            </w:rPr>
            <w:tab/>
          </w:r>
          <w:r>
            <w:rPr>
              <w:sz w:val="21"/>
              <w:szCs w:val="21"/>
            </w:rPr>
            <w:fldChar w:fldCharType="begin"/>
          </w:r>
          <w:r>
            <w:rPr>
              <w:sz w:val="21"/>
              <w:szCs w:val="21"/>
            </w:rPr>
            <w:instrText xml:space="preserve"> PAGEREF _Toc16679 \h </w:instrText>
          </w:r>
          <w:r>
            <w:rPr>
              <w:sz w:val="21"/>
              <w:szCs w:val="21"/>
            </w:rPr>
            <w:fldChar w:fldCharType="separate"/>
          </w:r>
          <w:r>
            <w:rPr>
              <w:sz w:val="21"/>
              <w:szCs w:val="21"/>
            </w:rPr>
            <w:t>- 1 -</w:t>
          </w:r>
          <w:r>
            <w:rPr>
              <w:sz w:val="21"/>
              <w:szCs w:val="21"/>
            </w:rPr>
            <w:fldChar w:fldCharType="end"/>
          </w:r>
          <w:r>
            <w:rPr>
              <w:rFonts w:ascii="黑体" w:hAnsi="黑体" w:eastAsia="黑体" w:cs="Times New Roman"/>
              <w:kern w:val="2"/>
              <w:sz w:val="21"/>
              <w:szCs w:val="48"/>
              <w:lang w:val="en-US" w:eastAsia="zh-CN" w:bidi="ar-SA"/>
            </w:rPr>
            <w:fldChar w:fldCharType="end"/>
          </w:r>
        </w:p>
        <w:p>
          <w:pPr>
            <w:pStyle w:val="21"/>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firstLine="210" w:firstLineChars="100"/>
            <w:textAlignment w:val="auto"/>
            <w:rPr>
              <w:sz w:val="21"/>
              <w:szCs w:val="21"/>
            </w:rPr>
          </w:pPr>
          <w:r>
            <w:rPr>
              <w:rFonts w:ascii="黑体" w:hAnsi="黑体" w:eastAsia="黑体" w:cs="Times New Roman"/>
              <w:kern w:val="2"/>
              <w:sz w:val="21"/>
              <w:szCs w:val="48"/>
              <w:lang w:val="en-US" w:eastAsia="zh-CN" w:bidi="ar-SA"/>
            </w:rPr>
            <w:fldChar w:fldCharType="begin"/>
          </w:r>
          <w:r>
            <w:rPr>
              <w:rFonts w:ascii="黑体" w:hAnsi="黑体" w:eastAsia="黑体" w:cs="Times New Roman"/>
              <w:kern w:val="2"/>
              <w:sz w:val="21"/>
              <w:szCs w:val="48"/>
              <w:lang w:val="en-US" w:eastAsia="zh-CN" w:bidi="ar-SA"/>
            </w:rPr>
            <w:instrText xml:space="preserve"> HYPERLINK \l _Toc25375 </w:instrText>
          </w:r>
          <w:r>
            <w:rPr>
              <w:rFonts w:ascii="黑体" w:hAnsi="黑体" w:eastAsia="黑体" w:cs="Times New Roman"/>
              <w:kern w:val="2"/>
              <w:sz w:val="21"/>
              <w:szCs w:val="48"/>
              <w:lang w:val="en-US" w:eastAsia="zh-CN" w:bidi="ar-SA"/>
            </w:rPr>
            <w:fldChar w:fldCharType="separate"/>
          </w:r>
          <w:r>
            <w:rPr>
              <w:rFonts w:hint="eastAsia"/>
              <w:sz w:val="21"/>
              <w:szCs w:val="21"/>
            </w:rPr>
            <w:t>三、收支预算情况说明</w:t>
          </w:r>
          <w:r>
            <w:rPr>
              <w:sz w:val="21"/>
              <w:szCs w:val="21"/>
            </w:rPr>
            <w:tab/>
          </w:r>
          <w:r>
            <w:rPr>
              <w:sz w:val="21"/>
              <w:szCs w:val="21"/>
            </w:rPr>
            <w:fldChar w:fldCharType="begin"/>
          </w:r>
          <w:r>
            <w:rPr>
              <w:sz w:val="21"/>
              <w:szCs w:val="21"/>
            </w:rPr>
            <w:instrText xml:space="preserve"> PAGEREF _Toc25375 \h </w:instrText>
          </w:r>
          <w:r>
            <w:rPr>
              <w:sz w:val="21"/>
              <w:szCs w:val="21"/>
            </w:rPr>
            <w:fldChar w:fldCharType="separate"/>
          </w:r>
          <w:r>
            <w:rPr>
              <w:sz w:val="21"/>
              <w:szCs w:val="21"/>
            </w:rPr>
            <w:t>- 1 -</w:t>
          </w:r>
          <w:r>
            <w:rPr>
              <w:sz w:val="21"/>
              <w:szCs w:val="21"/>
            </w:rPr>
            <w:fldChar w:fldCharType="end"/>
          </w:r>
          <w:r>
            <w:rPr>
              <w:rFonts w:ascii="黑体" w:hAnsi="黑体" w:eastAsia="黑体" w:cs="Times New Roman"/>
              <w:kern w:val="2"/>
              <w:sz w:val="21"/>
              <w:szCs w:val="48"/>
              <w:lang w:val="en-US" w:eastAsia="zh-CN" w:bidi="ar-SA"/>
            </w:rPr>
            <w:fldChar w:fldCharType="end"/>
          </w:r>
        </w:p>
        <w:p>
          <w:pPr>
            <w:pStyle w:val="22"/>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sz w:val="21"/>
              <w:szCs w:val="21"/>
            </w:rPr>
          </w:pPr>
          <w:r>
            <w:rPr>
              <w:rFonts w:ascii="黑体" w:hAnsi="黑体" w:eastAsia="黑体" w:cs="Times New Roman"/>
              <w:kern w:val="2"/>
              <w:sz w:val="21"/>
              <w:szCs w:val="48"/>
              <w:lang w:val="en-US" w:eastAsia="zh-CN" w:bidi="ar-SA"/>
            </w:rPr>
            <w:fldChar w:fldCharType="begin"/>
          </w:r>
          <w:r>
            <w:rPr>
              <w:rFonts w:ascii="黑体" w:hAnsi="黑体" w:eastAsia="黑体" w:cs="Times New Roman"/>
              <w:kern w:val="2"/>
              <w:sz w:val="21"/>
              <w:szCs w:val="48"/>
              <w:lang w:val="en-US" w:eastAsia="zh-CN" w:bidi="ar-SA"/>
            </w:rPr>
            <w:instrText xml:space="preserve"> HYPERLINK \l _Toc25539 </w:instrText>
          </w:r>
          <w:r>
            <w:rPr>
              <w:rFonts w:ascii="黑体" w:hAnsi="黑体" w:eastAsia="黑体" w:cs="Times New Roman"/>
              <w:kern w:val="2"/>
              <w:sz w:val="21"/>
              <w:szCs w:val="48"/>
              <w:lang w:val="en-US" w:eastAsia="zh-CN" w:bidi="ar-SA"/>
            </w:rPr>
            <w:fldChar w:fldCharType="separate"/>
          </w:r>
          <w:r>
            <w:rPr>
              <w:rFonts w:hint="eastAsia"/>
              <w:sz w:val="21"/>
              <w:szCs w:val="21"/>
            </w:rPr>
            <w:t>（一）收入预算情况</w:t>
          </w:r>
          <w:r>
            <w:rPr>
              <w:sz w:val="21"/>
              <w:szCs w:val="21"/>
            </w:rPr>
            <w:tab/>
          </w:r>
          <w:r>
            <w:rPr>
              <w:sz w:val="21"/>
              <w:szCs w:val="21"/>
            </w:rPr>
            <w:fldChar w:fldCharType="begin"/>
          </w:r>
          <w:r>
            <w:rPr>
              <w:sz w:val="21"/>
              <w:szCs w:val="21"/>
            </w:rPr>
            <w:instrText xml:space="preserve"> PAGEREF _Toc25539 \h </w:instrText>
          </w:r>
          <w:r>
            <w:rPr>
              <w:sz w:val="21"/>
              <w:szCs w:val="21"/>
            </w:rPr>
            <w:fldChar w:fldCharType="separate"/>
          </w:r>
          <w:r>
            <w:rPr>
              <w:sz w:val="21"/>
              <w:szCs w:val="21"/>
            </w:rPr>
            <w:t>- 1 -</w:t>
          </w:r>
          <w:r>
            <w:rPr>
              <w:sz w:val="21"/>
              <w:szCs w:val="21"/>
            </w:rPr>
            <w:fldChar w:fldCharType="end"/>
          </w:r>
          <w:r>
            <w:rPr>
              <w:rFonts w:ascii="黑体" w:hAnsi="黑体" w:eastAsia="黑体" w:cs="Times New Roman"/>
              <w:kern w:val="2"/>
              <w:sz w:val="21"/>
              <w:szCs w:val="48"/>
              <w:lang w:val="en-US" w:eastAsia="zh-CN" w:bidi="ar-SA"/>
            </w:rPr>
            <w:fldChar w:fldCharType="end"/>
          </w:r>
        </w:p>
        <w:p>
          <w:pPr>
            <w:pStyle w:val="22"/>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sz w:val="21"/>
              <w:szCs w:val="21"/>
            </w:rPr>
          </w:pPr>
          <w:r>
            <w:rPr>
              <w:rFonts w:ascii="黑体" w:hAnsi="黑体" w:eastAsia="黑体" w:cs="Times New Roman"/>
              <w:kern w:val="2"/>
              <w:sz w:val="21"/>
              <w:szCs w:val="48"/>
              <w:lang w:val="en-US" w:eastAsia="zh-CN" w:bidi="ar-SA"/>
            </w:rPr>
            <w:fldChar w:fldCharType="begin"/>
          </w:r>
          <w:r>
            <w:rPr>
              <w:rFonts w:ascii="黑体" w:hAnsi="黑体" w:eastAsia="黑体" w:cs="Times New Roman"/>
              <w:kern w:val="2"/>
              <w:sz w:val="21"/>
              <w:szCs w:val="48"/>
              <w:lang w:val="en-US" w:eastAsia="zh-CN" w:bidi="ar-SA"/>
            </w:rPr>
            <w:instrText xml:space="preserve"> HYPERLINK \l _Toc20770 </w:instrText>
          </w:r>
          <w:r>
            <w:rPr>
              <w:rFonts w:ascii="黑体" w:hAnsi="黑体" w:eastAsia="黑体" w:cs="Times New Roman"/>
              <w:kern w:val="2"/>
              <w:sz w:val="21"/>
              <w:szCs w:val="48"/>
              <w:lang w:val="en-US" w:eastAsia="zh-CN" w:bidi="ar-SA"/>
            </w:rPr>
            <w:fldChar w:fldCharType="separate"/>
          </w:r>
          <w:r>
            <w:rPr>
              <w:rFonts w:hint="eastAsia" w:ascii="Arial" w:hAnsi="Arial" w:eastAsia="楷体" w:cs="Times New Roman"/>
              <w:kern w:val="2"/>
              <w:sz w:val="21"/>
              <w:szCs w:val="24"/>
              <w:lang w:val="en-US" w:eastAsia="zh-CN" w:bidi="ar-SA"/>
            </w:rPr>
            <w:t>（二）</w:t>
          </w:r>
          <w:r>
            <w:rPr>
              <w:rFonts w:hint="eastAsia"/>
              <w:sz w:val="21"/>
              <w:szCs w:val="21"/>
            </w:rPr>
            <w:t>支出预算情况</w:t>
          </w:r>
          <w:r>
            <w:rPr>
              <w:sz w:val="21"/>
              <w:szCs w:val="21"/>
            </w:rPr>
            <w:tab/>
          </w:r>
          <w:r>
            <w:rPr>
              <w:sz w:val="21"/>
              <w:szCs w:val="21"/>
            </w:rPr>
            <w:fldChar w:fldCharType="begin"/>
          </w:r>
          <w:r>
            <w:rPr>
              <w:sz w:val="21"/>
              <w:szCs w:val="21"/>
            </w:rPr>
            <w:instrText xml:space="preserve"> PAGEREF _Toc20770 \h </w:instrText>
          </w:r>
          <w:r>
            <w:rPr>
              <w:sz w:val="21"/>
              <w:szCs w:val="21"/>
            </w:rPr>
            <w:fldChar w:fldCharType="separate"/>
          </w:r>
          <w:r>
            <w:rPr>
              <w:sz w:val="21"/>
              <w:szCs w:val="21"/>
            </w:rPr>
            <w:t>- 1 -</w:t>
          </w:r>
          <w:r>
            <w:rPr>
              <w:sz w:val="21"/>
              <w:szCs w:val="21"/>
            </w:rPr>
            <w:fldChar w:fldCharType="end"/>
          </w:r>
          <w:r>
            <w:rPr>
              <w:rFonts w:ascii="黑体" w:hAnsi="黑体" w:eastAsia="黑体" w:cs="Times New Roman"/>
              <w:kern w:val="2"/>
              <w:sz w:val="21"/>
              <w:szCs w:val="48"/>
              <w:lang w:val="en-US" w:eastAsia="zh-CN" w:bidi="ar-SA"/>
            </w:rPr>
            <w:fldChar w:fldCharType="end"/>
          </w:r>
        </w:p>
        <w:p>
          <w:pPr>
            <w:pStyle w:val="21"/>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firstLine="210" w:firstLineChars="100"/>
            <w:textAlignment w:val="auto"/>
            <w:rPr>
              <w:sz w:val="21"/>
              <w:szCs w:val="21"/>
            </w:rPr>
          </w:pPr>
          <w:r>
            <w:rPr>
              <w:rFonts w:ascii="黑体" w:hAnsi="黑体" w:eastAsia="黑体" w:cs="Times New Roman"/>
              <w:kern w:val="2"/>
              <w:sz w:val="21"/>
              <w:szCs w:val="48"/>
              <w:lang w:val="en-US" w:eastAsia="zh-CN" w:bidi="ar-SA"/>
            </w:rPr>
            <w:fldChar w:fldCharType="begin"/>
          </w:r>
          <w:r>
            <w:rPr>
              <w:rFonts w:ascii="黑体" w:hAnsi="黑体" w:eastAsia="黑体" w:cs="Times New Roman"/>
              <w:kern w:val="2"/>
              <w:sz w:val="21"/>
              <w:szCs w:val="48"/>
              <w:lang w:val="en-US" w:eastAsia="zh-CN" w:bidi="ar-SA"/>
            </w:rPr>
            <w:instrText xml:space="preserve"> HYPERLINK \l _Toc4689 </w:instrText>
          </w:r>
          <w:r>
            <w:rPr>
              <w:rFonts w:ascii="黑体" w:hAnsi="黑体" w:eastAsia="黑体" w:cs="Times New Roman"/>
              <w:kern w:val="2"/>
              <w:sz w:val="21"/>
              <w:szCs w:val="48"/>
              <w:lang w:val="en-US" w:eastAsia="zh-CN" w:bidi="ar-SA"/>
            </w:rPr>
            <w:fldChar w:fldCharType="separate"/>
          </w:r>
          <w:r>
            <w:rPr>
              <w:rFonts w:hint="eastAsia"/>
              <w:sz w:val="21"/>
              <w:szCs w:val="21"/>
            </w:rPr>
            <w:t>四、财政拨款收支预算情况说明</w:t>
          </w:r>
          <w:r>
            <w:rPr>
              <w:sz w:val="21"/>
              <w:szCs w:val="21"/>
            </w:rPr>
            <w:tab/>
          </w:r>
          <w:r>
            <w:rPr>
              <w:sz w:val="21"/>
              <w:szCs w:val="21"/>
            </w:rPr>
            <w:fldChar w:fldCharType="begin"/>
          </w:r>
          <w:r>
            <w:rPr>
              <w:sz w:val="21"/>
              <w:szCs w:val="21"/>
            </w:rPr>
            <w:instrText xml:space="preserve"> PAGEREF _Toc4689 \h </w:instrText>
          </w:r>
          <w:r>
            <w:rPr>
              <w:sz w:val="21"/>
              <w:szCs w:val="21"/>
            </w:rPr>
            <w:fldChar w:fldCharType="separate"/>
          </w:r>
          <w:r>
            <w:rPr>
              <w:sz w:val="21"/>
              <w:szCs w:val="21"/>
            </w:rPr>
            <w:t>- 2 -</w:t>
          </w:r>
          <w:r>
            <w:rPr>
              <w:sz w:val="21"/>
              <w:szCs w:val="21"/>
            </w:rPr>
            <w:fldChar w:fldCharType="end"/>
          </w:r>
          <w:r>
            <w:rPr>
              <w:rFonts w:ascii="黑体" w:hAnsi="黑体" w:eastAsia="黑体" w:cs="Times New Roman"/>
              <w:kern w:val="2"/>
              <w:sz w:val="21"/>
              <w:szCs w:val="48"/>
              <w:lang w:val="en-US" w:eastAsia="zh-CN" w:bidi="ar-SA"/>
            </w:rPr>
            <w:fldChar w:fldCharType="end"/>
          </w:r>
        </w:p>
        <w:p>
          <w:pPr>
            <w:pStyle w:val="21"/>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firstLine="210" w:firstLineChars="100"/>
            <w:textAlignment w:val="auto"/>
            <w:rPr>
              <w:sz w:val="21"/>
              <w:szCs w:val="21"/>
            </w:rPr>
          </w:pPr>
          <w:r>
            <w:rPr>
              <w:rFonts w:ascii="黑体" w:hAnsi="黑体" w:eastAsia="黑体" w:cs="Times New Roman"/>
              <w:kern w:val="2"/>
              <w:sz w:val="21"/>
              <w:szCs w:val="48"/>
              <w:lang w:val="en-US" w:eastAsia="zh-CN" w:bidi="ar-SA"/>
            </w:rPr>
            <w:fldChar w:fldCharType="begin"/>
          </w:r>
          <w:r>
            <w:rPr>
              <w:rFonts w:ascii="黑体" w:hAnsi="黑体" w:eastAsia="黑体" w:cs="Times New Roman"/>
              <w:kern w:val="2"/>
              <w:sz w:val="21"/>
              <w:szCs w:val="48"/>
              <w:lang w:val="en-US" w:eastAsia="zh-CN" w:bidi="ar-SA"/>
            </w:rPr>
            <w:instrText xml:space="preserve"> HYPERLINK \l _Toc27983 </w:instrText>
          </w:r>
          <w:r>
            <w:rPr>
              <w:rFonts w:ascii="黑体" w:hAnsi="黑体" w:eastAsia="黑体" w:cs="Times New Roman"/>
              <w:kern w:val="2"/>
              <w:sz w:val="21"/>
              <w:szCs w:val="48"/>
              <w:lang w:val="en-US" w:eastAsia="zh-CN" w:bidi="ar-SA"/>
            </w:rPr>
            <w:fldChar w:fldCharType="separate"/>
          </w:r>
          <w:r>
            <w:rPr>
              <w:rFonts w:hint="eastAsia"/>
              <w:sz w:val="21"/>
              <w:szCs w:val="21"/>
            </w:rPr>
            <w:t>五、一般公共预算当年拨款情况说明</w:t>
          </w:r>
          <w:r>
            <w:rPr>
              <w:sz w:val="21"/>
              <w:szCs w:val="21"/>
            </w:rPr>
            <w:tab/>
          </w:r>
          <w:r>
            <w:rPr>
              <w:sz w:val="21"/>
              <w:szCs w:val="21"/>
            </w:rPr>
            <w:fldChar w:fldCharType="begin"/>
          </w:r>
          <w:r>
            <w:rPr>
              <w:sz w:val="21"/>
              <w:szCs w:val="21"/>
            </w:rPr>
            <w:instrText xml:space="preserve"> PAGEREF _Toc27983 \h </w:instrText>
          </w:r>
          <w:r>
            <w:rPr>
              <w:sz w:val="21"/>
              <w:szCs w:val="21"/>
            </w:rPr>
            <w:fldChar w:fldCharType="separate"/>
          </w:r>
          <w:r>
            <w:rPr>
              <w:sz w:val="21"/>
              <w:szCs w:val="21"/>
            </w:rPr>
            <w:t>- 2 -</w:t>
          </w:r>
          <w:r>
            <w:rPr>
              <w:sz w:val="21"/>
              <w:szCs w:val="21"/>
            </w:rPr>
            <w:fldChar w:fldCharType="end"/>
          </w:r>
          <w:r>
            <w:rPr>
              <w:rFonts w:ascii="黑体" w:hAnsi="黑体" w:eastAsia="黑体" w:cs="Times New Roman"/>
              <w:kern w:val="2"/>
              <w:sz w:val="21"/>
              <w:szCs w:val="48"/>
              <w:lang w:val="en-US" w:eastAsia="zh-CN" w:bidi="ar-SA"/>
            </w:rPr>
            <w:fldChar w:fldCharType="end"/>
          </w:r>
        </w:p>
        <w:p>
          <w:pPr>
            <w:pStyle w:val="22"/>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sz w:val="21"/>
              <w:szCs w:val="21"/>
            </w:rPr>
          </w:pPr>
          <w:r>
            <w:rPr>
              <w:rFonts w:ascii="黑体" w:hAnsi="黑体" w:eastAsia="黑体" w:cs="Times New Roman"/>
              <w:kern w:val="2"/>
              <w:sz w:val="21"/>
              <w:szCs w:val="48"/>
              <w:lang w:val="en-US" w:eastAsia="zh-CN" w:bidi="ar-SA"/>
            </w:rPr>
            <w:fldChar w:fldCharType="begin"/>
          </w:r>
          <w:r>
            <w:rPr>
              <w:rFonts w:ascii="黑体" w:hAnsi="黑体" w:eastAsia="黑体" w:cs="Times New Roman"/>
              <w:kern w:val="2"/>
              <w:sz w:val="21"/>
              <w:szCs w:val="48"/>
              <w:lang w:val="en-US" w:eastAsia="zh-CN" w:bidi="ar-SA"/>
            </w:rPr>
            <w:instrText xml:space="preserve"> HYPERLINK \l _Toc4448 </w:instrText>
          </w:r>
          <w:r>
            <w:rPr>
              <w:rFonts w:ascii="黑体" w:hAnsi="黑体" w:eastAsia="黑体" w:cs="Times New Roman"/>
              <w:kern w:val="2"/>
              <w:sz w:val="21"/>
              <w:szCs w:val="48"/>
              <w:lang w:val="en-US" w:eastAsia="zh-CN" w:bidi="ar-SA"/>
            </w:rPr>
            <w:fldChar w:fldCharType="separate"/>
          </w:r>
          <w:r>
            <w:rPr>
              <w:rFonts w:hint="eastAsia"/>
              <w:sz w:val="21"/>
              <w:szCs w:val="21"/>
            </w:rPr>
            <w:t>（一）一般公共预算当年拨款规模变化情况</w:t>
          </w:r>
          <w:r>
            <w:rPr>
              <w:sz w:val="21"/>
              <w:szCs w:val="21"/>
            </w:rPr>
            <w:tab/>
          </w:r>
          <w:r>
            <w:rPr>
              <w:sz w:val="21"/>
              <w:szCs w:val="21"/>
            </w:rPr>
            <w:fldChar w:fldCharType="begin"/>
          </w:r>
          <w:r>
            <w:rPr>
              <w:sz w:val="21"/>
              <w:szCs w:val="21"/>
            </w:rPr>
            <w:instrText xml:space="preserve"> PAGEREF _Toc4448 \h </w:instrText>
          </w:r>
          <w:r>
            <w:rPr>
              <w:sz w:val="21"/>
              <w:szCs w:val="21"/>
            </w:rPr>
            <w:fldChar w:fldCharType="separate"/>
          </w:r>
          <w:r>
            <w:rPr>
              <w:sz w:val="21"/>
              <w:szCs w:val="21"/>
            </w:rPr>
            <w:t>- 2 -</w:t>
          </w:r>
          <w:r>
            <w:rPr>
              <w:sz w:val="21"/>
              <w:szCs w:val="21"/>
            </w:rPr>
            <w:fldChar w:fldCharType="end"/>
          </w:r>
          <w:r>
            <w:rPr>
              <w:rFonts w:ascii="黑体" w:hAnsi="黑体" w:eastAsia="黑体" w:cs="Times New Roman"/>
              <w:kern w:val="2"/>
              <w:sz w:val="21"/>
              <w:szCs w:val="48"/>
              <w:lang w:val="en-US" w:eastAsia="zh-CN" w:bidi="ar-SA"/>
            </w:rPr>
            <w:fldChar w:fldCharType="end"/>
          </w:r>
        </w:p>
        <w:p>
          <w:pPr>
            <w:pStyle w:val="22"/>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sz w:val="21"/>
              <w:szCs w:val="21"/>
            </w:rPr>
          </w:pPr>
          <w:r>
            <w:rPr>
              <w:rFonts w:ascii="黑体" w:hAnsi="黑体" w:eastAsia="黑体" w:cs="Times New Roman"/>
              <w:kern w:val="2"/>
              <w:sz w:val="21"/>
              <w:szCs w:val="48"/>
              <w:lang w:val="en-US" w:eastAsia="zh-CN" w:bidi="ar-SA"/>
            </w:rPr>
            <w:fldChar w:fldCharType="begin"/>
          </w:r>
          <w:r>
            <w:rPr>
              <w:rFonts w:ascii="黑体" w:hAnsi="黑体" w:eastAsia="黑体" w:cs="Times New Roman"/>
              <w:kern w:val="2"/>
              <w:sz w:val="21"/>
              <w:szCs w:val="48"/>
              <w:lang w:val="en-US" w:eastAsia="zh-CN" w:bidi="ar-SA"/>
            </w:rPr>
            <w:instrText xml:space="preserve"> HYPERLINK \l _Toc5117 </w:instrText>
          </w:r>
          <w:r>
            <w:rPr>
              <w:rFonts w:ascii="黑体" w:hAnsi="黑体" w:eastAsia="黑体" w:cs="Times New Roman"/>
              <w:kern w:val="2"/>
              <w:sz w:val="21"/>
              <w:szCs w:val="48"/>
              <w:lang w:val="en-US" w:eastAsia="zh-CN" w:bidi="ar-SA"/>
            </w:rPr>
            <w:fldChar w:fldCharType="separate"/>
          </w:r>
          <w:r>
            <w:rPr>
              <w:rFonts w:hint="eastAsia"/>
              <w:sz w:val="21"/>
              <w:szCs w:val="21"/>
            </w:rPr>
            <w:t>（二）一般公共预算当年拨款结构情况</w:t>
          </w:r>
          <w:r>
            <w:rPr>
              <w:sz w:val="21"/>
              <w:szCs w:val="21"/>
            </w:rPr>
            <w:tab/>
          </w:r>
          <w:r>
            <w:rPr>
              <w:sz w:val="21"/>
              <w:szCs w:val="21"/>
            </w:rPr>
            <w:fldChar w:fldCharType="begin"/>
          </w:r>
          <w:r>
            <w:rPr>
              <w:sz w:val="21"/>
              <w:szCs w:val="21"/>
            </w:rPr>
            <w:instrText xml:space="preserve"> PAGEREF _Toc5117 \h </w:instrText>
          </w:r>
          <w:r>
            <w:rPr>
              <w:sz w:val="21"/>
              <w:szCs w:val="21"/>
            </w:rPr>
            <w:fldChar w:fldCharType="separate"/>
          </w:r>
          <w:r>
            <w:rPr>
              <w:sz w:val="21"/>
              <w:szCs w:val="21"/>
            </w:rPr>
            <w:t>- 2 -</w:t>
          </w:r>
          <w:r>
            <w:rPr>
              <w:sz w:val="21"/>
              <w:szCs w:val="21"/>
            </w:rPr>
            <w:fldChar w:fldCharType="end"/>
          </w:r>
          <w:r>
            <w:rPr>
              <w:rFonts w:ascii="黑体" w:hAnsi="黑体" w:eastAsia="黑体" w:cs="Times New Roman"/>
              <w:kern w:val="2"/>
              <w:sz w:val="21"/>
              <w:szCs w:val="48"/>
              <w:lang w:val="en-US" w:eastAsia="zh-CN" w:bidi="ar-SA"/>
            </w:rPr>
            <w:fldChar w:fldCharType="end"/>
          </w:r>
        </w:p>
        <w:p>
          <w:pPr>
            <w:pStyle w:val="22"/>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sz w:val="21"/>
              <w:szCs w:val="21"/>
            </w:rPr>
          </w:pPr>
          <w:r>
            <w:rPr>
              <w:rFonts w:ascii="黑体" w:hAnsi="黑体" w:eastAsia="黑体" w:cs="Times New Roman"/>
              <w:kern w:val="2"/>
              <w:sz w:val="21"/>
              <w:szCs w:val="48"/>
              <w:lang w:val="en-US" w:eastAsia="zh-CN" w:bidi="ar-SA"/>
            </w:rPr>
            <w:fldChar w:fldCharType="begin"/>
          </w:r>
          <w:r>
            <w:rPr>
              <w:rFonts w:ascii="黑体" w:hAnsi="黑体" w:eastAsia="黑体" w:cs="Times New Roman"/>
              <w:kern w:val="2"/>
              <w:sz w:val="21"/>
              <w:szCs w:val="48"/>
              <w:lang w:val="en-US" w:eastAsia="zh-CN" w:bidi="ar-SA"/>
            </w:rPr>
            <w:instrText xml:space="preserve"> HYPERLINK \l _Toc21991 </w:instrText>
          </w:r>
          <w:r>
            <w:rPr>
              <w:rFonts w:ascii="黑体" w:hAnsi="黑体" w:eastAsia="黑体" w:cs="Times New Roman"/>
              <w:kern w:val="2"/>
              <w:sz w:val="21"/>
              <w:szCs w:val="48"/>
              <w:lang w:val="en-US" w:eastAsia="zh-CN" w:bidi="ar-SA"/>
            </w:rPr>
            <w:fldChar w:fldCharType="separate"/>
          </w:r>
          <w:r>
            <w:rPr>
              <w:rFonts w:hint="eastAsia"/>
              <w:sz w:val="21"/>
              <w:szCs w:val="21"/>
            </w:rPr>
            <w:t>（三）一般公共预算当年拨款具体使用情况</w:t>
          </w:r>
          <w:r>
            <w:rPr>
              <w:sz w:val="21"/>
              <w:szCs w:val="21"/>
            </w:rPr>
            <w:tab/>
          </w:r>
          <w:r>
            <w:rPr>
              <w:sz w:val="21"/>
              <w:szCs w:val="21"/>
            </w:rPr>
            <w:fldChar w:fldCharType="begin"/>
          </w:r>
          <w:r>
            <w:rPr>
              <w:sz w:val="21"/>
              <w:szCs w:val="21"/>
            </w:rPr>
            <w:instrText xml:space="preserve"> PAGEREF _Toc21991 \h </w:instrText>
          </w:r>
          <w:r>
            <w:rPr>
              <w:sz w:val="21"/>
              <w:szCs w:val="21"/>
            </w:rPr>
            <w:fldChar w:fldCharType="separate"/>
          </w:r>
          <w:r>
            <w:rPr>
              <w:sz w:val="21"/>
              <w:szCs w:val="21"/>
            </w:rPr>
            <w:t>- 3 -</w:t>
          </w:r>
          <w:r>
            <w:rPr>
              <w:sz w:val="21"/>
              <w:szCs w:val="21"/>
            </w:rPr>
            <w:fldChar w:fldCharType="end"/>
          </w:r>
          <w:r>
            <w:rPr>
              <w:rFonts w:ascii="黑体" w:hAnsi="黑体" w:eastAsia="黑体" w:cs="Times New Roman"/>
              <w:kern w:val="2"/>
              <w:sz w:val="21"/>
              <w:szCs w:val="48"/>
              <w:lang w:val="en-US" w:eastAsia="zh-CN" w:bidi="ar-SA"/>
            </w:rPr>
            <w:fldChar w:fldCharType="end"/>
          </w:r>
        </w:p>
        <w:p>
          <w:pPr>
            <w:pStyle w:val="21"/>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firstLine="210" w:firstLineChars="100"/>
            <w:textAlignment w:val="auto"/>
            <w:rPr>
              <w:sz w:val="21"/>
              <w:szCs w:val="21"/>
            </w:rPr>
          </w:pPr>
          <w:r>
            <w:rPr>
              <w:rFonts w:ascii="黑体" w:hAnsi="黑体" w:eastAsia="黑体" w:cs="Times New Roman"/>
              <w:kern w:val="2"/>
              <w:sz w:val="21"/>
              <w:szCs w:val="48"/>
              <w:lang w:val="en-US" w:eastAsia="zh-CN" w:bidi="ar-SA"/>
            </w:rPr>
            <w:fldChar w:fldCharType="begin"/>
          </w:r>
          <w:r>
            <w:rPr>
              <w:rFonts w:ascii="黑体" w:hAnsi="黑体" w:eastAsia="黑体" w:cs="Times New Roman"/>
              <w:kern w:val="2"/>
              <w:sz w:val="21"/>
              <w:szCs w:val="48"/>
              <w:lang w:val="en-US" w:eastAsia="zh-CN" w:bidi="ar-SA"/>
            </w:rPr>
            <w:instrText xml:space="preserve"> HYPERLINK \l _Toc12375 </w:instrText>
          </w:r>
          <w:r>
            <w:rPr>
              <w:rFonts w:ascii="黑体" w:hAnsi="黑体" w:eastAsia="黑体" w:cs="Times New Roman"/>
              <w:kern w:val="2"/>
              <w:sz w:val="21"/>
              <w:szCs w:val="48"/>
              <w:lang w:val="en-US" w:eastAsia="zh-CN" w:bidi="ar-SA"/>
            </w:rPr>
            <w:fldChar w:fldCharType="separate"/>
          </w:r>
          <w:r>
            <w:rPr>
              <w:rFonts w:hint="eastAsia"/>
              <w:sz w:val="21"/>
              <w:szCs w:val="21"/>
            </w:rPr>
            <w:t>六、一般公共预算基本支出情况说明</w:t>
          </w:r>
          <w:r>
            <w:rPr>
              <w:sz w:val="21"/>
              <w:szCs w:val="21"/>
            </w:rPr>
            <w:tab/>
          </w:r>
          <w:r>
            <w:rPr>
              <w:sz w:val="21"/>
              <w:szCs w:val="21"/>
            </w:rPr>
            <w:fldChar w:fldCharType="begin"/>
          </w:r>
          <w:r>
            <w:rPr>
              <w:sz w:val="21"/>
              <w:szCs w:val="21"/>
            </w:rPr>
            <w:instrText xml:space="preserve"> PAGEREF _Toc12375 \h </w:instrText>
          </w:r>
          <w:r>
            <w:rPr>
              <w:sz w:val="21"/>
              <w:szCs w:val="21"/>
            </w:rPr>
            <w:fldChar w:fldCharType="separate"/>
          </w:r>
          <w:r>
            <w:rPr>
              <w:sz w:val="21"/>
              <w:szCs w:val="21"/>
            </w:rPr>
            <w:t>- 3 -</w:t>
          </w:r>
          <w:r>
            <w:rPr>
              <w:sz w:val="21"/>
              <w:szCs w:val="21"/>
            </w:rPr>
            <w:fldChar w:fldCharType="end"/>
          </w:r>
          <w:r>
            <w:rPr>
              <w:rFonts w:ascii="黑体" w:hAnsi="黑体" w:eastAsia="黑体" w:cs="Times New Roman"/>
              <w:kern w:val="2"/>
              <w:sz w:val="21"/>
              <w:szCs w:val="48"/>
              <w:lang w:val="en-US" w:eastAsia="zh-CN" w:bidi="ar-SA"/>
            </w:rPr>
            <w:fldChar w:fldCharType="end"/>
          </w:r>
        </w:p>
        <w:p>
          <w:pPr>
            <w:pStyle w:val="21"/>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firstLine="210" w:firstLineChars="100"/>
            <w:textAlignment w:val="auto"/>
            <w:rPr>
              <w:sz w:val="21"/>
              <w:szCs w:val="21"/>
            </w:rPr>
          </w:pPr>
          <w:r>
            <w:rPr>
              <w:rFonts w:ascii="黑体" w:hAnsi="黑体" w:eastAsia="黑体" w:cs="Times New Roman"/>
              <w:kern w:val="2"/>
              <w:sz w:val="21"/>
              <w:szCs w:val="48"/>
              <w:lang w:val="en-US" w:eastAsia="zh-CN" w:bidi="ar-SA"/>
            </w:rPr>
            <w:fldChar w:fldCharType="begin"/>
          </w:r>
          <w:r>
            <w:rPr>
              <w:rFonts w:ascii="黑体" w:hAnsi="黑体" w:eastAsia="黑体" w:cs="Times New Roman"/>
              <w:kern w:val="2"/>
              <w:sz w:val="21"/>
              <w:szCs w:val="48"/>
              <w:lang w:val="en-US" w:eastAsia="zh-CN" w:bidi="ar-SA"/>
            </w:rPr>
            <w:instrText xml:space="preserve"> HYPERLINK \l _Toc2092 </w:instrText>
          </w:r>
          <w:r>
            <w:rPr>
              <w:rFonts w:ascii="黑体" w:hAnsi="黑体" w:eastAsia="黑体" w:cs="Times New Roman"/>
              <w:kern w:val="2"/>
              <w:sz w:val="21"/>
              <w:szCs w:val="48"/>
              <w:lang w:val="en-US" w:eastAsia="zh-CN" w:bidi="ar-SA"/>
            </w:rPr>
            <w:fldChar w:fldCharType="separate"/>
          </w:r>
          <w:r>
            <w:rPr>
              <w:rFonts w:hint="eastAsia"/>
              <w:sz w:val="21"/>
              <w:szCs w:val="21"/>
            </w:rPr>
            <w:t>七、“三公”经费财政拨款预算安排情况说明</w:t>
          </w:r>
          <w:r>
            <w:rPr>
              <w:sz w:val="21"/>
              <w:szCs w:val="21"/>
            </w:rPr>
            <w:tab/>
          </w:r>
          <w:r>
            <w:rPr>
              <w:sz w:val="21"/>
              <w:szCs w:val="21"/>
            </w:rPr>
            <w:fldChar w:fldCharType="begin"/>
          </w:r>
          <w:r>
            <w:rPr>
              <w:sz w:val="21"/>
              <w:szCs w:val="21"/>
            </w:rPr>
            <w:instrText xml:space="preserve"> PAGEREF _Toc2092 \h </w:instrText>
          </w:r>
          <w:r>
            <w:rPr>
              <w:sz w:val="21"/>
              <w:szCs w:val="21"/>
            </w:rPr>
            <w:fldChar w:fldCharType="separate"/>
          </w:r>
          <w:r>
            <w:rPr>
              <w:sz w:val="21"/>
              <w:szCs w:val="21"/>
            </w:rPr>
            <w:t>- 4 -</w:t>
          </w:r>
          <w:r>
            <w:rPr>
              <w:sz w:val="21"/>
              <w:szCs w:val="21"/>
            </w:rPr>
            <w:fldChar w:fldCharType="end"/>
          </w:r>
          <w:r>
            <w:rPr>
              <w:rFonts w:ascii="黑体" w:hAnsi="黑体" w:eastAsia="黑体" w:cs="Times New Roman"/>
              <w:kern w:val="2"/>
              <w:sz w:val="21"/>
              <w:szCs w:val="48"/>
              <w:lang w:val="en-US" w:eastAsia="zh-CN" w:bidi="ar-SA"/>
            </w:rPr>
            <w:fldChar w:fldCharType="end"/>
          </w:r>
        </w:p>
        <w:p>
          <w:pPr>
            <w:pStyle w:val="21"/>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firstLine="210" w:firstLineChars="100"/>
            <w:textAlignment w:val="auto"/>
            <w:rPr>
              <w:sz w:val="21"/>
              <w:szCs w:val="21"/>
            </w:rPr>
          </w:pPr>
          <w:r>
            <w:rPr>
              <w:rFonts w:ascii="黑体" w:hAnsi="黑体" w:eastAsia="黑体" w:cs="Times New Roman"/>
              <w:kern w:val="2"/>
              <w:sz w:val="21"/>
              <w:szCs w:val="48"/>
              <w:lang w:val="en-US" w:eastAsia="zh-CN" w:bidi="ar-SA"/>
            </w:rPr>
            <w:fldChar w:fldCharType="begin"/>
          </w:r>
          <w:r>
            <w:rPr>
              <w:rFonts w:ascii="黑体" w:hAnsi="黑体" w:eastAsia="黑体" w:cs="Times New Roman"/>
              <w:kern w:val="2"/>
              <w:sz w:val="21"/>
              <w:szCs w:val="48"/>
              <w:lang w:val="en-US" w:eastAsia="zh-CN" w:bidi="ar-SA"/>
            </w:rPr>
            <w:instrText xml:space="preserve"> HYPERLINK \l _Toc6876 </w:instrText>
          </w:r>
          <w:r>
            <w:rPr>
              <w:rFonts w:ascii="黑体" w:hAnsi="黑体" w:eastAsia="黑体" w:cs="Times New Roman"/>
              <w:kern w:val="2"/>
              <w:sz w:val="21"/>
              <w:szCs w:val="48"/>
              <w:lang w:val="en-US" w:eastAsia="zh-CN" w:bidi="ar-SA"/>
            </w:rPr>
            <w:fldChar w:fldCharType="separate"/>
          </w:r>
          <w:r>
            <w:rPr>
              <w:rFonts w:hint="eastAsia"/>
              <w:sz w:val="21"/>
              <w:szCs w:val="21"/>
            </w:rPr>
            <w:t>八、政府性基金预算支出情况说明</w:t>
          </w:r>
          <w:r>
            <w:rPr>
              <w:sz w:val="21"/>
              <w:szCs w:val="21"/>
            </w:rPr>
            <w:tab/>
          </w:r>
          <w:r>
            <w:rPr>
              <w:sz w:val="21"/>
              <w:szCs w:val="21"/>
            </w:rPr>
            <w:fldChar w:fldCharType="begin"/>
          </w:r>
          <w:r>
            <w:rPr>
              <w:sz w:val="21"/>
              <w:szCs w:val="21"/>
            </w:rPr>
            <w:instrText xml:space="preserve"> PAGEREF _Toc6876 \h </w:instrText>
          </w:r>
          <w:r>
            <w:rPr>
              <w:sz w:val="21"/>
              <w:szCs w:val="21"/>
            </w:rPr>
            <w:fldChar w:fldCharType="separate"/>
          </w:r>
          <w:r>
            <w:rPr>
              <w:sz w:val="21"/>
              <w:szCs w:val="21"/>
            </w:rPr>
            <w:t>- 4 -</w:t>
          </w:r>
          <w:r>
            <w:rPr>
              <w:sz w:val="21"/>
              <w:szCs w:val="21"/>
            </w:rPr>
            <w:fldChar w:fldCharType="end"/>
          </w:r>
          <w:r>
            <w:rPr>
              <w:rFonts w:ascii="黑体" w:hAnsi="黑体" w:eastAsia="黑体" w:cs="Times New Roman"/>
              <w:kern w:val="2"/>
              <w:sz w:val="21"/>
              <w:szCs w:val="48"/>
              <w:lang w:val="en-US" w:eastAsia="zh-CN" w:bidi="ar-SA"/>
            </w:rPr>
            <w:fldChar w:fldCharType="end"/>
          </w:r>
        </w:p>
        <w:p>
          <w:pPr>
            <w:pStyle w:val="21"/>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firstLine="210" w:firstLineChars="100"/>
            <w:textAlignment w:val="auto"/>
            <w:rPr>
              <w:sz w:val="21"/>
              <w:szCs w:val="21"/>
            </w:rPr>
          </w:pPr>
          <w:r>
            <w:rPr>
              <w:rFonts w:ascii="黑体" w:hAnsi="黑体" w:eastAsia="黑体" w:cs="Times New Roman"/>
              <w:kern w:val="2"/>
              <w:sz w:val="21"/>
              <w:szCs w:val="48"/>
              <w:lang w:val="en-US" w:eastAsia="zh-CN" w:bidi="ar-SA"/>
            </w:rPr>
            <w:fldChar w:fldCharType="begin"/>
          </w:r>
          <w:r>
            <w:rPr>
              <w:rFonts w:ascii="黑体" w:hAnsi="黑体" w:eastAsia="黑体" w:cs="Times New Roman"/>
              <w:kern w:val="2"/>
              <w:sz w:val="21"/>
              <w:szCs w:val="48"/>
              <w:lang w:val="en-US" w:eastAsia="zh-CN" w:bidi="ar-SA"/>
            </w:rPr>
            <w:instrText xml:space="preserve"> HYPERLINK \l _Toc22316 </w:instrText>
          </w:r>
          <w:r>
            <w:rPr>
              <w:rFonts w:ascii="黑体" w:hAnsi="黑体" w:eastAsia="黑体" w:cs="Times New Roman"/>
              <w:kern w:val="2"/>
              <w:sz w:val="21"/>
              <w:szCs w:val="48"/>
              <w:lang w:val="en-US" w:eastAsia="zh-CN" w:bidi="ar-SA"/>
            </w:rPr>
            <w:fldChar w:fldCharType="separate"/>
          </w:r>
          <w:r>
            <w:rPr>
              <w:rFonts w:hint="eastAsia"/>
              <w:sz w:val="21"/>
              <w:szCs w:val="21"/>
            </w:rPr>
            <w:t>九、其他重要事项的情况说明</w:t>
          </w:r>
          <w:r>
            <w:rPr>
              <w:sz w:val="21"/>
              <w:szCs w:val="21"/>
            </w:rPr>
            <w:tab/>
          </w:r>
          <w:r>
            <w:rPr>
              <w:sz w:val="21"/>
              <w:szCs w:val="21"/>
            </w:rPr>
            <w:fldChar w:fldCharType="begin"/>
          </w:r>
          <w:r>
            <w:rPr>
              <w:sz w:val="21"/>
              <w:szCs w:val="21"/>
            </w:rPr>
            <w:instrText xml:space="preserve"> PAGEREF _Toc22316 \h </w:instrText>
          </w:r>
          <w:r>
            <w:rPr>
              <w:sz w:val="21"/>
              <w:szCs w:val="21"/>
            </w:rPr>
            <w:fldChar w:fldCharType="separate"/>
          </w:r>
          <w:r>
            <w:rPr>
              <w:sz w:val="21"/>
              <w:szCs w:val="21"/>
            </w:rPr>
            <w:t>- 5 -</w:t>
          </w:r>
          <w:r>
            <w:rPr>
              <w:sz w:val="21"/>
              <w:szCs w:val="21"/>
            </w:rPr>
            <w:fldChar w:fldCharType="end"/>
          </w:r>
          <w:r>
            <w:rPr>
              <w:rFonts w:ascii="黑体" w:hAnsi="黑体" w:eastAsia="黑体" w:cs="Times New Roman"/>
              <w:kern w:val="2"/>
              <w:sz w:val="21"/>
              <w:szCs w:val="48"/>
              <w:lang w:val="en-US" w:eastAsia="zh-CN" w:bidi="ar-SA"/>
            </w:rPr>
            <w:fldChar w:fldCharType="end"/>
          </w:r>
        </w:p>
        <w:p>
          <w:pPr>
            <w:pStyle w:val="22"/>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sz w:val="21"/>
              <w:szCs w:val="21"/>
            </w:rPr>
          </w:pPr>
          <w:r>
            <w:rPr>
              <w:rFonts w:ascii="黑体" w:hAnsi="黑体" w:eastAsia="黑体" w:cs="Times New Roman"/>
              <w:kern w:val="2"/>
              <w:sz w:val="21"/>
              <w:szCs w:val="48"/>
              <w:lang w:val="en-US" w:eastAsia="zh-CN" w:bidi="ar-SA"/>
            </w:rPr>
            <w:fldChar w:fldCharType="begin"/>
          </w:r>
          <w:r>
            <w:rPr>
              <w:rFonts w:ascii="黑体" w:hAnsi="黑体" w:eastAsia="黑体" w:cs="Times New Roman"/>
              <w:kern w:val="2"/>
              <w:sz w:val="21"/>
              <w:szCs w:val="48"/>
              <w:lang w:val="en-US" w:eastAsia="zh-CN" w:bidi="ar-SA"/>
            </w:rPr>
            <w:instrText xml:space="preserve"> HYPERLINK \l _Toc32728 </w:instrText>
          </w:r>
          <w:r>
            <w:rPr>
              <w:rFonts w:ascii="黑体" w:hAnsi="黑体" w:eastAsia="黑体" w:cs="Times New Roman"/>
              <w:kern w:val="2"/>
              <w:sz w:val="21"/>
              <w:szCs w:val="48"/>
              <w:lang w:val="en-US" w:eastAsia="zh-CN" w:bidi="ar-SA"/>
            </w:rPr>
            <w:fldChar w:fldCharType="separate"/>
          </w:r>
          <w:r>
            <w:rPr>
              <w:rFonts w:hint="eastAsia"/>
              <w:sz w:val="21"/>
              <w:szCs w:val="21"/>
              <w:lang w:val="en-US" w:eastAsia="zh-CN"/>
            </w:rPr>
            <w:t>（一）机关运行经费</w:t>
          </w:r>
          <w:r>
            <w:rPr>
              <w:sz w:val="21"/>
              <w:szCs w:val="21"/>
            </w:rPr>
            <w:tab/>
          </w:r>
          <w:r>
            <w:rPr>
              <w:sz w:val="21"/>
              <w:szCs w:val="21"/>
            </w:rPr>
            <w:fldChar w:fldCharType="begin"/>
          </w:r>
          <w:r>
            <w:rPr>
              <w:sz w:val="21"/>
              <w:szCs w:val="21"/>
            </w:rPr>
            <w:instrText xml:space="preserve"> PAGEREF _Toc32728 \h </w:instrText>
          </w:r>
          <w:r>
            <w:rPr>
              <w:sz w:val="21"/>
              <w:szCs w:val="21"/>
            </w:rPr>
            <w:fldChar w:fldCharType="separate"/>
          </w:r>
          <w:r>
            <w:rPr>
              <w:sz w:val="21"/>
              <w:szCs w:val="21"/>
            </w:rPr>
            <w:t>- 5 -</w:t>
          </w:r>
          <w:r>
            <w:rPr>
              <w:sz w:val="21"/>
              <w:szCs w:val="21"/>
            </w:rPr>
            <w:fldChar w:fldCharType="end"/>
          </w:r>
          <w:r>
            <w:rPr>
              <w:rFonts w:ascii="黑体" w:hAnsi="黑体" w:eastAsia="黑体" w:cs="Times New Roman"/>
              <w:kern w:val="2"/>
              <w:sz w:val="21"/>
              <w:szCs w:val="48"/>
              <w:lang w:val="en-US" w:eastAsia="zh-CN" w:bidi="ar-SA"/>
            </w:rPr>
            <w:fldChar w:fldCharType="end"/>
          </w:r>
        </w:p>
        <w:p>
          <w:pPr>
            <w:pStyle w:val="22"/>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sz w:val="21"/>
              <w:szCs w:val="21"/>
            </w:rPr>
          </w:pPr>
          <w:r>
            <w:rPr>
              <w:rFonts w:ascii="黑体" w:hAnsi="黑体" w:eastAsia="黑体" w:cs="Times New Roman"/>
              <w:kern w:val="2"/>
              <w:sz w:val="21"/>
              <w:szCs w:val="48"/>
              <w:lang w:val="en-US" w:eastAsia="zh-CN" w:bidi="ar-SA"/>
            </w:rPr>
            <w:fldChar w:fldCharType="begin"/>
          </w:r>
          <w:r>
            <w:rPr>
              <w:rFonts w:ascii="黑体" w:hAnsi="黑体" w:eastAsia="黑体" w:cs="Times New Roman"/>
              <w:kern w:val="2"/>
              <w:sz w:val="21"/>
              <w:szCs w:val="48"/>
              <w:lang w:val="en-US" w:eastAsia="zh-CN" w:bidi="ar-SA"/>
            </w:rPr>
            <w:instrText xml:space="preserve"> HYPERLINK \l _Toc8430 </w:instrText>
          </w:r>
          <w:r>
            <w:rPr>
              <w:rFonts w:ascii="黑体" w:hAnsi="黑体" w:eastAsia="黑体" w:cs="Times New Roman"/>
              <w:kern w:val="2"/>
              <w:sz w:val="21"/>
              <w:szCs w:val="48"/>
              <w:lang w:val="en-US" w:eastAsia="zh-CN" w:bidi="ar-SA"/>
            </w:rPr>
            <w:fldChar w:fldCharType="separate"/>
          </w:r>
          <w:r>
            <w:rPr>
              <w:rFonts w:hint="eastAsia"/>
              <w:sz w:val="21"/>
              <w:szCs w:val="21"/>
              <w:lang w:val="en-US" w:eastAsia="zh-CN"/>
            </w:rPr>
            <w:t>（二）政府采购情况</w:t>
          </w:r>
          <w:r>
            <w:rPr>
              <w:sz w:val="21"/>
              <w:szCs w:val="21"/>
            </w:rPr>
            <w:tab/>
          </w:r>
          <w:r>
            <w:rPr>
              <w:sz w:val="21"/>
              <w:szCs w:val="21"/>
            </w:rPr>
            <w:fldChar w:fldCharType="begin"/>
          </w:r>
          <w:r>
            <w:rPr>
              <w:sz w:val="21"/>
              <w:szCs w:val="21"/>
            </w:rPr>
            <w:instrText xml:space="preserve"> PAGEREF _Toc8430 \h </w:instrText>
          </w:r>
          <w:r>
            <w:rPr>
              <w:sz w:val="21"/>
              <w:szCs w:val="21"/>
            </w:rPr>
            <w:fldChar w:fldCharType="separate"/>
          </w:r>
          <w:r>
            <w:rPr>
              <w:sz w:val="21"/>
              <w:szCs w:val="21"/>
            </w:rPr>
            <w:t>- 5 -</w:t>
          </w:r>
          <w:r>
            <w:rPr>
              <w:sz w:val="21"/>
              <w:szCs w:val="21"/>
            </w:rPr>
            <w:fldChar w:fldCharType="end"/>
          </w:r>
          <w:r>
            <w:rPr>
              <w:rFonts w:ascii="黑体" w:hAnsi="黑体" w:eastAsia="黑体" w:cs="Times New Roman"/>
              <w:kern w:val="2"/>
              <w:sz w:val="21"/>
              <w:szCs w:val="48"/>
              <w:lang w:val="en-US" w:eastAsia="zh-CN" w:bidi="ar-SA"/>
            </w:rPr>
            <w:fldChar w:fldCharType="end"/>
          </w:r>
        </w:p>
        <w:p>
          <w:pPr>
            <w:pStyle w:val="22"/>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sz w:val="21"/>
              <w:szCs w:val="21"/>
            </w:rPr>
          </w:pPr>
          <w:r>
            <w:rPr>
              <w:rFonts w:ascii="黑体" w:hAnsi="黑体" w:eastAsia="黑体" w:cs="Times New Roman"/>
              <w:kern w:val="2"/>
              <w:sz w:val="21"/>
              <w:szCs w:val="48"/>
              <w:lang w:val="en-US" w:eastAsia="zh-CN" w:bidi="ar-SA"/>
            </w:rPr>
            <w:fldChar w:fldCharType="begin"/>
          </w:r>
          <w:r>
            <w:rPr>
              <w:rFonts w:ascii="黑体" w:hAnsi="黑体" w:eastAsia="黑体" w:cs="Times New Roman"/>
              <w:kern w:val="2"/>
              <w:sz w:val="21"/>
              <w:szCs w:val="48"/>
              <w:lang w:val="en-US" w:eastAsia="zh-CN" w:bidi="ar-SA"/>
            </w:rPr>
            <w:instrText xml:space="preserve"> HYPERLINK \l _Toc4235 </w:instrText>
          </w:r>
          <w:r>
            <w:rPr>
              <w:rFonts w:ascii="黑体" w:hAnsi="黑体" w:eastAsia="黑体" w:cs="Times New Roman"/>
              <w:kern w:val="2"/>
              <w:sz w:val="21"/>
              <w:szCs w:val="48"/>
              <w:lang w:val="en-US" w:eastAsia="zh-CN" w:bidi="ar-SA"/>
            </w:rPr>
            <w:fldChar w:fldCharType="separate"/>
          </w:r>
          <w:r>
            <w:rPr>
              <w:rFonts w:hint="eastAsia"/>
              <w:sz w:val="21"/>
              <w:szCs w:val="21"/>
              <w:lang w:val="en-US" w:eastAsia="zh-CN"/>
            </w:rPr>
            <w:t>（三）国有资产占有使用情况</w:t>
          </w:r>
          <w:r>
            <w:rPr>
              <w:sz w:val="21"/>
              <w:szCs w:val="21"/>
            </w:rPr>
            <w:tab/>
          </w:r>
          <w:r>
            <w:rPr>
              <w:sz w:val="21"/>
              <w:szCs w:val="21"/>
            </w:rPr>
            <w:fldChar w:fldCharType="begin"/>
          </w:r>
          <w:r>
            <w:rPr>
              <w:sz w:val="21"/>
              <w:szCs w:val="21"/>
            </w:rPr>
            <w:instrText xml:space="preserve"> PAGEREF _Toc4235 \h </w:instrText>
          </w:r>
          <w:r>
            <w:rPr>
              <w:sz w:val="21"/>
              <w:szCs w:val="21"/>
            </w:rPr>
            <w:fldChar w:fldCharType="separate"/>
          </w:r>
          <w:r>
            <w:rPr>
              <w:sz w:val="21"/>
              <w:szCs w:val="21"/>
            </w:rPr>
            <w:t>- 5 -</w:t>
          </w:r>
          <w:r>
            <w:rPr>
              <w:sz w:val="21"/>
              <w:szCs w:val="21"/>
            </w:rPr>
            <w:fldChar w:fldCharType="end"/>
          </w:r>
          <w:r>
            <w:rPr>
              <w:rFonts w:ascii="黑体" w:hAnsi="黑体" w:eastAsia="黑体" w:cs="Times New Roman"/>
              <w:kern w:val="2"/>
              <w:sz w:val="21"/>
              <w:szCs w:val="48"/>
              <w:lang w:val="en-US" w:eastAsia="zh-CN" w:bidi="ar-SA"/>
            </w:rPr>
            <w:fldChar w:fldCharType="end"/>
          </w:r>
        </w:p>
        <w:p>
          <w:pPr>
            <w:pStyle w:val="22"/>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sz w:val="21"/>
              <w:szCs w:val="21"/>
            </w:rPr>
          </w:pPr>
          <w:r>
            <w:rPr>
              <w:rFonts w:ascii="黑体" w:hAnsi="黑体" w:eastAsia="黑体" w:cs="Times New Roman"/>
              <w:kern w:val="2"/>
              <w:sz w:val="21"/>
              <w:szCs w:val="48"/>
              <w:lang w:val="en-US" w:eastAsia="zh-CN" w:bidi="ar-SA"/>
            </w:rPr>
            <w:fldChar w:fldCharType="begin"/>
          </w:r>
          <w:r>
            <w:rPr>
              <w:rFonts w:ascii="黑体" w:hAnsi="黑体" w:eastAsia="黑体" w:cs="Times New Roman"/>
              <w:kern w:val="2"/>
              <w:sz w:val="21"/>
              <w:szCs w:val="48"/>
              <w:lang w:val="en-US" w:eastAsia="zh-CN" w:bidi="ar-SA"/>
            </w:rPr>
            <w:instrText xml:space="preserve"> HYPERLINK \l _Toc7304 </w:instrText>
          </w:r>
          <w:r>
            <w:rPr>
              <w:rFonts w:ascii="黑体" w:hAnsi="黑体" w:eastAsia="黑体" w:cs="Times New Roman"/>
              <w:kern w:val="2"/>
              <w:sz w:val="21"/>
              <w:szCs w:val="48"/>
              <w:lang w:val="en-US" w:eastAsia="zh-CN" w:bidi="ar-SA"/>
            </w:rPr>
            <w:fldChar w:fldCharType="separate"/>
          </w:r>
          <w:r>
            <w:rPr>
              <w:rFonts w:hint="eastAsia"/>
              <w:sz w:val="21"/>
              <w:szCs w:val="21"/>
              <w:lang w:val="en-US" w:eastAsia="zh-CN"/>
            </w:rPr>
            <w:t>（四）绩效目标设置情况</w:t>
          </w:r>
          <w:r>
            <w:rPr>
              <w:sz w:val="21"/>
              <w:szCs w:val="21"/>
            </w:rPr>
            <w:tab/>
          </w:r>
          <w:r>
            <w:rPr>
              <w:sz w:val="21"/>
              <w:szCs w:val="21"/>
            </w:rPr>
            <w:fldChar w:fldCharType="begin"/>
          </w:r>
          <w:r>
            <w:rPr>
              <w:sz w:val="21"/>
              <w:szCs w:val="21"/>
            </w:rPr>
            <w:instrText xml:space="preserve"> PAGEREF _Toc7304 \h </w:instrText>
          </w:r>
          <w:r>
            <w:rPr>
              <w:sz w:val="21"/>
              <w:szCs w:val="21"/>
            </w:rPr>
            <w:fldChar w:fldCharType="separate"/>
          </w:r>
          <w:r>
            <w:rPr>
              <w:sz w:val="21"/>
              <w:szCs w:val="21"/>
            </w:rPr>
            <w:t>- 5 -</w:t>
          </w:r>
          <w:r>
            <w:rPr>
              <w:sz w:val="21"/>
              <w:szCs w:val="21"/>
            </w:rPr>
            <w:fldChar w:fldCharType="end"/>
          </w:r>
          <w:r>
            <w:rPr>
              <w:rFonts w:ascii="黑体" w:hAnsi="黑体" w:eastAsia="黑体" w:cs="Times New Roman"/>
              <w:kern w:val="2"/>
              <w:sz w:val="21"/>
              <w:szCs w:val="48"/>
              <w:lang w:val="en-US" w:eastAsia="zh-CN" w:bidi="ar-SA"/>
            </w:rPr>
            <w:fldChar w:fldCharType="end"/>
          </w:r>
        </w:p>
        <w:p>
          <w:pPr>
            <w:pStyle w:val="21"/>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firstLine="210" w:firstLineChars="100"/>
            <w:textAlignment w:val="auto"/>
            <w:rPr>
              <w:sz w:val="21"/>
              <w:szCs w:val="21"/>
            </w:rPr>
          </w:pPr>
          <w:r>
            <w:rPr>
              <w:rFonts w:ascii="黑体" w:hAnsi="黑体" w:eastAsia="黑体" w:cs="Times New Roman"/>
              <w:kern w:val="2"/>
              <w:sz w:val="21"/>
              <w:szCs w:val="48"/>
              <w:lang w:val="en-US" w:eastAsia="zh-CN" w:bidi="ar-SA"/>
            </w:rPr>
            <w:fldChar w:fldCharType="begin"/>
          </w:r>
          <w:r>
            <w:rPr>
              <w:rFonts w:ascii="黑体" w:hAnsi="黑体" w:eastAsia="黑体" w:cs="Times New Roman"/>
              <w:kern w:val="2"/>
              <w:sz w:val="21"/>
              <w:szCs w:val="48"/>
              <w:lang w:val="en-US" w:eastAsia="zh-CN" w:bidi="ar-SA"/>
            </w:rPr>
            <w:instrText xml:space="preserve"> HYPERLINK \l _Toc11712 </w:instrText>
          </w:r>
          <w:r>
            <w:rPr>
              <w:rFonts w:ascii="黑体" w:hAnsi="黑体" w:eastAsia="黑体" w:cs="Times New Roman"/>
              <w:kern w:val="2"/>
              <w:sz w:val="21"/>
              <w:szCs w:val="48"/>
              <w:lang w:val="en-US" w:eastAsia="zh-CN" w:bidi="ar-SA"/>
            </w:rPr>
            <w:fldChar w:fldCharType="separate"/>
          </w:r>
          <w:r>
            <w:rPr>
              <w:rFonts w:hint="eastAsia"/>
              <w:sz w:val="21"/>
              <w:szCs w:val="21"/>
            </w:rPr>
            <w:t>十、名称解释</w:t>
          </w:r>
          <w:r>
            <w:rPr>
              <w:sz w:val="21"/>
              <w:szCs w:val="21"/>
            </w:rPr>
            <w:tab/>
          </w:r>
          <w:r>
            <w:rPr>
              <w:sz w:val="21"/>
              <w:szCs w:val="21"/>
            </w:rPr>
            <w:fldChar w:fldCharType="begin"/>
          </w:r>
          <w:r>
            <w:rPr>
              <w:sz w:val="21"/>
              <w:szCs w:val="21"/>
            </w:rPr>
            <w:instrText xml:space="preserve"> PAGEREF _Toc11712 \h </w:instrText>
          </w:r>
          <w:r>
            <w:rPr>
              <w:sz w:val="21"/>
              <w:szCs w:val="21"/>
            </w:rPr>
            <w:fldChar w:fldCharType="separate"/>
          </w:r>
          <w:r>
            <w:rPr>
              <w:sz w:val="21"/>
              <w:szCs w:val="21"/>
            </w:rPr>
            <w:t xml:space="preserve">- </w:t>
          </w:r>
          <w:r>
            <w:rPr>
              <w:rFonts w:hint="default"/>
              <w:sz w:val="21"/>
              <w:szCs w:val="21"/>
            </w:rPr>
            <w:t xml:space="preserve">5 </w:t>
          </w:r>
          <w:r>
            <w:rPr>
              <w:sz w:val="21"/>
              <w:szCs w:val="21"/>
            </w:rPr>
            <w:t>-</w:t>
          </w:r>
          <w:r>
            <w:rPr>
              <w:sz w:val="21"/>
              <w:szCs w:val="21"/>
            </w:rPr>
            <w:fldChar w:fldCharType="end"/>
          </w:r>
          <w:r>
            <w:rPr>
              <w:rFonts w:ascii="黑体" w:hAnsi="黑体" w:eastAsia="黑体" w:cs="Times New Roman"/>
              <w:kern w:val="2"/>
              <w:sz w:val="21"/>
              <w:szCs w:val="48"/>
              <w:lang w:val="en-US" w:eastAsia="zh-CN" w:bidi="ar-SA"/>
            </w:rPr>
            <w:fldChar w:fldCharType="end"/>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sectPr>
              <w:headerReference r:id="rId3" w:type="default"/>
              <w:pgSz w:w="11906" w:h="16838"/>
              <w:pgMar w:top="2098" w:right="1474" w:bottom="1984" w:left="1587" w:header="851" w:footer="992" w:gutter="0"/>
              <w:pgNumType w:fmt="numberInDash"/>
              <w:cols w:space="720" w:num="1"/>
              <w:docGrid w:type="lines" w:linePitch="312" w:charSpace="0"/>
            </w:sectPr>
          </w:pPr>
          <w:r>
            <w:rPr>
              <w:rFonts w:ascii="黑体" w:hAnsi="黑体" w:eastAsia="黑体" w:cs="Times New Roman"/>
              <w:kern w:val="2"/>
              <w:sz w:val="36"/>
              <w:szCs w:val="48"/>
              <w:lang w:val="en-US" w:eastAsia="zh-CN" w:bidi="ar-SA"/>
            </w:rPr>
            <w:fldChar w:fldCharType="end"/>
          </w:r>
          <w:bookmarkStart w:id="0" w:name="_Toc9259"/>
          <w:bookmarkStart w:id="1" w:name="_Toc17177"/>
        </w:p>
      </w:sdtContent>
    </w:sdt>
    <w:p>
      <w:pPr>
        <w:pStyle w:val="3"/>
        <w:keepNext w:val="0"/>
        <w:keepLines w:val="0"/>
        <w:pageBreakBefore w:val="0"/>
        <w:widowControl w:val="0"/>
        <w:kinsoku/>
        <w:wordWrap/>
        <w:overflowPunct/>
        <w:topLinePunct w:val="0"/>
        <w:autoSpaceDE/>
        <w:autoSpaceDN/>
        <w:bidi w:val="0"/>
        <w:adjustRightInd/>
        <w:snapToGrid/>
        <w:spacing w:after="0" w:afterLines="0" w:afterAutospacing="0" w:line="560" w:lineRule="exact"/>
        <w:ind w:left="0" w:leftChars="0" w:firstLine="640" w:firstLineChars="200"/>
        <w:textAlignment w:val="auto"/>
      </w:pPr>
      <w:r>
        <w:rPr>
          <w:rFonts w:hint="eastAsia"/>
        </w:rPr>
        <w:t>一、基本职能及主要工作</w:t>
      </w:r>
      <w:bookmarkEnd w:id="0"/>
      <w:bookmarkEnd w:id="1"/>
    </w:p>
    <w:p>
      <w:pPr>
        <w:keepNext w:val="0"/>
        <w:keepLines w:val="0"/>
        <w:widowControl/>
        <w:suppressLineNumbers w:val="0"/>
        <w:ind w:firstLine="642" w:firstLineChars="200"/>
        <w:jc w:val="both"/>
        <w:textAlignment w:val="center"/>
        <w:rPr>
          <w:rFonts w:hint="eastAsia" w:ascii="楷体_GB2312" w:hAnsi="楷体_GB2312" w:eastAsia="楷体_GB2312" w:cs="楷体_GB2312"/>
          <w:b/>
          <w:bCs/>
          <w:color w:val="auto"/>
          <w:spacing w:val="0"/>
          <w:kern w:val="2"/>
          <w:sz w:val="32"/>
          <w:szCs w:val="32"/>
          <w:lang w:val="en-US" w:eastAsia="zh-CN" w:bidi="ar-SA"/>
        </w:rPr>
      </w:pPr>
      <w:bookmarkStart w:id="2" w:name="_Toc18152"/>
      <w:bookmarkStart w:id="3" w:name="_Toc11847"/>
      <w:r>
        <w:rPr>
          <w:rFonts w:hint="eastAsia" w:ascii="楷体_GB2312" w:hAnsi="楷体_GB2312" w:eastAsia="楷体_GB2312" w:cs="楷体_GB2312"/>
          <w:b/>
          <w:bCs/>
          <w:color w:val="auto"/>
          <w:spacing w:val="0"/>
          <w:kern w:val="2"/>
          <w:sz w:val="32"/>
          <w:szCs w:val="32"/>
          <w:lang w:val="en-US" w:eastAsia="zh-CN" w:bidi="ar-SA"/>
        </w:rPr>
        <w:t>（一）部门职能简介</w:t>
      </w:r>
      <w:bookmarkEnd w:id="2"/>
      <w:bookmarkEnd w:id="3"/>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560" w:lineRule="exact"/>
        <w:ind w:right="0" w:firstLine="640" w:firstLineChars="200"/>
        <w:jc w:val="left"/>
        <w:rPr>
          <w:rFonts w:hint="default"/>
        </w:rPr>
      </w:pPr>
      <w:r>
        <w:rPr>
          <w:rFonts w:hint="default"/>
        </w:rPr>
        <w:t>阿坝州教育考试中心以“办人民满意的教育考试”为目标，以“服务于考生、服务于考试”为宗旨，坚持公开、公平、公正的原则，为阿坝州教育招考事业的发展做出积极贡献。阿坝州教育考试中心是州教育局直属正科级公益一类事业单位。主要</w:t>
      </w:r>
      <w:r>
        <w:rPr>
          <w:rFonts w:ascii="Times New Roman" w:hAnsi="Times New Roman" w:eastAsia="仿宋_GB2312"/>
          <w:b w:val="0"/>
          <w:bCs w:val="0"/>
          <w:caps w:val="0"/>
          <w:smallCaps w:val="0"/>
          <w:vanish w:val="0"/>
          <w:kern w:val="2"/>
          <w:sz w:val="32"/>
          <w:szCs w:val="32"/>
        </w:rPr>
        <w:t>负责全州高考、自考、成考、中考等各类国家教育考试政策贯彻落实、宣传解读、资格审核、考试组织等各项工作，负责高中阶段招生录取工作</w:t>
      </w:r>
      <w:r>
        <w:rPr>
          <w:rFonts w:ascii="Times New Roman" w:hAnsi="Times New Roman"/>
          <w:b w:val="0"/>
          <w:bCs w:val="0"/>
          <w:caps w:val="0"/>
          <w:smallCaps w:val="0"/>
          <w:vanish w:val="0"/>
          <w:kern w:val="2"/>
          <w:sz w:val="32"/>
          <w:szCs w:val="32"/>
        </w:rPr>
        <w:t>。</w:t>
      </w:r>
      <w:r>
        <w:rPr>
          <w:rFonts w:ascii="Times New Roman" w:hAnsi="Times New Roman" w:eastAsia="仿宋_GB2312"/>
          <w:b w:val="0"/>
          <w:bCs w:val="0"/>
          <w:caps w:val="0"/>
          <w:smallCaps w:val="0"/>
          <w:vanish w:val="0"/>
          <w:kern w:val="2"/>
          <w:sz w:val="32"/>
          <w:szCs w:val="32"/>
        </w:rPr>
        <w:t>受理、查证、核实、处理各类招生考试中发生的有关问题。</w:t>
      </w:r>
    </w:p>
    <w:p>
      <w:pPr>
        <w:keepNext w:val="0"/>
        <w:keepLines w:val="0"/>
        <w:widowControl/>
        <w:suppressLineNumbers w:val="0"/>
        <w:ind w:firstLine="642" w:firstLineChars="200"/>
        <w:jc w:val="both"/>
        <w:textAlignment w:val="center"/>
        <w:rPr>
          <w:rFonts w:hint="eastAsia" w:ascii="楷体_GB2312" w:hAnsi="楷体_GB2312" w:eastAsia="楷体_GB2312" w:cs="楷体_GB2312"/>
          <w:b/>
          <w:bCs/>
          <w:color w:val="auto"/>
          <w:spacing w:val="0"/>
          <w:kern w:val="2"/>
          <w:sz w:val="32"/>
          <w:szCs w:val="32"/>
          <w:lang w:val="en-US" w:eastAsia="zh-CN" w:bidi="ar-SA"/>
        </w:rPr>
      </w:pPr>
      <w:bookmarkStart w:id="4" w:name="_Toc29176"/>
      <w:bookmarkStart w:id="5" w:name="_Toc29500"/>
      <w:r>
        <w:rPr>
          <w:rFonts w:hint="eastAsia" w:ascii="楷体_GB2312" w:hAnsi="楷体_GB2312" w:eastAsia="楷体_GB2312" w:cs="楷体_GB2312"/>
          <w:b/>
          <w:bCs/>
          <w:color w:val="auto"/>
          <w:spacing w:val="0"/>
          <w:kern w:val="2"/>
          <w:sz w:val="32"/>
          <w:szCs w:val="32"/>
          <w:lang w:val="en-US" w:eastAsia="zh-CN" w:bidi="ar-SA"/>
        </w:rPr>
        <w:t>（二）</w:t>
      </w:r>
      <w:r>
        <w:rPr>
          <w:rFonts w:hint="default" w:ascii="楷体_GB2312" w:hAnsi="楷体_GB2312" w:eastAsia="楷体_GB2312" w:cs="楷体_GB2312"/>
          <w:b/>
          <w:bCs/>
          <w:color w:val="auto"/>
          <w:spacing w:val="0"/>
          <w:kern w:val="2"/>
          <w:sz w:val="32"/>
          <w:szCs w:val="32"/>
          <w:lang w:val="en-US" w:eastAsia="zh-CN" w:bidi="ar-SA"/>
        </w:rPr>
        <w:t>2026年</w:t>
      </w:r>
      <w:r>
        <w:rPr>
          <w:rFonts w:hint="eastAsia" w:ascii="楷体_GB2312" w:hAnsi="楷体_GB2312" w:eastAsia="楷体_GB2312" w:cs="楷体_GB2312"/>
          <w:b/>
          <w:bCs/>
          <w:color w:val="auto"/>
          <w:spacing w:val="0"/>
          <w:kern w:val="2"/>
          <w:sz w:val="32"/>
          <w:szCs w:val="32"/>
          <w:lang w:val="en-US" w:eastAsia="zh-CN" w:bidi="ar-SA"/>
        </w:rPr>
        <w:t>重点工作</w:t>
      </w:r>
      <w:bookmarkEnd w:id="4"/>
      <w:bookmarkEnd w:id="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rPr>
      </w:pPr>
      <w:r>
        <w:rPr>
          <w:rFonts w:hint="default"/>
        </w:rPr>
        <w:t>负责完成2026年全州高考综合改革、高中学业水平考试、综合素质评价、职业规划指导等工作。</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560" w:lineRule="exact"/>
        <w:ind w:firstLine="640" w:firstLineChars="200"/>
        <w:textAlignment w:val="auto"/>
      </w:pPr>
      <w:bookmarkStart w:id="6" w:name="_Toc18779"/>
      <w:bookmarkStart w:id="7" w:name="_Toc16679"/>
      <w:r>
        <w:rPr>
          <w:rFonts w:hint="eastAsia"/>
          <w:lang w:val="en-US" w:eastAsia="zh-CN"/>
        </w:rPr>
        <w:t>二、</w:t>
      </w:r>
      <w:r>
        <w:rPr>
          <w:rFonts w:hint="eastAsia"/>
        </w:rPr>
        <w:t>部门预算单位构成</w:t>
      </w:r>
      <w:bookmarkEnd w:id="6"/>
      <w:bookmarkEnd w:id="7"/>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阿坝州教育考试中心</w:t>
      </w:r>
      <w:r>
        <w:rPr>
          <w:rFonts w:hint="eastAsia" w:ascii="仿宋_GB2312" w:hAnsi="仿宋_GB2312" w:cs="仿宋_GB2312"/>
          <w:kern w:val="0"/>
          <w:sz w:val="32"/>
          <w:szCs w:val="32"/>
          <w:lang w:val="en-US" w:eastAsia="zh-CN" w:bidi="ar-SA"/>
        </w:rPr>
        <w:t>为阿坝州</w:t>
      </w:r>
      <w:r>
        <w:rPr>
          <w:rFonts w:hint="default" w:ascii="仿宋_GB2312" w:hAnsi="仿宋_GB2312" w:cs="仿宋_GB2312"/>
          <w:kern w:val="0"/>
          <w:sz w:val="32"/>
          <w:szCs w:val="32"/>
          <w:lang w:eastAsia="zh-CN" w:bidi="ar-SA"/>
        </w:rPr>
        <w:t>教育和体育</w:t>
      </w:r>
      <w:r>
        <w:rPr>
          <w:rFonts w:hint="eastAsia" w:ascii="仿宋_GB2312" w:hAnsi="仿宋_GB2312" w:cs="仿宋_GB2312"/>
          <w:kern w:val="0"/>
          <w:sz w:val="32"/>
          <w:szCs w:val="32"/>
          <w:lang w:val="en-US" w:eastAsia="zh-CN" w:bidi="ar-SA"/>
        </w:rPr>
        <w:t>局下属</w:t>
      </w:r>
      <w:r>
        <w:rPr>
          <w:rFonts w:hint="eastAsia" w:ascii="仿宋_GB2312" w:hAnsi="仿宋_GB2312" w:eastAsia="仿宋_GB2312" w:cs="仿宋_GB2312"/>
          <w:kern w:val="0"/>
          <w:sz w:val="32"/>
          <w:szCs w:val="32"/>
          <w:lang w:val="en-US" w:eastAsia="zh-CN" w:bidi="ar-SA"/>
        </w:rPr>
        <w:t>二级预算单位，属于</w:t>
      </w:r>
      <w:r>
        <w:rPr>
          <w:rFonts w:hint="eastAsia" w:ascii="仿宋_GB2312" w:hAnsi="仿宋_GB2312" w:cs="仿宋_GB2312"/>
          <w:kern w:val="0"/>
          <w:sz w:val="32"/>
          <w:szCs w:val="32"/>
          <w:lang w:val="en-US" w:eastAsia="zh-CN" w:bidi="ar-SA"/>
        </w:rPr>
        <w:t>公益一类</w:t>
      </w:r>
      <w:r>
        <w:rPr>
          <w:rFonts w:hint="eastAsia" w:ascii="仿宋_GB2312" w:hAnsi="仿宋_GB2312" w:eastAsia="仿宋_GB2312" w:cs="仿宋_GB2312"/>
          <w:kern w:val="0"/>
          <w:sz w:val="32"/>
          <w:szCs w:val="32"/>
          <w:lang w:val="en-US" w:eastAsia="zh-CN" w:bidi="ar-SA"/>
        </w:rPr>
        <w:t>事业单位。</w:t>
      </w:r>
    </w:p>
    <w:p>
      <w:pPr>
        <w:pStyle w:val="3"/>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0" w:firstLineChars="200"/>
        <w:textAlignment w:val="auto"/>
      </w:pPr>
      <w:bookmarkStart w:id="8" w:name="_Toc10493"/>
      <w:bookmarkStart w:id="9" w:name="_Toc25375"/>
      <w:r>
        <w:rPr>
          <w:rFonts w:hint="eastAsia"/>
        </w:rPr>
        <w:t>三、收支预算情况说明</w:t>
      </w:r>
      <w:bookmarkEnd w:id="8"/>
      <w:bookmarkEnd w:id="9"/>
    </w:p>
    <w:p>
      <w:pPr>
        <w:keepNext w:val="0"/>
        <w:keepLines w:val="0"/>
        <w:widowControl/>
        <w:suppressLineNumbers w:val="0"/>
        <w:ind w:firstLine="642" w:firstLineChars="200"/>
        <w:jc w:val="both"/>
        <w:textAlignment w:val="center"/>
        <w:rPr>
          <w:rFonts w:hint="eastAsia" w:ascii="楷体_GB2312" w:hAnsi="楷体_GB2312" w:eastAsia="楷体_GB2312" w:cs="楷体_GB2312"/>
          <w:b/>
          <w:bCs/>
          <w:color w:val="auto"/>
          <w:spacing w:val="0"/>
          <w:kern w:val="2"/>
          <w:sz w:val="32"/>
          <w:szCs w:val="32"/>
          <w:lang w:val="en-US" w:eastAsia="zh-CN" w:bidi="ar-SA"/>
        </w:rPr>
      </w:pPr>
      <w:bookmarkStart w:id="10" w:name="_Toc25539"/>
      <w:bookmarkStart w:id="11" w:name="_Toc29608"/>
      <w:r>
        <w:rPr>
          <w:rFonts w:hint="eastAsia" w:ascii="楷体_GB2312" w:hAnsi="楷体_GB2312" w:eastAsia="楷体_GB2312" w:cs="楷体_GB2312"/>
          <w:b/>
          <w:bCs/>
          <w:color w:val="auto"/>
          <w:spacing w:val="0"/>
          <w:kern w:val="2"/>
          <w:sz w:val="32"/>
          <w:szCs w:val="32"/>
          <w:lang w:val="en-US" w:eastAsia="zh-CN" w:bidi="ar-SA"/>
        </w:rPr>
        <w:t>（一）收入预算情况</w:t>
      </w:r>
      <w:bookmarkEnd w:id="10"/>
      <w:bookmarkEnd w:id="1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州教育考试中心</w:t>
      </w:r>
      <w:r>
        <w:rPr>
          <w:rFonts w:hint="default" w:ascii="仿宋_GB2312" w:hAnsi="仿宋_GB2312" w:cs="仿宋_GB2312"/>
          <w:kern w:val="0"/>
          <w:sz w:val="32"/>
          <w:szCs w:val="32"/>
          <w:lang w:eastAsia="zh-CN" w:bidi="ar-SA"/>
        </w:rPr>
        <w:t>2026年</w:t>
      </w:r>
      <w:r>
        <w:rPr>
          <w:rFonts w:hint="eastAsia" w:ascii="仿宋_GB2312" w:hAnsi="仿宋_GB2312" w:eastAsia="仿宋_GB2312" w:cs="仿宋_GB2312"/>
          <w:kern w:val="0"/>
          <w:sz w:val="32"/>
          <w:szCs w:val="32"/>
          <w:lang w:val="en-US" w:eastAsia="zh-CN" w:bidi="ar-SA"/>
        </w:rPr>
        <w:t>收入预算</w:t>
      </w:r>
      <w:r>
        <w:rPr>
          <w:rFonts w:hint="eastAsia" w:ascii="仿宋_GB2312" w:hAnsi="仿宋_GB2312" w:cs="仿宋_GB2312"/>
          <w:kern w:val="0"/>
          <w:sz w:val="32"/>
          <w:szCs w:val="32"/>
          <w:lang w:val="en-US" w:eastAsia="zh-CN" w:bidi="ar-SA"/>
        </w:rPr>
        <w:t>88.79</w:t>
      </w:r>
      <w:r>
        <w:rPr>
          <w:rFonts w:hint="eastAsia" w:ascii="仿宋_GB2312" w:hAnsi="仿宋_GB2312" w:eastAsia="仿宋_GB2312" w:cs="仿宋_GB2312"/>
          <w:kern w:val="0"/>
          <w:sz w:val="32"/>
          <w:szCs w:val="32"/>
          <w:lang w:val="en-US" w:eastAsia="zh-CN" w:bidi="ar-SA"/>
        </w:rPr>
        <w:t>万元，其中：上年结转0万元；一般公共预算拨款收入</w:t>
      </w:r>
      <w:r>
        <w:rPr>
          <w:rFonts w:hint="eastAsia" w:ascii="仿宋_GB2312" w:hAnsi="仿宋_GB2312" w:cs="仿宋_GB2312"/>
          <w:kern w:val="0"/>
          <w:sz w:val="32"/>
          <w:szCs w:val="32"/>
          <w:lang w:val="en-US" w:eastAsia="zh-CN" w:bidi="ar-SA"/>
        </w:rPr>
        <w:t>88.79</w:t>
      </w:r>
      <w:r>
        <w:rPr>
          <w:rFonts w:hint="eastAsia" w:ascii="仿宋_GB2312" w:hAnsi="仿宋_GB2312" w:eastAsia="仿宋_GB2312" w:cs="仿宋_GB2312"/>
          <w:kern w:val="0"/>
          <w:sz w:val="32"/>
          <w:szCs w:val="32"/>
          <w:lang w:val="en-US" w:eastAsia="zh-CN" w:bidi="ar-SA"/>
        </w:rPr>
        <w:t>万元，占100%；无事业收入；无其他收入。</w:t>
      </w:r>
    </w:p>
    <w:p>
      <w:pPr>
        <w:keepNext w:val="0"/>
        <w:keepLines w:val="0"/>
        <w:widowControl/>
        <w:suppressLineNumbers w:val="0"/>
        <w:ind w:firstLine="642" w:firstLineChars="200"/>
        <w:jc w:val="both"/>
        <w:textAlignment w:val="center"/>
        <w:rPr>
          <w:rFonts w:hint="eastAsia" w:ascii="楷体_GB2312" w:hAnsi="楷体_GB2312" w:eastAsia="楷体_GB2312" w:cs="楷体_GB2312"/>
          <w:b/>
          <w:bCs/>
          <w:color w:val="auto"/>
          <w:spacing w:val="0"/>
          <w:kern w:val="2"/>
          <w:sz w:val="32"/>
          <w:szCs w:val="32"/>
          <w:lang w:val="en-US" w:eastAsia="zh-CN" w:bidi="ar-SA"/>
        </w:rPr>
      </w:pPr>
      <w:bookmarkStart w:id="12" w:name="_Toc17952"/>
      <w:bookmarkStart w:id="13" w:name="_Toc20770"/>
      <w:r>
        <w:rPr>
          <w:rFonts w:hint="eastAsia" w:ascii="楷体_GB2312" w:hAnsi="楷体_GB2312" w:eastAsia="楷体_GB2312" w:cs="楷体_GB2312"/>
          <w:b/>
          <w:bCs/>
          <w:color w:val="auto"/>
          <w:spacing w:val="0"/>
          <w:kern w:val="2"/>
          <w:sz w:val="32"/>
          <w:szCs w:val="32"/>
          <w:lang w:val="en-US" w:eastAsia="zh-CN" w:bidi="ar-SA"/>
        </w:rPr>
        <w:t>（二）支出预算情况</w:t>
      </w:r>
      <w:bookmarkEnd w:id="12"/>
      <w:bookmarkEnd w:id="13"/>
      <w:bookmarkStart w:id="43" w:name="_GoBack"/>
      <w:bookmarkEnd w:id="4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州教育考试中心</w:t>
      </w:r>
      <w:r>
        <w:rPr>
          <w:rFonts w:hint="default" w:ascii="仿宋_GB2312" w:hAnsi="仿宋_GB2312" w:cs="仿宋_GB2312"/>
          <w:kern w:val="0"/>
          <w:sz w:val="32"/>
          <w:szCs w:val="32"/>
          <w:lang w:eastAsia="zh-CN" w:bidi="ar-SA"/>
        </w:rPr>
        <w:t>2026年</w:t>
      </w:r>
      <w:r>
        <w:rPr>
          <w:rFonts w:hint="eastAsia" w:ascii="仿宋_GB2312" w:hAnsi="仿宋_GB2312" w:eastAsia="仿宋_GB2312" w:cs="仿宋_GB2312"/>
          <w:kern w:val="0"/>
          <w:sz w:val="32"/>
          <w:szCs w:val="32"/>
          <w:lang w:val="en-US" w:eastAsia="zh-CN" w:bidi="ar-SA"/>
        </w:rPr>
        <w:t>支出预算</w:t>
      </w:r>
      <w:r>
        <w:rPr>
          <w:rFonts w:hint="default" w:ascii="仿宋_GB2312" w:hAnsi="仿宋_GB2312" w:cs="仿宋_GB2312"/>
          <w:kern w:val="0"/>
          <w:sz w:val="32"/>
          <w:szCs w:val="32"/>
          <w:lang w:eastAsia="zh-CN" w:bidi="ar-SA"/>
        </w:rPr>
        <w:t>481.91</w:t>
      </w:r>
      <w:r>
        <w:rPr>
          <w:rFonts w:hint="eastAsia" w:ascii="仿宋_GB2312" w:hAnsi="仿宋_GB2312" w:eastAsia="仿宋_GB2312" w:cs="仿宋_GB2312"/>
          <w:kern w:val="0"/>
          <w:sz w:val="32"/>
          <w:szCs w:val="32"/>
          <w:lang w:val="en-US" w:eastAsia="zh-CN" w:bidi="ar-SA"/>
        </w:rPr>
        <w:t>万元，其中：基本支出</w:t>
      </w:r>
      <w:r>
        <w:rPr>
          <w:rFonts w:hint="default" w:ascii="仿宋_GB2312" w:hAnsi="仿宋_GB2312" w:cs="仿宋_GB2312"/>
          <w:kern w:val="0"/>
          <w:sz w:val="32"/>
          <w:szCs w:val="32"/>
          <w:lang w:eastAsia="zh-CN" w:bidi="ar-SA"/>
        </w:rPr>
        <w:t>481.91</w:t>
      </w:r>
      <w:r>
        <w:rPr>
          <w:rFonts w:hint="eastAsia" w:ascii="仿宋_GB2312" w:hAnsi="仿宋_GB2312" w:eastAsia="仿宋_GB2312" w:cs="仿宋_GB2312"/>
          <w:kern w:val="0"/>
          <w:sz w:val="32"/>
          <w:szCs w:val="32"/>
          <w:lang w:val="en-US" w:eastAsia="zh-CN" w:bidi="ar-SA"/>
        </w:rPr>
        <w:t>万元，占100%；项目支出0万元，占0%。</w:t>
      </w:r>
    </w:p>
    <w:p>
      <w:pPr>
        <w:pStyle w:val="3"/>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0" w:firstLineChars="200"/>
        <w:textAlignment w:val="auto"/>
      </w:pPr>
      <w:bookmarkStart w:id="14" w:name="_Toc10682"/>
      <w:bookmarkStart w:id="15" w:name="_Toc4689"/>
      <w:r>
        <w:rPr>
          <w:rFonts w:hint="eastAsia"/>
        </w:rPr>
        <w:t>四、财政拨款收支预算情况说明</w:t>
      </w:r>
      <w:bookmarkEnd w:id="14"/>
      <w:bookmarkEnd w:id="1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州教育考试中心</w:t>
      </w:r>
      <w:r>
        <w:rPr>
          <w:rFonts w:hint="default" w:ascii="仿宋_GB2312" w:hAnsi="仿宋_GB2312" w:cs="仿宋_GB2312"/>
          <w:kern w:val="0"/>
          <w:sz w:val="32"/>
          <w:szCs w:val="32"/>
          <w:lang w:eastAsia="zh-CN" w:bidi="ar-SA"/>
        </w:rPr>
        <w:t>2026年</w:t>
      </w:r>
      <w:r>
        <w:rPr>
          <w:rFonts w:hint="eastAsia" w:ascii="仿宋_GB2312" w:hAnsi="仿宋_GB2312" w:eastAsia="仿宋_GB2312" w:cs="仿宋_GB2312"/>
          <w:kern w:val="0"/>
          <w:sz w:val="32"/>
          <w:szCs w:val="32"/>
          <w:lang w:val="en-US" w:eastAsia="zh-CN" w:bidi="ar-SA"/>
        </w:rPr>
        <w:t>财政拨款收支总预算</w:t>
      </w:r>
      <w:r>
        <w:rPr>
          <w:rFonts w:hint="default" w:ascii="仿宋_GB2312" w:hAnsi="仿宋_GB2312" w:cs="仿宋_GB2312"/>
          <w:kern w:val="0"/>
          <w:sz w:val="32"/>
          <w:szCs w:val="32"/>
          <w:lang w:eastAsia="zh-CN" w:bidi="ar-SA"/>
        </w:rPr>
        <w:t>481.91</w:t>
      </w:r>
      <w:r>
        <w:rPr>
          <w:rFonts w:hint="eastAsia" w:ascii="仿宋_GB2312" w:hAnsi="仿宋_GB2312" w:eastAsia="仿宋_GB2312" w:cs="仿宋_GB2312"/>
          <w:kern w:val="0"/>
          <w:sz w:val="32"/>
          <w:szCs w:val="32"/>
          <w:lang w:val="en-US" w:eastAsia="zh-CN" w:bidi="ar-SA"/>
        </w:rPr>
        <w:t>万元,比</w:t>
      </w:r>
      <w:r>
        <w:rPr>
          <w:rFonts w:hint="default" w:ascii="仿宋_GB2312" w:hAnsi="仿宋_GB2312" w:cs="仿宋_GB2312"/>
          <w:kern w:val="0"/>
          <w:sz w:val="32"/>
          <w:szCs w:val="32"/>
          <w:lang w:eastAsia="zh-CN" w:bidi="ar-SA"/>
        </w:rPr>
        <w:t>2025年</w:t>
      </w:r>
      <w:r>
        <w:rPr>
          <w:rFonts w:hint="eastAsia" w:ascii="仿宋_GB2312" w:hAnsi="仿宋_GB2312" w:eastAsia="仿宋_GB2312" w:cs="仿宋_GB2312"/>
          <w:kern w:val="0"/>
          <w:sz w:val="32"/>
          <w:szCs w:val="32"/>
          <w:lang w:val="en-US" w:eastAsia="zh-CN" w:bidi="ar-SA"/>
        </w:rPr>
        <w:t>财政拨款收支总预算增加</w:t>
      </w:r>
      <w:r>
        <w:rPr>
          <w:rFonts w:hint="default" w:ascii="仿宋_GB2312" w:hAnsi="仿宋_GB2312" w:cs="仿宋_GB2312"/>
          <w:kern w:val="0"/>
          <w:sz w:val="32"/>
          <w:szCs w:val="32"/>
          <w:lang w:eastAsia="zh-CN" w:bidi="ar-SA"/>
        </w:rPr>
        <w:t>393.12</w:t>
      </w:r>
      <w:r>
        <w:rPr>
          <w:rFonts w:hint="eastAsia" w:ascii="仿宋_GB2312" w:hAnsi="仿宋_GB2312" w:eastAsia="仿宋_GB2312" w:cs="仿宋_GB2312"/>
          <w:kern w:val="0"/>
          <w:sz w:val="32"/>
          <w:szCs w:val="32"/>
          <w:lang w:val="en-US" w:eastAsia="zh-CN" w:bidi="ar-SA"/>
        </w:rPr>
        <w:t>万元，</w:t>
      </w:r>
      <w:r>
        <w:rPr>
          <w:rFonts w:hint="eastAsia" w:ascii="仿宋_GB2312" w:hAnsi="仿宋_GB2312" w:eastAsia="仿宋_GB2312" w:cs="仿宋_GB2312"/>
          <w:color w:val="auto"/>
          <w:sz w:val="32"/>
          <w:szCs w:val="32"/>
        </w:rPr>
        <w:t>主要原因:</w:t>
      </w: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color w:val="auto"/>
          <w:sz w:val="32"/>
          <w:szCs w:val="32"/>
          <w:lang w:val="en-US" w:eastAsia="zh-CN"/>
        </w:rPr>
        <w:t>机构改革因素，本年度</w:t>
      </w:r>
      <w:r>
        <w:rPr>
          <w:rFonts w:hint="default" w:ascii="仿宋_GB2312" w:hAnsi="仿宋_GB2312" w:cs="仿宋_GB2312"/>
          <w:color w:val="auto"/>
          <w:sz w:val="32"/>
          <w:szCs w:val="32"/>
          <w:lang w:eastAsia="zh-CN"/>
        </w:rPr>
        <w:t>我中心新增两个机构</w:t>
      </w:r>
      <w:r>
        <w:rPr>
          <w:rFonts w:hint="eastAsia" w:ascii="仿宋_GB2312" w:hAnsi="仿宋_GB2312" w:eastAsia="仿宋_GB2312" w:cs="仿宋_GB2312"/>
          <w:color w:val="auto"/>
          <w:sz w:val="32"/>
          <w:szCs w:val="32"/>
          <w:lang w:val="en-US" w:eastAsia="zh-CN"/>
        </w:rPr>
        <w:t>，机构规模扩大直接推动部门预算增长；</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color w:val="auto"/>
          <w:sz w:val="32"/>
          <w:szCs w:val="32"/>
          <w:lang w:val="en-US" w:eastAsia="zh-CN"/>
        </w:rPr>
        <w:t>人员经费因素，随着</w:t>
      </w:r>
      <w:r>
        <w:rPr>
          <w:rFonts w:hint="default" w:cs="仿宋_GB2312"/>
          <w:color w:val="auto"/>
          <w:sz w:val="32"/>
          <w:szCs w:val="32"/>
          <w:lang w:eastAsia="zh-CN"/>
        </w:rPr>
        <w:t>机构增加，</w:t>
      </w:r>
      <w:r>
        <w:rPr>
          <w:rFonts w:hint="eastAsia" w:ascii="仿宋_GB2312" w:hAnsi="仿宋_GB2312" w:eastAsia="仿宋_GB2312" w:cs="仿宋_GB2312"/>
          <w:color w:val="auto"/>
          <w:sz w:val="32"/>
          <w:szCs w:val="32"/>
          <w:lang w:val="en-US" w:eastAsia="zh-CN"/>
        </w:rPr>
        <w:t>人员数量增加，工资、保险等相关费用同步上调。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收入包括：本年财政拨款收入</w:t>
      </w:r>
      <w:r>
        <w:rPr>
          <w:rFonts w:hint="default" w:ascii="仿宋_GB2312" w:hAnsi="仿宋_GB2312" w:cs="仿宋_GB2312"/>
          <w:kern w:val="0"/>
          <w:sz w:val="32"/>
          <w:szCs w:val="32"/>
          <w:lang w:eastAsia="zh-CN" w:bidi="ar-SA"/>
        </w:rPr>
        <w:t>481.91</w:t>
      </w:r>
      <w:r>
        <w:rPr>
          <w:rFonts w:hint="eastAsia" w:ascii="仿宋_GB2312" w:hAnsi="仿宋_GB2312" w:eastAsia="仿宋_GB2312" w:cs="仿宋_GB2312"/>
          <w:kern w:val="0"/>
          <w:sz w:val="32"/>
          <w:szCs w:val="32"/>
          <w:lang w:val="en-US" w:eastAsia="zh-CN" w:bidi="ar-SA"/>
        </w:rPr>
        <w:t>万元，上年结转财政拨款收入0万元，上年结转财政拨款资金0万元。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支出包括：教育支出339.43万元，社会保障和就业支出68.82万元，卫生健康支出30.66万元，住房保障支出</w:t>
      </w:r>
      <w:r>
        <w:rPr>
          <w:rFonts w:hint="eastAsia" w:ascii="仿宋_GB2312" w:hAnsi="仿宋_GB2312" w:cs="仿宋_GB2312"/>
          <w:kern w:val="0"/>
          <w:sz w:val="32"/>
          <w:szCs w:val="32"/>
          <w:lang w:val="en-US" w:eastAsia="zh-CN" w:bidi="ar-SA"/>
        </w:rPr>
        <w:t>43</w:t>
      </w:r>
      <w:r>
        <w:rPr>
          <w:rFonts w:hint="default" w:ascii="仿宋_GB2312" w:hAnsi="仿宋_GB2312" w:cs="仿宋_GB2312"/>
          <w:kern w:val="0"/>
          <w:sz w:val="32"/>
          <w:szCs w:val="32"/>
          <w:lang w:eastAsia="zh-CN" w:bidi="ar-SA"/>
        </w:rPr>
        <w:t>.00</w:t>
      </w:r>
      <w:r>
        <w:rPr>
          <w:rFonts w:hint="eastAsia" w:ascii="仿宋_GB2312" w:hAnsi="仿宋_GB2312" w:eastAsia="仿宋_GB2312" w:cs="仿宋_GB2312"/>
          <w:kern w:val="0"/>
          <w:sz w:val="32"/>
          <w:szCs w:val="32"/>
          <w:lang w:val="en-US" w:eastAsia="zh-CN" w:bidi="ar-SA"/>
        </w:rPr>
        <w:t>万元。</w:t>
      </w:r>
    </w:p>
    <w:p>
      <w:pPr>
        <w:pStyle w:val="3"/>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0" w:firstLineChars="200"/>
        <w:textAlignment w:val="auto"/>
      </w:pPr>
      <w:bookmarkStart w:id="16" w:name="_Toc22165"/>
      <w:bookmarkStart w:id="17" w:name="_Toc27983"/>
      <w:r>
        <w:rPr>
          <w:rFonts w:hint="eastAsia"/>
        </w:rPr>
        <w:t>五、一般公共预算当年拨款情况说明</w:t>
      </w:r>
      <w:bookmarkEnd w:id="16"/>
      <w:bookmarkEnd w:id="17"/>
    </w:p>
    <w:p>
      <w:pPr>
        <w:keepNext w:val="0"/>
        <w:keepLines w:val="0"/>
        <w:widowControl/>
        <w:suppressLineNumbers w:val="0"/>
        <w:ind w:firstLine="642" w:firstLineChars="200"/>
        <w:jc w:val="both"/>
        <w:textAlignment w:val="center"/>
        <w:rPr>
          <w:rFonts w:hint="eastAsia" w:ascii="楷体_GB2312" w:hAnsi="楷体_GB2312" w:eastAsia="楷体_GB2312" w:cs="楷体_GB2312"/>
          <w:b/>
          <w:bCs/>
          <w:color w:val="auto"/>
          <w:spacing w:val="0"/>
          <w:kern w:val="2"/>
          <w:sz w:val="32"/>
          <w:szCs w:val="32"/>
          <w:lang w:val="en-US" w:eastAsia="zh-CN" w:bidi="ar-SA"/>
        </w:rPr>
      </w:pPr>
      <w:bookmarkStart w:id="18" w:name="_Toc4448"/>
      <w:bookmarkStart w:id="19" w:name="_Toc20219"/>
      <w:r>
        <w:rPr>
          <w:rFonts w:hint="eastAsia" w:ascii="楷体_GB2312" w:hAnsi="楷体_GB2312" w:eastAsia="楷体_GB2312" w:cs="楷体_GB2312"/>
          <w:b/>
          <w:bCs/>
          <w:color w:val="auto"/>
          <w:spacing w:val="0"/>
          <w:kern w:val="2"/>
          <w:sz w:val="32"/>
          <w:szCs w:val="32"/>
          <w:lang w:val="en-US" w:eastAsia="zh-CN" w:bidi="ar-SA"/>
        </w:rPr>
        <w:t>（一）一般公共预算当年拨款规模变化情况</w:t>
      </w:r>
      <w:bookmarkEnd w:id="18"/>
      <w:bookmarkEnd w:id="19"/>
    </w:p>
    <w:p>
      <w:pPr>
        <w:pStyle w:val="20"/>
        <w:keepNext w:val="0"/>
        <w:keepLines w:val="0"/>
        <w:pageBreakBefore w:val="0"/>
        <w:widowControl w:val="0"/>
        <w:kinsoku/>
        <w:wordWrap/>
        <w:overflowPunct/>
        <w:topLinePunct w:val="0"/>
        <w:autoSpaceDE/>
        <w:autoSpaceDN/>
        <w:bidi w:val="0"/>
        <w:adjustRightInd/>
        <w:snapToGrid/>
        <w:spacing w:before="0" w:line="560" w:lineRule="exact"/>
        <w:ind w:firstLine="66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州教育考试中心</w:t>
      </w:r>
      <w:r>
        <w:rPr>
          <w:rFonts w:hint="default" w:cs="仿宋_GB2312"/>
          <w:kern w:val="0"/>
          <w:sz w:val="32"/>
          <w:szCs w:val="32"/>
          <w:lang w:eastAsia="zh-CN" w:bidi="ar-SA"/>
        </w:rPr>
        <w:t>2026年</w:t>
      </w:r>
      <w:r>
        <w:rPr>
          <w:rFonts w:hint="eastAsia" w:ascii="仿宋_GB2312" w:hAnsi="仿宋_GB2312" w:eastAsia="仿宋_GB2312" w:cs="仿宋_GB2312"/>
          <w:kern w:val="0"/>
          <w:sz w:val="32"/>
          <w:szCs w:val="32"/>
          <w:lang w:val="en-US" w:eastAsia="zh-CN" w:bidi="ar-SA"/>
        </w:rPr>
        <w:t>一般公共预算当年拨款</w:t>
      </w:r>
      <w:r>
        <w:rPr>
          <w:rFonts w:hint="eastAsia" w:ascii="仿宋_GB2312" w:hAnsi="仿宋_GB2312" w:eastAsia="仿宋_GB2312" w:cs="仿宋_GB2312"/>
          <w:color w:val="auto"/>
          <w:kern w:val="2"/>
          <w:sz w:val="32"/>
          <w:szCs w:val="32"/>
          <w:lang w:val="en-US" w:eastAsia="zh-CN" w:bidi="ar-SA"/>
        </w:rPr>
        <w:t>收支总预算</w:t>
      </w:r>
      <w:r>
        <w:rPr>
          <w:rFonts w:hint="default" w:cs="仿宋_GB2312"/>
          <w:kern w:val="0"/>
          <w:sz w:val="32"/>
          <w:szCs w:val="32"/>
          <w:lang w:eastAsia="zh-CN" w:bidi="ar-SA"/>
        </w:rPr>
        <w:t>481.91</w:t>
      </w:r>
      <w:r>
        <w:rPr>
          <w:rFonts w:hint="eastAsia" w:ascii="仿宋_GB2312" w:hAnsi="仿宋_GB2312" w:eastAsia="仿宋_GB2312" w:cs="仿宋_GB2312"/>
          <w:kern w:val="0"/>
          <w:sz w:val="32"/>
          <w:szCs w:val="32"/>
          <w:lang w:val="en-US" w:eastAsia="zh-CN" w:bidi="ar-SA"/>
        </w:rPr>
        <w:t>万元，比</w:t>
      </w:r>
      <w:r>
        <w:rPr>
          <w:rFonts w:hint="default" w:cs="仿宋_GB2312"/>
          <w:kern w:val="0"/>
          <w:sz w:val="32"/>
          <w:szCs w:val="32"/>
          <w:lang w:eastAsia="zh-CN" w:bidi="ar-SA"/>
        </w:rPr>
        <w:t>2025年</w:t>
      </w:r>
      <w:r>
        <w:rPr>
          <w:rFonts w:hint="eastAsia" w:ascii="仿宋_GB2312" w:hAnsi="仿宋_GB2312" w:eastAsia="仿宋_GB2312" w:cs="仿宋_GB2312"/>
          <w:kern w:val="0"/>
          <w:sz w:val="32"/>
          <w:szCs w:val="32"/>
          <w:lang w:val="en-US" w:eastAsia="zh-CN" w:bidi="ar-SA"/>
        </w:rPr>
        <w:t>一般公共预算当年拨款</w:t>
      </w:r>
      <w:r>
        <w:rPr>
          <w:rFonts w:hint="eastAsia" w:ascii="仿宋_GB2312" w:hAnsi="仿宋_GB2312" w:eastAsia="仿宋_GB2312" w:cs="仿宋_GB2312"/>
          <w:color w:val="auto"/>
          <w:kern w:val="2"/>
          <w:sz w:val="32"/>
          <w:szCs w:val="32"/>
          <w:lang w:val="en-US" w:eastAsia="zh-CN" w:bidi="ar-SA"/>
        </w:rPr>
        <w:t>收支总预算</w:t>
      </w:r>
      <w:r>
        <w:rPr>
          <w:rFonts w:hint="default" w:ascii="仿宋_GB2312" w:hAnsi="仿宋_GB2312" w:cs="仿宋_GB2312"/>
          <w:kern w:val="0"/>
          <w:sz w:val="32"/>
          <w:szCs w:val="32"/>
          <w:lang w:eastAsia="zh-CN" w:bidi="ar-SA"/>
        </w:rPr>
        <w:t>393.12</w:t>
      </w:r>
      <w:r>
        <w:rPr>
          <w:rFonts w:hint="eastAsia" w:ascii="仿宋_GB2312" w:hAnsi="仿宋_GB2312" w:eastAsia="仿宋_GB2312" w:cs="仿宋_GB2312"/>
          <w:kern w:val="0"/>
          <w:sz w:val="32"/>
          <w:szCs w:val="32"/>
          <w:lang w:val="en-US" w:eastAsia="zh-CN" w:bidi="ar-SA"/>
        </w:rPr>
        <w:t>万元，</w:t>
      </w:r>
      <w:r>
        <w:rPr>
          <w:rFonts w:hint="eastAsia" w:ascii="仿宋_GB2312" w:hAnsi="仿宋_GB2312" w:eastAsia="仿宋_GB2312" w:cs="仿宋_GB2312"/>
          <w:color w:val="auto"/>
          <w:sz w:val="32"/>
          <w:szCs w:val="32"/>
        </w:rPr>
        <w:t>主要原因:</w:t>
      </w: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color w:val="auto"/>
          <w:sz w:val="32"/>
          <w:szCs w:val="32"/>
          <w:lang w:val="en-US" w:eastAsia="zh-CN"/>
        </w:rPr>
        <w:t>机构改革因素，本年度</w:t>
      </w:r>
      <w:r>
        <w:rPr>
          <w:rFonts w:hint="default" w:ascii="仿宋_GB2312" w:hAnsi="仿宋_GB2312" w:cs="仿宋_GB2312"/>
          <w:color w:val="auto"/>
          <w:sz w:val="32"/>
          <w:szCs w:val="32"/>
          <w:lang w:eastAsia="zh-CN"/>
        </w:rPr>
        <w:t>我中心新增两个机构</w:t>
      </w:r>
      <w:r>
        <w:rPr>
          <w:rFonts w:hint="eastAsia" w:ascii="仿宋_GB2312" w:hAnsi="仿宋_GB2312" w:eastAsia="仿宋_GB2312" w:cs="仿宋_GB2312"/>
          <w:color w:val="auto"/>
          <w:sz w:val="32"/>
          <w:szCs w:val="32"/>
          <w:lang w:val="en-US" w:eastAsia="zh-CN"/>
        </w:rPr>
        <w:t>，机构规模扩大直接推动部门预算增长；</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color w:val="auto"/>
          <w:sz w:val="32"/>
          <w:szCs w:val="32"/>
          <w:lang w:val="en-US" w:eastAsia="zh-CN"/>
        </w:rPr>
        <w:t>人员经费因素，随着</w:t>
      </w:r>
      <w:r>
        <w:rPr>
          <w:rFonts w:hint="default" w:cs="仿宋_GB2312"/>
          <w:color w:val="auto"/>
          <w:sz w:val="32"/>
          <w:szCs w:val="32"/>
          <w:lang w:eastAsia="zh-CN"/>
        </w:rPr>
        <w:t>机构增加</w:t>
      </w:r>
      <w:r>
        <w:rPr>
          <w:rFonts w:hint="eastAsia" w:ascii="仿宋_GB2312" w:hAnsi="仿宋_GB2312" w:eastAsia="仿宋_GB2312" w:cs="仿宋_GB2312"/>
          <w:color w:val="auto"/>
          <w:sz w:val="32"/>
          <w:szCs w:val="32"/>
          <w:lang w:val="en-US" w:eastAsia="zh-CN"/>
        </w:rPr>
        <w:t>人员数量增加，工资、保险等相关费用同步上调。</w:t>
      </w:r>
    </w:p>
    <w:p>
      <w:pPr>
        <w:keepNext w:val="0"/>
        <w:keepLines w:val="0"/>
        <w:widowControl/>
        <w:suppressLineNumbers w:val="0"/>
        <w:ind w:firstLine="642" w:firstLineChars="200"/>
        <w:jc w:val="both"/>
        <w:textAlignment w:val="center"/>
        <w:rPr>
          <w:rFonts w:hint="eastAsia" w:ascii="楷体_GB2312" w:hAnsi="楷体_GB2312" w:eastAsia="楷体_GB2312" w:cs="楷体_GB2312"/>
          <w:b/>
          <w:bCs/>
          <w:color w:val="auto"/>
          <w:spacing w:val="0"/>
          <w:kern w:val="2"/>
          <w:sz w:val="32"/>
          <w:szCs w:val="32"/>
          <w:lang w:val="en-US" w:eastAsia="zh-CN" w:bidi="ar-SA"/>
        </w:rPr>
      </w:pPr>
      <w:bookmarkStart w:id="20" w:name="_Toc5117"/>
      <w:bookmarkStart w:id="21" w:name="_Toc5913"/>
      <w:r>
        <w:rPr>
          <w:rFonts w:hint="eastAsia" w:ascii="楷体_GB2312" w:hAnsi="楷体_GB2312" w:eastAsia="楷体_GB2312" w:cs="楷体_GB2312"/>
          <w:b/>
          <w:bCs/>
          <w:color w:val="auto"/>
          <w:spacing w:val="0"/>
          <w:kern w:val="2"/>
          <w:sz w:val="32"/>
          <w:szCs w:val="32"/>
          <w:lang w:val="en-US" w:eastAsia="zh-CN" w:bidi="ar-SA"/>
        </w:rPr>
        <w:t>（二）一般公共预算当年拨款结构情况</w:t>
      </w:r>
      <w:bookmarkEnd w:id="20"/>
      <w:bookmarkEnd w:id="21"/>
    </w:p>
    <w:p>
      <w:pPr>
        <w:pStyle w:val="20"/>
        <w:keepNext w:val="0"/>
        <w:keepLines w:val="0"/>
        <w:pageBreakBefore w:val="0"/>
        <w:widowControl w:val="0"/>
        <w:kinsoku/>
        <w:wordWrap/>
        <w:overflowPunct/>
        <w:topLinePunct w:val="0"/>
        <w:autoSpaceDE/>
        <w:autoSpaceDN/>
        <w:bidi w:val="0"/>
        <w:adjustRightInd/>
        <w:snapToGrid/>
        <w:spacing w:before="0" w:line="560" w:lineRule="exact"/>
        <w:ind w:firstLine="640" w:firstLineChars="200"/>
        <w:jc w:val="left"/>
        <w:textAlignment w:val="auto"/>
        <w:rPr>
          <w:rFonts w:hint="default" w:ascii="仿宋_GB2312" w:hAnsi="仿宋_GB2312" w:eastAsia="仿宋_GB2312" w:cs="仿宋_GB2312"/>
          <w:kern w:val="0"/>
          <w:sz w:val="32"/>
          <w:szCs w:val="32"/>
          <w:lang w:eastAsia="zh-CN" w:bidi="ar-SA"/>
        </w:rPr>
      </w:pPr>
      <w:r>
        <w:rPr>
          <w:rFonts w:hint="eastAsia" w:ascii="仿宋_GB2312" w:hAnsi="仿宋_GB2312" w:eastAsia="仿宋_GB2312" w:cs="仿宋_GB2312"/>
          <w:kern w:val="0"/>
          <w:sz w:val="32"/>
          <w:szCs w:val="32"/>
          <w:lang w:val="en-US" w:eastAsia="zh-CN" w:bidi="ar-SA"/>
        </w:rPr>
        <w:t>教育支出339.43万元，</w:t>
      </w:r>
      <w:r>
        <w:rPr>
          <w:rFonts w:hint="eastAsia" w:cs="宋体"/>
          <w:sz w:val="32"/>
          <w:szCs w:val="32"/>
        </w:rPr>
        <w:t>占</w:t>
      </w:r>
      <w:r>
        <w:rPr>
          <w:rFonts w:hint="default" w:cs="宋体"/>
          <w:sz w:val="32"/>
          <w:szCs w:val="32"/>
        </w:rPr>
        <w:t>70.43</w:t>
      </w:r>
      <w:r>
        <w:rPr>
          <w:rFonts w:hint="eastAsia" w:cs="宋体"/>
          <w:sz w:val="32"/>
          <w:szCs w:val="32"/>
        </w:rPr>
        <w:t>%</w:t>
      </w:r>
      <w:r>
        <w:rPr>
          <w:rFonts w:hint="default" w:cs="宋体"/>
          <w:sz w:val="32"/>
          <w:szCs w:val="32"/>
        </w:rPr>
        <w:t>；</w:t>
      </w:r>
      <w:r>
        <w:rPr>
          <w:rFonts w:hint="eastAsia" w:ascii="仿宋_GB2312" w:hAnsi="仿宋_GB2312" w:eastAsia="仿宋_GB2312" w:cs="仿宋_GB2312"/>
          <w:kern w:val="0"/>
          <w:sz w:val="32"/>
          <w:szCs w:val="32"/>
          <w:lang w:val="en-US" w:eastAsia="zh-CN" w:bidi="ar-SA"/>
        </w:rPr>
        <w:t>社会保障和就业支出68.82万元，</w:t>
      </w:r>
      <w:r>
        <w:rPr>
          <w:rFonts w:hint="eastAsia" w:cs="宋体"/>
          <w:sz w:val="32"/>
          <w:szCs w:val="32"/>
        </w:rPr>
        <w:t>占</w:t>
      </w:r>
      <w:r>
        <w:rPr>
          <w:rFonts w:hint="default" w:cs="宋体"/>
          <w:sz w:val="32"/>
          <w:szCs w:val="32"/>
        </w:rPr>
        <w:t>14.28</w:t>
      </w:r>
      <w:r>
        <w:rPr>
          <w:rFonts w:hint="eastAsia" w:cs="宋体"/>
          <w:sz w:val="32"/>
          <w:szCs w:val="32"/>
        </w:rPr>
        <w:t>%</w:t>
      </w:r>
      <w:r>
        <w:rPr>
          <w:rFonts w:hint="default" w:cs="宋体"/>
          <w:sz w:val="32"/>
          <w:szCs w:val="32"/>
        </w:rPr>
        <w:t>；</w:t>
      </w:r>
      <w:r>
        <w:rPr>
          <w:rFonts w:hint="eastAsia" w:ascii="仿宋_GB2312" w:hAnsi="仿宋_GB2312" w:eastAsia="仿宋_GB2312" w:cs="仿宋_GB2312"/>
          <w:kern w:val="0"/>
          <w:sz w:val="32"/>
          <w:szCs w:val="32"/>
          <w:lang w:val="en-US" w:eastAsia="zh-CN" w:bidi="ar-SA"/>
        </w:rPr>
        <w:t>卫生健康支出30.66万元，</w:t>
      </w:r>
      <w:r>
        <w:rPr>
          <w:rFonts w:hint="eastAsia" w:cs="宋体"/>
          <w:sz w:val="32"/>
          <w:szCs w:val="32"/>
        </w:rPr>
        <w:t>占</w:t>
      </w:r>
      <w:r>
        <w:rPr>
          <w:rFonts w:hint="default" w:cs="宋体"/>
          <w:sz w:val="32"/>
          <w:szCs w:val="32"/>
        </w:rPr>
        <w:t>6.36</w:t>
      </w:r>
      <w:r>
        <w:rPr>
          <w:rFonts w:hint="eastAsia" w:cs="宋体"/>
          <w:sz w:val="32"/>
          <w:szCs w:val="32"/>
        </w:rPr>
        <w:t>%</w:t>
      </w:r>
      <w:r>
        <w:rPr>
          <w:rFonts w:hint="default" w:cs="宋体"/>
          <w:sz w:val="32"/>
          <w:szCs w:val="32"/>
        </w:rPr>
        <w:t>；</w:t>
      </w:r>
      <w:r>
        <w:rPr>
          <w:rFonts w:hint="eastAsia" w:ascii="仿宋_GB2312" w:hAnsi="仿宋_GB2312" w:eastAsia="仿宋_GB2312" w:cs="仿宋_GB2312"/>
          <w:kern w:val="0"/>
          <w:sz w:val="32"/>
          <w:szCs w:val="32"/>
          <w:lang w:val="en-US" w:eastAsia="zh-CN" w:bidi="ar-SA"/>
        </w:rPr>
        <w:t>住房保障支出</w:t>
      </w:r>
      <w:r>
        <w:rPr>
          <w:rFonts w:hint="eastAsia" w:ascii="仿宋_GB2312" w:hAnsi="仿宋_GB2312" w:cs="仿宋_GB2312"/>
          <w:kern w:val="0"/>
          <w:sz w:val="32"/>
          <w:szCs w:val="32"/>
          <w:lang w:val="en-US" w:eastAsia="zh-CN" w:bidi="ar-SA"/>
        </w:rPr>
        <w:t>43</w:t>
      </w:r>
      <w:r>
        <w:rPr>
          <w:rFonts w:hint="default" w:cs="仿宋_GB2312"/>
          <w:kern w:val="0"/>
          <w:sz w:val="32"/>
          <w:szCs w:val="32"/>
          <w:lang w:eastAsia="zh-CN" w:bidi="ar-SA"/>
        </w:rPr>
        <w:t>.00</w:t>
      </w:r>
      <w:r>
        <w:rPr>
          <w:rFonts w:hint="eastAsia" w:ascii="仿宋_GB2312" w:hAnsi="仿宋_GB2312" w:eastAsia="仿宋_GB2312" w:cs="仿宋_GB2312"/>
          <w:kern w:val="0"/>
          <w:sz w:val="32"/>
          <w:szCs w:val="32"/>
          <w:lang w:val="en-US" w:eastAsia="zh-CN" w:bidi="ar-SA"/>
        </w:rPr>
        <w:t>万元</w:t>
      </w:r>
      <w:r>
        <w:rPr>
          <w:rFonts w:hint="default" w:cs="仿宋_GB2312"/>
          <w:kern w:val="0"/>
          <w:sz w:val="32"/>
          <w:szCs w:val="32"/>
          <w:lang w:eastAsia="zh-CN" w:bidi="ar-SA"/>
        </w:rPr>
        <w:t>，</w:t>
      </w:r>
      <w:r>
        <w:rPr>
          <w:rFonts w:hint="eastAsia" w:cs="宋体"/>
          <w:sz w:val="32"/>
          <w:szCs w:val="32"/>
        </w:rPr>
        <w:t>占</w:t>
      </w:r>
      <w:r>
        <w:rPr>
          <w:rFonts w:hint="default" w:cs="宋体"/>
          <w:sz w:val="32"/>
          <w:szCs w:val="32"/>
        </w:rPr>
        <w:t>8.92</w:t>
      </w:r>
      <w:r>
        <w:rPr>
          <w:rFonts w:hint="eastAsia" w:cs="宋体"/>
          <w:sz w:val="32"/>
          <w:szCs w:val="32"/>
        </w:rPr>
        <w:t>%</w:t>
      </w:r>
      <w:r>
        <w:rPr>
          <w:rFonts w:hint="default" w:cs="宋体"/>
          <w:sz w:val="32"/>
          <w:szCs w:val="32"/>
        </w:rPr>
        <w:t>。</w:t>
      </w:r>
    </w:p>
    <w:p>
      <w:pPr>
        <w:keepNext w:val="0"/>
        <w:keepLines w:val="0"/>
        <w:widowControl/>
        <w:suppressLineNumbers w:val="0"/>
        <w:ind w:firstLine="642" w:firstLineChars="200"/>
        <w:jc w:val="both"/>
        <w:textAlignment w:val="center"/>
        <w:rPr>
          <w:rFonts w:hint="eastAsia" w:ascii="楷体_GB2312" w:hAnsi="楷体_GB2312" w:eastAsia="楷体_GB2312" w:cs="楷体_GB2312"/>
          <w:b/>
          <w:bCs/>
          <w:color w:val="auto"/>
          <w:spacing w:val="0"/>
          <w:kern w:val="2"/>
          <w:sz w:val="32"/>
          <w:szCs w:val="32"/>
          <w:lang w:val="en-US" w:eastAsia="zh-CN" w:bidi="ar-SA"/>
        </w:rPr>
      </w:pPr>
      <w:bookmarkStart w:id="22" w:name="_Toc21991"/>
      <w:bookmarkStart w:id="23" w:name="_Toc24642"/>
      <w:r>
        <w:rPr>
          <w:rFonts w:hint="eastAsia" w:ascii="楷体_GB2312" w:hAnsi="楷体_GB2312" w:eastAsia="楷体_GB2312" w:cs="楷体_GB2312"/>
          <w:b/>
          <w:bCs/>
          <w:color w:val="auto"/>
          <w:spacing w:val="0"/>
          <w:kern w:val="2"/>
          <w:sz w:val="32"/>
          <w:szCs w:val="32"/>
          <w:lang w:val="en-US" w:eastAsia="zh-CN" w:bidi="ar-SA"/>
        </w:rPr>
        <w:t>（三）一般公共预算当年拨款具体使用情况</w:t>
      </w:r>
      <w:bookmarkEnd w:id="22"/>
      <w:bookmarkEnd w:id="23"/>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1.教育支出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其他普通教育支出（2050299）</w:t>
      </w:r>
      <w:r>
        <w:rPr>
          <w:rFonts w:hint="eastAsia" w:ascii="仿宋_GB2312" w:hAnsi="方正仿宋_GBK" w:eastAsia="仿宋_GB2312" w:cs="方正仿宋_GBK"/>
          <w:kern w:val="0"/>
          <w:sz w:val="32"/>
          <w:szCs w:val="32"/>
        </w:rPr>
        <w:t>202</w:t>
      </w:r>
      <w:r>
        <w:rPr>
          <w:rFonts w:hint="default" w:ascii="仿宋_GB2312" w:hAnsi="方正仿宋_GBK" w:cs="方正仿宋_GBK"/>
          <w:kern w:val="0"/>
          <w:sz w:val="32"/>
          <w:szCs w:val="32"/>
        </w:rPr>
        <w:t>6</w:t>
      </w:r>
      <w:r>
        <w:rPr>
          <w:rFonts w:hint="eastAsia" w:ascii="仿宋_GB2312" w:hAnsi="方正仿宋_GBK" w:eastAsia="仿宋_GB2312" w:cs="方正仿宋_GBK"/>
          <w:kern w:val="0"/>
          <w:sz w:val="32"/>
          <w:szCs w:val="32"/>
        </w:rPr>
        <w:t>年预算数为</w:t>
      </w:r>
      <w:r>
        <w:rPr>
          <w:rFonts w:hint="eastAsia" w:ascii="仿宋_GB2312" w:hAnsi="仿宋_GB2312" w:cs="仿宋_GB2312"/>
          <w:kern w:val="0"/>
          <w:sz w:val="32"/>
          <w:szCs w:val="32"/>
          <w:lang w:val="en-US" w:eastAsia="zh-CN" w:bidi="ar-SA"/>
        </w:rPr>
        <w:t>339.43</w:t>
      </w:r>
      <w:r>
        <w:rPr>
          <w:rFonts w:hint="eastAsia" w:ascii="仿宋_GB2312" w:hAnsi="仿宋_GB2312" w:eastAsia="仿宋_GB2312" w:cs="仿宋_GB2312"/>
          <w:kern w:val="0"/>
          <w:sz w:val="32"/>
          <w:szCs w:val="32"/>
          <w:lang w:val="en-US" w:eastAsia="zh-CN" w:bidi="ar-SA"/>
        </w:rPr>
        <w:t>万元，</w:t>
      </w:r>
      <w:r>
        <w:rPr>
          <w:rFonts w:hint="default" w:ascii="仿宋_GB2312" w:hAnsi="仿宋_GB2312" w:cs="仿宋_GB2312"/>
          <w:kern w:val="0"/>
          <w:sz w:val="32"/>
          <w:szCs w:val="32"/>
          <w:lang w:eastAsia="zh-CN" w:bidi="ar-SA"/>
        </w:rPr>
        <w:t>主要</w:t>
      </w:r>
      <w:r>
        <w:rPr>
          <w:rFonts w:hint="eastAsia" w:ascii="仿宋_GB2312" w:hAnsi="仿宋_GB2312" w:eastAsia="仿宋_GB2312" w:cs="仿宋_GB2312"/>
          <w:kern w:val="0"/>
          <w:sz w:val="32"/>
          <w:szCs w:val="32"/>
          <w:lang w:val="en-US" w:eastAsia="zh-CN" w:bidi="ar-SA"/>
        </w:rPr>
        <w:t>用于</w:t>
      </w:r>
      <w:r>
        <w:rPr>
          <w:rFonts w:hint="default" w:ascii="仿宋_GB2312" w:hAnsi="仿宋_GB2312" w:cs="仿宋_GB2312"/>
          <w:kern w:val="0"/>
          <w:sz w:val="32"/>
          <w:szCs w:val="32"/>
          <w:lang w:eastAsia="zh-CN" w:bidi="ar-SA"/>
        </w:rPr>
        <w:t>事业</w:t>
      </w:r>
      <w:r>
        <w:rPr>
          <w:rFonts w:hint="eastAsia" w:ascii="仿宋_GB2312" w:hAnsi="仿宋_GB2312" w:eastAsia="仿宋_GB2312" w:cs="仿宋_GB2312"/>
          <w:kern w:val="0"/>
          <w:sz w:val="32"/>
          <w:szCs w:val="32"/>
          <w:lang w:val="en-US" w:eastAsia="zh-CN" w:bidi="ar-SA"/>
        </w:rPr>
        <w:t>职工工资</w:t>
      </w:r>
      <w:r>
        <w:rPr>
          <w:rFonts w:hint="eastAsia" w:ascii="仿宋_GB2312" w:hAnsi="方正仿宋_GBK" w:eastAsia="仿宋_GB2312" w:cs="方正仿宋_GBK"/>
          <w:kern w:val="0"/>
          <w:sz w:val="32"/>
          <w:szCs w:val="32"/>
        </w:rPr>
        <w:t>工资福利支出，单位日常公用经费等支出。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kern w:val="0"/>
          <w:sz w:val="32"/>
          <w:szCs w:val="32"/>
          <w:lang w:val="en-US" w:eastAsia="zh-CN" w:bidi="ar-SA"/>
        </w:rPr>
      </w:pPr>
      <w:r>
        <w:rPr>
          <w:rFonts w:hint="default" w:ascii="仿宋_GB2312" w:hAnsi="仿宋_GB2312" w:cs="仿宋_GB2312"/>
          <w:b/>
          <w:bCs/>
          <w:kern w:val="0"/>
          <w:sz w:val="32"/>
          <w:szCs w:val="32"/>
          <w:lang w:eastAsia="zh-CN" w:bidi="ar-SA"/>
        </w:rPr>
        <w:t>2.</w:t>
      </w:r>
      <w:r>
        <w:rPr>
          <w:rFonts w:hint="eastAsia" w:ascii="仿宋_GB2312" w:hAnsi="仿宋_GB2312" w:eastAsia="仿宋_GB2312" w:cs="仿宋_GB2312"/>
          <w:b/>
          <w:bCs/>
          <w:kern w:val="0"/>
          <w:sz w:val="32"/>
          <w:szCs w:val="32"/>
          <w:lang w:val="en-US" w:eastAsia="zh-CN" w:bidi="ar-SA"/>
        </w:rPr>
        <w:t>社会保障和就业支出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3"/>
        <w:textAlignment w:val="auto"/>
        <w:rPr>
          <w:rFonts w:hint="default" w:ascii="仿宋_GB2312" w:hAnsi="方正仿宋_GBK" w:eastAsia="仿宋_GB2312" w:cs="方正仿宋_GBK"/>
          <w:kern w:val="0"/>
          <w:sz w:val="32"/>
          <w:szCs w:val="32"/>
        </w:rPr>
      </w:pPr>
      <w:r>
        <w:rPr>
          <w:rFonts w:hint="eastAsia" w:ascii="仿宋_GB2312" w:hAnsi="仿宋_GB2312" w:eastAsia="仿宋_GB2312" w:cs="仿宋_GB2312"/>
          <w:kern w:val="0"/>
          <w:sz w:val="32"/>
          <w:szCs w:val="32"/>
          <w:lang w:val="en-US" w:eastAsia="zh-CN" w:bidi="ar-SA"/>
        </w:rPr>
        <w:t>机关事业单位基本养老保险缴费支出（208050</w:t>
      </w:r>
      <w:r>
        <w:rPr>
          <w:rFonts w:hint="eastAsia" w:ascii="仿宋_GB2312" w:hAnsi="仿宋_GB2312" w:cs="仿宋_GB2312"/>
          <w:kern w:val="0"/>
          <w:sz w:val="32"/>
          <w:szCs w:val="32"/>
          <w:lang w:val="en-US" w:eastAsia="zh-CN" w:bidi="ar-SA"/>
        </w:rPr>
        <w:t>5</w:t>
      </w:r>
      <w:r>
        <w:rPr>
          <w:rFonts w:hint="eastAsia" w:ascii="仿宋_GB2312" w:hAnsi="仿宋_GB2312" w:eastAsia="仿宋_GB2312" w:cs="仿宋_GB2312"/>
          <w:kern w:val="0"/>
          <w:sz w:val="32"/>
          <w:szCs w:val="32"/>
          <w:lang w:val="en-US" w:eastAsia="zh-CN" w:bidi="ar-SA"/>
        </w:rPr>
        <w:t>）</w:t>
      </w:r>
      <w:r>
        <w:rPr>
          <w:rFonts w:hint="eastAsia" w:ascii="仿宋_GB2312" w:hAnsi="方正仿宋_GBK" w:eastAsia="仿宋_GB2312" w:cs="方正仿宋_GBK"/>
          <w:kern w:val="0"/>
          <w:sz w:val="32"/>
          <w:szCs w:val="32"/>
        </w:rPr>
        <w:t>202</w:t>
      </w:r>
      <w:r>
        <w:rPr>
          <w:rFonts w:hint="default" w:ascii="仿宋_GB2312" w:hAnsi="方正仿宋_GBK" w:cs="方正仿宋_GBK"/>
          <w:kern w:val="0"/>
          <w:sz w:val="32"/>
          <w:szCs w:val="32"/>
        </w:rPr>
        <w:t>6</w:t>
      </w:r>
      <w:r>
        <w:rPr>
          <w:rFonts w:hint="eastAsia" w:ascii="仿宋_GB2312" w:hAnsi="方正仿宋_GBK" w:eastAsia="仿宋_GB2312" w:cs="方正仿宋_GBK"/>
          <w:kern w:val="0"/>
          <w:sz w:val="32"/>
          <w:szCs w:val="32"/>
        </w:rPr>
        <w:t>年预算数为</w:t>
      </w:r>
      <w:r>
        <w:rPr>
          <w:rFonts w:hint="eastAsia" w:ascii="仿宋_GB2312" w:hAnsi="仿宋_GB2312" w:cs="仿宋_GB2312"/>
          <w:kern w:val="0"/>
          <w:sz w:val="32"/>
          <w:szCs w:val="32"/>
          <w:lang w:val="en-US" w:eastAsia="zh-CN" w:bidi="ar-SA"/>
        </w:rPr>
        <w:t>45.88</w:t>
      </w:r>
      <w:r>
        <w:rPr>
          <w:rFonts w:hint="eastAsia" w:ascii="仿宋_GB2312" w:hAnsi="仿宋_GB2312" w:eastAsia="仿宋_GB2312" w:cs="仿宋_GB2312"/>
          <w:kern w:val="0"/>
          <w:sz w:val="32"/>
          <w:szCs w:val="32"/>
          <w:lang w:val="en-US" w:eastAsia="zh-CN" w:bidi="ar-SA"/>
        </w:rPr>
        <w:t>万元，</w:t>
      </w:r>
      <w:r>
        <w:rPr>
          <w:rFonts w:hint="eastAsia" w:ascii="仿宋_GB2312" w:hAnsi="方正仿宋_GBK" w:eastAsia="仿宋_GB2312" w:cs="方正仿宋_GBK"/>
          <w:kern w:val="0"/>
          <w:sz w:val="32"/>
          <w:szCs w:val="32"/>
        </w:rPr>
        <w:t>主要用于缴纳单位职工养老保险</w:t>
      </w:r>
      <w:r>
        <w:rPr>
          <w:rFonts w:hint="default" w:ascii="仿宋_GB2312" w:hAnsi="方正仿宋_GBK" w:cs="方正仿宋_GBK"/>
          <w:kern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3"/>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机关事业单位职业年金缴费支出（208050</w:t>
      </w:r>
      <w:r>
        <w:rPr>
          <w:rFonts w:hint="eastAsia" w:ascii="仿宋_GB2312" w:hAnsi="仿宋_GB2312" w:cs="仿宋_GB2312"/>
          <w:kern w:val="0"/>
          <w:sz w:val="32"/>
          <w:szCs w:val="32"/>
          <w:lang w:val="en-US" w:eastAsia="zh-CN" w:bidi="ar-SA"/>
        </w:rPr>
        <w:t>6</w:t>
      </w:r>
      <w:r>
        <w:rPr>
          <w:rFonts w:hint="eastAsia" w:ascii="仿宋_GB2312" w:hAnsi="仿宋_GB2312" w:eastAsia="仿宋_GB2312" w:cs="仿宋_GB2312"/>
          <w:kern w:val="0"/>
          <w:sz w:val="32"/>
          <w:szCs w:val="32"/>
          <w:lang w:val="en-US" w:eastAsia="zh-CN" w:bidi="ar-SA"/>
        </w:rPr>
        <w:t>）</w:t>
      </w:r>
      <w:r>
        <w:rPr>
          <w:rFonts w:hint="eastAsia" w:ascii="仿宋_GB2312" w:hAnsi="方正仿宋_GBK" w:eastAsia="仿宋_GB2312" w:cs="方正仿宋_GBK"/>
          <w:kern w:val="0"/>
          <w:sz w:val="32"/>
          <w:szCs w:val="32"/>
        </w:rPr>
        <w:t>202</w:t>
      </w:r>
      <w:r>
        <w:rPr>
          <w:rFonts w:hint="default" w:ascii="仿宋_GB2312" w:hAnsi="方正仿宋_GBK" w:cs="方正仿宋_GBK"/>
          <w:kern w:val="0"/>
          <w:sz w:val="32"/>
          <w:szCs w:val="32"/>
        </w:rPr>
        <w:t>6</w:t>
      </w:r>
      <w:r>
        <w:rPr>
          <w:rFonts w:hint="eastAsia" w:ascii="仿宋_GB2312" w:hAnsi="方正仿宋_GBK" w:eastAsia="仿宋_GB2312" w:cs="方正仿宋_GBK"/>
          <w:kern w:val="0"/>
          <w:sz w:val="32"/>
          <w:szCs w:val="32"/>
        </w:rPr>
        <w:t>年预算数为</w:t>
      </w:r>
      <w:r>
        <w:rPr>
          <w:rFonts w:hint="eastAsia" w:ascii="仿宋_GB2312" w:hAnsi="仿宋_GB2312" w:eastAsia="仿宋_GB2312" w:cs="仿宋_GB2312"/>
          <w:kern w:val="0"/>
          <w:sz w:val="32"/>
          <w:szCs w:val="32"/>
          <w:lang w:val="en-US" w:eastAsia="zh-CN" w:bidi="ar-SA"/>
        </w:rPr>
        <w:t>22.94万元，</w:t>
      </w:r>
      <w:r>
        <w:rPr>
          <w:rFonts w:hint="eastAsia" w:ascii="仿宋_GB2312" w:hAnsi="方正仿宋_GBK" w:eastAsia="仿宋_GB2312" w:cs="方正仿宋_GBK"/>
          <w:kern w:val="0"/>
          <w:sz w:val="32"/>
          <w:szCs w:val="32"/>
        </w:rPr>
        <w:t>主要用于缴纳单位职工职业年金。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kern w:val="0"/>
          <w:sz w:val="32"/>
          <w:szCs w:val="32"/>
          <w:lang w:val="en-US" w:eastAsia="zh-CN" w:bidi="ar-SA"/>
        </w:rPr>
      </w:pPr>
      <w:r>
        <w:rPr>
          <w:rFonts w:hint="default" w:ascii="仿宋_GB2312" w:hAnsi="仿宋_GB2312" w:cs="仿宋_GB2312"/>
          <w:b/>
          <w:bCs/>
          <w:kern w:val="0"/>
          <w:sz w:val="32"/>
          <w:szCs w:val="32"/>
          <w:lang w:eastAsia="zh-CN" w:bidi="ar-SA"/>
        </w:rPr>
        <w:t>3.卫</w:t>
      </w:r>
      <w:r>
        <w:rPr>
          <w:rFonts w:hint="eastAsia" w:ascii="仿宋_GB2312" w:hAnsi="仿宋_GB2312" w:eastAsia="仿宋_GB2312" w:cs="仿宋_GB2312"/>
          <w:b/>
          <w:bCs/>
          <w:kern w:val="0"/>
          <w:sz w:val="32"/>
          <w:szCs w:val="32"/>
          <w:lang w:val="en-US" w:eastAsia="zh-CN" w:bidi="ar-SA"/>
        </w:rPr>
        <w:t>生健康支出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3"/>
        <w:textAlignment w:val="auto"/>
        <w:rPr>
          <w:rFonts w:hint="default" w:ascii="仿宋_GB2312" w:hAnsi="方正仿宋_GBK" w:eastAsia="仿宋_GB2312" w:cs="方正仿宋_GBK"/>
          <w:kern w:val="0"/>
          <w:sz w:val="32"/>
          <w:szCs w:val="32"/>
        </w:rPr>
      </w:pPr>
      <w:r>
        <w:rPr>
          <w:rFonts w:hint="eastAsia" w:ascii="仿宋_GB2312" w:hAnsi="仿宋_GB2312" w:eastAsia="仿宋_GB2312" w:cs="仿宋_GB2312"/>
          <w:kern w:val="0"/>
          <w:sz w:val="32"/>
          <w:szCs w:val="32"/>
          <w:lang w:val="en-US" w:eastAsia="zh-CN" w:bidi="ar-SA"/>
        </w:rPr>
        <w:t>事业单位医疗（2101102）</w:t>
      </w:r>
      <w:r>
        <w:rPr>
          <w:rFonts w:hint="eastAsia" w:ascii="仿宋_GB2312" w:hAnsi="方正仿宋_GBK" w:eastAsia="仿宋_GB2312" w:cs="方正仿宋_GBK"/>
          <w:kern w:val="0"/>
          <w:sz w:val="32"/>
          <w:szCs w:val="32"/>
        </w:rPr>
        <w:t>202</w:t>
      </w:r>
      <w:r>
        <w:rPr>
          <w:rFonts w:hint="default" w:ascii="仿宋_GB2312" w:hAnsi="方正仿宋_GBK" w:cs="方正仿宋_GBK"/>
          <w:kern w:val="0"/>
          <w:sz w:val="32"/>
          <w:szCs w:val="32"/>
        </w:rPr>
        <w:t>6</w:t>
      </w:r>
      <w:r>
        <w:rPr>
          <w:rFonts w:hint="eastAsia" w:ascii="仿宋_GB2312" w:hAnsi="方正仿宋_GBK" w:eastAsia="仿宋_GB2312" w:cs="方正仿宋_GBK"/>
          <w:kern w:val="0"/>
          <w:sz w:val="32"/>
          <w:szCs w:val="32"/>
        </w:rPr>
        <w:t>年预算数为</w:t>
      </w:r>
      <w:r>
        <w:rPr>
          <w:rFonts w:hint="eastAsia" w:ascii="仿宋_GB2312" w:hAnsi="仿宋_GB2312" w:eastAsia="仿宋_GB2312" w:cs="仿宋_GB2312"/>
          <w:kern w:val="0"/>
          <w:sz w:val="32"/>
          <w:szCs w:val="32"/>
          <w:lang w:val="en-US" w:eastAsia="zh-CN" w:bidi="ar-SA"/>
        </w:rPr>
        <w:t>25.69万元，</w:t>
      </w:r>
      <w:r>
        <w:rPr>
          <w:rFonts w:hint="eastAsia" w:ascii="仿宋_GB2312" w:hAnsi="方正仿宋_GBK" w:eastAsia="仿宋_GB2312" w:cs="方正仿宋_GBK"/>
          <w:kern w:val="0"/>
          <w:sz w:val="32"/>
          <w:szCs w:val="32"/>
        </w:rPr>
        <w:t>主要用于缴纳单位事业职工医疗保险</w:t>
      </w:r>
      <w:r>
        <w:rPr>
          <w:rFonts w:hint="default" w:ascii="仿宋_GB2312" w:hAnsi="方正仿宋_GBK" w:cs="方正仿宋_GBK"/>
          <w:kern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3"/>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其他行政事业单位医疗支出（2101199）</w:t>
      </w:r>
      <w:r>
        <w:rPr>
          <w:rFonts w:hint="eastAsia" w:ascii="仿宋_GB2312" w:hAnsi="方正仿宋_GBK" w:eastAsia="仿宋_GB2312" w:cs="方正仿宋_GBK"/>
          <w:kern w:val="0"/>
          <w:sz w:val="32"/>
          <w:szCs w:val="32"/>
        </w:rPr>
        <w:t>202</w:t>
      </w:r>
      <w:r>
        <w:rPr>
          <w:rFonts w:hint="default" w:ascii="仿宋_GB2312" w:hAnsi="方正仿宋_GBK" w:cs="方正仿宋_GBK"/>
          <w:kern w:val="0"/>
          <w:sz w:val="32"/>
          <w:szCs w:val="32"/>
        </w:rPr>
        <w:t>6</w:t>
      </w:r>
      <w:r>
        <w:rPr>
          <w:rFonts w:hint="eastAsia" w:ascii="仿宋_GB2312" w:hAnsi="方正仿宋_GBK" w:eastAsia="仿宋_GB2312" w:cs="方正仿宋_GBK"/>
          <w:kern w:val="0"/>
          <w:sz w:val="32"/>
          <w:szCs w:val="32"/>
        </w:rPr>
        <w:t>年预算数为</w:t>
      </w:r>
      <w:r>
        <w:rPr>
          <w:rFonts w:hint="eastAsia" w:ascii="仿宋_GB2312" w:hAnsi="仿宋_GB2312" w:eastAsia="仿宋_GB2312" w:cs="仿宋_GB2312"/>
          <w:kern w:val="0"/>
          <w:sz w:val="32"/>
          <w:szCs w:val="32"/>
          <w:lang w:val="en-US" w:eastAsia="zh-CN" w:bidi="ar-SA"/>
        </w:rPr>
        <w:t>4.98万元，</w:t>
      </w:r>
      <w:r>
        <w:rPr>
          <w:rFonts w:hint="eastAsia" w:ascii="仿宋_GB2312" w:hAnsi="方正仿宋_GBK" w:eastAsia="仿宋_GB2312" w:cs="方正仿宋_GBK"/>
          <w:kern w:val="0"/>
          <w:sz w:val="32"/>
          <w:szCs w:val="32"/>
        </w:rPr>
        <w:t>主要用于缴纳事业单位职工公务员医疗补助。</w:t>
      </w:r>
    </w:p>
    <w:p>
      <w:pPr>
        <w:pStyle w:val="20"/>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2" w:firstLineChars="200"/>
        <w:textAlignment w:val="auto"/>
        <w:rPr>
          <w:rFonts w:hint="eastAsia" w:ascii="仿宋_GB2312" w:hAnsi="仿宋_GB2312" w:eastAsia="仿宋_GB2312" w:cs="仿宋_GB2312"/>
          <w:b/>
          <w:bCs/>
          <w:kern w:val="0"/>
          <w:sz w:val="32"/>
          <w:szCs w:val="32"/>
          <w:lang w:val="en-US" w:eastAsia="zh-CN" w:bidi="ar-SA"/>
        </w:rPr>
      </w:pPr>
      <w:r>
        <w:rPr>
          <w:rFonts w:hint="default" w:cs="仿宋_GB2312"/>
          <w:b/>
          <w:bCs/>
          <w:kern w:val="0"/>
          <w:sz w:val="32"/>
          <w:szCs w:val="32"/>
          <w:lang w:eastAsia="zh-CN" w:bidi="ar-SA"/>
        </w:rPr>
        <w:t>4.</w:t>
      </w:r>
      <w:r>
        <w:rPr>
          <w:rFonts w:hint="eastAsia" w:ascii="仿宋_GB2312" w:hAnsi="仿宋_GB2312" w:eastAsia="仿宋_GB2312" w:cs="仿宋_GB2312"/>
          <w:b/>
          <w:bCs/>
          <w:kern w:val="0"/>
          <w:sz w:val="32"/>
          <w:szCs w:val="32"/>
          <w:lang w:val="en-US" w:eastAsia="zh-CN" w:bidi="ar-SA"/>
        </w:rPr>
        <w:t>住房保障支出</w:t>
      </w:r>
    </w:p>
    <w:p>
      <w:pPr>
        <w:pStyle w:val="20"/>
        <w:keepNext w:val="0"/>
        <w:keepLines w:val="0"/>
        <w:pageBreakBefore w:val="0"/>
        <w:widowControl w:val="0"/>
        <w:numPr>
          <w:ilvl w:val="0"/>
          <w:numId w:val="0"/>
        </w:numPr>
        <w:kinsoku/>
        <w:wordWrap/>
        <w:overflowPunct/>
        <w:topLinePunct w:val="0"/>
        <w:autoSpaceDE/>
        <w:autoSpaceDN/>
        <w:bidi w:val="0"/>
        <w:adjustRightInd/>
        <w:snapToGrid/>
        <w:spacing w:before="0" w:line="560" w:lineRule="exac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w:t>
      </w:r>
      <w:r>
        <w:rPr>
          <w:rFonts w:hint="default" w:cs="仿宋_GB2312"/>
          <w:kern w:val="0"/>
          <w:sz w:val="32"/>
          <w:szCs w:val="32"/>
          <w:lang w:eastAsia="zh-CN" w:bidi="ar-SA"/>
        </w:rPr>
        <w:t xml:space="preserve">  </w:t>
      </w:r>
      <w:r>
        <w:rPr>
          <w:rFonts w:hint="eastAsia" w:ascii="仿宋_GB2312" w:hAnsi="仿宋_GB2312" w:eastAsia="仿宋_GB2312" w:cs="仿宋_GB2312"/>
          <w:kern w:val="0"/>
          <w:sz w:val="32"/>
          <w:szCs w:val="32"/>
          <w:lang w:val="en-US" w:eastAsia="zh-CN" w:bidi="ar-SA"/>
        </w:rPr>
        <w:t>住房公积金（2210201）</w:t>
      </w:r>
      <w:r>
        <w:rPr>
          <w:rFonts w:hint="eastAsia" w:ascii="仿宋_GB2312" w:hAnsi="方正仿宋_GBK" w:eastAsia="仿宋_GB2312" w:cs="方正仿宋_GBK"/>
          <w:kern w:val="0"/>
          <w:sz w:val="32"/>
          <w:szCs w:val="32"/>
        </w:rPr>
        <w:t>202</w:t>
      </w:r>
      <w:r>
        <w:rPr>
          <w:rFonts w:hint="default" w:ascii="仿宋_GB2312" w:hAnsi="方正仿宋_GBK" w:cs="方正仿宋_GBK"/>
          <w:kern w:val="0"/>
          <w:sz w:val="32"/>
          <w:szCs w:val="32"/>
        </w:rPr>
        <w:t>6</w:t>
      </w:r>
      <w:r>
        <w:rPr>
          <w:rFonts w:hint="eastAsia" w:ascii="仿宋_GB2312" w:hAnsi="方正仿宋_GBK" w:eastAsia="仿宋_GB2312" w:cs="方正仿宋_GBK"/>
          <w:kern w:val="0"/>
          <w:sz w:val="32"/>
          <w:szCs w:val="32"/>
        </w:rPr>
        <w:t>年预算数为</w:t>
      </w:r>
      <w:r>
        <w:rPr>
          <w:rFonts w:hint="default" w:cs="仿宋_GB2312"/>
          <w:kern w:val="0"/>
          <w:sz w:val="32"/>
          <w:szCs w:val="32"/>
          <w:lang w:eastAsia="zh-CN" w:bidi="ar-SA"/>
        </w:rPr>
        <w:t>43.00</w:t>
      </w:r>
      <w:r>
        <w:rPr>
          <w:rFonts w:hint="eastAsia" w:ascii="仿宋_GB2312" w:hAnsi="仿宋_GB2312" w:eastAsia="仿宋_GB2312" w:cs="仿宋_GB2312"/>
          <w:kern w:val="0"/>
          <w:sz w:val="32"/>
          <w:szCs w:val="32"/>
          <w:lang w:val="en-US" w:eastAsia="zh-CN" w:bidi="ar-SA"/>
        </w:rPr>
        <w:t>万元，</w:t>
      </w:r>
      <w:r>
        <w:rPr>
          <w:rFonts w:hint="eastAsia" w:ascii="仿宋_GB2312" w:hAnsi="方正仿宋_GBK" w:eastAsia="仿宋_GB2312" w:cs="方正仿宋_GBK"/>
          <w:kern w:val="0"/>
          <w:sz w:val="32"/>
          <w:szCs w:val="32"/>
        </w:rPr>
        <w:t>主要用于缴纳单位职工住房公积金。</w:t>
      </w:r>
    </w:p>
    <w:p>
      <w:pPr>
        <w:pStyle w:val="3"/>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0" w:firstLineChars="200"/>
        <w:textAlignment w:val="auto"/>
      </w:pPr>
      <w:bookmarkStart w:id="24" w:name="_Toc16362"/>
      <w:bookmarkStart w:id="25" w:name="_Toc12375"/>
      <w:r>
        <w:rPr>
          <w:rFonts w:hint="eastAsia"/>
        </w:rPr>
        <w:t>六、一般公共预算基本支出情况说明</w:t>
      </w:r>
      <w:bookmarkEnd w:id="24"/>
      <w:bookmarkEnd w:id="25"/>
    </w:p>
    <w:p>
      <w:pPr>
        <w:pStyle w:val="20"/>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州教育考试中心</w:t>
      </w:r>
      <w:r>
        <w:rPr>
          <w:rFonts w:hint="default" w:cs="仿宋_GB2312"/>
          <w:kern w:val="0"/>
          <w:sz w:val="32"/>
          <w:szCs w:val="32"/>
          <w:lang w:eastAsia="zh-CN" w:bidi="ar-SA"/>
        </w:rPr>
        <w:t>2026年</w:t>
      </w:r>
      <w:r>
        <w:rPr>
          <w:rFonts w:hint="eastAsia" w:ascii="仿宋_GB2312" w:hAnsi="仿宋_GB2312" w:eastAsia="仿宋_GB2312" w:cs="仿宋_GB2312"/>
          <w:kern w:val="0"/>
          <w:sz w:val="32"/>
          <w:szCs w:val="32"/>
          <w:lang w:val="en-US" w:eastAsia="zh-CN" w:bidi="ar-SA"/>
        </w:rPr>
        <w:t>一般公共预算基本支出</w:t>
      </w:r>
      <w:r>
        <w:rPr>
          <w:rFonts w:hint="eastAsia" w:cs="仿宋_GB2312"/>
          <w:kern w:val="0"/>
          <w:sz w:val="32"/>
          <w:szCs w:val="32"/>
          <w:lang w:val="en-US" w:eastAsia="zh-CN" w:bidi="ar-SA"/>
        </w:rPr>
        <w:t>481.91</w:t>
      </w:r>
      <w:r>
        <w:rPr>
          <w:rFonts w:hint="eastAsia" w:ascii="仿宋_GB2312" w:hAnsi="仿宋_GB2312" w:eastAsia="仿宋_GB2312" w:cs="仿宋_GB2312"/>
          <w:kern w:val="0"/>
          <w:sz w:val="32"/>
          <w:szCs w:val="32"/>
          <w:lang w:val="en-US" w:eastAsia="zh-CN" w:bidi="ar-SA"/>
        </w:rPr>
        <w:t>万元，其中：</w:t>
      </w:r>
      <w:r>
        <w:rPr>
          <w:rFonts w:hint="eastAsia" w:ascii="仿宋_GB2312" w:hAnsi="仿宋_GB2312" w:eastAsia="仿宋_GB2312" w:cs="仿宋_GB2312"/>
          <w:b/>
          <w:bCs/>
          <w:kern w:val="0"/>
          <w:sz w:val="32"/>
          <w:szCs w:val="32"/>
          <w:lang w:val="en-US" w:eastAsia="zh-CN" w:bidi="ar-SA"/>
        </w:rPr>
        <w:t>人员经费</w:t>
      </w:r>
      <w:r>
        <w:rPr>
          <w:rFonts w:hint="eastAsia" w:cs="仿宋_GB2312"/>
          <w:b/>
          <w:bCs/>
          <w:kern w:val="0"/>
          <w:sz w:val="32"/>
          <w:szCs w:val="32"/>
          <w:lang w:val="en-US" w:eastAsia="zh-CN" w:bidi="ar-SA"/>
        </w:rPr>
        <w:t>427.2</w:t>
      </w:r>
      <w:r>
        <w:rPr>
          <w:rFonts w:hint="eastAsia" w:ascii="仿宋_GB2312" w:hAnsi="仿宋_GB2312" w:eastAsia="仿宋_GB2312" w:cs="仿宋_GB2312"/>
          <w:b/>
          <w:bCs/>
          <w:kern w:val="0"/>
          <w:sz w:val="32"/>
          <w:szCs w:val="32"/>
          <w:lang w:val="en-US" w:eastAsia="zh-CN" w:bidi="ar-SA"/>
        </w:rPr>
        <w:t>万元</w:t>
      </w:r>
      <w:r>
        <w:rPr>
          <w:rFonts w:hint="eastAsia" w:ascii="仿宋_GB2312" w:hAnsi="仿宋_GB2312" w:eastAsia="仿宋_GB2312" w:cs="仿宋_GB2312"/>
          <w:kern w:val="0"/>
          <w:sz w:val="32"/>
          <w:szCs w:val="32"/>
          <w:lang w:val="en-US" w:eastAsia="zh-CN" w:bidi="ar-SA"/>
        </w:rPr>
        <w:t>，主要包括：</w:t>
      </w:r>
      <w:r>
        <w:rPr>
          <w:rFonts w:hint="eastAsia" w:ascii="仿宋_GB2312" w:hAnsi="仿宋_GB2312" w:eastAsia="仿宋_GB2312" w:cs="方正仿宋_GBK"/>
          <w:sz w:val="32"/>
          <w:szCs w:val="32"/>
        </w:rPr>
        <w:t>主要包括：</w:t>
      </w:r>
      <w:r>
        <w:rPr>
          <w:rFonts w:hint="eastAsia" w:ascii="仿宋_GB2312" w:hAnsi="仿宋_GB2312" w:eastAsia="仿宋_GB2312" w:cs="宋体"/>
          <w:sz w:val="32"/>
          <w:szCs w:val="32"/>
        </w:rPr>
        <w:t>基本工资103.09万元、津贴补贴43.75万元、奖金49.51万元、绩效工资82.85万元、机关事业单位基本养老保险缴费45.88万元、职业年金缴费22.94万元、职工基本医疗保险缴费25.69万元、其他社会保障缴费7.43万元、住房公积金43</w:t>
      </w:r>
      <w:r>
        <w:rPr>
          <w:rFonts w:hint="default" w:cs="宋体"/>
          <w:sz w:val="32"/>
          <w:szCs w:val="32"/>
        </w:rPr>
        <w:t>.00</w:t>
      </w:r>
      <w:r>
        <w:rPr>
          <w:rFonts w:hint="eastAsia" w:ascii="仿宋_GB2312" w:hAnsi="仿宋_GB2312" w:eastAsia="仿宋_GB2312" w:cs="宋体"/>
          <w:sz w:val="32"/>
          <w:szCs w:val="32"/>
        </w:rPr>
        <w:t>万元、其他商品和服务支出0.05</w:t>
      </w:r>
      <w:r>
        <w:rPr>
          <w:rFonts w:hint="default" w:cs="宋体"/>
          <w:sz w:val="32"/>
          <w:szCs w:val="32"/>
        </w:rPr>
        <w:t>万元、</w:t>
      </w:r>
      <w:r>
        <w:rPr>
          <w:rFonts w:hint="eastAsia" w:ascii="仿宋_GB2312" w:hAnsi="仿宋_GB2312" w:eastAsia="仿宋_GB2312" w:cs="宋体"/>
          <w:sz w:val="32"/>
          <w:szCs w:val="32"/>
        </w:rPr>
        <w:t>生活补助</w:t>
      </w:r>
      <w:r>
        <w:rPr>
          <w:rFonts w:hint="default" w:cs="宋体"/>
          <w:sz w:val="32"/>
          <w:szCs w:val="32"/>
        </w:rPr>
        <w:t>3.00</w:t>
      </w:r>
      <w:r>
        <w:rPr>
          <w:rFonts w:hint="eastAsia" w:ascii="仿宋_GB2312" w:hAnsi="仿宋_GB2312" w:eastAsia="仿宋_GB2312" w:cs="宋体"/>
          <w:sz w:val="32"/>
          <w:szCs w:val="32"/>
        </w:rPr>
        <w:t>万元、奖励金0.0</w:t>
      </w:r>
      <w:r>
        <w:rPr>
          <w:rFonts w:hint="default" w:cs="宋体"/>
          <w:sz w:val="32"/>
          <w:szCs w:val="32"/>
        </w:rPr>
        <w:t>2</w:t>
      </w:r>
      <w:r>
        <w:rPr>
          <w:rFonts w:hint="eastAsia" w:ascii="仿宋_GB2312" w:hAnsi="仿宋_GB2312" w:eastAsia="仿宋_GB2312" w:cs="宋体"/>
          <w:sz w:val="32"/>
          <w:szCs w:val="32"/>
        </w:rPr>
        <w:t>万元</w:t>
      </w:r>
      <w:r>
        <w:rPr>
          <w:rFonts w:hint="eastAsia" w:ascii="仿宋_GB2312" w:hAnsi="仿宋_GB2312" w:eastAsia="仿宋_GB2312" w:cs="仿宋_GB2312"/>
          <w:kern w:val="0"/>
          <w:sz w:val="32"/>
          <w:szCs w:val="32"/>
          <w:lang w:val="en-US" w:eastAsia="zh-CN" w:bidi="ar-SA"/>
        </w:rPr>
        <w:t>。</w:t>
      </w:r>
    </w:p>
    <w:p>
      <w:pPr>
        <w:pStyle w:val="20"/>
        <w:keepNext w:val="0"/>
        <w:keepLines w:val="0"/>
        <w:pageBreakBefore w:val="0"/>
        <w:widowControl w:val="0"/>
        <w:kinsoku/>
        <w:wordWrap/>
        <w:overflowPunct/>
        <w:topLinePunct w:val="0"/>
        <w:autoSpaceDE/>
        <w:autoSpaceDN/>
        <w:bidi w:val="0"/>
        <w:adjustRightInd/>
        <w:snapToGrid/>
        <w:spacing w:before="0" w:line="560" w:lineRule="exact"/>
        <w:ind w:firstLine="642"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公用经费</w:t>
      </w:r>
      <w:r>
        <w:rPr>
          <w:rFonts w:hint="eastAsia" w:cs="仿宋_GB2312"/>
          <w:b/>
          <w:bCs/>
          <w:kern w:val="0"/>
          <w:sz w:val="32"/>
          <w:szCs w:val="32"/>
          <w:lang w:val="en-US" w:eastAsia="zh-CN" w:bidi="ar-SA"/>
        </w:rPr>
        <w:t>54.71</w:t>
      </w:r>
      <w:r>
        <w:rPr>
          <w:rFonts w:hint="eastAsia" w:ascii="仿宋_GB2312" w:hAnsi="仿宋_GB2312" w:eastAsia="仿宋_GB2312" w:cs="仿宋_GB2312"/>
          <w:b/>
          <w:bCs/>
          <w:kern w:val="0"/>
          <w:sz w:val="32"/>
          <w:szCs w:val="32"/>
          <w:lang w:val="en-US" w:eastAsia="zh-CN" w:bidi="ar-SA"/>
        </w:rPr>
        <w:t>万元</w:t>
      </w:r>
      <w:r>
        <w:rPr>
          <w:rFonts w:hint="eastAsia" w:ascii="仿宋_GB2312" w:hAnsi="仿宋_GB2312" w:eastAsia="仿宋_GB2312" w:cs="仿宋_GB2312"/>
          <w:kern w:val="0"/>
          <w:sz w:val="32"/>
          <w:szCs w:val="32"/>
          <w:lang w:val="en-US" w:eastAsia="zh-CN" w:bidi="ar-SA"/>
        </w:rPr>
        <w:t>，</w:t>
      </w:r>
      <w:r>
        <w:rPr>
          <w:rFonts w:hint="eastAsia" w:ascii="仿宋_GB2312" w:hAnsi="仿宋_GB2312" w:eastAsia="仿宋_GB2312" w:cs="宋体"/>
          <w:sz w:val="32"/>
          <w:szCs w:val="32"/>
        </w:rPr>
        <w:t>主要包括：办公费2.38万元、水费0.71万元</w:t>
      </w:r>
      <w:r>
        <w:rPr>
          <w:rFonts w:hint="default" w:cs="宋体"/>
          <w:sz w:val="32"/>
          <w:szCs w:val="32"/>
        </w:rPr>
        <w:t>、</w:t>
      </w:r>
      <w:r>
        <w:rPr>
          <w:rFonts w:hint="eastAsia" w:ascii="仿宋_GB2312" w:hAnsi="仿宋_GB2312" w:eastAsia="仿宋_GB2312" w:cs="宋体"/>
          <w:sz w:val="32"/>
          <w:szCs w:val="32"/>
        </w:rPr>
        <w:t>邮电费1.11</w:t>
      </w:r>
      <w:r>
        <w:rPr>
          <w:rFonts w:hint="default" w:cs="宋体"/>
          <w:sz w:val="32"/>
          <w:szCs w:val="32"/>
        </w:rPr>
        <w:t>万元、取暖费0.95万元、</w:t>
      </w:r>
      <w:r>
        <w:rPr>
          <w:rFonts w:hint="eastAsia" w:ascii="仿宋_GB2312" w:hAnsi="仿宋_GB2312" w:eastAsia="仿宋_GB2312" w:cs="宋体"/>
          <w:sz w:val="32"/>
          <w:szCs w:val="32"/>
        </w:rPr>
        <w:t>差旅费21.08万元</w:t>
      </w:r>
      <w:r>
        <w:rPr>
          <w:rFonts w:hint="default" w:cs="宋体"/>
          <w:sz w:val="32"/>
          <w:szCs w:val="32"/>
        </w:rPr>
        <w:t>、培训费3.5万元、</w:t>
      </w:r>
      <w:r>
        <w:rPr>
          <w:rFonts w:hint="eastAsia" w:ascii="仿宋_GB2312" w:hAnsi="仿宋_GB2312" w:eastAsia="仿宋_GB2312" w:cs="宋体"/>
          <w:sz w:val="32"/>
          <w:szCs w:val="32"/>
        </w:rPr>
        <w:t>公务接待费0.73万元、  其他商品和服务支出24.25</w:t>
      </w:r>
      <w:r>
        <w:rPr>
          <w:rFonts w:hint="default" w:cs="宋体"/>
          <w:sz w:val="32"/>
          <w:szCs w:val="32"/>
        </w:rPr>
        <w:t>万元</w:t>
      </w:r>
      <w:r>
        <w:rPr>
          <w:rFonts w:hint="eastAsia" w:ascii="仿宋_GB2312" w:hAnsi="仿宋_GB2312" w:eastAsia="仿宋_GB2312" w:cs="宋体"/>
          <w:sz w:val="32"/>
          <w:szCs w:val="32"/>
        </w:rPr>
        <w:t>。</w:t>
      </w:r>
    </w:p>
    <w:p>
      <w:pPr>
        <w:pStyle w:val="3"/>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0" w:firstLineChars="200"/>
        <w:textAlignment w:val="auto"/>
      </w:pPr>
      <w:bookmarkStart w:id="26" w:name="_Toc20599"/>
      <w:bookmarkStart w:id="27" w:name="_Toc2092"/>
      <w:r>
        <w:rPr>
          <w:rFonts w:hint="eastAsia"/>
        </w:rPr>
        <w:t>七、“三公”经费财政拨款预算安排情况说明</w:t>
      </w:r>
      <w:bookmarkEnd w:id="26"/>
      <w:bookmarkEnd w:id="27"/>
    </w:p>
    <w:p>
      <w:pPr>
        <w:pStyle w:val="20"/>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州教育考试中心</w:t>
      </w:r>
      <w:r>
        <w:rPr>
          <w:rFonts w:hint="default" w:cs="仿宋_GB2312"/>
          <w:kern w:val="0"/>
          <w:sz w:val="32"/>
          <w:szCs w:val="32"/>
          <w:lang w:eastAsia="zh-CN" w:bidi="ar-SA"/>
        </w:rPr>
        <w:t>2026年</w:t>
      </w:r>
      <w:r>
        <w:rPr>
          <w:rFonts w:hint="eastAsia" w:ascii="仿宋_GB2312" w:hAnsi="仿宋_GB2312" w:eastAsia="仿宋_GB2312" w:cs="仿宋_GB2312"/>
          <w:kern w:val="0"/>
          <w:sz w:val="32"/>
          <w:szCs w:val="32"/>
          <w:lang w:val="en-US" w:eastAsia="zh-CN" w:bidi="ar-SA"/>
        </w:rPr>
        <w:t>“三公”经费财政拨款预算数0.73万元，其中：因公出国（境）经费0万元，公务接待费0.73万元，公务用车购置及运行维护费0万元。</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1"/>
        <w:rPr>
          <w:rFonts w:hint="eastAsia" w:ascii="仿宋_GB2312" w:hAnsi="仿宋_GB2312" w:eastAsia="仿宋_GB2312" w:cs="仿宋_GB2312"/>
          <w:lang w:val="en-US" w:eastAsia="zh-CN"/>
        </w:rPr>
      </w:pPr>
      <w:bookmarkStart w:id="28" w:name="_Toc13357"/>
      <w:r>
        <w:rPr>
          <w:rFonts w:hint="eastAsia" w:ascii="楷体_GB2312" w:hAnsi="楷体_GB2312" w:eastAsia="楷体_GB2312" w:cs="楷体_GB2312"/>
          <w:b/>
          <w:bCs/>
          <w:color w:val="auto"/>
          <w:spacing w:val="0"/>
          <w:kern w:val="2"/>
          <w:sz w:val="32"/>
          <w:szCs w:val="32"/>
          <w:lang w:val="en-US" w:eastAsia="zh-CN" w:bidi="ar-SA"/>
        </w:rPr>
        <w:t>（一）</w:t>
      </w:r>
      <w:r>
        <w:rPr>
          <w:rFonts w:hint="default" w:ascii="楷体_GB2312" w:hAnsi="楷体_GB2312" w:eastAsia="楷体_GB2312" w:cs="楷体_GB2312"/>
          <w:b/>
          <w:bCs/>
          <w:color w:val="auto"/>
          <w:spacing w:val="0"/>
          <w:kern w:val="2"/>
          <w:sz w:val="32"/>
          <w:szCs w:val="32"/>
          <w:lang w:val="en-US" w:eastAsia="zh-CN" w:bidi="ar-SA"/>
        </w:rPr>
        <w:t>2026年</w:t>
      </w:r>
      <w:r>
        <w:rPr>
          <w:rFonts w:hint="eastAsia" w:ascii="楷体_GB2312" w:hAnsi="楷体_GB2312" w:eastAsia="楷体_GB2312" w:cs="楷体_GB2312"/>
          <w:b/>
          <w:bCs/>
          <w:color w:val="auto"/>
          <w:spacing w:val="0"/>
          <w:kern w:val="2"/>
          <w:sz w:val="32"/>
          <w:szCs w:val="32"/>
          <w:lang w:val="en-US" w:eastAsia="zh-CN" w:bidi="ar-SA"/>
        </w:rPr>
        <w:t>因公出国（境）经费0.00万元</w:t>
      </w:r>
      <w:bookmarkEnd w:id="28"/>
      <w:r>
        <w:rPr>
          <w:rFonts w:hint="default" w:ascii="楷体_GB2312" w:hAnsi="楷体_GB2312" w:eastAsia="楷体_GB2312" w:cs="楷体_GB2312"/>
          <w:b/>
          <w:bCs/>
          <w:color w:val="auto"/>
          <w:spacing w:val="0"/>
          <w:kern w:val="2"/>
          <w:sz w:val="32"/>
          <w:szCs w:val="32"/>
          <w:lang w:eastAsia="zh-CN" w:bidi="ar-SA"/>
        </w:rPr>
        <w:t>。</w:t>
      </w:r>
      <w:r>
        <w:rPr>
          <w:rFonts w:hint="eastAsia" w:ascii="仿宋_GB2312" w:hAnsi="仿宋_GB2312" w:eastAsia="仿宋_GB2312" w:cs="仿宋_GB2312"/>
          <w:color w:val="auto"/>
          <w:sz w:val="32"/>
          <w:szCs w:val="32"/>
          <w:lang w:val="en-US" w:eastAsia="zh-CN"/>
        </w:rPr>
        <w:t>与202</w:t>
      </w:r>
      <w:r>
        <w:rPr>
          <w:rFonts w:hint="default" w:ascii="仿宋_GB2312" w:hAnsi="仿宋_GB2312" w:eastAsia="仿宋_GB2312" w:cs="仿宋_GB2312"/>
          <w:color w:val="auto"/>
          <w:sz w:val="32"/>
          <w:szCs w:val="32"/>
          <w:lang w:eastAsia="zh-CN"/>
        </w:rPr>
        <w:t>5</w:t>
      </w:r>
      <w:r>
        <w:rPr>
          <w:rFonts w:hint="default" w:ascii="仿宋_GB2312" w:hAnsi="仿宋_GB2312" w:cs="仿宋_GB2312"/>
          <w:color w:val="auto"/>
          <w:sz w:val="32"/>
          <w:szCs w:val="32"/>
          <w:lang w:eastAsia="zh-CN"/>
        </w:rPr>
        <w:t>年</w:t>
      </w:r>
      <w:r>
        <w:rPr>
          <w:rFonts w:hint="eastAsia" w:ascii="仿宋_GB2312" w:hAnsi="仿宋_GB2312" w:eastAsia="仿宋_GB2312" w:cs="宋体"/>
          <w:sz w:val="32"/>
          <w:szCs w:val="32"/>
        </w:rPr>
        <w:t>预算经费一致，都未安排相关预算经费。</w:t>
      </w:r>
    </w:p>
    <w:p>
      <w:pPr>
        <w:pStyle w:val="20"/>
        <w:keepNext w:val="0"/>
        <w:keepLines w:val="0"/>
        <w:pageBreakBefore w:val="0"/>
        <w:widowControl w:val="0"/>
        <w:kinsoku/>
        <w:wordWrap/>
        <w:overflowPunct/>
        <w:topLinePunct w:val="0"/>
        <w:autoSpaceDE/>
        <w:autoSpaceDN/>
        <w:bidi w:val="0"/>
        <w:adjustRightInd/>
        <w:snapToGrid/>
        <w:spacing w:before="0" w:line="560" w:lineRule="exact"/>
        <w:ind w:firstLine="642" w:firstLineChars="200"/>
        <w:textAlignment w:val="auto"/>
        <w:rPr>
          <w:rFonts w:hint="default" w:ascii="仿宋_GB2312" w:hAnsi="仿宋_GB2312" w:eastAsia="仿宋_GB2312" w:cs="仿宋_GB2312"/>
          <w:kern w:val="0"/>
          <w:sz w:val="32"/>
          <w:szCs w:val="32"/>
          <w:lang w:eastAsia="zh-CN" w:bidi="ar-SA"/>
        </w:rPr>
      </w:pPr>
      <w:r>
        <w:rPr>
          <w:rFonts w:hint="eastAsia" w:ascii="楷体_GB2312" w:hAnsi="楷体_GB2312" w:eastAsia="楷体_GB2312" w:cs="楷体_GB2312"/>
          <w:b/>
          <w:bCs/>
          <w:color w:val="auto"/>
          <w:spacing w:val="0"/>
          <w:kern w:val="2"/>
          <w:sz w:val="32"/>
          <w:szCs w:val="32"/>
          <w:lang w:val="en-US" w:eastAsia="zh-CN" w:bidi="ar-SA"/>
        </w:rPr>
        <w:t>（二）</w:t>
      </w:r>
      <w:r>
        <w:rPr>
          <w:rFonts w:hint="default" w:ascii="楷体_GB2312" w:hAnsi="楷体_GB2312" w:eastAsia="楷体_GB2312" w:cs="楷体_GB2312"/>
          <w:b/>
          <w:bCs/>
          <w:color w:val="auto"/>
          <w:spacing w:val="0"/>
          <w:kern w:val="2"/>
          <w:sz w:val="32"/>
          <w:szCs w:val="32"/>
          <w:lang w:val="en-US" w:eastAsia="zh-CN" w:bidi="ar-SA"/>
        </w:rPr>
        <w:t>2026年</w:t>
      </w:r>
      <w:r>
        <w:rPr>
          <w:rFonts w:hint="eastAsia" w:ascii="楷体_GB2312" w:hAnsi="楷体_GB2312" w:eastAsia="楷体_GB2312" w:cs="楷体_GB2312"/>
          <w:b/>
          <w:bCs/>
          <w:color w:val="auto"/>
          <w:spacing w:val="0"/>
          <w:kern w:val="2"/>
          <w:sz w:val="32"/>
          <w:szCs w:val="32"/>
          <w:lang w:val="en-US" w:eastAsia="zh-CN" w:bidi="ar-SA"/>
        </w:rPr>
        <w:t>公务接待经费0.13万元</w:t>
      </w:r>
      <w:r>
        <w:rPr>
          <w:rFonts w:hint="default" w:ascii="楷体_GB2312" w:hAnsi="楷体_GB2312" w:eastAsia="楷体_GB2312" w:cs="楷体_GB2312"/>
          <w:b/>
          <w:bCs/>
          <w:color w:val="auto"/>
          <w:spacing w:val="0"/>
          <w:kern w:val="2"/>
          <w:sz w:val="32"/>
          <w:szCs w:val="32"/>
          <w:lang w:eastAsia="zh-CN" w:bidi="ar-SA"/>
        </w:rPr>
        <w:t>。</w:t>
      </w:r>
      <w:r>
        <w:rPr>
          <w:rFonts w:hint="eastAsia" w:ascii="仿宋_GB2312" w:hAnsi="仿宋_GB2312" w:eastAsia="仿宋_GB2312" w:cs="仿宋_GB2312"/>
          <w:kern w:val="0"/>
          <w:sz w:val="32"/>
          <w:szCs w:val="32"/>
          <w:lang w:val="en-US" w:eastAsia="zh-CN" w:bidi="ar-SA"/>
        </w:rPr>
        <w:t>较</w:t>
      </w:r>
      <w:r>
        <w:rPr>
          <w:rFonts w:hint="default" w:cs="仿宋_GB2312"/>
          <w:kern w:val="0"/>
          <w:sz w:val="32"/>
          <w:szCs w:val="32"/>
          <w:lang w:eastAsia="zh-CN" w:bidi="ar-SA"/>
        </w:rPr>
        <w:t>2025年</w:t>
      </w:r>
      <w:r>
        <w:rPr>
          <w:rFonts w:hint="eastAsia" w:ascii="仿宋_GB2312" w:hAnsi="仿宋_GB2312" w:eastAsia="仿宋_GB2312" w:cs="仿宋_GB2312"/>
          <w:kern w:val="0"/>
          <w:sz w:val="32"/>
          <w:szCs w:val="32"/>
          <w:lang w:val="en-US" w:eastAsia="zh-CN" w:bidi="ar-SA"/>
        </w:rPr>
        <w:t>预算经费增加0.</w:t>
      </w:r>
      <w:r>
        <w:rPr>
          <w:rFonts w:hint="default" w:cs="仿宋_GB2312"/>
          <w:kern w:val="0"/>
          <w:sz w:val="32"/>
          <w:szCs w:val="32"/>
          <w:lang w:eastAsia="zh-CN" w:bidi="ar-SA"/>
        </w:rPr>
        <w:t>6</w:t>
      </w:r>
      <w:r>
        <w:rPr>
          <w:rFonts w:hint="eastAsia" w:ascii="仿宋_GB2312" w:hAnsi="仿宋_GB2312" w:eastAsia="仿宋_GB2312" w:cs="仿宋_GB2312"/>
          <w:kern w:val="0"/>
          <w:sz w:val="32"/>
          <w:szCs w:val="32"/>
          <w:lang w:val="en-US" w:eastAsia="zh-CN" w:bidi="ar-SA"/>
        </w:rPr>
        <w:t>万元</w:t>
      </w:r>
      <w:r>
        <w:rPr>
          <w:rFonts w:hint="default" w:cs="仿宋_GB2312"/>
          <w:kern w:val="0"/>
          <w:sz w:val="32"/>
          <w:szCs w:val="32"/>
          <w:lang w:eastAsia="zh-CN" w:bidi="ar-SA"/>
        </w:rPr>
        <w:t>，</w:t>
      </w:r>
      <w:r>
        <w:rPr>
          <w:rFonts w:hint="eastAsia" w:cs="仿宋_GB2312"/>
          <w:color w:val="000000"/>
          <w:kern w:val="2"/>
          <w:sz w:val="32"/>
          <w:szCs w:val="32"/>
        </w:rPr>
        <w:t>主要原因</w:t>
      </w:r>
      <w:r>
        <w:rPr>
          <w:rFonts w:hint="default" w:cs="仿宋_GB2312"/>
          <w:color w:val="000000"/>
          <w:kern w:val="2"/>
          <w:sz w:val="32"/>
          <w:szCs w:val="32"/>
        </w:rPr>
        <w:t>是</w:t>
      </w:r>
      <w:r>
        <w:rPr>
          <w:rFonts w:hint="default" w:cs="仿宋_GB2312"/>
          <w:color w:val="000000"/>
          <w:kern w:val="2"/>
          <w:sz w:val="32"/>
          <w:szCs w:val="32"/>
          <w:lang w:eastAsia="zh-CN"/>
        </w:rPr>
        <w:t>机构合并后职能扩充，各类检查工作开展频次提升，由此带来相关费用相应增加。</w:t>
      </w:r>
    </w:p>
    <w:p>
      <w:pPr>
        <w:pStyle w:val="20"/>
        <w:keepNext w:val="0"/>
        <w:keepLines w:val="0"/>
        <w:pageBreakBefore w:val="0"/>
        <w:widowControl w:val="0"/>
        <w:kinsoku/>
        <w:wordWrap/>
        <w:overflowPunct/>
        <w:topLinePunct w:val="0"/>
        <w:autoSpaceDE/>
        <w:autoSpaceDN/>
        <w:bidi w:val="0"/>
        <w:adjustRightInd/>
        <w:snapToGrid/>
        <w:spacing w:before="0" w:line="560" w:lineRule="exact"/>
        <w:ind w:firstLine="642" w:firstLineChars="200"/>
        <w:textAlignment w:val="auto"/>
        <w:rPr>
          <w:rFonts w:hint="eastAsia" w:ascii="仿宋_GB2312" w:hAnsi="仿宋_GB2312" w:eastAsia="仿宋_GB2312" w:cs="仿宋_GB2312"/>
          <w:kern w:val="0"/>
          <w:sz w:val="32"/>
          <w:szCs w:val="32"/>
          <w:lang w:val="en-US" w:eastAsia="zh-CN" w:bidi="ar-SA"/>
        </w:rPr>
      </w:pPr>
      <w:r>
        <w:rPr>
          <w:rFonts w:hint="eastAsia" w:ascii="楷体_GB2312" w:hAnsi="楷体_GB2312" w:eastAsia="楷体_GB2312" w:cs="楷体_GB2312"/>
          <w:b/>
          <w:bCs/>
          <w:color w:val="auto"/>
          <w:spacing w:val="0"/>
          <w:kern w:val="2"/>
          <w:sz w:val="32"/>
          <w:szCs w:val="32"/>
          <w:lang w:val="en-US" w:eastAsia="zh-CN" w:bidi="ar-SA"/>
        </w:rPr>
        <w:t>（三）</w:t>
      </w:r>
      <w:r>
        <w:rPr>
          <w:rFonts w:hint="default" w:ascii="楷体_GB2312" w:hAnsi="楷体_GB2312" w:eastAsia="楷体_GB2312" w:cs="楷体_GB2312"/>
          <w:b/>
          <w:bCs/>
          <w:color w:val="auto"/>
          <w:spacing w:val="0"/>
          <w:kern w:val="2"/>
          <w:sz w:val="32"/>
          <w:szCs w:val="32"/>
          <w:lang w:val="en-US" w:eastAsia="zh-CN" w:bidi="ar-SA"/>
        </w:rPr>
        <w:t>2026年</w:t>
      </w:r>
      <w:r>
        <w:rPr>
          <w:rFonts w:hint="eastAsia" w:ascii="楷体_GB2312" w:hAnsi="楷体_GB2312" w:eastAsia="楷体_GB2312" w:cs="楷体_GB2312"/>
          <w:b/>
          <w:bCs/>
          <w:color w:val="auto"/>
          <w:spacing w:val="0"/>
          <w:kern w:val="2"/>
          <w:sz w:val="32"/>
          <w:szCs w:val="32"/>
          <w:lang w:val="en-US" w:eastAsia="zh-CN" w:bidi="ar-SA"/>
        </w:rPr>
        <w:t>公务用车购置及运行维护费0万元</w:t>
      </w:r>
      <w:r>
        <w:rPr>
          <w:rFonts w:hint="default" w:ascii="楷体_GB2312" w:hAnsi="楷体_GB2312" w:eastAsia="楷体_GB2312" w:cs="楷体_GB2312"/>
          <w:b/>
          <w:bCs/>
          <w:color w:val="auto"/>
          <w:spacing w:val="0"/>
          <w:kern w:val="2"/>
          <w:sz w:val="32"/>
          <w:szCs w:val="32"/>
          <w:lang w:eastAsia="zh-CN" w:bidi="ar-SA"/>
        </w:rPr>
        <w:t>。</w:t>
      </w:r>
      <w:r>
        <w:rPr>
          <w:rFonts w:hint="default" w:cs="仿宋_GB2312"/>
          <w:kern w:val="0"/>
          <w:sz w:val="32"/>
          <w:szCs w:val="32"/>
          <w:lang w:eastAsia="zh-CN" w:bidi="ar-SA"/>
        </w:rPr>
        <w:t>与2025年</w:t>
      </w:r>
      <w:r>
        <w:rPr>
          <w:rFonts w:hint="eastAsia" w:ascii="仿宋_GB2312" w:hAnsi="仿宋_GB2312" w:eastAsia="仿宋_GB2312" w:cs="宋体"/>
          <w:sz w:val="32"/>
          <w:szCs w:val="32"/>
        </w:rPr>
        <w:t>预算经费一致，都未安排相关预算经费。</w:t>
      </w:r>
    </w:p>
    <w:p>
      <w:pPr>
        <w:pStyle w:val="3"/>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0" w:firstLineChars="200"/>
        <w:textAlignment w:val="auto"/>
      </w:pPr>
      <w:bookmarkStart w:id="29" w:name="_Toc6876"/>
      <w:bookmarkStart w:id="30" w:name="_Toc11632"/>
      <w:r>
        <w:rPr>
          <w:rFonts w:hint="eastAsia"/>
        </w:rPr>
        <w:t>八、政府性基金预算支出情况说明</w:t>
      </w:r>
      <w:bookmarkEnd w:id="29"/>
      <w:bookmarkEnd w:id="30"/>
    </w:p>
    <w:p>
      <w:pPr>
        <w:pStyle w:val="20"/>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宋体"/>
          <w:sz w:val="32"/>
          <w:szCs w:val="32"/>
        </w:rPr>
        <w:t>202</w:t>
      </w:r>
      <w:r>
        <w:rPr>
          <w:rFonts w:hint="default" w:cs="宋体"/>
          <w:sz w:val="32"/>
          <w:szCs w:val="32"/>
        </w:rPr>
        <w:t>6</w:t>
      </w:r>
      <w:r>
        <w:rPr>
          <w:rFonts w:hint="eastAsia" w:ascii="仿宋_GB2312" w:hAnsi="仿宋_GB2312" w:eastAsia="仿宋_GB2312" w:cs="宋体"/>
          <w:sz w:val="32"/>
          <w:szCs w:val="32"/>
        </w:rPr>
        <w:t>年无政府性基金预算拨款安排的支出，与202</w:t>
      </w:r>
      <w:r>
        <w:rPr>
          <w:rFonts w:hint="default" w:cs="宋体"/>
          <w:sz w:val="32"/>
          <w:szCs w:val="32"/>
        </w:rPr>
        <w:t>5</w:t>
      </w:r>
      <w:r>
        <w:rPr>
          <w:rFonts w:hint="eastAsia" w:ascii="仿宋_GB2312" w:hAnsi="仿宋_GB2312" w:eastAsia="仿宋_GB2312" w:cs="宋体"/>
          <w:sz w:val="32"/>
          <w:szCs w:val="32"/>
        </w:rPr>
        <w:t>年一致。</w:t>
      </w:r>
    </w:p>
    <w:p>
      <w:pPr>
        <w:pStyle w:val="3"/>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0" w:firstLineChars="200"/>
        <w:textAlignment w:val="auto"/>
      </w:pPr>
      <w:bookmarkStart w:id="31" w:name="_Toc22316"/>
      <w:bookmarkStart w:id="32" w:name="_Toc21273"/>
      <w:r>
        <w:rPr>
          <w:rFonts w:hint="eastAsia"/>
        </w:rPr>
        <w:t>九、其他重要事项的情况说明</w:t>
      </w:r>
      <w:bookmarkEnd w:id="31"/>
      <w:bookmarkEnd w:id="32"/>
    </w:p>
    <w:p>
      <w:pPr>
        <w:pStyle w:val="20"/>
        <w:keepNext w:val="0"/>
        <w:keepLines w:val="0"/>
        <w:pageBreakBefore w:val="0"/>
        <w:widowControl w:val="0"/>
        <w:kinsoku/>
        <w:wordWrap/>
        <w:overflowPunct/>
        <w:topLinePunct w:val="0"/>
        <w:autoSpaceDE/>
        <w:autoSpaceDN/>
        <w:bidi w:val="0"/>
        <w:adjustRightInd/>
        <w:snapToGrid/>
        <w:spacing w:before="0" w:line="560" w:lineRule="exact"/>
        <w:ind w:firstLine="642" w:firstLineChars="200"/>
        <w:textAlignment w:val="auto"/>
        <w:rPr>
          <w:rFonts w:hint="eastAsia" w:ascii="楷体_GB2312" w:hAnsi="楷体_GB2312" w:eastAsia="楷体_GB2312" w:cs="楷体_GB2312"/>
          <w:b/>
          <w:bCs/>
          <w:color w:val="auto"/>
          <w:spacing w:val="0"/>
          <w:kern w:val="2"/>
          <w:sz w:val="32"/>
          <w:szCs w:val="32"/>
          <w:lang w:val="en-US" w:eastAsia="zh-CN" w:bidi="ar-SA"/>
        </w:rPr>
      </w:pPr>
      <w:bookmarkStart w:id="33" w:name="_Toc32728"/>
      <w:bookmarkStart w:id="34" w:name="_Toc13080"/>
      <w:r>
        <w:rPr>
          <w:rFonts w:hint="eastAsia" w:ascii="楷体_GB2312" w:hAnsi="楷体_GB2312" w:eastAsia="楷体_GB2312" w:cs="楷体_GB2312"/>
          <w:b/>
          <w:bCs/>
          <w:color w:val="auto"/>
          <w:spacing w:val="0"/>
          <w:kern w:val="2"/>
          <w:sz w:val="32"/>
          <w:szCs w:val="32"/>
          <w:lang w:val="en-US" w:eastAsia="zh-CN" w:bidi="ar-SA"/>
        </w:rPr>
        <w:t>（一）机关运行经费</w:t>
      </w:r>
      <w:bookmarkEnd w:id="33"/>
      <w:bookmarkEnd w:id="34"/>
    </w:p>
    <w:p>
      <w:pPr>
        <w:pStyle w:val="20"/>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default" w:cs="仿宋_GB2312"/>
          <w:kern w:val="0"/>
          <w:sz w:val="32"/>
          <w:szCs w:val="32"/>
          <w:lang w:eastAsia="zh-CN" w:bidi="ar-SA"/>
        </w:rPr>
        <w:t>2026年</w:t>
      </w:r>
      <w:r>
        <w:rPr>
          <w:rFonts w:hint="eastAsia" w:ascii="仿宋_GB2312" w:hAnsi="仿宋_GB2312" w:eastAsia="仿宋_GB2312" w:cs="仿宋_GB2312"/>
          <w:kern w:val="0"/>
          <w:sz w:val="32"/>
          <w:szCs w:val="32"/>
          <w:lang w:val="en-US" w:eastAsia="zh-CN" w:bidi="ar-SA"/>
        </w:rPr>
        <w:t>机关运行经费财政拨款预算为</w:t>
      </w:r>
      <w:r>
        <w:rPr>
          <w:rFonts w:hint="eastAsia" w:cs="仿宋_GB2312"/>
          <w:kern w:val="0"/>
          <w:sz w:val="32"/>
          <w:szCs w:val="32"/>
          <w:lang w:val="en-US" w:eastAsia="zh-CN" w:bidi="ar-SA"/>
        </w:rPr>
        <w:t>0</w:t>
      </w:r>
      <w:r>
        <w:rPr>
          <w:rFonts w:hint="eastAsia" w:ascii="仿宋_GB2312" w:hAnsi="仿宋_GB2312" w:eastAsia="仿宋_GB2312" w:cs="仿宋_GB2312"/>
          <w:kern w:val="0"/>
          <w:sz w:val="32"/>
          <w:szCs w:val="32"/>
          <w:lang w:val="en-US" w:eastAsia="zh-CN" w:bidi="ar-SA"/>
        </w:rPr>
        <w:t>万元，</w:t>
      </w:r>
      <w:r>
        <w:rPr>
          <w:rFonts w:hint="eastAsia" w:cs="仿宋_GB2312"/>
          <w:kern w:val="0"/>
          <w:sz w:val="32"/>
          <w:szCs w:val="32"/>
          <w:lang w:val="en-US" w:eastAsia="zh-CN" w:bidi="ar-SA"/>
        </w:rPr>
        <w:t>与</w:t>
      </w:r>
      <w:r>
        <w:rPr>
          <w:rFonts w:hint="default" w:cs="仿宋_GB2312"/>
          <w:kern w:val="0"/>
          <w:sz w:val="32"/>
          <w:szCs w:val="32"/>
          <w:lang w:eastAsia="zh-CN" w:bidi="ar-SA"/>
        </w:rPr>
        <w:t>2025年</w:t>
      </w:r>
      <w:r>
        <w:rPr>
          <w:rFonts w:hint="eastAsia" w:ascii="仿宋_GB2312" w:hAnsi="仿宋_GB2312" w:eastAsia="仿宋_GB2312" w:cs="仿宋_GB2312"/>
          <w:kern w:val="0"/>
          <w:sz w:val="32"/>
          <w:szCs w:val="32"/>
          <w:lang w:val="en-US" w:eastAsia="zh-CN" w:bidi="ar-SA"/>
        </w:rPr>
        <w:t>预算</w:t>
      </w:r>
      <w:r>
        <w:rPr>
          <w:rFonts w:hint="eastAsia" w:cs="仿宋_GB2312"/>
          <w:kern w:val="0"/>
          <w:sz w:val="32"/>
          <w:szCs w:val="32"/>
          <w:lang w:val="en-US" w:eastAsia="zh-CN" w:bidi="ar-SA"/>
        </w:rPr>
        <w:t>持平；主要原因为：州教育考试中心为事业单位，不涉及机关运行经费</w:t>
      </w:r>
      <w:r>
        <w:rPr>
          <w:rFonts w:hint="eastAsia" w:ascii="仿宋_GB2312" w:hAnsi="仿宋_GB2312" w:eastAsia="仿宋_GB2312" w:cs="仿宋_GB2312"/>
          <w:kern w:val="0"/>
          <w:sz w:val="32"/>
          <w:szCs w:val="32"/>
          <w:lang w:val="en-US" w:eastAsia="zh-CN" w:bidi="ar-SA"/>
        </w:rPr>
        <w:t xml:space="preserve">。 </w:t>
      </w:r>
    </w:p>
    <w:p>
      <w:pPr>
        <w:pStyle w:val="20"/>
        <w:keepNext w:val="0"/>
        <w:keepLines w:val="0"/>
        <w:pageBreakBefore w:val="0"/>
        <w:widowControl w:val="0"/>
        <w:kinsoku/>
        <w:wordWrap/>
        <w:overflowPunct/>
        <w:topLinePunct w:val="0"/>
        <w:autoSpaceDE/>
        <w:autoSpaceDN/>
        <w:bidi w:val="0"/>
        <w:adjustRightInd/>
        <w:snapToGrid/>
        <w:spacing w:before="0" w:line="560" w:lineRule="exact"/>
        <w:ind w:firstLine="642" w:firstLineChars="200"/>
        <w:textAlignment w:val="auto"/>
        <w:rPr>
          <w:rFonts w:hint="eastAsia" w:ascii="楷体_GB2312" w:hAnsi="楷体_GB2312" w:eastAsia="楷体_GB2312" w:cs="楷体_GB2312"/>
          <w:b/>
          <w:bCs/>
          <w:color w:val="auto"/>
          <w:spacing w:val="0"/>
          <w:kern w:val="2"/>
          <w:sz w:val="32"/>
          <w:szCs w:val="32"/>
          <w:lang w:val="en-US" w:eastAsia="zh-CN" w:bidi="ar-SA"/>
        </w:rPr>
      </w:pPr>
      <w:bookmarkStart w:id="35" w:name="_Toc8430"/>
      <w:bookmarkStart w:id="36" w:name="_Toc19484"/>
      <w:r>
        <w:rPr>
          <w:rFonts w:hint="eastAsia" w:ascii="楷体_GB2312" w:hAnsi="楷体_GB2312" w:eastAsia="楷体_GB2312" w:cs="楷体_GB2312"/>
          <w:b/>
          <w:bCs/>
          <w:color w:val="auto"/>
          <w:spacing w:val="0"/>
          <w:kern w:val="2"/>
          <w:sz w:val="32"/>
          <w:szCs w:val="32"/>
          <w:lang w:val="en-US" w:eastAsia="zh-CN" w:bidi="ar-SA"/>
        </w:rPr>
        <w:t>（二）政府采购情况</w:t>
      </w:r>
      <w:bookmarkEnd w:id="35"/>
      <w:bookmarkEnd w:id="36"/>
    </w:p>
    <w:p>
      <w:pPr>
        <w:pStyle w:val="20"/>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default" w:ascii="仿宋_GB2312" w:hAnsi="仿宋_GB2312" w:eastAsia="仿宋_GB2312" w:cs="仿宋_GB2312"/>
          <w:kern w:val="0"/>
          <w:sz w:val="32"/>
          <w:szCs w:val="32"/>
          <w:lang w:eastAsia="zh-CN" w:bidi="ar-SA"/>
        </w:rPr>
      </w:pPr>
      <w:r>
        <w:rPr>
          <w:rFonts w:hint="default" w:cs="仿宋_GB2312"/>
          <w:kern w:val="0"/>
          <w:sz w:val="32"/>
          <w:szCs w:val="32"/>
          <w:lang w:eastAsia="zh-CN" w:bidi="ar-SA"/>
        </w:rPr>
        <w:t>2026年</w:t>
      </w:r>
      <w:r>
        <w:rPr>
          <w:rFonts w:hint="eastAsia" w:ascii="仿宋_GB2312" w:hAnsi="仿宋_GB2312" w:eastAsia="仿宋_GB2312" w:cs="仿宋_GB2312"/>
          <w:kern w:val="0"/>
          <w:sz w:val="32"/>
          <w:szCs w:val="32"/>
          <w:lang w:val="en-US" w:eastAsia="zh-CN" w:bidi="ar-SA"/>
        </w:rPr>
        <w:t>州教育考试中心未安排政府采购预算</w:t>
      </w:r>
      <w:r>
        <w:rPr>
          <w:rFonts w:hint="default" w:cs="仿宋_GB2312"/>
          <w:kern w:val="0"/>
          <w:sz w:val="32"/>
          <w:szCs w:val="32"/>
          <w:lang w:eastAsia="zh-CN" w:bidi="ar-SA"/>
        </w:rPr>
        <w:t>，与2025年一致。</w:t>
      </w:r>
    </w:p>
    <w:p>
      <w:pPr>
        <w:pStyle w:val="20"/>
        <w:keepNext w:val="0"/>
        <w:keepLines w:val="0"/>
        <w:pageBreakBefore w:val="0"/>
        <w:widowControl w:val="0"/>
        <w:kinsoku/>
        <w:wordWrap/>
        <w:overflowPunct/>
        <w:topLinePunct w:val="0"/>
        <w:autoSpaceDE/>
        <w:autoSpaceDN/>
        <w:bidi w:val="0"/>
        <w:adjustRightInd/>
        <w:snapToGrid/>
        <w:spacing w:before="0" w:line="560" w:lineRule="exact"/>
        <w:ind w:firstLine="642" w:firstLineChars="200"/>
        <w:textAlignment w:val="auto"/>
        <w:rPr>
          <w:rFonts w:hint="eastAsia" w:ascii="楷体_GB2312" w:hAnsi="楷体_GB2312" w:eastAsia="楷体_GB2312" w:cs="楷体_GB2312"/>
          <w:b/>
          <w:bCs/>
          <w:color w:val="auto"/>
          <w:spacing w:val="0"/>
          <w:kern w:val="2"/>
          <w:sz w:val="32"/>
          <w:szCs w:val="32"/>
          <w:lang w:val="en-US" w:eastAsia="zh-CN" w:bidi="ar-SA"/>
        </w:rPr>
      </w:pPr>
      <w:bookmarkStart w:id="37" w:name="_Toc4235"/>
      <w:bookmarkStart w:id="38" w:name="_Toc4666"/>
      <w:r>
        <w:rPr>
          <w:rFonts w:hint="eastAsia" w:ascii="楷体_GB2312" w:hAnsi="楷体_GB2312" w:eastAsia="楷体_GB2312" w:cs="楷体_GB2312"/>
          <w:b/>
          <w:bCs/>
          <w:color w:val="auto"/>
          <w:spacing w:val="0"/>
          <w:kern w:val="2"/>
          <w:sz w:val="32"/>
          <w:szCs w:val="32"/>
          <w:lang w:val="en-US" w:eastAsia="zh-CN" w:bidi="ar-SA"/>
        </w:rPr>
        <w:t>（三）国有资产占有使用情况</w:t>
      </w:r>
      <w:bookmarkEnd w:id="37"/>
      <w:bookmarkEnd w:id="38"/>
    </w:p>
    <w:p>
      <w:pPr>
        <w:pStyle w:val="20"/>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截至</w:t>
      </w:r>
      <w:r>
        <w:rPr>
          <w:rFonts w:hint="default" w:cs="仿宋_GB2312"/>
          <w:kern w:val="0"/>
          <w:sz w:val="32"/>
          <w:szCs w:val="32"/>
          <w:lang w:eastAsia="zh-CN" w:bidi="ar-SA"/>
        </w:rPr>
        <w:t>2025年</w:t>
      </w:r>
      <w:r>
        <w:rPr>
          <w:rFonts w:hint="eastAsia" w:ascii="仿宋_GB2312" w:hAnsi="仿宋_GB2312" w:eastAsia="仿宋_GB2312" w:cs="仿宋_GB2312"/>
          <w:kern w:val="0"/>
          <w:sz w:val="32"/>
          <w:szCs w:val="32"/>
          <w:lang w:val="en-US" w:eastAsia="zh-CN" w:bidi="ar-SA"/>
        </w:rPr>
        <w:t>12月31日，</w:t>
      </w:r>
      <w:r>
        <w:rPr>
          <w:rFonts w:hint="eastAsia" w:cs="仿宋_GB2312"/>
          <w:kern w:val="0"/>
          <w:sz w:val="32"/>
          <w:szCs w:val="32"/>
          <w:lang w:val="en-US" w:eastAsia="zh-CN" w:bidi="ar-SA"/>
        </w:rPr>
        <w:t>本</w:t>
      </w:r>
      <w:r>
        <w:rPr>
          <w:rFonts w:hint="eastAsia" w:ascii="仿宋_GB2312" w:hAnsi="仿宋_GB2312" w:eastAsia="仿宋_GB2312" w:cs="仿宋_GB2312"/>
          <w:kern w:val="0"/>
          <w:sz w:val="32"/>
          <w:szCs w:val="32"/>
          <w:lang w:val="en-US" w:eastAsia="zh-CN" w:bidi="ar-SA"/>
        </w:rPr>
        <w:t>单位固定资产</w:t>
      </w:r>
      <w:r>
        <w:rPr>
          <w:rFonts w:hint="eastAsia" w:cs="仿宋_GB2312"/>
          <w:kern w:val="0"/>
          <w:sz w:val="32"/>
          <w:szCs w:val="32"/>
          <w:lang w:val="en-US" w:eastAsia="zh-CN" w:bidi="ar-SA"/>
        </w:rPr>
        <w:t>为</w:t>
      </w:r>
      <w:r>
        <w:rPr>
          <w:rFonts w:hint="eastAsia" w:ascii="仿宋_GB2312" w:hAnsi="仿宋_GB2312" w:eastAsia="仿宋_GB2312" w:cs="仿宋_GB2312"/>
          <w:kern w:val="0"/>
          <w:sz w:val="32"/>
          <w:szCs w:val="32"/>
          <w:lang w:val="en-US" w:eastAsia="zh-CN" w:bidi="ar-SA"/>
        </w:rPr>
        <w:t>0万元。</w:t>
      </w:r>
    </w:p>
    <w:p>
      <w:pPr>
        <w:pStyle w:val="20"/>
        <w:keepNext w:val="0"/>
        <w:keepLines w:val="0"/>
        <w:pageBreakBefore w:val="0"/>
        <w:widowControl w:val="0"/>
        <w:kinsoku/>
        <w:wordWrap/>
        <w:overflowPunct/>
        <w:topLinePunct w:val="0"/>
        <w:autoSpaceDE/>
        <w:autoSpaceDN/>
        <w:bidi w:val="0"/>
        <w:adjustRightInd/>
        <w:snapToGrid/>
        <w:spacing w:before="0" w:line="560" w:lineRule="exact"/>
        <w:ind w:firstLine="642" w:firstLineChars="200"/>
        <w:textAlignment w:val="auto"/>
        <w:rPr>
          <w:rFonts w:hint="eastAsia" w:ascii="楷体_GB2312" w:hAnsi="楷体_GB2312" w:eastAsia="楷体_GB2312" w:cs="楷体_GB2312"/>
          <w:b/>
          <w:bCs/>
          <w:color w:val="auto"/>
          <w:spacing w:val="0"/>
          <w:kern w:val="2"/>
          <w:sz w:val="32"/>
          <w:szCs w:val="32"/>
          <w:lang w:val="en-US" w:eastAsia="zh-CN" w:bidi="ar-SA"/>
        </w:rPr>
      </w:pPr>
      <w:bookmarkStart w:id="39" w:name="_Toc7304"/>
      <w:bookmarkStart w:id="40" w:name="_Toc6092"/>
      <w:r>
        <w:rPr>
          <w:rFonts w:hint="eastAsia" w:ascii="楷体_GB2312" w:hAnsi="楷体_GB2312" w:eastAsia="楷体_GB2312" w:cs="楷体_GB2312"/>
          <w:b/>
          <w:bCs/>
          <w:color w:val="auto"/>
          <w:spacing w:val="0"/>
          <w:kern w:val="2"/>
          <w:sz w:val="32"/>
          <w:szCs w:val="32"/>
          <w:lang w:val="en-US" w:eastAsia="zh-CN" w:bidi="ar-SA"/>
        </w:rPr>
        <w:t>（四）绩效目标设置情况</w:t>
      </w:r>
      <w:bookmarkEnd w:id="39"/>
      <w:bookmarkEnd w:id="40"/>
    </w:p>
    <w:p>
      <w:pPr>
        <w:pStyle w:val="20"/>
        <w:keepNext w:val="0"/>
        <w:keepLines w:val="0"/>
        <w:pageBreakBefore w:val="0"/>
        <w:widowControl w:val="0"/>
        <w:kinsoku/>
        <w:wordWrap/>
        <w:overflowPunct/>
        <w:topLinePunct w:val="0"/>
        <w:autoSpaceDE/>
        <w:autoSpaceDN/>
        <w:bidi w:val="0"/>
        <w:adjustRightInd/>
        <w:snapToGrid/>
        <w:spacing w:before="0" w:line="560" w:lineRule="exact"/>
        <w:ind w:firstLine="640" w:firstLineChars="200"/>
        <w:jc w:val="both"/>
        <w:textAlignment w:val="auto"/>
        <w:rPr>
          <w:rFonts w:hint="default" w:ascii="仿宋_GB2312" w:hAnsi="仿宋_GB2312" w:eastAsia="仿宋_GB2312" w:cs="仿宋_GB2312"/>
          <w:kern w:val="0"/>
          <w:sz w:val="32"/>
          <w:szCs w:val="32"/>
          <w:lang w:eastAsia="zh-CN" w:bidi="ar-SA"/>
        </w:rPr>
      </w:pPr>
      <w:r>
        <w:rPr>
          <w:rFonts w:hint="eastAsia" w:ascii="仿宋_GB2312" w:hAnsi="仿宋_GB2312" w:eastAsia="仿宋_GB2312" w:cs="仿宋_GB2312"/>
          <w:kern w:val="0"/>
          <w:sz w:val="32"/>
          <w:szCs w:val="32"/>
          <w:lang w:val="en-US" w:eastAsia="zh-CN" w:bidi="ar-SA"/>
        </w:rPr>
        <w:t>州教育考试中心</w:t>
      </w:r>
      <w:r>
        <w:rPr>
          <w:rFonts w:hint="default" w:cs="仿宋_GB2312"/>
          <w:color w:val="auto"/>
          <w:kern w:val="2"/>
          <w:sz w:val="32"/>
          <w:szCs w:val="32"/>
          <w:lang w:eastAsia="zh-CN"/>
        </w:rPr>
        <w:t>2026年</w:t>
      </w:r>
      <w:r>
        <w:rPr>
          <w:rFonts w:hint="eastAsia" w:ascii="仿宋_GB2312" w:hAnsi="仿宋_GB2312" w:eastAsia="仿宋_GB2312" w:cs="仿宋_GB2312"/>
          <w:color w:val="auto"/>
          <w:kern w:val="2"/>
          <w:sz w:val="32"/>
          <w:szCs w:val="32"/>
        </w:rPr>
        <w:t>部门</w:t>
      </w:r>
      <w:r>
        <w:rPr>
          <w:rFonts w:hint="eastAsia" w:ascii="仿宋_GB2312" w:hAnsi="仿宋_GB2312" w:eastAsia="仿宋_GB2312" w:cs="仿宋_GB2312"/>
          <w:color w:val="auto"/>
          <w:kern w:val="2"/>
          <w:sz w:val="32"/>
          <w:szCs w:val="32"/>
          <w:lang w:val="en-US" w:eastAsia="zh-CN"/>
        </w:rPr>
        <w:t>预算</w:t>
      </w:r>
      <w:r>
        <w:rPr>
          <w:rFonts w:hint="eastAsia" w:cs="仿宋_GB2312"/>
          <w:color w:val="auto"/>
          <w:kern w:val="2"/>
          <w:sz w:val="32"/>
          <w:szCs w:val="32"/>
          <w:lang w:val="en-US" w:eastAsia="zh-CN"/>
        </w:rPr>
        <w:t>中</w:t>
      </w:r>
      <w:r>
        <w:rPr>
          <w:rFonts w:hint="eastAsia" w:ascii="仿宋_GB2312" w:hAnsi="仿宋_GB2312" w:eastAsia="仿宋_GB2312" w:cs="仿宋_GB2312"/>
          <w:color w:val="auto"/>
          <w:kern w:val="2"/>
          <w:sz w:val="32"/>
          <w:szCs w:val="32"/>
          <w:lang w:val="en-US" w:eastAsia="zh-CN"/>
        </w:rPr>
        <w:t>教育专项</w:t>
      </w:r>
      <w:r>
        <w:rPr>
          <w:rFonts w:hint="eastAsia" w:cs="仿宋_GB2312"/>
          <w:color w:val="auto"/>
          <w:kern w:val="2"/>
          <w:sz w:val="32"/>
          <w:szCs w:val="32"/>
          <w:lang w:val="en-US" w:eastAsia="zh-CN"/>
        </w:rPr>
        <w:t>经费</w:t>
      </w:r>
      <w:r>
        <w:rPr>
          <w:rFonts w:hint="eastAsia" w:ascii="仿宋_GB2312" w:hAnsi="仿宋_GB2312" w:eastAsia="仿宋_GB2312" w:cs="仿宋_GB2312"/>
          <w:color w:val="auto"/>
          <w:kern w:val="2"/>
          <w:sz w:val="32"/>
          <w:szCs w:val="32"/>
        </w:rPr>
        <w:t>均按</w:t>
      </w:r>
      <w:r>
        <w:rPr>
          <w:rFonts w:hint="eastAsia" w:ascii="仿宋_GB2312" w:hAnsi="仿宋_GB2312" w:eastAsia="仿宋_GB2312" w:cs="仿宋_GB2312"/>
          <w:color w:val="auto"/>
          <w:kern w:val="2"/>
          <w:sz w:val="32"/>
          <w:szCs w:val="32"/>
          <w:lang w:val="en-US" w:eastAsia="zh-CN"/>
        </w:rPr>
        <w:t>省、州相关</w:t>
      </w:r>
      <w:r>
        <w:rPr>
          <w:rFonts w:hint="eastAsia" w:ascii="仿宋_GB2312" w:hAnsi="仿宋_GB2312" w:eastAsia="仿宋_GB2312" w:cs="仿宋_GB2312"/>
          <w:color w:val="auto"/>
          <w:kern w:val="2"/>
          <w:sz w:val="32"/>
          <w:szCs w:val="32"/>
        </w:rPr>
        <w:t>要求实行绩效目标管理，</w:t>
      </w:r>
      <w:r>
        <w:rPr>
          <w:rFonts w:hint="eastAsia" w:ascii="仿宋_GB2312" w:hAnsi="仿宋_GB2312" w:eastAsia="仿宋_GB2312" w:cs="仿宋_GB2312"/>
          <w:color w:val="auto"/>
          <w:kern w:val="2"/>
          <w:sz w:val="32"/>
          <w:szCs w:val="32"/>
          <w:lang w:val="en-US" w:eastAsia="zh-CN"/>
        </w:rPr>
        <w:t>开展绩效目标</w:t>
      </w:r>
      <w:r>
        <w:rPr>
          <w:rFonts w:hint="eastAsia" w:cs="仿宋_GB2312"/>
          <w:color w:val="auto"/>
          <w:kern w:val="2"/>
          <w:sz w:val="32"/>
          <w:szCs w:val="32"/>
          <w:lang w:val="en-US" w:eastAsia="zh-CN"/>
        </w:rPr>
        <w:t>管理</w:t>
      </w:r>
      <w:r>
        <w:rPr>
          <w:rFonts w:hint="eastAsia" w:ascii="仿宋_GB2312" w:hAnsi="仿宋_GB2312" w:eastAsia="仿宋_GB2312" w:cs="仿宋_GB2312"/>
          <w:color w:val="auto"/>
          <w:kern w:val="2"/>
          <w:sz w:val="32"/>
          <w:szCs w:val="32"/>
          <w:lang w:val="en-US" w:eastAsia="zh-CN"/>
        </w:rPr>
        <w:t>的项目</w:t>
      </w:r>
      <w:r>
        <w:rPr>
          <w:rFonts w:hint="default" w:cs="仿宋_GB2312"/>
          <w:color w:val="auto"/>
          <w:kern w:val="2"/>
          <w:sz w:val="32"/>
          <w:szCs w:val="32"/>
          <w:lang w:eastAsia="zh-CN"/>
        </w:rPr>
        <w:t>7</w:t>
      </w:r>
      <w:r>
        <w:rPr>
          <w:rFonts w:hint="eastAsia" w:ascii="仿宋_GB2312" w:hAnsi="仿宋_GB2312" w:eastAsia="仿宋_GB2312" w:cs="仿宋_GB2312"/>
          <w:color w:val="auto"/>
          <w:kern w:val="2"/>
          <w:sz w:val="32"/>
          <w:szCs w:val="32"/>
          <w:lang w:val="en-US" w:eastAsia="zh-CN"/>
        </w:rPr>
        <w:t>个，</w:t>
      </w:r>
      <w:r>
        <w:rPr>
          <w:rFonts w:hint="eastAsia" w:ascii="仿宋_GB2312" w:hAnsi="仿宋_GB2312" w:eastAsia="仿宋_GB2312" w:cs="仿宋_GB2312"/>
          <w:color w:val="auto"/>
          <w:kern w:val="2"/>
          <w:sz w:val="32"/>
          <w:szCs w:val="32"/>
        </w:rPr>
        <w:t>涉及</w:t>
      </w:r>
      <w:r>
        <w:rPr>
          <w:rFonts w:hint="eastAsia" w:ascii="仿宋_GB2312" w:hAnsi="仿宋_GB2312" w:eastAsia="仿宋_GB2312" w:cs="仿宋_GB2312"/>
          <w:color w:val="auto"/>
          <w:kern w:val="2"/>
          <w:sz w:val="32"/>
          <w:szCs w:val="32"/>
          <w:lang w:val="en-US" w:eastAsia="zh-CN"/>
        </w:rPr>
        <w:t>预算</w:t>
      </w:r>
      <w:r>
        <w:rPr>
          <w:rFonts w:hint="default" w:cs="仿宋_GB2312"/>
          <w:color w:val="auto"/>
          <w:kern w:val="2"/>
          <w:sz w:val="32"/>
          <w:szCs w:val="32"/>
          <w:lang w:eastAsia="zh-CN"/>
        </w:rPr>
        <w:t>481.91</w:t>
      </w:r>
      <w:r>
        <w:rPr>
          <w:rFonts w:hint="eastAsia" w:ascii="仿宋_GB2312" w:hAnsi="仿宋_GB2312" w:eastAsia="仿宋_GB2312" w:cs="仿宋_GB2312"/>
          <w:color w:val="auto"/>
          <w:kern w:val="2"/>
          <w:sz w:val="32"/>
          <w:szCs w:val="32"/>
        </w:rPr>
        <w:t>万元</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lang w:val="en-US" w:eastAsia="zh-CN"/>
        </w:rPr>
        <w:t>其中：</w:t>
      </w:r>
      <w:r>
        <w:rPr>
          <w:rFonts w:hint="eastAsia" w:cs="仿宋_GB2312"/>
          <w:color w:val="auto"/>
          <w:kern w:val="2"/>
          <w:sz w:val="32"/>
          <w:szCs w:val="32"/>
          <w:lang w:val="en-US" w:eastAsia="zh-CN"/>
        </w:rPr>
        <w:t>人员类项目</w:t>
      </w:r>
      <w:r>
        <w:rPr>
          <w:rFonts w:hint="default" w:cs="仿宋_GB2312"/>
          <w:color w:val="auto"/>
          <w:kern w:val="2"/>
          <w:sz w:val="32"/>
          <w:szCs w:val="32"/>
          <w:lang w:eastAsia="zh-CN"/>
        </w:rPr>
        <w:t>5</w:t>
      </w:r>
      <w:r>
        <w:rPr>
          <w:rFonts w:hint="eastAsia" w:cs="仿宋_GB2312"/>
          <w:color w:val="auto"/>
          <w:kern w:val="2"/>
          <w:sz w:val="32"/>
          <w:szCs w:val="32"/>
          <w:lang w:val="en-US" w:eastAsia="zh-CN"/>
        </w:rPr>
        <w:t>个，涉及预算</w:t>
      </w:r>
      <w:r>
        <w:rPr>
          <w:rFonts w:hint="default" w:cs="仿宋_GB2312"/>
          <w:color w:val="auto"/>
          <w:kern w:val="2"/>
          <w:sz w:val="32"/>
          <w:szCs w:val="32"/>
          <w:lang w:eastAsia="zh-CN"/>
        </w:rPr>
        <w:t>427.20</w:t>
      </w:r>
      <w:r>
        <w:rPr>
          <w:rFonts w:hint="eastAsia" w:cs="仿宋_GB2312"/>
          <w:color w:val="auto"/>
          <w:kern w:val="2"/>
          <w:sz w:val="32"/>
          <w:szCs w:val="32"/>
          <w:lang w:val="en-US" w:eastAsia="zh-CN"/>
        </w:rPr>
        <w:t>万元；运转类项目2个，涉及预算</w:t>
      </w:r>
      <w:r>
        <w:rPr>
          <w:rFonts w:hint="default" w:cs="仿宋_GB2312"/>
          <w:color w:val="auto"/>
          <w:kern w:val="2"/>
          <w:sz w:val="32"/>
          <w:szCs w:val="32"/>
          <w:lang w:eastAsia="zh-CN"/>
        </w:rPr>
        <w:t>54.71</w:t>
      </w:r>
      <w:r>
        <w:rPr>
          <w:rFonts w:hint="eastAsia" w:cs="仿宋_GB2312"/>
          <w:color w:val="auto"/>
          <w:kern w:val="2"/>
          <w:sz w:val="32"/>
          <w:szCs w:val="32"/>
          <w:lang w:val="en-US" w:eastAsia="zh-CN"/>
        </w:rPr>
        <w:t>万元</w:t>
      </w:r>
      <w:r>
        <w:rPr>
          <w:rFonts w:hint="default" w:cs="仿宋_GB2312"/>
          <w:color w:val="auto"/>
          <w:kern w:val="2"/>
          <w:sz w:val="32"/>
          <w:szCs w:val="32"/>
          <w:lang w:eastAsia="zh-CN"/>
        </w:rPr>
        <w:t>。</w:t>
      </w:r>
    </w:p>
    <w:p>
      <w:pPr>
        <w:pStyle w:val="3"/>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0" w:firstLineChars="200"/>
        <w:textAlignment w:val="auto"/>
        <w:rPr>
          <w:rFonts w:hint="eastAsia"/>
          <w:lang w:eastAsia="zh-CN"/>
        </w:rPr>
      </w:pPr>
      <w:bookmarkStart w:id="41" w:name="_Toc11712"/>
      <w:bookmarkStart w:id="42" w:name="_Toc7427"/>
      <w:r>
        <w:rPr>
          <w:rFonts w:hint="eastAsia"/>
        </w:rPr>
        <w:t>十、名称解释</w:t>
      </w:r>
      <w:bookmarkEnd w:id="41"/>
      <w:bookmarkEnd w:id="42"/>
      <w:r>
        <w:rPr>
          <w:rFonts w:hint="eastAsia"/>
        </w:rPr>
        <w:t xml:space="preserve"> </w:t>
      </w:r>
    </w:p>
    <w:p>
      <w:pPr>
        <w:pStyle w:val="20"/>
        <w:keepNext w:val="0"/>
        <w:keepLines w:val="0"/>
        <w:pageBreakBefore w:val="0"/>
        <w:widowControl w:val="0"/>
        <w:kinsoku/>
        <w:wordWrap/>
        <w:overflowPunct/>
        <w:topLinePunct w:val="0"/>
        <w:autoSpaceDE/>
        <w:autoSpaceDN/>
        <w:bidi w:val="0"/>
        <w:adjustRightInd/>
        <w:snapToGrid/>
        <w:spacing w:before="0" w:line="560" w:lineRule="exact"/>
        <w:ind w:firstLine="320" w:firstLineChars="200"/>
        <w:textAlignment w:val="auto"/>
        <w:rPr>
          <w:rFonts w:hint="eastAsia" w:ascii="仿宋_GB2312" w:hAnsi="仿宋_GB2312" w:eastAsia="仿宋_GB2312" w:cs="仿宋_GB2312"/>
          <w:kern w:val="0"/>
          <w:sz w:val="32"/>
          <w:szCs w:val="32"/>
          <w:lang w:val="en-US" w:eastAsia="zh-CN" w:bidi="ar-SA"/>
        </w:rPr>
      </w:pPr>
      <w:r>
        <w:rPr>
          <w:rFonts w:hint="eastAsia" w:ascii="??" w:hAnsi="??" w:eastAsia="宋体" w:cs="宋体"/>
          <w:sz w:val="16"/>
        </w:rPr>
        <w:t>　</w:t>
      </w:r>
      <w:r>
        <w:rPr>
          <w:rFonts w:hint="eastAsia" w:ascii="楷体_GB2312" w:hAnsi="楷体_GB2312" w:eastAsia="楷体_GB2312" w:cs="楷体_GB2312"/>
          <w:b/>
          <w:bCs/>
          <w:color w:val="auto"/>
          <w:spacing w:val="0"/>
          <w:kern w:val="2"/>
          <w:sz w:val="32"/>
          <w:szCs w:val="32"/>
          <w:lang w:val="en-US" w:eastAsia="zh-CN" w:bidi="ar-SA"/>
        </w:rPr>
        <w:t xml:space="preserve"> （一）财政拨款收入：</w:t>
      </w:r>
      <w:r>
        <w:rPr>
          <w:rFonts w:hint="eastAsia" w:ascii="仿宋_GB2312" w:hAnsi="仿宋_GB2312" w:eastAsia="仿宋_GB2312" w:cs="仿宋_GB2312"/>
          <w:kern w:val="0"/>
          <w:sz w:val="32"/>
          <w:szCs w:val="32"/>
          <w:lang w:val="en-US" w:eastAsia="zh-CN" w:bidi="ar-SA"/>
        </w:rPr>
        <w:t>指由财政拨款形成的部门收入。按现行管理制度，部门预算中反映的财政拨款仅包括一般公共预算拨款和政府性基金预算拨款。</w:t>
      </w:r>
    </w:p>
    <w:p>
      <w:pPr>
        <w:pStyle w:val="20"/>
        <w:keepNext w:val="0"/>
        <w:keepLines w:val="0"/>
        <w:pageBreakBefore w:val="0"/>
        <w:widowControl w:val="0"/>
        <w:kinsoku/>
        <w:wordWrap/>
        <w:overflowPunct/>
        <w:topLinePunct w:val="0"/>
        <w:autoSpaceDE/>
        <w:autoSpaceDN/>
        <w:bidi w:val="0"/>
        <w:adjustRightInd/>
        <w:snapToGrid/>
        <w:spacing w:before="0" w:line="560" w:lineRule="exact"/>
        <w:ind w:firstLine="642" w:firstLineChars="200"/>
        <w:textAlignment w:val="auto"/>
        <w:rPr>
          <w:rFonts w:hint="eastAsia" w:ascii="仿宋_GB2312" w:hAnsi="仿宋_GB2312" w:eastAsia="仿宋_GB2312" w:cs="仿宋_GB2312"/>
          <w:kern w:val="0"/>
          <w:sz w:val="32"/>
          <w:szCs w:val="32"/>
          <w:lang w:val="en-US" w:eastAsia="zh-CN" w:bidi="ar-SA"/>
        </w:rPr>
      </w:pPr>
      <w:r>
        <w:rPr>
          <w:rFonts w:hint="eastAsia" w:ascii="楷体_GB2312" w:hAnsi="楷体_GB2312" w:eastAsia="楷体_GB2312" w:cs="楷体_GB2312"/>
          <w:b/>
          <w:bCs/>
          <w:color w:val="auto"/>
          <w:spacing w:val="0"/>
          <w:kern w:val="2"/>
          <w:sz w:val="32"/>
          <w:szCs w:val="32"/>
          <w:lang w:val="en-US" w:eastAsia="zh-CN" w:bidi="ar-SA"/>
        </w:rPr>
        <w:t>（二）事业收入：</w:t>
      </w:r>
      <w:r>
        <w:rPr>
          <w:rFonts w:hint="eastAsia" w:ascii="仿宋_GB2312" w:hAnsi="仿宋_GB2312" w:eastAsia="仿宋_GB2312" w:cs="仿宋_GB2312"/>
          <w:kern w:val="0"/>
          <w:sz w:val="32"/>
          <w:szCs w:val="32"/>
          <w:lang w:val="en-US" w:eastAsia="zh-CN" w:bidi="ar-SA"/>
        </w:rPr>
        <w:t>指所属事业单位开展专业业务活动及辅助活动所取得的收入。</w:t>
      </w:r>
    </w:p>
    <w:p>
      <w:pPr>
        <w:pStyle w:val="20"/>
        <w:keepNext w:val="0"/>
        <w:keepLines w:val="0"/>
        <w:pageBreakBefore w:val="0"/>
        <w:widowControl w:val="0"/>
        <w:kinsoku/>
        <w:wordWrap/>
        <w:overflowPunct/>
        <w:topLinePunct w:val="0"/>
        <w:autoSpaceDE/>
        <w:autoSpaceDN/>
        <w:bidi w:val="0"/>
        <w:adjustRightInd/>
        <w:snapToGrid/>
        <w:spacing w:before="0" w:line="560" w:lineRule="exact"/>
        <w:ind w:firstLine="642" w:firstLineChars="200"/>
        <w:textAlignment w:val="auto"/>
        <w:rPr>
          <w:rFonts w:hint="eastAsia" w:ascii="仿宋_GB2312" w:hAnsi="仿宋_GB2312" w:eastAsia="仿宋_GB2312" w:cs="仿宋_GB2312"/>
          <w:kern w:val="0"/>
          <w:sz w:val="32"/>
          <w:szCs w:val="32"/>
          <w:lang w:val="en-US" w:eastAsia="zh-CN" w:bidi="ar-SA"/>
        </w:rPr>
      </w:pPr>
      <w:r>
        <w:rPr>
          <w:rFonts w:hint="eastAsia" w:ascii="楷体_GB2312" w:hAnsi="楷体_GB2312" w:eastAsia="楷体_GB2312" w:cs="楷体_GB2312"/>
          <w:b/>
          <w:bCs/>
          <w:color w:val="auto"/>
          <w:spacing w:val="0"/>
          <w:kern w:val="2"/>
          <w:sz w:val="32"/>
          <w:szCs w:val="32"/>
          <w:lang w:val="en-US" w:eastAsia="zh-CN" w:bidi="ar-SA"/>
        </w:rPr>
        <w:t>（三）事业单位经营收入：</w:t>
      </w:r>
      <w:r>
        <w:rPr>
          <w:rFonts w:hint="eastAsia" w:ascii="仿宋_GB2312" w:hAnsi="仿宋_GB2312" w:eastAsia="仿宋_GB2312" w:cs="仿宋_GB2312"/>
          <w:kern w:val="0"/>
          <w:sz w:val="32"/>
          <w:szCs w:val="32"/>
          <w:lang w:val="en-US" w:eastAsia="zh-CN" w:bidi="ar-SA"/>
        </w:rPr>
        <w:t>指所属事业单位在专业业务活动及其辅助活动之外开展非独立核算经营活动取得的收入。</w:t>
      </w:r>
    </w:p>
    <w:p>
      <w:pPr>
        <w:pStyle w:val="20"/>
        <w:keepNext w:val="0"/>
        <w:keepLines w:val="0"/>
        <w:pageBreakBefore w:val="0"/>
        <w:widowControl w:val="0"/>
        <w:kinsoku/>
        <w:wordWrap/>
        <w:overflowPunct/>
        <w:topLinePunct w:val="0"/>
        <w:autoSpaceDE/>
        <w:autoSpaceDN/>
        <w:bidi w:val="0"/>
        <w:adjustRightInd/>
        <w:snapToGrid/>
        <w:spacing w:before="0" w:line="560" w:lineRule="exact"/>
        <w:ind w:firstLine="642" w:firstLineChars="200"/>
        <w:textAlignment w:val="auto"/>
        <w:rPr>
          <w:rFonts w:hint="eastAsia" w:ascii="仿宋_GB2312" w:hAnsi="仿宋_GB2312" w:eastAsia="仿宋_GB2312" w:cs="仿宋_GB2312"/>
          <w:kern w:val="0"/>
          <w:sz w:val="32"/>
          <w:szCs w:val="32"/>
          <w:lang w:val="en-US" w:eastAsia="zh-CN" w:bidi="ar-SA"/>
        </w:rPr>
      </w:pPr>
      <w:r>
        <w:rPr>
          <w:rFonts w:hint="eastAsia" w:ascii="楷体_GB2312" w:hAnsi="楷体_GB2312" w:eastAsia="楷体_GB2312" w:cs="楷体_GB2312"/>
          <w:b/>
          <w:bCs/>
          <w:color w:val="auto"/>
          <w:spacing w:val="0"/>
          <w:kern w:val="2"/>
          <w:sz w:val="32"/>
          <w:szCs w:val="32"/>
          <w:lang w:val="en-US" w:eastAsia="zh-CN" w:bidi="ar-SA"/>
        </w:rPr>
        <w:t>（四）其他收入：</w:t>
      </w:r>
      <w:r>
        <w:rPr>
          <w:rFonts w:hint="eastAsia" w:ascii="仿宋_GB2312" w:hAnsi="仿宋_GB2312" w:eastAsia="仿宋_GB2312" w:cs="仿宋_GB2312"/>
          <w:kern w:val="0"/>
          <w:sz w:val="32"/>
          <w:szCs w:val="32"/>
          <w:lang w:val="en-US" w:eastAsia="zh-CN" w:bidi="ar-SA"/>
        </w:rPr>
        <w:t>指除上述“财政拨款收入”、“事业收入”、“事业单位经营收入”等以外的收入，主要是所属行政事业单位按规定动用的售房收入、存款利息收入等。</w:t>
      </w:r>
    </w:p>
    <w:p>
      <w:pPr>
        <w:pStyle w:val="20"/>
        <w:keepNext w:val="0"/>
        <w:keepLines w:val="0"/>
        <w:pageBreakBefore w:val="0"/>
        <w:widowControl w:val="0"/>
        <w:kinsoku/>
        <w:wordWrap/>
        <w:overflowPunct/>
        <w:topLinePunct w:val="0"/>
        <w:autoSpaceDE/>
        <w:autoSpaceDN/>
        <w:bidi w:val="0"/>
        <w:adjustRightInd/>
        <w:snapToGrid/>
        <w:spacing w:before="0" w:line="560" w:lineRule="exact"/>
        <w:ind w:firstLine="642" w:firstLineChars="200"/>
        <w:textAlignment w:val="auto"/>
        <w:rPr>
          <w:rFonts w:hint="eastAsia" w:ascii="仿宋_GB2312" w:hAnsi="仿宋_GB2312" w:eastAsia="仿宋_GB2312" w:cs="仿宋_GB2312"/>
          <w:kern w:val="0"/>
          <w:sz w:val="32"/>
          <w:szCs w:val="32"/>
          <w:lang w:val="en-US" w:eastAsia="zh-CN" w:bidi="ar-SA"/>
        </w:rPr>
      </w:pPr>
      <w:r>
        <w:rPr>
          <w:rFonts w:hint="eastAsia" w:ascii="楷体_GB2312" w:hAnsi="楷体_GB2312" w:eastAsia="楷体_GB2312" w:cs="楷体_GB2312"/>
          <w:b/>
          <w:bCs/>
          <w:color w:val="auto"/>
          <w:spacing w:val="0"/>
          <w:kern w:val="2"/>
          <w:sz w:val="32"/>
          <w:szCs w:val="32"/>
          <w:lang w:val="en-US" w:eastAsia="zh-CN" w:bidi="ar-SA"/>
        </w:rPr>
        <w:t>（五）用事业基金弥补收支差额：</w:t>
      </w:r>
      <w:r>
        <w:rPr>
          <w:rFonts w:hint="eastAsia" w:ascii="仿宋_GB2312" w:hAnsi="仿宋_GB2312" w:eastAsia="仿宋_GB2312" w:cs="仿宋_GB2312"/>
          <w:kern w:val="0"/>
          <w:sz w:val="32"/>
          <w:szCs w:val="32"/>
          <w:lang w:val="en-US" w:eastAsia="zh-CN" w:bidi="ar-SA"/>
        </w:rPr>
        <w:t>指所属事业单位在预计用当年的“财政拨款收入”、“事业收入”、“事业单位经营收入”、“其他收入”不足以安排当年支出的情况下，使用以前年度积累的事业基金弥补本年度收支缺口的资金。</w:t>
      </w:r>
    </w:p>
    <w:p>
      <w:pPr>
        <w:pStyle w:val="20"/>
        <w:keepNext w:val="0"/>
        <w:keepLines w:val="0"/>
        <w:pageBreakBefore w:val="0"/>
        <w:widowControl w:val="0"/>
        <w:kinsoku/>
        <w:wordWrap/>
        <w:overflowPunct/>
        <w:topLinePunct w:val="0"/>
        <w:autoSpaceDE/>
        <w:autoSpaceDN/>
        <w:bidi w:val="0"/>
        <w:adjustRightInd/>
        <w:snapToGrid/>
        <w:spacing w:before="0" w:line="560" w:lineRule="exact"/>
        <w:ind w:firstLine="642" w:firstLineChars="200"/>
        <w:textAlignment w:val="auto"/>
        <w:rPr>
          <w:rFonts w:hint="eastAsia" w:ascii="仿宋_GB2312" w:hAnsi="仿宋_GB2312" w:eastAsia="仿宋_GB2312" w:cs="仿宋_GB2312"/>
          <w:kern w:val="0"/>
          <w:sz w:val="32"/>
          <w:szCs w:val="32"/>
          <w:lang w:val="en-US" w:eastAsia="zh-CN" w:bidi="ar-SA"/>
        </w:rPr>
      </w:pPr>
      <w:r>
        <w:rPr>
          <w:rFonts w:hint="eastAsia" w:ascii="楷体_GB2312" w:hAnsi="楷体_GB2312" w:eastAsia="楷体_GB2312" w:cs="楷体_GB2312"/>
          <w:b/>
          <w:bCs/>
          <w:color w:val="auto"/>
          <w:spacing w:val="0"/>
          <w:kern w:val="2"/>
          <w:sz w:val="32"/>
          <w:szCs w:val="32"/>
          <w:lang w:val="en-US" w:eastAsia="zh-CN" w:bidi="ar-SA"/>
        </w:rPr>
        <w:t>（六）上年结转：</w:t>
      </w:r>
      <w:r>
        <w:rPr>
          <w:rFonts w:hint="eastAsia" w:ascii="仿宋_GB2312" w:hAnsi="仿宋_GB2312" w:eastAsia="仿宋_GB2312" w:cs="仿宋_GB2312"/>
          <w:kern w:val="0"/>
          <w:sz w:val="32"/>
          <w:szCs w:val="32"/>
          <w:lang w:val="en-US" w:eastAsia="zh-CN" w:bidi="ar-SA"/>
        </w:rPr>
        <w:t>指所属行政事业单位以前年度尚未完成、结转至本年按原规定用途继续使用的资金和以前年度已完成项目剩余资金经批准用于新用途使用的资金。</w:t>
      </w:r>
    </w:p>
    <w:sectPr>
      <w:footerReference r:id="rId4" w:type="default"/>
      <w:pgSz w:w="11906" w:h="16838"/>
      <w:pgMar w:top="2098" w:right="1474" w:bottom="1984" w:left="1587"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Cambria">
    <w:altName w:val="Noto Sans Syriac Eastern"/>
    <w:panose1 w:val="02040503050406030204"/>
    <w:charset w:val="00"/>
    <w:family w:val="roman"/>
    <w:pitch w:val="default"/>
    <w:sig w:usb0="00000000" w:usb1="00000000" w:usb2="02000000" w:usb3="00000000" w:csb0="2000019F" w:csb1="00000000"/>
  </w:font>
  <w:font w:name="方正小标宋简体">
    <w:altName w:val="方正小标宋_GBK"/>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
    <w:altName w:val="DejaVu Math TeX Gyre"/>
    <w:panose1 w:val="00000000000000000000"/>
    <w:charset w:val="00"/>
    <w:family w:val="roman"/>
    <w:pitch w:val="default"/>
    <w:sig w:usb0="00000000" w:usb1="00000000" w:usb2="00000000" w:usb3="00000000" w:csb0="0000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文泉驿正黑">
    <w:panose1 w:val="02000603000000000000"/>
    <w:charset w:val="86"/>
    <w:family w:val="auto"/>
    <w:pitch w:val="default"/>
    <w:sig w:usb0="900002BF" w:usb1="2BDF7DFB" w:usb2="00000036" w:usb3="00000000" w:csb0="603E000D" w:csb1="D2D70000"/>
  </w:font>
  <w:font w:name="方正楷体_GBK">
    <w:panose1 w:val="02000000000000000000"/>
    <w:charset w:val="86"/>
    <w:family w:val="auto"/>
    <w:pitch w:val="default"/>
    <w:sig w:usb0="A00002BF" w:usb1="38CF7CFA" w:usb2="00082016" w:usb3="00000000" w:csb0="00040001"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4OTRhNWY4YmQ5NmQ3NzA5ZWM4MmM3NDUyYzY2ZjkifQ=="/>
  </w:docVars>
  <w:rsids>
    <w:rsidRoot w:val="7AE4629A"/>
    <w:rsid w:val="000451C2"/>
    <w:rsid w:val="0006464F"/>
    <w:rsid w:val="001634E3"/>
    <w:rsid w:val="001910FF"/>
    <w:rsid w:val="001B1BFD"/>
    <w:rsid w:val="00242435"/>
    <w:rsid w:val="00273FDC"/>
    <w:rsid w:val="002F7621"/>
    <w:rsid w:val="0030031F"/>
    <w:rsid w:val="004379C5"/>
    <w:rsid w:val="00476B63"/>
    <w:rsid w:val="0054124B"/>
    <w:rsid w:val="00723B73"/>
    <w:rsid w:val="00793FEE"/>
    <w:rsid w:val="007B24DE"/>
    <w:rsid w:val="00803F7A"/>
    <w:rsid w:val="00842DA9"/>
    <w:rsid w:val="00887775"/>
    <w:rsid w:val="00923A98"/>
    <w:rsid w:val="00AB4C2F"/>
    <w:rsid w:val="00D264D1"/>
    <w:rsid w:val="00DB29FD"/>
    <w:rsid w:val="00E829FC"/>
    <w:rsid w:val="00FA75A4"/>
    <w:rsid w:val="00FC59D7"/>
    <w:rsid w:val="07674A16"/>
    <w:rsid w:val="085C39F9"/>
    <w:rsid w:val="0BFD6E96"/>
    <w:rsid w:val="0C42394B"/>
    <w:rsid w:val="0C450D6C"/>
    <w:rsid w:val="0CB55F2C"/>
    <w:rsid w:val="13197D31"/>
    <w:rsid w:val="14D90910"/>
    <w:rsid w:val="14E758E3"/>
    <w:rsid w:val="15CC7643"/>
    <w:rsid w:val="164003A4"/>
    <w:rsid w:val="16C5583A"/>
    <w:rsid w:val="177904B8"/>
    <w:rsid w:val="19596D8C"/>
    <w:rsid w:val="1B0406D7"/>
    <w:rsid w:val="20361CB8"/>
    <w:rsid w:val="28702A70"/>
    <w:rsid w:val="29566940"/>
    <w:rsid w:val="2ACC6A20"/>
    <w:rsid w:val="2B7828C1"/>
    <w:rsid w:val="2EA11F45"/>
    <w:rsid w:val="32BF7DF5"/>
    <w:rsid w:val="37BF5660"/>
    <w:rsid w:val="37E20E98"/>
    <w:rsid w:val="3BA3A738"/>
    <w:rsid w:val="3C4A40D5"/>
    <w:rsid w:val="48EB0A3F"/>
    <w:rsid w:val="4DF03C5F"/>
    <w:rsid w:val="4E9F4508"/>
    <w:rsid w:val="500752C1"/>
    <w:rsid w:val="56917898"/>
    <w:rsid w:val="57AF64D0"/>
    <w:rsid w:val="58EEDBB7"/>
    <w:rsid w:val="598F1652"/>
    <w:rsid w:val="5A6567AA"/>
    <w:rsid w:val="5F7B0CFB"/>
    <w:rsid w:val="5FABFDFA"/>
    <w:rsid w:val="5FED4F4B"/>
    <w:rsid w:val="61693C9D"/>
    <w:rsid w:val="61FE2C02"/>
    <w:rsid w:val="64CC0F4B"/>
    <w:rsid w:val="6ECBC18B"/>
    <w:rsid w:val="6FDFCD01"/>
    <w:rsid w:val="6FFEF5F0"/>
    <w:rsid w:val="717F1C5A"/>
    <w:rsid w:val="74D815A7"/>
    <w:rsid w:val="76EF2CA3"/>
    <w:rsid w:val="77F99DC4"/>
    <w:rsid w:val="7AE4629A"/>
    <w:rsid w:val="7D082054"/>
    <w:rsid w:val="7DEF411E"/>
    <w:rsid w:val="7EE32C29"/>
    <w:rsid w:val="7F3ECC9B"/>
    <w:rsid w:val="7F69C4B8"/>
    <w:rsid w:val="7FAED836"/>
    <w:rsid w:val="7FBD0118"/>
    <w:rsid w:val="7FDDC61D"/>
    <w:rsid w:val="7FEA965A"/>
    <w:rsid w:val="B1FF3F89"/>
    <w:rsid w:val="BF6F342F"/>
    <w:rsid w:val="E3ED9504"/>
    <w:rsid w:val="EEEEAF1C"/>
    <w:rsid w:val="EEEFE49C"/>
    <w:rsid w:val="F65E0BC8"/>
    <w:rsid w:val="F6DFC931"/>
    <w:rsid w:val="F6EFB7F9"/>
    <w:rsid w:val="FDDF22FD"/>
    <w:rsid w:val="FF55FE02"/>
    <w:rsid w:val="FFDC87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left"/>
    </w:pPr>
    <w:rPr>
      <w:rFonts w:ascii="Calibri" w:hAnsi="Calibri" w:eastAsia="仿宋_GB2312" w:cs="Times New Roman"/>
      <w:kern w:val="2"/>
      <w:sz w:val="32"/>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ind w:leftChars="200"/>
      <w:jc w:val="left"/>
      <w:outlineLvl w:val="0"/>
    </w:pPr>
    <w:rPr>
      <w:rFonts w:ascii="黑体" w:hAnsi="黑体" w:eastAsia="黑体"/>
      <w:kern w:val="44"/>
      <w:sz w:val="32"/>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ind w:leftChars="200"/>
      <w:jc w:val="left"/>
      <w:outlineLvl w:val="1"/>
    </w:pPr>
    <w:rPr>
      <w:rFonts w:ascii="Arial" w:hAnsi="Arial" w:eastAsia="楷体"/>
      <w:b/>
      <w:sz w:val="32"/>
    </w:rPr>
  </w:style>
  <w:style w:type="paragraph" w:styleId="5">
    <w:name w:val="heading 3"/>
    <w:basedOn w:val="1"/>
    <w:next w:val="1"/>
    <w:unhideWhenUsed/>
    <w:qFormat/>
    <w:uiPriority w:val="0"/>
    <w:pPr>
      <w:keepNext/>
      <w:keepLines/>
      <w:spacing w:before="20" w:beforeLines="0" w:beforeAutospacing="0" w:after="20" w:afterLines="0" w:afterAutospacing="0" w:line="413" w:lineRule="auto"/>
      <w:ind w:leftChars="300"/>
      <w:jc w:val="left"/>
      <w:outlineLvl w:val="2"/>
    </w:pPr>
    <w:rPr>
      <w:rFonts w:ascii="仿宋_GB2312" w:hAnsi="仿宋_GB2312" w:eastAsia="仿宋_GB2312"/>
      <w:b/>
      <w:sz w:val="32"/>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index 5"/>
    <w:next w:val="1"/>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100" w:beforeAutospacing="1" w:after="100" w:afterAutospacing="1" w:line="240" w:lineRule="auto"/>
      <w:ind w:left="1680" w:right="0" w:firstLine="0"/>
      <w:jc w:val="both"/>
      <w:textAlignment w:val="auto"/>
      <w:outlineLvl w:val="9"/>
    </w:pPr>
    <w:rPr>
      <w:rFonts w:ascii="Calibri" w:hAnsi="Calibri" w:eastAsia="宋体" w:cs="Times New Roman"/>
      <w:snapToGrid/>
      <w:color w:val="auto"/>
      <w:spacing w:val="0"/>
      <w:w w:val="100"/>
      <w:kern w:val="2"/>
      <w:position w:val="0"/>
      <w:sz w:val="21"/>
      <w:szCs w:val="21"/>
      <w:u w:val="none" w:color="auto"/>
      <w:vertAlign w:val="baseline"/>
      <w:lang w:val="en-US" w:eastAsia="zh-CN" w:bidi="ar-SA"/>
    </w:rPr>
  </w:style>
  <w:style w:type="paragraph" w:styleId="7">
    <w:name w:val="Salutation"/>
    <w:basedOn w:val="1"/>
    <w:next w:val="1"/>
    <w:qFormat/>
    <w:uiPriority w:val="0"/>
  </w:style>
  <w:style w:type="paragraph" w:styleId="8">
    <w:name w:val="Body Text"/>
    <w:basedOn w:val="1"/>
    <w:next w:val="9"/>
    <w:unhideWhenUsed/>
    <w:qFormat/>
    <w:uiPriority w:val="99"/>
    <w:pPr>
      <w:spacing w:after="120"/>
    </w:pPr>
    <w:rPr>
      <w:rFonts w:eastAsia="仿宋_GB2312" w:cs="Times New Roman"/>
      <w:sz w:val="32"/>
      <w:szCs w:val="22"/>
    </w:rPr>
  </w:style>
  <w:style w:type="paragraph" w:styleId="9">
    <w:name w:val="Subtitle"/>
    <w:basedOn w:val="1"/>
    <w:next w:val="1"/>
    <w:qFormat/>
    <w:uiPriority w:val="11"/>
    <w:pPr>
      <w:spacing w:before="120" w:after="120" w:line="312" w:lineRule="auto"/>
      <w:jc w:val="left"/>
      <w:outlineLvl w:val="1"/>
    </w:pPr>
    <w:rPr>
      <w:rFonts w:ascii="Cambria" w:hAnsi="Cambria"/>
      <w:b/>
      <w:bCs/>
      <w:kern w:val="28"/>
      <w:sz w:val="24"/>
      <w:szCs w:val="32"/>
    </w:rPr>
  </w:style>
  <w:style w:type="paragraph" w:styleId="10">
    <w:name w:val="toc 3"/>
    <w:basedOn w:val="1"/>
    <w:next w:val="1"/>
    <w:qFormat/>
    <w:uiPriority w:val="0"/>
    <w:pPr>
      <w:ind w:left="840" w:leftChars="400"/>
    </w:p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Normal (Web)"/>
    <w:basedOn w:val="1"/>
    <w:qFormat/>
    <w:uiPriority w:val="0"/>
    <w:pPr>
      <w:widowControl/>
      <w:spacing w:beforeAutospacing="1" w:afterAutospacing="1"/>
      <w:jc w:val="left"/>
    </w:pPr>
    <w:rPr>
      <w:rFonts w:hint="eastAsia" w:ascii="宋体" w:hAnsi="宋体"/>
      <w:kern w:val="0"/>
      <w:sz w:val="24"/>
      <w:szCs w:val="24"/>
    </w:rPr>
  </w:style>
  <w:style w:type="character" w:styleId="18">
    <w:name w:val="Strong"/>
    <w:basedOn w:val="17"/>
    <w:qFormat/>
    <w:uiPriority w:val="0"/>
    <w:rPr>
      <w:b/>
    </w:rPr>
  </w:style>
  <w:style w:type="paragraph" w:styleId="19">
    <w:name w:val="List Paragraph"/>
    <w:basedOn w:val="1"/>
    <w:qFormat/>
    <w:uiPriority w:val="99"/>
    <w:pPr>
      <w:ind w:firstLine="420" w:firstLineChars="200"/>
    </w:pPr>
  </w:style>
  <w:style w:type="paragraph" w:customStyle="1" w:styleId="20">
    <w:name w:val="正文文本1"/>
    <w:basedOn w:val="1"/>
    <w:qFormat/>
    <w:uiPriority w:val="0"/>
    <w:pPr>
      <w:spacing w:before="93"/>
    </w:pPr>
    <w:rPr>
      <w:rFonts w:ascii="仿宋_GB2312" w:hAnsi="仿宋_GB2312" w:eastAsia="仿宋_GB2312"/>
      <w:kern w:val="0"/>
      <w:sz w:val="30"/>
      <w:szCs w:val="20"/>
    </w:rPr>
  </w:style>
  <w:style w:type="paragraph" w:customStyle="1" w:styleId="21">
    <w:name w:val="WPSOffice手动目录 1"/>
    <w:qFormat/>
    <w:uiPriority w:val="0"/>
    <w:pPr>
      <w:ind w:leftChars="0"/>
    </w:pPr>
    <w:rPr>
      <w:rFonts w:asciiTheme="minorHAnsi" w:hAnsiTheme="minorHAnsi" w:eastAsiaTheme="minorEastAsia" w:cstheme="minorBidi"/>
      <w:sz w:val="20"/>
      <w:szCs w:val="20"/>
    </w:rPr>
  </w:style>
  <w:style w:type="paragraph" w:customStyle="1" w:styleId="22">
    <w:name w:val="WPSOffice手动目录 2"/>
    <w:qFormat/>
    <w:uiPriority w:val="0"/>
    <w:pPr>
      <w:ind w:leftChars="200"/>
    </w:pPr>
    <w:rPr>
      <w:rFonts w:asciiTheme="minorHAnsi" w:hAnsiTheme="minorHAnsi" w:eastAsiaTheme="minorEastAsia" w:cstheme="minorBidi"/>
      <w:sz w:val="20"/>
      <w:szCs w:val="20"/>
    </w:rPr>
  </w:style>
  <w:style w:type="paragraph" w:customStyle="1" w:styleId="23">
    <w:name w:val="WPSOffice手动目录 3"/>
    <w:qFormat/>
    <w:uiPriority w:val="0"/>
    <w:pPr>
      <w:ind w:leftChars="4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2271</Words>
  <Characters>2509</Characters>
  <Lines>17</Lines>
  <Paragraphs>4</Paragraphs>
  <TotalTime>24</TotalTime>
  <ScaleCrop>false</ScaleCrop>
  <LinksUpToDate>false</LinksUpToDate>
  <CharactersWithSpaces>2577</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2023-01-03T01:44:00Z</dcterms:created>
  <dc:creator>疯丫头。。</dc:creator>
  <cp:lastModifiedBy>user</cp:lastModifiedBy>
  <cp:lastPrinted>2024-01-21T01:29:00Z</cp:lastPrinted>
  <dcterms:modified xsi:type="dcterms:W3CDTF">2026-01-30T20:43:45Z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7299FEA375CD4ED982D787B0327E9983</vt:lpwstr>
  </property>
  <property fmtid="{D5CDD505-2E9C-101B-9397-08002B2CF9AE}" pid="4" name="KSOTemplateDocerSaveRecord">
    <vt:lpwstr>eyJoZGlkIjoiZjQ4OTRhNWY4YmQ5NmQ3NzA5ZWM4MmM3NDUyYzY2ZjkiLCJ1c2VySWQiOiIyOTQyNjU2ODYifQ==</vt:lpwstr>
  </property>
</Properties>
</file>