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87D2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p>
    <w:p w14:paraId="7DAD322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阿坝藏族羌族自治州户外活动管理办法</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eastAsia="zh-CN"/>
          <w14:textFill>
            <w14:solidFill>
              <w14:schemeClr w14:val="tx1"/>
            </w14:solidFill>
          </w14:textFill>
        </w:rPr>
        <w:t>（</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试行</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eastAsia="zh-CN"/>
          <w14:textFill>
            <w14:solidFill>
              <w14:schemeClr w14:val="tx1"/>
            </w14:solidFill>
          </w14:textFill>
        </w:rPr>
        <w:t>）</w:t>
      </w:r>
    </w:p>
    <w:p w14:paraId="3E03EDA6">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0"/>
        <w:jc w:val="center"/>
        <w:textAlignment w:val="auto"/>
        <w:rPr>
          <w:rStyle w:val="11"/>
          <w:rFonts w:hint="eastAsia" w:ascii="楷体_GB2312" w:hAnsi="楷体_GB2312" w:eastAsia="楷体_GB2312" w:cs="楷体_GB2312"/>
          <w:b/>
          <w:bCs/>
          <w:i w:val="0"/>
          <w:iCs w:val="0"/>
          <w:caps w:val="0"/>
          <w:color w:val="000000" w:themeColor="text1"/>
          <w:spacing w:val="0"/>
          <w:sz w:val="32"/>
          <w:szCs w:val="32"/>
          <w:shd w:val="clear" w:fill="FFFFFF"/>
          <w:lang w:eastAsia="zh-CN"/>
          <w14:textFill>
            <w14:solidFill>
              <w14:schemeClr w14:val="tx1"/>
            </w14:solidFill>
          </w14:textFill>
        </w:rPr>
      </w:pPr>
      <w:r>
        <w:rPr>
          <w:rStyle w:val="11"/>
          <w:rFonts w:hint="eastAsia" w:ascii="楷体_GB2312" w:hAnsi="楷体_GB2312" w:eastAsia="楷体_GB2312" w:cs="楷体_GB2312"/>
          <w:b/>
          <w:bCs/>
          <w:i w:val="0"/>
          <w:iCs w:val="0"/>
          <w:caps w:val="0"/>
          <w:color w:val="000000" w:themeColor="text1"/>
          <w:spacing w:val="0"/>
          <w:sz w:val="32"/>
          <w:szCs w:val="32"/>
          <w:shd w:val="clear" w:fill="FFFFFF"/>
          <w:lang w:eastAsia="zh-CN"/>
          <w14:textFill>
            <w14:solidFill>
              <w14:schemeClr w14:val="tx1"/>
            </w14:solidFill>
          </w14:textFill>
        </w:rPr>
        <w:t>（</w:t>
      </w:r>
      <w:r>
        <w:rPr>
          <w:rStyle w:val="11"/>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t>征求意见稿</w:t>
      </w:r>
      <w:r>
        <w:rPr>
          <w:rStyle w:val="11"/>
          <w:rFonts w:hint="eastAsia" w:ascii="楷体_GB2312" w:hAnsi="楷体_GB2312" w:eastAsia="楷体_GB2312" w:cs="楷体_GB2312"/>
          <w:b/>
          <w:bCs/>
          <w:i w:val="0"/>
          <w:iCs w:val="0"/>
          <w:caps w:val="0"/>
          <w:color w:val="000000" w:themeColor="text1"/>
          <w:spacing w:val="0"/>
          <w:sz w:val="32"/>
          <w:szCs w:val="32"/>
          <w:shd w:val="clear" w:fill="FFFFFF"/>
          <w:lang w:eastAsia="zh-CN"/>
          <w14:textFill>
            <w14:solidFill>
              <w14:schemeClr w14:val="tx1"/>
            </w14:solidFill>
          </w14:textFill>
        </w:rPr>
        <w:t>）</w:t>
      </w:r>
    </w:p>
    <w:p w14:paraId="0C0BB7F3">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0"/>
        <w:jc w:val="both"/>
        <w:textAlignment w:val="auto"/>
        <w:rPr>
          <w:rStyle w:val="11"/>
          <w:rFonts w:hint="eastAsia" w:ascii="楷体_GB2312" w:hAnsi="楷体_GB2312" w:eastAsia="楷体_GB2312" w:cs="楷体_GB2312"/>
          <w:b/>
          <w:bCs/>
          <w:i w:val="0"/>
          <w:iCs w:val="0"/>
          <w:caps w:val="0"/>
          <w:color w:val="000000" w:themeColor="text1"/>
          <w:spacing w:val="0"/>
          <w:sz w:val="32"/>
          <w:szCs w:val="32"/>
          <w:shd w:val="clear" w:fill="FFFFFF"/>
          <w:lang w:eastAsia="zh-CN"/>
          <w14:textFill>
            <w14:solidFill>
              <w14:schemeClr w14:val="tx1"/>
            </w14:solidFill>
          </w14:textFill>
        </w:rPr>
      </w:pPr>
    </w:p>
    <w:p w14:paraId="6BF7C181">
      <w:pPr>
        <w:pStyle w:val="3"/>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总则</w:t>
      </w:r>
    </w:p>
    <w:p w14:paraId="630D2EA0">
      <w:pPr>
        <w:numPr>
          <w:ilvl w:val="0"/>
          <w:numId w:val="0"/>
        </w:numPr>
      </w:pPr>
    </w:p>
    <w:p w14:paraId="43EAC8E0">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643" w:firstLineChars="200"/>
        <w:textAlignment w:val="auto"/>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t>第一条</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  </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为加强阿坝藏族羌族自治州（以下简称“本州”）户外活动管理，规范户外</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活动</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市场秩序，保障参与者人身安全和生态环境安全，促进户外活动健康有序发展，根据《中华人民共和国体育法》《中华人民共和国旅游法》《中华人民共和国生态环境法典》《国内登山管理办法》《经营高危险性体育项目许可管理办法》《四川省登山管理办法》等法律法规，结合本州实际，制定本办法。</w:t>
      </w:r>
    </w:p>
    <w:p w14:paraId="09DAAB00">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643" w:firstLineChars="200"/>
        <w:jc w:val="left"/>
        <w:textAlignment w:val="auto"/>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第二条  </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本办法适用于在本州行政区域内从事</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徒步、登山、攀冰、攀岩、滑雪、溯溪、定向、越野、骑行、游泳、漂流、穿越、露营、滑翔伞、热气球</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等户外活动的组织</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实施</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、参与、服务及监督管理。</w:t>
      </w:r>
    </w:p>
    <w:p w14:paraId="1FB89D95">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643"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第三条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户外活动管理遵循生态优先、绿色发展，安全第一、预防为主，属地管理、分级负责，政府引导、行业自律与社会参与相结合的原则。</w:t>
      </w:r>
    </w:p>
    <w:p w14:paraId="1D5AF97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pPr>
    </w:p>
    <w:p w14:paraId="707C1B7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第</w:t>
      </w:r>
      <w:r>
        <w:rPr>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二</w:t>
      </w: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 xml:space="preserve">章 </w:t>
      </w:r>
      <w:r>
        <w:rPr>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户外活动管理部门职责</w:t>
      </w:r>
    </w:p>
    <w:p w14:paraId="5E27B82C">
      <w:pPr>
        <w:rPr>
          <w:rFonts w:hint="default"/>
          <w:lang w:val="en-US" w:eastAsia="zh-CN"/>
        </w:rPr>
      </w:pPr>
    </w:p>
    <w:p w14:paraId="5829C0E8">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643" w:firstLineChars="200"/>
        <w:jc w:val="left"/>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第四条  </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州、县（市）人民政府履行户外活动管理主体领导责任，建立跨部门协调联动机制，将户外安全管控、基础设施配套、应急体系建设纳入本级发展规划</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，将</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相关工作经费列入财政预算，保障管理工作落地见效。</w:t>
      </w:r>
    </w:p>
    <w:p w14:paraId="79F6A91B">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643" w:firstLineChars="200"/>
        <w:jc w:val="left"/>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第五条  </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州、县（市）体育行政部门为户外活动主管单位</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各相关部门各司其职、协同共管：</w:t>
      </w:r>
    </w:p>
    <w:p w14:paraId="4EBAB65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（一）体育部门：</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牵头</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统筹户外</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规划、标准制定、业务指导与综合监管。牵头</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户外行业管理、线路审批、从业机构备案、风险防控指导，牵头落实行业监管职责。</w:t>
      </w:r>
    </w:p>
    <w:p w14:paraId="46AF1F7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（二）自然资源部门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：负责地质遗迹等区域管控，对未开发区域管控、严查破坏自然资源行为，落实生态保护与地质安全监管。</w:t>
      </w:r>
    </w:p>
    <w:p w14:paraId="2692D13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（三）生态环境部门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：负责户外活动对环境影响的监督管理，监督活动组织者落实生态环境保护措施，防止污染和生态破坏，依法查处相关违法行为。</w:t>
      </w:r>
    </w:p>
    <w:p w14:paraId="2D06154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_GB2312" w:hAnsi="仿宋_GB2312" w:cs="仿宋_GB2312" w:eastAsiaTheme="minorEastAsia"/>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（四）交通运输部门：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负责户外活动涉及公路交通设施的安全保障，依法管理涉路施工和路域环境，负责户外活动目的地公共交通保障、营运车辆监管</w:t>
      </w:r>
      <w:r>
        <w:rPr>
          <w:rFonts w:hint="eastAsia"/>
          <w:lang w:eastAsia="zh-CN"/>
        </w:rPr>
        <w:t>。</w:t>
      </w:r>
    </w:p>
    <w:p w14:paraId="1CFDBF7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（五）水务部门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：负责河道管理范围内的户外涉河活动审批，依法查处涉水违法行为。</w:t>
      </w:r>
    </w:p>
    <w:p w14:paraId="5596959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（六）旅游部门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负责A级旅游景区内户外活动行业指导与监督管理；督促景区运营主体建立户外活动准入机制，对景区内经营性户外活动实施备案管理；指导旅行社规范开发户外旅游产品、建立安全风险评估机制；强化旅游市场监管，依法查处旅行社超范围经营户外旅游业务等违法违规行为；督促旅行社等活动组织者严格落实安全管理责任与服务规范。</w:t>
      </w:r>
    </w:p>
    <w:p w14:paraId="2FD0B26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（七）文物部门</w:t>
      </w: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负责户外活动涉及文物保护单位及不可移动文物的监督管理，指导活动避开文物敏感区域，依法查处破坏文物的行为。</w:t>
      </w:r>
    </w:p>
    <w:p w14:paraId="53ACCF6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（八）应急管理部门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：负责户外活动突发事件应急救援力量的组织协调，统一协调各类应急专业队伍，衔接协调消防、其他专业救援队伍参与救援，指导应急预案制定和演练;督促落实安全风险防范措施，参与事故调查处理</w:t>
      </w:r>
    </w:p>
    <w:p w14:paraId="23DFC85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（九）林业草原部门：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负责户外活动涉及林地、草原、湿地、自然保护地等区域的监督管理，指导森林草原防火、野生动植物保护，依法查处破坏林草资源行为。</w:t>
      </w:r>
    </w:p>
    <w:p w14:paraId="13C65FF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（十）气象部门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：负责为户外活动提供气象监测、预报预警信息服务，指导活动组织者根据气象条件科学安排活动，防范气象灾害风险。</w:t>
      </w:r>
    </w:p>
    <w:p w14:paraId="6A9A991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（十一）经信部门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：负责协调户外活动所需的通信、电力保障，指导无线电通信秩序管理。</w:t>
      </w:r>
    </w:p>
    <w:p w14:paraId="73F5F53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（十二）市场监督管理部门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负责对户外活动相关经营主体的登记注册管理（划转至行政审批部门的由审批部门负责）；负责户外活动中涉及的食品安全、特种设备安全（如客运索道、大型游乐设施、非公路用旅游观光车辆等）的监督检查。</w:t>
      </w:r>
    </w:p>
    <w:p w14:paraId="202F787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（十三）公安部门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：负责户外活动治安管理、大型活动安全许可、交通秩序维护及突发事件处置。</w:t>
      </w:r>
    </w:p>
    <w:p w14:paraId="2E5189D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（十四）消防部门：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负责承担户外活动遇险救援主力职责，加强专业培训与实战演练，提升山地救援能力，协调联动其他救援力量。</w:t>
      </w:r>
    </w:p>
    <w:p w14:paraId="424A643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（十五）卫生健康部门：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负责户外活动医疗保障、突发公共卫生事件应急处置、现场医疗救援联动。</w:t>
      </w:r>
    </w:p>
    <w:p w14:paraId="10491980">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643" w:firstLineChars="200"/>
        <w:jc w:val="left"/>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t>第</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六</w:t>
      </w:r>
      <w:r>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条 </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 </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县（市）人民政府负责户外活动的具体管理，出台本县（市）管理办法</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组建专门管理机构，负责资源普查、产业规划、线路审批、</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禁入范围、</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从业资格审查、数据统计及日常管理服务等工作</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组建户外救援机构，承担辖区内救援及相关工作。</w:t>
      </w:r>
    </w:p>
    <w:p w14:paraId="08E2898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1FE67BD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default"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第</w:t>
      </w:r>
      <w:r>
        <w:rPr>
          <w:rFonts w:hint="eastAsia" w:ascii="黑体" w:hAnsi="黑体" w:eastAsia="黑体" w:cs="黑体"/>
          <w:b w:val="0"/>
          <w:bCs w:val="0"/>
          <w:i w:val="0"/>
          <w:iCs w:val="0"/>
          <w:caps w:val="0"/>
          <w:color w:val="000000" w:themeColor="text1"/>
          <w:spacing w:val="0"/>
          <w:sz w:val="32"/>
          <w:szCs w:val="32"/>
          <w:shd w:val="clear" w:fill="FFFFFF"/>
          <w:lang w:eastAsia="zh-CN"/>
          <w14:textFill>
            <w14:solidFill>
              <w14:schemeClr w14:val="tx1"/>
            </w14:solidFill>
          </w14:textFill>
        </w:rPr>
        <w:t>三</w:t>
      </w:r>
      <w:r>
        <w:rPr>
          <w:rFonts w:hint="default"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 xml:space="preserve">章 </w:t>
      </w:r>
      <w:r>
        <w:rPr>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户外活动区域开放与</w:t>
      </w:r>
      <w:r>
        <w:rPr>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管理</w:t>
      </w:r>
    </w:p>
    <w:p w14:paraId="6F1067BD">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643" w:firstLineChars="200"/>
        <w:jc w:val="left"/>
        <w:textAlignment w:val="auto"/>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p>
    <w:p w14:paraId="1147ED0B">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643" w:firstLineChars="200"/>
        <w:jc w:val="left"/>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第七条  </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本州实行户外活动分区管理制度。</w:t>
      </w:r>
    </w:p>
    <w:p w14:paraId="56A55065">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643" w:firstLineChars="200"/>
        <w:jc w:val="left"/>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（一）开放区域</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：经评估具备安全条件、生态承载能力，配套基本服务设施，对公众开放的区域。</w:t>
      </w:r>
    </w:p>
    <w:p w14:paraId="2BAFC966">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643"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（二）限制区域</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：自然条件复杂、生态脆弱或</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须具备</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特定专业技能方可进入的区域。进入此类区域实行审批</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或报备</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制度。</w:t>
      </w:r>
    </w:p>
    <w:p w14:paraId="334233EF">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643" w:firstLineChars="200"/>
        <w:jc w:val="left"/>
        <w:textAlignment w:val="auto"/>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b/>
          <w:bCs/>
          <w:color w:val="auto"/>
          <w:sz w:val="32"/>
          <w:szCs w:val="32"/>
          <w:lang w:val="en-US" w:eastAsia="zh-CN"/>
        </w:rPr>
        <w:t>（三）禁止区域</w:t>
      </w:r>
      <w:r>
        <w:rPr>
          <w:rFonts w:hint="default"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处于原始状态、地形复杂的未开放区域，存在野生动物侵袭，恶劣天气等自然灾害隐患区、地质灾害风险区、文物保护区域等，严禁进入。</w:t>
      </w:r>
    </w:p>
    <w:p w14:paraId="49B61403">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643" w:firstLineChars="200"/>
        <w:jc w:val="left"/>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t>第</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八</w:t>
      </w:r>
      <w:r>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条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户外活动区域的开放，由县（市）人民政府根据本地实际需求，在征求相关自然保护地、国家公园、森林公园等机构意见后，</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向州级体育行政部门提出申请</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；涉及A级景区的，在征求相关自然保护地、国家公园、森林公园等机构意见后，向州文旅部门申请，批准后</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由县（市）人民政府正式公布开放。</w:t>
      </w:r>
    </w:p>
    <w:p w14:paraId="58BE1B03">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643" w:firstLineChars="200"/>
        <w:jc w:val="left"/>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第九条 </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 </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户外活动线路开放需由线路所属属地乡（镇）人民政府发起，经第三方专业机构评估，按评估报告明确的开放标准完善相关条件后，由县（市）人民政府审核，向州级体育部门报备并公示；涉及</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A级</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景区内的户外活动线路，需向州文旅部门征求意见，报备后公示；如涉及自然保护地，还应同时征求自然保护地管理机构的意见。线路评估报告至少应包含线路开放的区域与时段、线路容量、线路风险、开放必备条件及应急措施。相关单位需根据评估报告要求完善，并达到开放条件后，由县（市）人民政府审核同意并报送。如需设立开放时段（季节性封山期），应履行提前公告义务，并明确公告的具体时限、范围。</w:t>
      </w:r>
    </w:p>
    <w:p w14:paraId="2252498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pPr>
    </w:p>
    <w:p w14:paraId="5F019E0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第</w:t>
      </w:r>
      <w:r>
        <w:rPr>
          <w:rFonts w:hint="eastAsia" w:ascii="黑体" w:hAnsi="黑体" w:eastAsia="黑体" w:cs="黑体"/>
          <w:b w:val="0"/>
          <w:bCs w:val="0"/>
          <w:i w:val="0"/>
          <w:iCs w:val="0"/>
          <w:caps w:val="0"/>
          <w:color w:val="000000" w:themeColor="text1"/>
          <w:spacing w:val="0"/>
          <w:sz w:val="32"/>
          <w:szCs w:val="32"/>
          <w:shd w:val="clear" w:fill="FFFFFF"/>
          <w:lang w:eastAsia="zh-CN"/>
          <w14:textFill>
            <w14:solidFill>
              <w14:schemeClr w14:val="tx1"/>
            </w14:solidFill>
          </w14:textFill>
        </w:rPr>
        <w:t>四</w:t>
      </w:r>
      <w:r>
        <w:rPr>
          <w:rFonts w:hint="default"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 xml:space="preserve">章 </w:t>
      </w:r>
      <w:r>
        <w:rPr>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户外活动组织</w:t>
      </w:r>
      <w:r>
        <w:rPr>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与人员管理</w:t>
      </w:r>
    </w:p>
    <w:p w14:paraId="398BD12C">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643" w:firstLineChars="200"/>
        <w:jc w:val="left"/>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第十条 </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 </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县</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市</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人民政府应当结合地形地貌、气候条件、生态环境、</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通信覆盖</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、救援可达性等因素，将已开放户外活动区域进一步划分为低风险区、</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中</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风险区和高风险区，公开发布区域风险地图，并按照不同风险等级区域实施差异化的活动管理要求。</w:t>
      </w:r>
    </w:p>
    <w:p w14:paraId="5D6C8B64">
      <w:pPr>
        <w:keepNext w:val="0"/>
        <w:keepLines w:val="0"/>
        <w:pageBreakBefore w:val="0"/>
        <w:kinsoku/>
        <w:wordWrap/>
        <w:overflowPunct/>
        <w:topLinePunct w:val="0"/>
        <w:autoSpaceDE/>
        <w:autoSpaceDN/>
        <w:bidi w:val="0"/>
        <w:spacing w:line="560" w:lineRule="exact"/>
        <w:textAlignment w:val="auto"/>
        <w:rPr>
          <w:rFonts w:hint="default"/>
        </w:rPr>
      </w:pPr>
    </w:p>
    <w:p w14:paraId="3257E8E6">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643" w:firstLineChars="200"/>
        <w:jc w:val="left"/>
        <w:textAlignment w:val="auto"/>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t>第十</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一</w:t>
      </w:r>
      <w:r>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条 </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从事户外活动组织、领队、安全保障工作的人员，应当持有国家或行业认可的从业证书，如高山向导、高山协作、户外领队、社会体育指导员（攀岩、滑雪等）、应急救援员等。从业人员还应持有效的急救证书（如红十字会救护员证、野外急救员证等）。</w:t>
      </w:r>
    </w:p>
    <w:p w14:paraId="1B407FC3">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643" w:firstLineChars="200"/>
        <w:jc w:val="both"/>
        <w:textAlignment w:val="auto"/>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第十二条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从事户外活动组织工作的机构在阿坝州内开展户外活动，需要向活动区域所在的县（市）体育主管部门进行备案和年审公示，同时，向州级体育主管部门报备，方可在阿坝州内开展户外活动的组织。每年12月30日前，需提交资料年审，年审通过才可在次年继续在申请区域开展户外活动。</w:t>
      </w:r>
    </w:p>
    <w:p w14:paraId="4C658F34">
      <w:pPr>
        <w:spacing w:line="576" w:lineRule="exact"/>
        <w:ind w:firstLine="643" w:firstLineChars="200"/>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第十三条</w:t>
      </w:r>
      <w:r>
        <w:rPr>
          <w:rFonts w:hint="eastAsia" w:ascii="仿宋" w:hAnsi="仿宋" w:eastAsia="仿宋" w:cs="仿宋"/>
          <w:b w:val="0"/>
          <w:bCs w:val="0"/>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在阿坝州内开展户外活动的公司或机构的备案和年审。备案和年审需满足以下条件：</w:t>
      </w:r>
    </w:p>
    <w:p w14:paraId="0E1D8DC9">
      <w:pPr>
        <w:pStyle w:val="6"/>
        <w:spacing w:line="576" w:lineRule="exact"/>
        <w:ind w:firstLine="640" w:firstLineChars="200"/>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1.合法依规注册，具备独立法人资格。</w:t>
      </w:r>
    </w:p>
    <w:p w14:paraId="57F14891">
      <w:pPr>
        <w:pStyle w:val="6"/>
        <w:spacing w:line="576" w:lineRule="exact"/>
        <w:ind w:firstLine="640" w:firstLineChars="200"/>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2.机构最少聘用3名获得户外运动从业证书的人员，以机构有效社保缴纳记录为准。</w:t>
      </w:r>
    </w:p>
    <w:p w14:paraId="4A3832DA">
      <w:pPr>
        <w:pStyle w:val="6"/>
        <w:spacing w:line="576" w:lineRule="exact"/>
        <w:ind w:firstLine="640" w:firstLineChars="200"/>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3.机构须购买年度组织者责任险，为活动参与者、从业人员购买人身意外伤害保险等，保险额度符合风险等级要求。</w:t>
      </w:r>
    </w:p>
    <w:p w14:paraId="3DF0B094">
      <w:pPr>
        <w:spacing w:line="576" w:lineRule="exact"/>
        <w:ind w:firstLine="640" w:firstLineChars="200"/>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4.开展特定户外运动项目，如皮划艇、攀岩、攀冰、自行车等项目，组织单位须具备开展此活动的装备和设施，并由县（市）级体育行业主管部门组织专家在现场进行检查，检查合格后可以开展该活动。</w:t>
      </w:r>
    </w:p>
    <w:p w14:paraId="4F99D6A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第五章   户外活动安全管理</w:t>
      </w:r>
    </w:p>
    <w:p w14:paraId="396AE5BB">
      <w:pPr>
        <w:keepNext w:val="0"/>
        <w:keepLines w:val="0"/>
        <w:pageBreakBefore w:val="0"/>
        <w:kinsoku/>
        <w:wordWrap/>
        <w:overflowPunct/>
        <w:topLinePunct w:val="0"/>
        <w:autoSpaceDE/>
        <w:autoSpaceDN/>
        <w:bidi w:val="0"/>
        <w:spacing w:line="560" w:lineRule="exact"/>
        <w:textAlignment w:val="auto"/>
        <w:rPr>
          <w:rFonts w:hint="eastAsia"/>
          <w:lang w:val="en-US" w:eastAsia="zh-CN"/>
        </w:rPr>
      </w:pPr>
    </w:p>
    <w:p w14:paraId="3DBE6BA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第十四条  </w:t>
      </w:r>
      <w:r>
        <w:rPr>
          <w:rFonts w:hint="eastAsia" w:ascii="仿宋_GB2312" w:hAnsi="仿宋_GB2312" w:eastAsia="仿宋_GB2312" w:cs="仿宋_GB2312"/>
          <w:sz w:val="32"/>
          <w:szCs w:val="32"/>
        </w:rPr>
        <w:t>严格落实</w:t>
      </w:r>
      <w:r>
        <w:rPr>
          <w:rFonts w:hint="eastAsia" w:ascii="仿宋_GB2312" w:hAnsi="仿宋_GB2312" w:eastAsia="仿宋_GB2312" w:cs="仿宋_GB2312"/>
          <w:b/>
          <w:sz w:val="32"/>
          <w:szCs w:val="32"/>
        </w:rPr>
        <w:t>谁组织、谁负责</w:t>
      </w:r>
      <w:r>
        <w:rPr>
          <w:rFonts w:hint="eastAsia" w:ascii="仿宋_GB2312" w:hAnsi="仿宋_GB2312" w:eastAsia="仿宋_GB2312" w:cs="仿宋_GB2312"/>
          <w:sz w:val="32"/>
          <w:szCs w:val="32"/>
        </w:rPr>
        <w:t>安全责任制，组织者承担安全主体责任，参与者承担个人安全责任。组织者须提前开展风险评估、安全教育，制定应急预案、明确安全责任人，</w:t>
      </w:r>
      <w:r>
        <w:rPr>
          <w:rFonts w:hint="eastAsia" w:ascii="仿宋_GB2312" w:hAnsi="仿宋_GB2312" w:eastAsia="仿宋_GB2312" w:cs="仿宋_GB2312"/>
          <w:sz w:val="32"/>
          <w:szCs w:val="32"/>
          <w:lang w:eastAsia="zh-CN"/>
        </w:rPr>
        <w:t>严格</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既定路线开展活动。</w:t>
      </w:r>
    </w:p>
    <w:p w14:paraId="6F8F2A19">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t>第</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十五</w:t>
      </w:r>
      <w:r>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条 </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sz w:val="32"/>
          <w:szCs w:val="32"/>
        </w:rPr>
        <w:t>建立户外安全风险熔断机制，组织者需全程监测气象、地质、高海拔等风险，遇极端天气、灾害预警、安全隐患等情形，立即暂停、中止或取消活动，严禁冒险开展。</w:t>
      </w:r>
    </w:p>
    <w:p w14:paraId="26693E3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t>第</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十六</w:t>
      </w:r>
      <w:r>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条 </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sz w:val="32"/>
          <w:szCs w:val="32"/>
        </w:rPr>
        <w:t>州、县（市）人民政府建立专业应急救援体系，配齐救援力量与装备</w:t>
      </w:r>
      <w:r>
        <w:rPr>
          <w:rFonts w:hint="eastAsia" w:ascii="仿宋_GB2312" w:hAnsi="仿宋_GB2312" w:eastAsia="仿宋_GB2312" w:cs="仿宋_GB2312"/>
          <w:sz w:val="32"/>
          <w:szCs w:val="32"/>
          <w:lang w:eastAsia="zh-CN"/>
        </w:rPr>
        <w:t>，建立健全</w:t>
      </w:r>
      <w:r>
        <w:rPr>
          <w:rFonts w:hint="eastAsia" w:ascii="仿宋_GB2312" w:hAnsi="仿宋_GB2312" w:eastAsia="仿宋_GB2312" w:cs="仿宋_GB2312"/>
          <w:sz w:val="32"/>
          <w:szCs w:val="32"/>
          <w:lang w:val="en-US" w:eastAsia="zh-CN"/>
        </w:rPr>
        <w:t>救援成本负担</w:t>
      </w:r>
      <w:r>
        <w:rPr>
          <w:rFonts w:hint="eastAsia" w:ascii="仿宋_GB2312" w:hAnsi="仿宋_GB2312" w:eastAsia="仿宋_GB2312" w:cs="仿宋_GB2312"/>
          <w:sz w:val="32"/>
          <w:szCs w:val="32"/>
          <w:lang w:eastAsia="zh-CN"/>
        </w:rPr>
        <w:t>机制，明确有偿救援的适用情形、收费标准、经费管理等相关规定，引导相关主体履行安全责任</w:t>
      </w:r>
      <w:r>
        <w:rPr>
          <w:rFonts w:hint="eastAsia" w:ascii="仿宋_GB2312" w:hAnsi="仿宋_GB2312" w:eastAsia="仿宋_GB2312" w:cs="仿宋_GB2312"/>
          <w:sz w:val="32"/>
          <w:szCs w:val="32"/>
        </w:rPr>
        <w:t>。发生安全事故，组织者须</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第一时间自救并上报，不得瞒报迟报。</w:t>
      </w:r>
    </w:p>
    <w:p w14:paraId="66E1C47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_GB2312" w:hAnsi="楷体_GB2312" w:eastAsia="楷体_GB2312" w:cs="楷体_GB2312"/>
          <w:b/>
          <w:bCs/>
          <w:color w:val="000000" w:themeColor="text1"/>
          <w:sz w:val="32"/>
          <w:szCs w:val="32"/>
          <w:lang w:val="en-US" w:eastAsia="zh-CN"/>
          <w14:textFill>
            <w14:solidFill>
              <w14:schemeClr w14:val="tx1"/>
            </w14:solidFill>
          </w14:textFill>
        </w:rPr>
        <w:t>第十</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七</w:t>
      </w:r>
      <w:r>
        <w:rPr>
          <w:rFonts w:hint="default" w:ascii="楷体_GB2312" w:hAnsi="楷体_GB2312" w:eastAsia="楷体_GB2312" w:cs="楷体_GB2312"/>
          <w:b/>
          <w:bCs/>
          <w:color w:val="000000" w:themeColor="text1"/>
          <w:sz w:val="32"/>
          <w:szCs w:val="32"/>
          <w:lang w:val="en-US" w:eastAsia="zh-CN"/>
          <w14:textFill>
            <w14:solidFill>
              <w14:schemeClr w14:val="tx1"/>
            </w14:solidFill>
          </w14:textFill>
        </w:rPr>
        <w:t>条</w:t>
      </w:r>
      <w:r>
        <w:rPr>
          <w:rFonts w:hint="eastAsia" w:ascii="仿宋_GB2312" w:hAnsi="仿宋_GB2312" w:eastAsia="仿宋_GB2312" w:cs="仿宋_GB2312"/>
          <w:sz w:val="32"/>
          <w:szCs w:val="32"/>
          <w:lang w:val="en-US" w:eastAsia="zh-CN"/>
        </w:rPr>
        <w:t xml:space="preserve">  县（市）人民政府及属地景区管理机构如需制定实名制管理、预约等制度，提升公共安全管控，客流量承载调控及应急处置效率。</w:t>
      </w:r>
    </w:p>
    <w:p w14:paraId="1752497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default"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pPr>
    </w:p>
    <w:p w14:paraId="037E39C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default"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第</w:t>
      </w:r>
      <w:r>
        <w:rPr>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六</w:t>
      </w:r>
      <w:r>
        <w:rPr>
          <w:rFonts w:hint="default"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章 </w:t>
      </w:r>
      <w:r>
        <w:rPr>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生态环境保护</w:t>
      </w:r>
    </w:p>
    <w:p w14:paraId="0C740B31">
      <w:pPr>
        <w:keepNext w:val="0"/>
        <w:keepLines w:val="0"/>
        <w:pageBreakBefore w:val="0"/>
        <w:kinsoku/>
        <w:wordWrap/>
        <w:overflowPunct/>
        <w:topLinePunct w:val="0"/>
        <w:autoSpaceDE/>
        <w:autoSpaceDN/>
        <w:bidi w:val="0"/>
        <w:spacing w:line="560" w:lineRule="exact"/>
        <w:textAlignment w:val="auto"/>
        <w:rPr>
          <w:rFonts w:hint="default"/>
          <w:lang w:val="en-US" w:eastAsia="zh-CN"/>
        </w:rPr>
      </w:pPr>
    </w:p>
    <w:p w14:paraId="6866FCB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第十八条  </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县（市）体育行政部门应当会同生态环境、林业草原等部门，对户外活动区域开展生态承载力评估，科学确定各区域最大容纳人数和活动强度，实行动态管理。</w:t>
      </w:r>
    </w:p>
    <w:p w14:paraId="46FED6E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auto"/>
        <w:rPr>
          <w:rFonts w:hint="eastAsia" w:ascii="仿宋_GB2312" w:hAnsi="仿宋_GB2312" w:eastAsia="仿宋_GB2312" w:cs="仿宋_GB2312"/>
          <w:sz w:val="32"/>
          <w:szCs w:val="32"/>
        </w:rPr>
      </w:pPr>
      <w:r>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t>第</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十九</w:t>
      </w:r>
      <w:r>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t>条</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sz w:val="32"/>
          <w:szCs w:val="32"/>
        </w:rPr>
        <w:t>所有组织者</w:t>
      </w:r>
      <w:r>
        <w:rPr>
          <w:rFonts w:hint="eastAsia" w:ascii="仿宋_GB2312" w:hAnsi="仿宋_GB2312" w:eastAsia="仿宋_GB2312" w:cs="仿宋_GB2312"/>
          <w:color w:val="auto"/>
          <w:sz w:val="32"/>
          <w:szCs w:val="32"/>
        </w:rPr>
        <w:t>、参与者</w:t>
      </w:r>
      <w:r>
        <w:rPr>
          <w:rFonts w:hint="eastAsia" w:ascii="仿宋_GB2312" w:hAnsi="仿宋_GB2312" w:eastAsia="仿宋_GB2312" w:cs="仿宋_GB2312"/>
          <w:color w:val="auto"/>
          <w:sz w:val="32"/>
          <w:szCs w:val="32"/>
          <w:lang w:val="en-US" w:eastAsia="zh-CN"/>
        </w:rPr>
        <w:t>开展户外活动时应</w:t>
      </w:r>
      <w:r>
        <w:rPr>
          <w:rFonts w:hint="eastAsia" w:ascii="仿宋_GB2312" w:hAnsi="仿宋_GB2312" w:eastAsia="仿宋_GB2312" w:cs="仿宋_GB2312"/>
          <w:color w:val="auto"/>
          <w:sz w:val="32"/>
          <w:szCs w:val="32"/>
        </w:rPr>
        <w:t>严格履行生态保护义务，全程落实生</w:t>
      </w:r>
      <w:r>
        <w:rPr>
          <w:rFonts w:hint="eastAsia" w:ascii="仿宋_GB2312" w:hAnsi="仿宋_GB2312" w:eastAsia="仿宋_GB2312" w:cs="仿宋_GB2312"/>
          <w:sz w:val="32"/>
          <w:szCs w:val="32"/>
        </w:rPr>
        <w:t>态保护责任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严禁</w:t>
      </w:r>
      <w:r>
        <w:rPr>
          <w:rFonts w:hint="eastAsia" w:ascii="仿宋_GB2312" w:hAnsi="仿宋_GB2312" w:eastAsia="仿宋_GB2312" w:cs="仿宋_GB2312"/>
          <w:sz w:val="32"/>
          <w:szCs w:val="32"/>
          <w:lang w:val="en-US" w:eastAsia="zh-CN"/>
        </w:rPr>
        <w:t>在指定区域外</w:t>
      </w:r>
      <w:r>
        <w:rPr>
          <w:rFonts w:hint="eastAsia" w:ascii="仿宋_GB2312" w:hAnsi="仿宋_GB2312" w:eastAsia="仿宋_GB2312" w:cs="仿宋_GB2312"/>
          <w:sz w:val="32"/>
          <w:szCs w:val="32"/>
        </w:rPr>
        <w:t>丢弃垃圾、违规野外用火、破坏植被、猎捕野生动物、采挖珍稀植物；严禁引入外来物种、干扰野生动物栖息；产生</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垃圾</w:t>
      </w:r>
      <w:r>
        <w:rPr>
          <w:rFonts w:hint="eastAsia" w:ascii="仿宋_GB2312" w:hAnsi="仿宋_GB2312" w:eastAsia="仿宋_GB2312" w:cs="仿宋_GB2312"/>
          <w:sz w:val="32"/>
          <w:szCs w:val="32"/>
          <w:lang w:val="en-US" w:eastAsia="zh-CN"/>
        </w:rPr>
        <w:t>等废弃物</w:t>
      </w:r>
      <w:r>
        <w:rPr>
          <w:rFonts w:hint="eastAsia" w:ascii="仿宋_GB2312" w:hAnsi="仿宋_GB2312" w:eastAsia="仿宋_GB2312" w:cs="仿宋_GB2312"/>
          <w:sz w:val="32"/>
          <w:szCs w:val="32"/>
        </w:rPr>
        <w:t>必须全部</w:t>
      </w:r>
      <w:r>
        <w:rPr>
          <w:rFonts w:hint="eastAsia" w:ascii="仿宋_GB2312" w:hAnsi="仿宋_GB2312" w:eastAsia="仿宋_GB2312" w:cs="仿宋_GB2312"/>
          <w:sz w:val="32"/>
          <w:szCs w:val="32"/>
          <w:lang w:val="en-US" w:eastAsia="zh-CN"/>
        </w:rPr>
        <w:t>带至指定区域进行</w:t>
      </w:r>
      <w:r>
        <w:rPr>
          <w:rFonts w:hint="eastAsia" w:ascii="仿宋_GB2312" w:hAnsi="仿宋_GB2312" w:eastAsia="仿宋_GB2312" w:cs="仿宋_GB2312"/>
          <w:sz w:val="32"/>
          <w:szCs w:val="32"/>
        </w:rPr>
        <w:t>处置，</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rPr>
        <w:t>造成生态破坏的需承担修复</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赔偿责任。</w:t>
      </w:r>
    </w:p>
    <w:p w14:paraId="699567E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jc w:val="both"/>
        <w:textAlignment w:val="auto"/>
        <w:rPr>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pPr>
    </w:p>
    <w:p w14:paraId="31A44C0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default"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第七章  </w:t>
      </w:r>
      <w:r>
        <w:rPr>
          <w:rFonts w:hint="default"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法律责任</w:t>
      </w:r>
    </w:p>
    <w:p w14:paraId="654135F4">
      <w:pPr>
        <w:keepNext w:val="0"/>
        <w:keepLines w:val="0"/>
        <w:pageBreakBefore w:val="0"/>
        <w:kinsoku/>
        <w:wordWrap/>
        <w:overflowPunct/>
        <w:topLinePunct w:val="0"/>
        <w:autoSpaceDE/>
        <w:autoSpaceDN/>
        <w:bidi w:val="0"/>
        <w:spacing w:line="560" w:lineRule="exact"/>
        <w:textAlignment w:val="auto"/>
        <w:rPr>
          <w:rFonts w:hint="default"/>
          <w:lang w:val="en-US" w:eastAsia="zh-CN"/>
        </w:rPr>
      </w:pPr>
    </w:p>
    <w:p w14:paraId="191A2D7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_GB2312" w:hAnsi="仿宋_GB2312" w:eastAsia="仿宋_GB2312" w:cs="仿宋_GB2312"/>
          <w:sz w:val="32"/>
          <w:szCs w:val="32"/>
        </w:rPr>
      </w:pPr>
      <w:r>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t>第</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二</w:t>
      </w:r>
      <w:r>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十条 </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sz w:val="32"/>
          <w:szCs w:val="32"/>
        </w:rPr>
        <w:t>建立体育牵头、多部门联合执法机制，定期开展专项检查；建立户外组织者及参与人员信用档案，将违法违规行为记入信用记录，实施联合惩戒。对存在违法违规行为的，纳入州内景区、</w:t>
      </w:r>
      <w:r>
        <w:rPr>
          <w:rFonts w:hint="eastAsia" w:ascii="仿宋_GB2312" w:hAnsi="仿宋_GB2312" w:eastAsia="仿宋_GB2312" w:cs="仿宋_GB2312"/>
          <w:sz w:val="32"/>
          <w:szCs w:val="32"/>
          <w:lang w:val="en-US" w:eastAsia="zh-CN"/>
        </w:rPr>
        <w:t>户外活动区域</w:t>
      </w:r>
      <w:r>
        <w:rPr>
          <w:rFonts w:hint="eastAsia" w:ascii="仿宋_GB2312" w:hAnsi="仿宋_GB2312" w:eastAsia="仿宋_GB2312" w:cs="仿宋_GB2312"/>
          <w:sz w:val="32"/>
          <w:szCs w:val="32"/>
        </w:rPr>
        <w:t>失信名单，并根据情节轻重，</w:t>
      </w:r>
      <w:r>
        <w:rPr>
          <w:rFonts w:hint="eastAsia" w:ascii="仿宋_GB2312" w:hAnsi="仿宋_GB2312" w:eastAsia="仿宋_GB2312" w:cs="仿宋_GB2312"/>
          <w:sz w:val="32"/>
          <w:szCs w:val="32"/>
          <w:lang w:val="en-US" w:eastAsia="zh-CN"/>
        </w:rPr>
        <w:t>对一般</w:t>
      </w:r>
      <w:r>
        <w:rPr>
          <w:rFonts w:hint="eastAsia" w:ascii="仿宋_GB2312" w:hAnsi="仿宋_GB2312" w:eastAsia="仿宋_GB2312" w:cs="仿宋_GB2312"/>
          <w:sz w:val="32"/>
          <w:szCs w:val="32"/>
        </w:rPr>
        <w:t>失信主体</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在一年至三年内限制其进入相关区域；对严重失信主体，列入行业黑名单，并依法实施市场禁入、限制准入等措施。鼓励社会各界监督投诉，相关部门及时核查处置。</w:t>
      </w:r>
    </w:p>
    <w:p w14:paraId="05A30AA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sz w:val="32"/>
          <w:szCs w:val="32"/>
          <w:u w:val="single"/>
          <w:lang w:val="en-US" w:eastAsia="zh-CN"/>
        </w:rPr>
      </w:pPr>
      <w:r>
        <w:rPr>
          <w:rFonts w:hint="default" w:ascii="楷体_GB2312" w:hAnsi="楷体_GB2312" w:eastAsia="楷体_GB2312" w:cs="楷体_GB2312"/>
          <w:b/>
          <w:bCs/>
          <w:color w:val="000000" w:themeColor="text1"/>
          <w:sz w:val="32"/>
          <w:szCs w:val="32"/>
          <w:lang w:val="en-US" w:eastAsia="zh-CN"/>
          <w14:textFill>
            <w14:solidFill>
              <w14:schemeClr w14:val="tx1"/>
            </w14:solidFill>
          </w14:textFill>
        </w:rPr>
        <w:t>第二十</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w:t>
      </w:r>
      <w:r>
        <w:rPr>
          <w:rFonts w:hint="default" w:ascii="楷体_GB2312" w:hAnsi="楷体_GB2312" w:eastAsia="楷体_GB2312" w:cs="楷体_GB2312"/>
          <w:b/>
          <w:bCs/>
          <w:color w:val="000000" w:themeColor="text1"/>
          <w:sz w:val="32"/>
          <w:szCs w:val="32"/>
          <w:lang w:val="en-US" w:eastAsia="zh-CN"/>
          <w14:textFill>
            <w14:solidFill>
              <w14:schemeClr w14:val="tx1"/>
            </w14:solidFill>
          </w14:textFill>
        </w:rPr>
        <w:t xml:space="preserve">条  </w:t>
      </w:r>
      <w:r>
        <w:rPr>
          <w:rFonts w:hint="eastAsia" w:ascii="仿宋_GB2312" w:hAnsi="仿宋_GB2312" w:eastAsia="仿宋_GB2312" w:cs="仿宋_GB2312"/>
          <w:sz w:val="32"/>
          <w:szCs w:val="32"/>
          <w:lang w:val="en-US" w:eastAsia="zh-CN"/>
        </w:rPr>
        <w:t>在本州行政区域内，未经批准，严禁任何组织、个人擅自进入未开放区域开展任何户外活动。对擅自进入未开放区域、未经批准擅自组织活动、违规偏离路线导致遇险并需要实施救援的，救援结束后，由活动组织者及被救援人员依法承担相应救援费用。</w:t>
      </w:r>
    </w:p>
    <w:p w14:paraId="2D1B8F7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_GB2312" w:hAnsi="仿宋_GB2312" w:eastAsia="仿宋_GB2312" w:cs="仿宋_GB2312"/>
          <w:b/>
          <w:bCs/>
          <w:color w:val="0000FF"/>
          <w:sz w:val="32"/>
          <w:szCs w:val="32"/>
          <w:lang w:val="en-US" w:eastAsia="zh-CN"/>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第二十二条</w:t>
      </w:r>
      <w:r>
        <w:rPr>
          <w:rFonts w:hint="eastAsia" w:ascii="仿宋_GB2312" w:hAnsi="仿宋_GB2312" w:eastAsia="仿宋_GB2312" w:cs="仿宋_GB2312"/>
          <w:b/>
          <w:bCs/>
          <w:color w:val="0000FF"/>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未获得批准，擅自开展海拔3500米以上登山户外活动或者</w:t>
      </w:r>
      <w:r>
        <w:rPr>
          <w:rFonts w:hint="eastAsia" w:ascii="仿宋_GB2312" w:hAnsi="仿宋_GB2312" w:eastAsia="仿宋_GB2312" w:cs="仿宋_GB2312"/>
          <w:b w:val="0"/>
          <w:bCs w:val="0"/>
          <w:sz w:val="32"/>
          <w:szCs w:val="32"/>
          <w:lang w:val="en-US" w:eastAsia="zh-CN"/>
        </w:rPr>
        <w:t>擅自</w:t>
      </w:r>
      <w:r>
        <w:rPr>
          <w:rFonts w:hint="eastAsia" w:ascii="仿宋_GB2312" w:hAnsi="仿宋_GB2312" w:eastAsia="仿宋_GB2312" w:cs="仿宋_GB2312"/>
          <w:b w:val="0"/>
          <w:bCs w:val="0"/>
          <w:color w:val="auto"/>
          <w:sz w:val="32"/>
          <w:szCs w:val="32"/>
          <w:lang w:val="en-US" w:eastAsia="zh-CN"/>
        </w:rPr>
        <w:t>变更攀登季节、路线及目标山峰的，由属地体育行政主管部门实施处罚：</w:t>
      </w:r>
    </w:p>
    <w:p w14:paraId="482CEB4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color w:val="auto"/>
          <w:sz w:val="32"/>
          <w:szCs w:val="32"/>
          <w:lang w:val="en-US" w:eastAsia="zh-CN"/>
        </w:rPr>
        <w:t>对该登山团队予以警告，勒令立即终止登山活动，对其本次登山成绩不予确认；</w:t>
      </w:r>
    </w:p>
    <w:p w14:paraId="5FEA0DE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color w:val="auto"/>
          <w:sz w:val="32"/>
          <w:szCs w:val="32"/>
          <w:lang w:val="en-US" w:eastAsia="zh-CN"/>
        </w:rPr>
        <w:t>对违法组织的法人或其他组织处以一千元的罚款；</w:t>
      </w:r>
    </w:p>
    <w:p w14:paraId="7187DE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仿宋_GB2312" w:hAnsi="仿宋_GB2312" w:eastAsia="仿宋_GB2312" w:cs="仿宋_GB2312"/>
          <w:b w:val="0"/>
          <w:bCs w:val="0"/>
          <w:i w:val="0"/>
          <w:iCs w:val="0"/>
          <w:caps w:val="0"/>
          <w:color w:val="auto"/>
          <w:spacing w:val="0"/>
          <w:sz w:val="32"/>
          <w:szCs w:val="32"/>
          <w:shd w:val="clear"/>
          <w:lang w:val="en-US" w:eastAsia="zh-CN"/>
        </w:rPr>
      </w:pP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color w:val="auto"/>
          <w:sz w:val="32"/>
          <w:szCs w:val="32"/>
          <w:lang w:val="en-US" w:eastAsia="zh-CN"/>
        </w:rPr>
        <w:t>对违法参与的个人，处以</w:t>
      </w:r>
      <w:r>
        <w:rPr>
          <w:rFonts w:hint="eastAsia" w:ascii="仿宋_GB2312" w:hAnsi="仿宋_GB2312" w:eastAsia="仿宋_GB2312" w:cs="仿宋_GB2312"/>
          <w:b w:val="0"/>
          <w:bCs w:val="0"/>
          <w:i w:val="0"/>
          <w:iCs w:val="0"/>
          <w:caps w:val="0"/>
          <w:color w:val="auto"/>
          <w:spacing w:val="0"/>
          <w:sz w:val="32"/>
          <w:szCs w:val="32"/>
          <w:shd w:val="clear" w:fill="auto"/>
        </w:rPr>
        <w:t>二百元</w:t>
      </w:r>
      <w:r>
        <w:rPr>
          <w:rFonts w:hint="eastAsia" w:ascii="仿宋_GB2312" w:hAnsi="仿宋_GB2312" w:eastAsia="仿宋_GB2312" w:cs="仿宋_GB2312"/>
          <w:b w:val="0"/>
          <w:bCs w:val="0"/>
          <w:i w:val="0"/>
          <w:iCs w:val="0"/>
          <w:caps w:val="0"/>
          <w:color w:val="auto"/>
          <w:spacing w:val="0"/>
          <w:sz w:val="32"/>
          <w:szCs w:val="32"/>
          <w:shd w:val="clear"/>
          <w:lang w:val="en-US" w:eastAsia="zh-CN"/>
        </w:rPr>
        <w:t>的罚款；</w:t>
      </w:r>
    </w:p>
    <w:p w14:paraId="3BB8D8B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i w:val="0"/>
          <w:iCs w:val="0"/>
          <w:caps w:val="0"/>
          <w:spacing w:val="0"/>
          <w:sz w:val="32"/>
          <w:szCs w:val="32"/>
          <w:shd w:val="clear"/>
          <w:lang w:val="en-US" w:eastAsia="zh-CN"/>
        </w:rPr>
        <w:t>（四）</w:t>
      </w:r>
      <w:r>
        <w:rPr>
          <w:rFonts w:hint="eastAsia" w:ascii="仿宋_GB2312" w:hAnsi="仿宋_GB2312" w:eastAsia="仿宋_GB2312" w:cs="仿宋_GB2312"/>
          <w:b w:val="0"/>
          <w:bCs w:val="0"/>
          <w:i w:val="0"/>
          <w:iCs w:val="0"/>
          <w:caps w:val="0"/>
          <w:color w:val="auto"/>
          <w:spacing w:val="0"/>
          <w:sz w:val="32"/>
          <w:szCs w:val="32"/>
          <w:shd w:val="clear"/>
          <w:lang w:val="en-US" w:eastAsia="zh-CN"/>
        </w:rPr>
        <w:t>凡参与此次违法登山活动向导、登山协作，持有资格证书一律予以吊销。</w:t>
      </w:r>
    </w:p>
    <w:p w14:paraId="447B12A2">
      <w:pPr>
        <w:keepNext w:val="0"/>
        <w:keepLines w:val="0"/>
        <w:widowControl w:val="0"/>
        <w:suppressLineNumbers w:val="0"/>
        <w:spacing w:line="560" w:lineRule="exact"/>
        <w:ind w:firstLine="643" w:firstLineChars="200"/>
        <w:outlineLvl w:val="1"/>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第二十三条</w:t>
      </w:r>
      <w:r>
        <w:rPr>
          <w:rFonts w:hint="eastAsia" w:ascii="仿宋_GB2312" w:hAnsi="仿宋_GB2312" w:eastAsia="仿宋_GB2312" w:cs="仿宋_GB2312"/>
          <w:b/>
          <w:bCs/>
          <w:color w:val="0000FF"/>
          <w:sz w:val="32"/>
          <w:szCs w:val="32"/>
          <w:lang w:val="en-US" w:eastAsia="zh-CN"/>
        </w:rPr>
        <w:t xml:space="preserve">  </w:t>
      </w:r>
      <w:r>
        <w:rPr>
          <w:rFonts w:hint="eastAsia" w:ascii="仿宋_GB2312" w:hAnsi="仿宋_GB2312" w:eastAsia="仿宋_GB2312" w:cs="仿宋_GB2312"/>
          <w:b w:val="0"/>
          <w:bCs w:val="0"/>
          <w:color w:val="auto"/>
          <w:sz w:val="32"/>
          <w:szCs w:val="32"/>
        </w:rPr>
        <w:t>未依法取得经营许可，擅</w:t>
      </w:r>
      <w:r>
        <w:rPr>
          <w:rFonts w:hint="eastAsia" w:ascii="仿宋_GB2312" w:hAnsi="仿宋_GB2312" w:eastAsia="仿宋_GB2312" w:cs="仿宋_GB2312"/>
          <w:b w:val="0"/>
          <w:bCs w:val="0"/>
          <w:color w:val="auto"/>
          <w:sz w:val="32"/>
          <w:szCs w:val="32"/>
          <w:lang w:val="en-US" w:eastAsia="zh-CN"/>
        </w:rPr>
        <w:t>自</w:t>
      </w:r>
      <w:r>
        <w:rPr>
          <w:rFonts w:hint="eastAsia" w:ascii="仿宋_GB2312" w:hAnsi="仿宋_GB2312" w:eastAsia="仿宋_GB2312" w:cs="仿宋_GB2312"/>
          <w:b w:val="0"/>
          <w:bCs w:val="0"/>
          <w:color w:val="auto"/>
          <w:sz w:val="32"/>
          <w:szCs w:val="32"/>
        </w:rPr>
        <w:t>从事高危险性体育项目经营活动的，由县级以上地方人民政府体育行政部门联合相关职能部门责令其限期停止经营、关闭场所；逾期仍不关闭的，处以十万元以上五十万元以下的罚款；有违法所得的，一律予以没收。</w:t>
      </w:r>
    </w:p>
    <w:p w14:paraId="1F44C069">
      <w:pPr>
        <w:keepNext w:val="0"/>
        <w:keepLines w:val="0"/>
        <w:widowControl w:val="0"/>
        <w:suppressLineNumbers w:val="0"/>
        <w:spacing w:line="560" w:lineRule="exact"/>
        <w:ind w:firstLine="643" w:firstLineChars="200"/>
        <w:outlineLvl w:val="1"/>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第二十</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四</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条</w:t>
      </w:r>
      <w:r>
        <w:rPr>
          <w:rFonts w:hint="eastAsia" w:ascii="仿宋_GB2312" w:hAnsi="仿宋_GB2312" w:eastAsia="仿宋_GB2312" w:cs="仿宋_GB2312"/>
          <w:b/>
          <w:bCs/>
          <w:color w:val="0000FF"/>
          <w:sz w:val="32"/>
          <w:szCs w:val="32"/>
          <w:lang w:val="en-US" w:eastAsia="zh-CN"/>
        </w:rPr>
        <w:t xml:space="preserve">  </w:t>
      </w:r>
      <w:r>
        <w:rPr>
          <w:rFonts w:hint="eastAsia" w:ascii="仿宋_GB2312" w:hAnsi="仿宋_GB2312" w:eastAsia="仿宋_GB2312" w:cs="仿宋_GB2312"/>
          <w:b w:val="0"/>
          <w:bCs w:val="0"/>
          <w:color w:val="auto"/>
          <w:sz w:val="32"/>
          <w:szCs w:val="32"/>
        </w:rPr>
        <w:t>已取得许可但违反规定经营高危险性体育项目的，由县级以上地方人民政府体育行政部门责令限期改正；逾期未改正的，处以五万元以上五十万元以下的罚款，并没收违法所得。若因此造成严重后果，由主管部门依法责令关闭经营场所，吊销相应许可证照，且该经营者自处罚决定作出之日起五年内不得再次从事高危险性体育项目的经营活动。</w:t>
      </w:r>
    </w:p>
    <w:p w14:paraId="559E0E2D">
      <w:pPr>
        <w:keepNext w:val="0"/>
        <w:keepLines w:val="0"/>
        <w:widowControl w:val="0"/>
        <w:suppressLineNumbers w:val="0"/>
        <w:spacing w:line="560" w:lineRule="exact"/>
        <w:ind w:firstLine="643" w:firstLineChars="200"/>
        <w:outlineLvl w:val="1"/>
        <w:rPr>
          <w:rFonts w:hint="eastAsia" w:ascii="仿宋_GB2312" w:hAnsi="仿宋_GB2312" w:eastAsia="仿宋_GB2312" w:cs="仿宋_GB2312"/>
          <w:b w:val="0"/>
          <w:bCs w:val="0"/>
          <w:i w:val="0"/>
          <w:iCs w:val="0"/>
          <w:caps w:val="0"/>
          <w:color w:val="auto"/>
          <w:spacing w:val="0"/>
          <w:sz w:val="32"/>
          <w:szCs w:val="32"/>
          <w:shd w:val="clear"/>
          <w:lang w:val="en-US" w:eastAsia="zh-CN"/>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第二十</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五</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条</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i w:val="0"/>
          <w:iCs w:val="0"/>
          <w:caps w:val="0"/>
          <w:color w:val="auto"/>
          <w:spacing w:val="0"/>
          <w:sz w:val="32"/>
          <w:szCs w:val="32"/>
          <w:shd w:val="clear" w:fill="FFFFFF"/>
        </w:rPr>
        <w:t>在自然保护区</w:t>
      </w:r>
      <w:r>
        <w:rPr>
          <w:rFonts w:hint="eastAsia" w:ascii="仿宋_GB2312" w:hAnsi="仿宋_GB2312" w:eastAsia="仿宋_GB2312" w:cs="仿宋_GB2312"/>
          <w:b w:val="0"/>
          <w:bCs w:val="0"/>
          <w:i w:val="0"/>
          <w:iCs w:val="0"/>
          <w:caps w:val="0"/>
          <w:color w:val="auto"/>
          <w:spacing w:val="0"/>
          <w:sz w:val="32"/>
          <w:szCs w:val="32"/>
          <w:shd w:val="clear"/>
          <w:lang w:val="en-US" w:eastAsia="zh-CN"/>
        </w:rPr>
        <w:t>核心保护区</w:t>
      </w:r>
      <w:r>
        <w:rPr>
          <w:rFonts w:hint="eastAsia" w:ascii="仿宋_GB2312" w:hAnsi="仿宋_GB2312" w:eastAsia="仿宋_GB2312" w:cs="仿宋_GB2312"/>
          <w:b w:val="0"/>
          <w:bCs w:val="0"/>
          <w:i w:val="0"/>
          <w:iCs w:val="0"/>
          <w:caps w:val="0"/>
          <w:color w:val="auto"/>
          <w:spacing w:val="0"/>
          <w:sz w:val="32"/>
          <w:szCs w:val="32"/>
          <w:shd w:val="clear" w:fill="FFFFFF"/>
        </w:rPr>
        <w:t>内开展户外活动的</w:t>
      </w:r>
      <w:r>
        <w:rPr>
          <w:rFonts w:hint="eastAsia" w:ascii="仿宋_GB2312" w:hAnsi="仿宋_GB2312" w:eastAsia="仿宋_GB2312" w:cs="仿宋_GB2312"/>
          <w:b w:val="0"/>
          <w:bCs w:val="0"/>
          <w:i w:val="0"/>
          <w:iCs w:val="0"/>
          <w:caps w:val="0"/>
          <w:color w:val="auto"/>
          <w:spacing w:val="0"/>
          <w:sz w:val="32"/>
          <w:szCs w:val="32"/>
          <w:shd w:val="clear"/>
          <w:lang w:eastAsia="zh-CN"/>
        </w:rPr>
        <w:t>，</w:t>
      </w:r>
      <w:r>
        <w:rPr>
          <w:rFonts w:hint="eastAsia" w:ascii="仿宋_GB2312" w:hAnsi="仿宋_GB2312" w:eastAsia="仿宋_GB2312" w:cs="仿宋_GB2312"/>
          <w:b w:val="0"/>
          <w:bCs w:val="0"/>
          <w:i w:val="0"/>
          <w:iCs w:val="0"/>
          <w:caps w:val="0"/>
          <w:color w:val="auto"/>
          <w:spacing w:val="0"/>
          <w:sz w:val="32"/>
          <w:szCs w:val="32"/>
          <w:shd w:val="clear"/>
          <w:lang w:val="en-US" w:eastAsia="zh-CN"/>
        </w:rPr>
        <w:t>由县级相关主管部门责令立即停止违法活动，没收违法所得，并可处以十万元以下的罚款；若已造成生态破坏，责令限期进行生态修复或采取其他补救措施，并处以一百万元以上五百万元以下的罚款。</w:t>
      </w:r>
    </w:p>
    <w:p w14:paraId="13EA61BF">
      <w:pPr>
        <w:keepNext w:val="0"/>
        <w:keepLines w:val="0"/>
        <w:widowControl w:val="0"/>
        <w:suppressLineNumbers w:val="0"/>
        <w:spacing w:line="560" w:lineRule="exact"/>
        <w:ind w:firstLine="643" w:firstLineChars="200"/>
        <w:outlineLvl w:val="1"/>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第二十</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六</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条</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auto"/>
          <w:sz w:val="32"/>
          <w:szCs w:val="32"/>
          <w:lang w:val="en-US" w:eastAsia="zh-CN"/>
        </w:rPr>
        <w:t>在自然保护区</w:t>
      </w:r>
      <w:r>
        <w:rPr>
          <w:rFonts w:hint="eastAsia" w:ascii="仿宋_GB2312" w:hAnsi="仿宋_GB2312" w:eastAsia="仿宋_GB2312" w:cs="仿宋_GB2312"/>
          <w:b w:val="0"/>
          <w:bCs w:val="0"/>
          <w:i w:val="0"/>
          <w:iCs w:val="0"/>
          <w:caps w:val="0"/>
          <w:color w:val="auto"/>
          <w:spacing w:val="0"/>
          <w:sz w:val="32"/>
          <w:szCs w:val="32"/>
          <w:shd w:val="clear"/>
          <w:lang w:val="en-US" w:eastAsia="zh-CN"/>
        </w:rPr>
        <w:t>一般控制区内</w:t>
      </w:r>
      <w:r>
        <w:rPr>
          <w:rFonts w:hint="eastAsia" w:ascii="仿宋_GB2312" w:hAnsi="仿宋_GB2312" w:eastAsia="仿宋_GB2312" w:cs="仿宋_GB2312"/>
          <w:b w:val="0"/>
          <w:bCs w:val="0"/>
          <w:color w:val="auto"/>
          <w:sz w:val="32"/>
          <w:szCs w:val="32"/>
          <w:lang w:val="en-US" w:eastAsia="zh-CN"/>
        </w:rPr>
        <w:t>开展户外活动</w:t>
      </w:r>
      <w:r>
        <w:rPr>
          <w:rFonts w:hint="eastAsia" w:ascii="仿宋_GB2312" w:hAnsi="仿宋_GB2312" w:eastAsia="仿宋_GB2312" w:cs="仿宋_GB2312"/>
          <w:b w:val="0"/>
          <w:bCs w:val="0"/>
          <w:i w:val="0"/>
          <w:iCs w:val="0"/>
          <w:caps w:val="0"/>
          <w:color w:val="auto"/>
          <w:spacing w:val="0"/>
          <w:sz w:val="32"/>
          <w:szCs w:val="32"/>
          <w:shd w:val="clear"/>
          <w:lang w:val="en-US" w:eastAsia="zh-CN"/>
        </w:rPr>
        <w:t>，且未按规定向有关部门报备的，由县级以上人民政府相关主管部门责令立即停止违法活动，没收违法所得，并处以五万元以下的罚款。如该活动已导致生态破坏，则责令限期修复或者采取其他补救措施，并处以五十万元以上二百万元以下的罚款。</w:t>
      </w:r>
    </w:p>
    <w:p w14:paraId="2EE46C2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_GB2312" w:hAnsi="仿宋_GB2312" w:eastAsia="仿宋_GB2312" w:cs="仿宋_GB2312"/>
          <w:sz w:val="32"/>
          <w:szCs w:val="32"/>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第二十七条  </w:t>
      </w:r>
      <w:r>
        <w:rPr>
          <w:rFonts w:hint="eastAsia" w:ascii="仿宋_GB2312" w:hAnsi="仿宋_GB2312" w:eastAsia="仿宋_GB2312" w:cs="仿宋_GB2312"/>
          <w:sz w:val="32"/>
          <w:szCs w:val="32"/>
        </w:rPr>
        <w:t>违反本规定的，由体育、应急、公安、林草、生态环境等部门依据</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法律法规责令整改、警告、罚款，没收违法所得；情节严重的，停业整顿、吊销资质证照；造成安全事故、生态破坏、文</w:t>
      </w:r>
      <w:r>
        <w:rPr>
          <w:rFonts w:hint="eastAsia" w:ascii="仿宋_GB2312" w:hAnsi="仿宋_GB2312" w:eastAsia="仿宋_GB2312" w:cs="仿宋_GB2312"/>
          <w:sz w:val="32"/>
          <w:szCs w:val="32"/>
          <w:lang w:val="en-US" w:eastAsia="zh-CN"/>
        </w:rPr>
        <w:t>物</w:t>
      </w:r>
      <w:r>
        <w:rPr>
          <w:rFonts w:hint="eastAsia" w:ascii="仿宋_GB2312" w:hAnsi="仿宋_GB2312" w:eastAsia="仿宋_GB2312" w:cs="仿宋_GB2312"/>
          <w:sz w:val="32"/>
          <w:szCs w:val="32"/>
        </w:rPr>
        <w:t>损毁的，依法承担民事责任；涉嫌犯罪的，移送司法机关追究刑事责任。</w:t>
      </w:r>
    </w:p>
    <w:p w14:paraId="775F1FB7">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outlineLvl w:val="9"/>
        <w:rPr>
          <w:rFonts w:hint="default" w:asciiTheme="minorHAnsi" w:hAnsiTheme="minorHAnsi" w:eastAsiaTheme="minorEastAsia" w:cstheme="minorBidi"/>
          <w:sz w:val="21"/>
          <w:szCs w:val="24"/>
          <w:lang w:val="en-US" w:eastAsia="zh-CN"/>
        </w:rPr>
      </w:pPr>
    </w:p>
    <w:p w14:paraId="67B54FEC">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outlineLvl w:val="1"/>
        <w:rPr>
          <w:rFonts w:hint="default"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第八章</w:t>
      </w:r>
      <w:r>
        <w:rPr>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附则</w:t>
      </w:r>
    </w:p>
    <w:p w14:paraId="1EE3ECFA">
      <w:pPr>
        <w:keepNext w:val="0"/>
        <w:keepLines w:val="0"/>
        <w:pageBreakBefore w:val="0"/>
        <w:numPr>
          <w:ilvl w:val="0"/>
          <w:numId w:val="0"/>
        </w:numPr>
        <w:kinsoku/>
        <w:wordWrap/>
        <w:overflowPunct/>
        <w:topLinePunct w:val="0"/>
        <w:autoSpaceDE/>
        <w:autoSpaceDN/>
        <w:bidi w:val="0"/>
        <w:spacing w:line="560" w:lineRule="exact"/>
        <w:textAlignment w:val="auto"/>
        <w:rPr>
          <w:rFonts w:hint="default"/>
          <w:lang w:val="en-US" w:eastAsia="zh-CN"/>
        </w:rPr>
      </w:pPr>
    </w:p>
    <w:p w14:paraId="2CE9844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t>第</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二十八</w:t>
      </w:r>
      <w:r>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条 </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经营攀岩、高山滑雪、滑翔伞等高危险性体育项目，须依法取得《高危险性体育项目经营许可证》</w:t>
      </w:r>
    </w:p>
    <w:p w14:paraId="54B5AE2F">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643" w:firstLineChars="200"/>
        <w:jc w:val="left"/>
        <w:textAlignment w:val="auto"/>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t>第</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二十九</w:t>
      </w:r>
      <w:r>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条 </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 </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港、澳、台地区人员及外国人参加本州户外活动，按国家体育总局及外事相关规定办理。</w:t>
      </w:r>
    </w:p>
    <w:p w14:paraId="220DCA6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t>第</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三十</w:t>
      </w:r>
      <w:r>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条 </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 </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本办法由阿坝藏族羌族自治州体育行政部门负责解释。</w:t>
      </w:r>
    </w:p>
    <w:p w14:paraId="085493E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t>第</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三十一</w:t>
      </w:r>
      <w:r>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条 </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 </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本办法自202</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6</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年</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6</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月</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1</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日起施行，</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试用</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期为</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2</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年</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w:t>
      </w:r>
      <w:bookmarkStart w:id="0" w:name="_GoBack"/>
      <w:bookmarkEnd w:id="0"/>
    </w:p>
    <w:sectPr>
      <w:footerReference r:id="rId3" w:type="default"/>
      <w:pgSz w:w="11906" w:h="16838"/>
      <w:pgMar w:top="2154" w:right="1417" w:bottom="2041" w:left="1531" w:header="851" w:footer="992" w:gutter="0"/>
      <w:pgNumType w:fmt="numberInDash"/>
      <w:cols w:space="425"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FB0F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47245">
                          <w:pPr>
                            <w:pStyle w:val="6"/>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B47245">
                    <w:pPr>
                      <w:pStyle w:val="6"/>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5B3D43"/>
    <w:multiLevelType w:val="singleLevel"/>
    <w:tmpl w:val="BF5B3D43"/>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D21B2"/>
    <w:rsid w:val="01A55BBB"/>
    <w:rsid w:val="02471835"/>
    <w:rsid w:val="033C2BF5"/>
    <w:rsid w:val="0388408C"/>
    <w:rsid w:val="03D270B5"/>
    <w:rsid w:val="0450296D"/>
    <w:rsid w:val="04A3117E"/>
    <w:rsid w:val="051A6F66"/>
    <w:rsid w:val="05355B4E"/>
    <w:rsid w:val="056F72B2"/>
    <w:rsid w:val="058B39C0"/>
    <w:rsid w:val="06277B8D"/>
    <w:rsid w:val="06DE1DEA"/>
    <w:rsid w:val="07034156"/>
    <w:rsid w:val="07241ACC"/>
    <w:rsid w:val="07287718"/>
    <w:rsid w:val="07C75183"/>
    <w:rsid w:val="08E12275"/>
    <w:rsid w:val="091837BC"/>
    <w:rsid w:val="09475E50"/>
    <w:rsid w:val="0AC43BFC"/>
    <w:rsid w:val="0B04224A"/>
    <w:rsid w:val="0B112BB9"/>
    <w:rsid w:val="0B9671F3"/>
    <w:rsid w:val="0C2228AF"/>
    <w:rsid w:val="0CDB31C5"/>
    <w:rsid w:val="0D474670"/>
    <w:rsid w:val="0D5079C9"/>
    <w:rsid w:val="0ECF0DC1"/>
    <w:rsid w:val="112D07CA"/>
    <w:rsid w:val="113A21A1"/>
    <w:rsid w:val="114F61E9"/>
    <w:rsid w:val="1168783A"/>
    <w:rsid w:val="11920805"/>
    <w:rsid w:val="12105979"/>
    <w:rsid w:val="12183BE6"/>
    <w:rsid w:val="12E36BE9"/>
    <w:rsid w:val="1450733C"/>
    <w:rsid w:val="14D70373"/>
    <w:rsid w:val="14E07884"/>
    <w:rsid w:val="15655FDB"/>
    <w:rsid w:val="159348F7"/>
    <w:rsid w:val="15D64EC1"/>
    <w:rsid w:val="15F110D6"/>
    <w:rsid w:val="171750B3"/>
    <w:rsid w:val="178536AF"/>
    <w:rsid w:val="18095344"/>
    <w:rsid w:val="193C52A5"/>
    <w:rsid w:val="1A367F46"/>
    <w:rsid w:val="1A6B5E42"/>
    <w:rsid w:val="1AE259D8"/>
    <w:rsid w:val="1B1464DA"/>
    <w:rsid w:val="1CAB05D0"/>
    <w:rsid w:val="1E1D38F7"/>
    <w:rsid w:val="208D63E6"/>
    <w:rsid w:val="20931C4F"/>
    <w:rsid w:val="20E71F9A"/>
    <w:rsid w:val="215D672B"/>
    <w:rsid w:val="21BF6A73"/>
    <w:rsid w:val="21D95D87"/>
    <w:rsid w:val="22244596"/>
    <w:rsid w:val="231D1CA3"/>
    <w:rsid w:val="23737B15"/>
    <w:rsid w:val="23867849"/>
    <w:rsid w:val="23977CA8"/>
    <w:rsid w:val="243E6375"/>
    <w:rsid w:val="24B30B11"/>
    <w:rsid w:val="24D521F1"/>
    <w:rsid w:val="24E94533"/>
    <w:rsid w:val="25565941"/>
    <w:rsid w:val="256376A5"/>
    <w:rsid w:val="267047E0"/>
    <w:rsid w:val="26A07441"/>
    <w:rsid w:val="27C2106B"/>
    <w:rsid w:val="28036598"/>
    <w:rsid w:val="290D27BA"/>
    <w:rsid w:val="294A30C6"/>
    <w:rsid w:val="29504E5C"/>
    <w:rsid w:val="29C16A0B"/>
    <w:rsid w:val="2C1A76C8"/>
    <w:rsid w:val="2C7856DC"/>
    <w:rsid w:val="2D811081"/>
    <w:rsid w:val="2EC72E1A"/>
    <w:rsid w:val="2FBB4D1E"/>
    <w:rsid w:val="3091782D"/>
    <w:rsid w:val="319C292D"/>
    <w:rsid w:val="32395588"/>
    <w:rsid w:val="331210F9"/>
    <w:rsid w:val="3330061A"/>
    <w:rsid w:val="34080CFD"/>
    <w:rsid w:val="342A2472"/>
    <w:rsid w:val="35E450ED"/>
    <w:rsid w:val="370E7E29"/>
    <w:rsid w:val="38997BC6"/>
    <w:rsid w:val="38A058F5"/>
    <w:rsid w:val="38AC16A8"/>
    <w:rsid w:val="397F500E"/>
    <w:rsid w:val="3B7FF55D"/>
    <w:rsid w:val="3BA660A8"/>
    <w:rsid w:val="3BD16A31"/>
    <w:rsid w:val="3C3420E0"/>
    <w:rsid w:val="3C964B49"/>
    <w:rsid w:val="3D197528"/>
    <w:rsid w:val="3E66679D"/>
    <w:rsid w:val="3FD414E4"/>
    <w:rsid w:val="4054788D"/>
    <w:rsid w:val="409A272E"/>
    <w:rsid w:val="418B45AA"/>
    <w:rsid w:val="423450A9"/>
    <w:rsid w:val="426052B1"/>
    <w:rsid w:val="43790D20"/>
    <w:rsid w:val="44BA339E"/>
    <w:rsid w:val="44EE2B8D"/>
    <w:rsid w:val="44F03C0B"/>
    <w:rsid w:val="44F22B38"/>
    <w:rsid w:val="454F7F8B"/>
    <w:rsid w:val="456A1083"/>
    <w:rsid w:val="46263EBC"/>
    <w:rsid w:val="46274A64"/>
    <w:rsid w:val="462F56C6"/>
    <w:rsid w:val="4716385E"/>
    <w:rsid w:val="48113E7C"/>
    <w:rsid w:val="49C03205"/>
    <w:rsid w:val="4B9FF98A"/>
    <w:rsid w:val="4E27029F"/>
    <w:rsid w:val="4F2002A2"/>
    <w:rsid w:val="4F894099"/>
    <w:rsid w:val="4FBD3D43"/>
    <w:rsid w:val="4FE43F41"/>
    <w:rsid w:val="50146059"/>
    <w:rsid w:val="50CC248F"/>
    <w:rsid w:val="50CF6C4B"/>
    <w:rsid w:val="50E023DF"/>
    <w:rsid w:val="50F43794"/>
    <w:rsid w:val="513F7105"/>
    <w:rsid w:val="521C416D"/>
    <w:rsid w:val="52B4142D"/>
    <w:rsid w:val="536863BA"/>
    <w:rsid w:val="53B35B89"/>
    <w:rsid w:val="56586573"/>
    <w:rsid w:val="568302D4"/>
    <w:rsid w:val="56D71B8E"/>
    <w:rsid w:val="56F049FE"/>
    <w:rsid w:val="57BB14B0"/>
    <w:rsid w:val="57D83E10"/>
    <w:rsid w:val="58AD0DF8"/>
    <w:rsid w:val="59E04384"/>
    <w:rsid w:val="59EF3692"/>
    <w:rsid w:val="5A6E2809"/>
    <w:rsid w:val="5B5E287E"/>
    <w:rsid w:val="5C7D1153"/>
    <w:rsid w:val="5D192F00"/>
    <w:rsid w:val="5D537A94"/>
    <w:rsid w:val="5E254728"/>
    <w:rsid w:val="5E390074"/>
    <w:rsid w:val="5E587A58"/>
    <w:rsid w:val="5E7B3747"/>
    <w:rsid w:val="5EDC2437"/>
    <w:rsid w:val="5FF23595"/>
    <w:rsid w:val="603B318E"/>
    <w:rsid w:val="604D2EC1"/>
    <w:rsid w:val="616109D2"/>
    <w:rsid w:val="6283706E"/>
    <w:rsid w:val="6434289D"/>
    <w:rsid w:val="652561BA"/>
    <w:rsid w:val="652F2B95"/>
    <w:rsid w:val="657F6153"/>
    <w:rsid w:val="65B31A18"/>
    <w:rsid w:val="65E77E75"/>
    <w:rsid w:val="69375ED7"/>
    <w:rsid w:val="69967687"/>
    <w:rsid w:val="69E77B03"/>
    <w:rsid w:val="6A0A597F"/>
    <w:rsid w:val="6A2D7FEB"/>
    <w:rsid w:val="6A7E25F5"/>
    <w:rsid w:val="6AC03237"/>
    <w:rsid w:val="6BF35F44"/>
    <w:rsid w:val="6C022DB1"/>
    <w:rsid w:val="6C6E48EB"/>
    <w:rsid w:val="6CFA617E"/>
    <w:rsid w:val="6E076DA5"/>
    <w:rsid w:val="6E313E22"/>
    <w:rsid w:val="6EFFE6C1"/>
    <w:rsid w:val="6FB1239B"/>
    <w:rsid w:val="6FB326E7"/>
    <w:rsid w:val="6FE70627"/>
    <w:rsid w:val="705F33EC"/>
    <w:rsid w:val="707D50FC"/>
    <w:rsid w:val="71344A46"/>
    <w:rsid w:val="71945189"/>
    <w:rsid w:val="725F5721"/>
    <w:rsid w:val="72A42E14"/>
    <w:rsid w:val="738F5872"/>
    <w:rsid w:val="73976F4C"/>
    <w:rsid w:val="73D47729"/>
    <w:rsid w:val="742C4937"/>
    <w:rsid w:val="747F7695"/>
    <w:rsid w:val="748A428C"/>
    <w:rsid w:val="75DF4163"/>
    <w:rsid w:val="762015B6"/>
    <w:rsid w:val="76984A3E"/>
    <w:rsid w:val="76BA0E58"/>
    <w:rsid w:val="76D67314"/>
    <w:rsid w:val="78302821"/>
    <w:rsid w:val="7859644F"/>
    <w:rsid w:val="79464C25"/>
    <w:rsid w:val="7A1C7734"/>
    <w:rsid w:val="7A5B64AE"/>
    <w:rsid w:val="7B5FF649"/>
    <w:rsid w:val="7B672C31"/>
    <w:rsid w:val="7B923A95"/>
    <w:rsid w:val="7C4116D4"/>
    <w:rsid w:val="7D9B3066"/>
    <w:rsid w:val="7F196938"/>
    <w:rsid w:val="7F7FC99E"/>
    <w:rsid w:val="7FC3E049"/>
    <w:rsid w:val="7FCE14D1"/>
    <w:rsid w:val="BEFEB2CA"/>
    <w:rsid w:val="BEFFC82E"/>
    <w:rsid w:val="CFDE465E"/>
    <w:rsid w:val="D377F966"/>
    <w:rsid w:val="E37F0173"/>
    <w:rsid w:val="E7FF63E3"/>
    <w:rsid w:val="EC776559"/>
    <w:rsid w:val="EE7F90E2"/>
    <w:rsid w:val="EFF73CD6"/>
    <w:rsid w:val="F9F3768B"/>
    <w:rsid w:val="FBBE1C96"/>
    <w:rsid w:val="FD7F6CFD"/>
    <w:rsid w:val="FDF7A754"/>
    <w:rsid w:val="FFD7C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50" w:afterLines="5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67608174-4868-4c57-9188-ac059509d01a</errorID>
      <errorWord>(</errorWord>
      <group>L1_Format</group>
      <groupName>格式问题</groupName>
      <ability>L2_HalfPunc</ability>
      <abilityName>全半角检查</abilityName>
      <candidateList>
        <item>（</item>
      </candidateList>
      <explain>文本全半角错误。</explain>
      <paraID>398BD12C</paraID>
      <start>6</start>
      <end>7</end>
      <status>modified</status>
      <modifiedWord>（</modifiedWord>
      <trackRevisions>false</trackRevisions>
    </reviewItem>
    <reviewItem>
      <errorID>eb0ad60d-146b-477e-990f-3bd40b4ffdcb</errorID>
      <errorWord>)</errorWord>
      <group>L1_Format</group>
      <groupName>格式问题</groupName>
      <ability>L2_HalfPunc</ability>
      <abilityName>全半角检查</abilityName>
      <candidateList>
        <item>）</item>
      </candidateList>
      <explain>文本全半角错误。</explain>
      <paraID>398BD12C</paraID>
      <start>8</start>
      <end>9</end>
      <status>modified</status>
      <modifiedWord>）</modifiedWord>
      <trackRevisions>false</trackRevisions>
    </reviewItem>
    <reviewItem>
      <errorID>533c54cc-ea5f-4b23-97f3-2148eeb5bd70</errorID>
      <errorWord>通讯覆盖</errorWord>
      <group>L1_Word</group>
      <groupName>字词问题</groupName>
      <ability>L2_Typo</ability>
      <abilityName>字词错误</abilityName>
      <candidateList>
        <item>通信覆盖</item>
      </candidateList>
      <explain/>
      <paraID>398BD12C</paraID>
      <start>32</start>
      <end>36</end>
      <status>modified</status>
      <modifiedWord>通信覆盖</modifiedWord>
      <trackRevisions>false</trackRevisions>
    </reviewItem>
    <reviewItem>
      <errorID>5e13007d-7530-4096-ba41-71685a319103</errorID>
      <errorWord>最少聘用3名以上</errorWord>
      <group>L1_Grammar</group>
      <groupName>语法问题</groupName>
      <ability>L2_Grammar</ability>
      <abilityName>语法错误</abilityName>
      <candidateList>
        <item>最少聘用3名</item>
      </candidateList>
      <explain/>
      <paraID>57F14891</paraID>
      <start>4</start>
      <end>10</end>
      <status>modified</status>
      <modifiedWord>最少聘用3名</modifiedWord>
      <trackRevisions>false</trackRevisions>
    </reviewItem>
    <reviewItem>
      <errorID>37a8080f-1efa-4ba7-ae6b-01a8a2562eec</errorID>
      <errorWord>交纳</errorWord>
      <group>L1_Word</group>
      <groupName>字词问题</groupName>
      <ability>L2_Typo</ability>
      <abilityName>字词错误</abilityName>
      <candidateList>
        <item>缴纳</item>
      </candidateList>
      <explain>〈动〉交纳：～税款。</explain>
      <paraID>57F14891</paraID>
      <start>31</start>
      <end>33</end>
      <status>modified</status>
      <modifiedWord>缴纳</modifiedWord>
      <trackRevisions>false</trackRevisions>
    </reviewItem>
    <reviewItem>
      <errorID>55ac8f65-f294-4571-bb51-bdd2e2d82e95</errorID>
      <errorWord>需具备</errorWord>
      <group>L1_Word</group>
      <groupName>字词问题</groupName>
      <ability>L2_Typo</ability>
      <abilityName>字词错误</abilityName>
      <candidateList>
        <item>须具备</item>
      </candidateList>
      <explain/>
      <paraID>3DF0B094</paraID>
      <start>35</start>
      <end>38</end>
      <status>modified</status>
      <modifiedWord>须具备</modifiedWord>
      <trackRevisions>false</trackRevisions>
    </reviewItem>
    <reviewItem>
      <errorID>e06af5e3-b092-4fa4-9700-6ceb340345a3</errorID>
      <errorWord>严守</errorWord>
      <group>L1_Word</group>
      <groupName>字词问题</groupName>
      <ability>L2_Typo</ability>
      <abilityName>字词错误</abilityName>
      <candidateList>
        <item>严格</item>
      </candidateList>
      <explain/>
      <paraID>3DBE6BAB</paraID>
      <start>80</start>
      <end>82</end>
      <status>modified</status>
      <modifiedWord>严格</modifiedWord>
      <trackRevisions>false</trackRevisions>
    </reviewItem>
    <reviewItem>
      <errorID>b9387af0-d4f6-44c1-8ab6-af1e9906db27</errorID>
      <errorWord>承本</errorWord>
      <group>L1_Word</group>
      <groupName>字词问题</groupName>
      <ability>L2_Typo</ability>
      <abilityName>字词错误</abilityName>
      <candidateList>
        <item>成本</item>
      </candidateList>
      <explain>〈名〉产品在生产和流通过程中所需的全部费用：～核算。</explain>
      <paraID>26693E32</paraID>
      <start>44</start>
      <end>46</end>
      <status>modified</status>
      <modifiedWord>成本</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61da59-a166-4151-896f-3881b758bd60}">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484</Words>
  <Characters>484</Characters>
  <Lines>0</Lines>
  <Paragraphs>0</Paragraphs>
  <TotalTime>4</TotalTime>
  <ScaleCrop>false</ScaleCrop>
  <LinksUpToDate>false</LinksUpToDate>
  <CharactersWithSpaces>495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Lenovo</dc:creator>
  <cp:lastModifiedBy>志缓</cp:lastModifiedBy>
  <cp:lastPrinted>2026-04-14T03:38:58Z</cp:lastPrinted>
  <dcterms:modified xsi:type="dcterms:W3CDTF">2026-04-14T03:53:35Z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FD1D8C3E377F4F328A35DA330A1F1343_13</vt:lpwstr>
  </property>
  <property fmtid="{D5CDD505-2E9C-101B-9397-08002B2CF9AE}" pid="4" name="KSOTemplateDocerSaveRecord">
    <vt:lpwstr>eyJoZGlkIjoiYmFmOWQ5NjZiZGQ1MWQ1ZTQ4MGY1YjBmMWZkZTkwM2QiLCJ1c2VySWQiOiI3MzY5MzQyNTYifQ==</vt:lpwstr>
  </property>
</Properties>
</file>