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0630B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auto"/>
          <w:sz w:val="32"/>
          <w:szCs w:val="32"/>
          <w:lang w:val="en-US" w:eastAsia="zh-CN"/>
        </w:rPr>
      </w:pPr>
    </w:p>
    <w:p w14:paraId="63136E4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lang w:eastAsia="zh-CN" w:bidi="ar-SA"/>
        </w:rPr>
      </w:pPr>
      <w:r>
        <w:rPr>
          <w:rFonts w:hint="default" w:ascii="Times New Roman" w:hAnsi="Times New Roman" w:eastAsia="方正小标宋简体" w:cs="Times New Roman"/>
          <w:color w:val="auto"/>
          <w:sz w:val="44"/>
          <w:szCs w:val="44"/>
          <w:lang w:eastAsia="zh-CN" w:bidi="ar-SA"/>
        </w:rPr>
        <w:t>阿坝州州本级政府投资项目管理办法</w:t>
      </w:r>
    </w:p>
    <w:p w14:paraId="7DF3894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楷体" w:cs="Times New Roman"/>
          <w:b/>
          <w:bCs/>
          <w:color w:val="auto"/>
          <w:sz w:val="32"/>
          <w:szCs w:val="32"/>
          <w:lang w:val="en-US" w:eastAsia="zh-CN" w:bidi="ar-SA"/>
        </w:rPr>
        <w:t>（</w:t>
      </w:r>
      <w:r>
        <w:rPr>
          <w:rFonts w:hint="eastAsia" w:eastAsia="楷体" w:cs="Times New Roman"/>
          <w:b/>
          <w:bCs/>
          <w:color w:val="auto"/>
          <w:sz w:val="32"/>
          <w:szCs w:val="32"/>
          <w:lang w:val="en-US" w:eastAsia="zh-CN" w:bidi="ar-SA"/>
        </w:rPr>
        <w:t>征求意见稿</w:t>
      </w:r>
      <w:bookmarkStart w:id="0" w:name="_GoBack"/>
      <w:bookmarkEnd w:id="0"/>
      <w:r>
        <w:rPr>
          <w:rFonts w:hint="default" w:ascii="Times New Roman" w:hAnsi="Times New Roman" w:eastAsia="楷体" w:cs="Times New Roman"/>
          <w:b/>
          <w:bCs/>
          <w:color w:val="auto"/>
          <w:sz w:val="32"/>
          <w:szCs w:val="32"/>
          <w:lang w:val="en-US" w:eastAsia="zh-CN" w:bidi="ar-SA"/>
        </w:rPr>
        <w:t>）</w:t>
      </w:r>
    </w:p>
    <w:p w14:paraId="0E0777F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auto"/>
          <w:sz w:val="32"/>
          <w:szCs w:val="32"/>
          <w:lang w:val="en-US" w:eastAsia="zh-CN" w:bidi="ar-SA"/>
        </w:rPr>
      </w:pPr>
    </w:p>
    <w:p w14:paraId="471EA47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第一章  总则</w:t>
      </w:r>
    </w:p>
    <w:p w14:paraId="72EACBF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sz w:val="28"/>
          <w:szCs w:val="28"/>
          <w:lang w:val="en-US" w:eastAsia="zh-CN" w:bidi="ar-SA"/>
        </w:rPr>
      </w:pPr>
      <w:r>
        <w:rPr>
          <w:rFonts w:hint="default" w:ascii="Times New Roman" w:hAnsi="Times New Roman" w:eastAsia="楷体" w:cs="Times New Roman"/>
          <w:b/>
          <w:bCs/>
          <w:color w:val="auto"/>
          <w:sz w:val="32"/>
          <w:szCs w:val="32"/>
          <w:lang w:val="en-US" w:eastAsia="zh-CN" w:bidi="ar-SA"/>
        </w:rPr>
        <w:t>第一条</w:t>
      </w:r>
      <w:r>
        <w:rPr>
          <w:rFonts w:hint="default" w:ascii="Times New Roman" w:hAnsi="Times New Roman" w:eastAsia="仿宋" w:cs="Times New Roman"/>
          <w:color w:val="auto"/>
          <w:sz w:val="32"/>
          <w:szCs w:val="32"/>
          <w:lang w:val="en-US" w:eastAsia="zh-CN" w:bidi="ar-SA"/>
        </w:rPr>
        <w:t xml:space="preserve">  为规范阿坝州州本级政府投资项目管理，健全科学、规范、高效的决策与实施机制，提升政府投资效益，防范和化解政府债务风险，根据《政府投资条例》《国务院办公厅关于深化投资审批制度改革的意见》《四川省政府投资管理办法》等规定，结合阿坝州实际，制定本办法。</w:t>
      </w:r>
    </w:p>
    <w:p w14:paraId="20E5D49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楷体" w:cs="Times New Roman"/>
          <w:b/>
          <w:bCs/>
          <w:color w:val="auto"/>
          <w:sz w:val="32"/>
          <w:szCs w:val="32"/>
          <w:lang w:val="en-US" w:eastAsia="zh-CN" w:bidi="ar-SA"/>
        </w:rPr>
        <w:t>第二条</w:t>
      </w:r>
      <w:r>
        <w:rPr>
          <w:rFonts w:hint="default" w:ascii="Times New Roman" w:hAnsi="Times New Roman" w:eastAsia="仿宋" w:cs="Times New Roman"/>
          <w:color w:val="auto"/>
          <w:sz w:val="32"/>
          <w:szCs w:val="32"/>
          <w:lang w:val="en-US" w:eastAsia="zh-CN" w:bidi="ar-SA"/>
        </w:rPr>
        <w:t xml:space="preserve">  州本级政府投资项目管理遵循实事求是、量力而行、科学决策、规范管理、</w:t>
      </w:r>
      <w:r>
        <w:rPr>
          <w:rFonts w:hint="eastAsia" w:ascii="Times New Roman" w:hAnsi="Times New Roman" w:eastAsia="仿宋" w:cs="Times New Roman"/>
          <w:color w:val="auto"/>
          <w:sz w:val="32"/>
          <w:szCs w:val="32"/>
          <w:lang w:val="en-US" w:eastAsia="zh-CN" w:bidi="ar-SA"/>
        </w:rPr>
        <w:t>注重效益</w:t>
      </w:r>
      <w:r>
        <w:rPr>
          <w:rFonts w:hint="default" w:ascii="Times New Roman" w:hAnsi="Times New Roman" w:eastAsia="仿宋" w:cs="Times New Roman"/>
          <w:color w:val="auto"/>
          <w:sz w:val="32"/>
          <w:szCs w:val="32"/>
          <w:lang w:val="en-US" w:eastAsia="zh-CN" w:bidi="ar-SA"/>
        </w:rPr>
        <w:t>的原则，树立和践行正确政绩观，坚决杜绝违规建设、奢华装修楼堂馆所以及“形象工程”“政绩工程”“半拉子工程”，突出项目全生命周期管理。</w:t>
      </w:r>
    </w:p>
    <w:p w14:paraId="1AF2377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bCs/>
          <w:color w:val="auto"/>
          <w:sz w:val="32"/>
          <w:szCs w:val="32"/>
          <w:lang w:val="en-US" w:eastAsia="zh-CN" w:bidi="ar-SA"/>
        </w:rPr>
      </w:pPr>
      <w:r>
        <w:rPr>
          <w:rFonts w:hint="eastAsia" w:ascii="Times New Roman" w:hAnsi="Times New Roman" w:eastAsia="楷体" w:cs="Times New Roman"/>
          <w:b/>
          <w:bCs/>
          <w:color w:val="auto"/>
          <w:sz w:val="32"/>
          <w:szCs w:val="32"/>
          <w:lang w:val="en-US" w:eastAsia="zh-CN" w:bidi="ar-SA"/>
        </w:rPr>
        <w:t>第三条</w:t>
      </w:r>
      <w:r>
        <w:rPr>
          <w:rFonts w:hint="eastAsia" w:eastAsia="楷体" w:cs="Times New Roman"/>
          <w:b/>
          <w:bCs/>
          <w:color w:val="auto"/>
          <w:sz w:val="32"/>
          <w:szCs w:val="32"/>
          <w:lang w:val="en-US" w:eastAsia="zh-CN" w:bidi="ar-SA"/>
        </w:rPr>
        <w:t xml:space="preserve">  </w:t>
      </w:r>
      <w:r>
        <w:rPr>
          <w:rFonts w:hint="default" w:ascii="Times New Roman" w:hAnsi="Times New Roman" w:eastAsia="仿宋" w:cs="Times New Roman"/>
          <w:color w:val="auto"/>
          <w:sz w:val="32"/>
          <w:szCs w:val="32"/>
          <w:lang w:val="en-US" w:eastAsia="zh-CN" w:bidi="ar-SA"/>
        </w:rPr>
        <w:t>州本级政府投资项目坚持和加强党的全面领导，严格执行集体决策、依法决策。重大政府投资项目决策前，应当按照规定向州委请示报告。</w:t>
      </w:r>
    </w:p>
    <w:p w14:paraId="591F93A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auto"/>
          <w:sz w:val="32"/>
          <w:szCs w:val="32"/>
          <w:lang w:val="en-US" w:eastAsia="zh-CN" w:bidi="ar-SA"/>
        </w:rPr>
      </w:pPr>
    </w:p>
    <w:p w14:paraId="307432D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第二章  适用范围</w:t>
      </w:r>
    </w:p>
    <w:p w14:paraId="0BA237C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楷体" w:cs="Times New Roman"/>
          <w:b/>
          <w:bCs/>
          <w:color w:val="auto"/>
          <w:sz w:val="32"/>
          <w:szCs w:val="32"/>
          <w:lang w:val="en-US" w:eastAsia="zh-CN" w:bidi="ar-SA"/>
        </w:rPr>
        <w:t>第</w:t>
      </w:r>
      <w:r>
        <w:rPr>
          <w:rFonts w:hint="eastAsia" w:eastAsia="楷体" w:cs="Times New Roman"/>
          <w:b/>
          <w:bCs/>
          <w:color w:val="auto"/>
          <w:sz w:val="32"/>
          <w:szCs w:val="32"/>
          <w:lang w:val="en-US" w:eastAsia="zh-CN" w:bidi="ar-SA"/>
        </w:rPr>
        <w:t>四</w:t>
      </w:r>
      <w:r>
        <w:rPr>
          <w:rFonts w:hint="default" w:ascii="Times New Roman" w:hAnsi="Times New Roman" w:eastAsia="楷体" w:cs="Times New Roman"/>
          <w:b/>
          <w:bCs/>
          <w:color w:val="auto"/>
          <w:sz w:val="32"/>
          <w:szCs w:val="32"/>
          <w:lang w:val="en-US" w:eastAsia="zh-CN" w:bidi="ar-SA"/>
        </w:rPr>
        <w:t>条</w:t>
      </w:r>
      <w:r>
        <w:rPr>
          <w:rFonts w:hint="default" w:ascii="Times New Roman" w:hAnsi="Times New Roman" w:eastAsia="仿宋" w:cs="Times New Roman"/>
          <w:color w:val="auto"/>
          <w:sz w:val="32"/>
          <w:szCs w:val="32"/>
          <w:lang w:val="en-US" w:eastAsia="zh-CN" w:bidi="ar-SA"/>
        </w:rPr>
        <w:t xml:space="preserve">  本办法所称州本级政府投资项目，是指使用州级财政预算安排的资金（包括地方政府债券资金、项目前期经费等）</w:t>
      </w:r>
      <w:r>
        <w:rPr>
          <w:rFonts w:hint="default" w:ascii="Times New Roman" w:hAnsi="Times New Roman" w:eastAsia="仿宋" w:cs="Times New Roman"/>
          <w:color w:val="auto"/>
          <w:spacing w:val="-11"/>
          <w:sz w:val="32"/>
          <w:szCs w:val="32"/>
          <w:lang w:val="en-US" w:eastAsia="zh-CN" w:bidi="ar-SA"/>
        </w:rPr>
        <w:t>以及申请使用上级财政性资金进行固定资产投资建设的项目，包括：</w:t>
      </w:r>
    </w:p>
    <w:p w14:paraId="2F96DF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仿宋" w:cs="Times New Roman"/>
          <w:color w:val="auto"/>
          <w:sz w:val="32"/>
          <w:szCs w:val="32"/>
          <w:lang w:val="en-US" w:eastAsia="zh-CN" w:bidi="ar-SA"/>
        </w:rPr>
        <w:t>（一）由州级部门（单位）直接实施的项目；</w:t>
      </w:r>
    </w:p>
    <w:p w14:paraId="2733E7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仿宋" w:cs="Times New Roman"/>
          <w:color w:val="auto"/>
          <w:sz w:val="32"/>
          <w:szCs w:val="32"/>
          <w:lang w:val="en-US" w:eastAsia="zh-CN" w:bidi="ar-SA"/>
        </w:rPr>
        <w:t>（二）由州级财政资金对县（市）相关项目给予投资补助的项目。</w:t>
      </w:r>
    </w:p>
    <w:p w14:paraId="50C7FE6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楷体" w:cs="Times New Roman"/>
          <w:b/>
          <w:bCs/>
          <w:color w:val="auto"/>
          <w:sz w:val="32"/>
          <w:szCs w:val="32"/>
          <w:lang w:val="en-US" w:eastAsia="zh-CN" w:bidi="ar-SA"/>
        </w:rPr>
        <w:t>第</w:t>
      </w:r>
      <w:r>
        <w:rPr>
          <w:rFonts w:hint="eastAsia" w:eastAsia="楷体" w:cs="Times New Roman"/>
          <w:b/>
          <w:bCs/>
          <w:color w:val="auto"/>
          <w:sz w:val="32"/>
          <w:szCs w:val="32"/>
          <w:lang w:val="en-US" w:eastAsia="zh-CN" w:bidi="ar-SA"/>
        </w:rPr>
        <w:t>五</w:t>
      </w:r>
      <w:r>
        <w:rPr>
          <w:rFonts w:hint="default" w:ascii="Times New Roman" w:hAnsi="Times New Roman" w:eastAsia="楷体" w:cs="Times New Roman"/>
          <w:b/>
          <w:bCs/>
          <w:color w:val="auto"/>
          <w:sz w:val="32"/>
          <w:szCs w:val="32"/>
          <w:lang w:val="en-US" w:eastAsia="zh-CN" w:bidi="ar-SA"/>
        </w:rPr>
        <w:t xml:space="preserve">条  </w:t>
      </w:r>
      <w:r>
        <w:rPr>
          <w:rFonts w:hint="default" w:ascii="Times New Roman" w:hAnsi="Times New Roman" w:eastAsia="仿宋" w:cs="Times New Roman"/>
          <w:color w:val="auto"/>
          <w:sz w:val="32"/>
          <w:szCs w:val="32"/>
          <w:lang w:val="en-US" w:eastAsia="zh-CN" w:bidi="ar-SA"/>
        </w:rPr>
        <w:t>由县（市）实施、总投资5亿元（含）以上、对全州有重大影响、对全州政策布局有排他性的政府投资项目按提级论证有关规定纳入本办法项目论证决策范围。</w:t>
      </w:r>
    </w:p>
    <w:p w14:paraId="1F7A2F5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color w:val="auto"/>
          <w:sz w:val="32"/>
          <w:szCs w:val="32"/>
          <w:lang w:val="en-US" w:eastAsia="zh-CN" w:bidi="ar-SA"/>
        </w:rPr>
      </w:pPr>
    </w:p>
    <w:p w14:paraId="4D827D7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第三章  项目谋划与论证</w:t>
      </w:r>
    </w:p>
    <w:p w14:paraId="6AA8FB7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楷体" w:cs="Times New Roman"/>
          <w:b/>
          <w:bCs/>
          <w:color w:val="auto"/>
          <w:sz w:val="32"/>
          <w:szCs w:val="32"/>
          <w:lang w:val="en-US" w:eastAsia="zh-CN" w:bidi="ar-SA"/>
        </w:rPr>
        <w:t>第</w:t>
      </w:r>
      <w:r>
        <w:rPr>
          <w:rFonts w:hint="eastAsia" w:eastAsia="楷体" w:cs="Times New Roman"/>
          <w:b/>
          <w:bCs/>
          <w:color w:val="auto"/>
          <w:sz w:val="32"/>
          <w:szCs w:val="32"/>
          <w:lang w:val="en-US" w:eastAsia="zh-CN" w:bidi="ar-SA"/>
        </w:rPr>
        <w:t>六</w:t>
      </w:r>
      <w:r>
        <w:rPr>
          <w:rFonts w:hint="default" w:ascii="Times New Roman" w:hAnsi="Times New Roman" w:eastAsia="楷体" w:cs="Times New Roman"/>
          <w:b/>
          <w:bCs/>
          <w:color w:val="auto"/>
          <w:sz w:val="32"/>
          <w:szCs w:val="32"/>
          <w:lang w:val="en-US" w:eastAsia="zh-CN" w:bidi="ar-SA"/>
        </w:rPr>
        <w:t xml:space="preserve">条  </w:t>
      </w:r>
      <w:r>
        <w:rPr>
          <w:rFonts w:hint="default" w:ascii="Times New Roman" w:hAnsi="Times New Roman" w:eastAsia="仿宋" w:cs="Times New Roman"/>
          <w:color w:val="auto"/>
          <w:sz w:val="32"/>
          <w:szCs w:val="32"/>
          <w:lang w:val="en-US" w:eastAsia="zh-CN" w:bidi="ar-SA"/>
        </w:rPr>
        <w:t>项目单位应当依据国民经济和社会发展规划、国土空间规划、州级以上专项规划以及州委、州政府工作部署，科学</w:t>
      </w:r>
      <w:r>
        <w:rPr>
          <w:rFonts w:hint="eastAsia" w:ascii="Times New Roman" w:hAnsi="Times New Roman" w:eastAsia="仿宋" w:cs="Times New Roman"/>
          <w:color w:val="auto"/>
          <w:sz w:val="32"/>
          <w:szCs w:val="32"/>
          <w:lang w:val="en-US" w:eastAsia="zh-CN" w:bidi="ar-SA"/>
        </w:rPr>
        <w:t>谋划</w:t>
      </w:r>
      <w:r>
        <w:rPr>
          <w:rFonts w:hint="default" w:ascii="Times New Roman" w:hAnsi="Times New Roman" w:eastAsia="仿宋" w:cs="Times New Roman"/>
          <w:color w:val="auto"/>
          <w:sz w:val="32"/>
          <w:szCs w:val="32"/>
          <w:lang w:val="en-US" w:eastAsia="zh-CN" w:bidi="ar-SA"/>
        </w:rPr>
        <w:t>编制项目建设方案。</w:t>
      </w:r>
    </w:p>
    <w:p w14:paraId="4A2D2FB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楷体" w:cs="Times New Roman"/>
          <w:b/>
          <w:bCs/>
          <w:color w:val="auto"/>
          <w:sz w:val="32"/>
          <w:szCs w:val="32"/>
          <w:lang w:val="en-US" w:eastAsia="zh-CN" w:bidi="ar-SA"/>
        </w:rPr>
        <w:t>第</w:t>
      </w:r>
      <w:r>
        <w:rPr>
          <w:rFonts w:hint="eastAsia" w:eastAsia="楷体" w:cs="Times New Roman"/>
          <w:b/>
          <w:bCs/>
          <w:color w:val="auto"/>
          <w:sz w:val="32"/>
          <w:szCs w:val="32"/>
          <w:lang w:val="en-US" w:eastAsia="zh-CN" w:bidi="ar-SA"/>
        </w:rPr>
        <w:t>七</w:t>
      </w:r>
      <w:r>
        <w:rPr>
          <w:rFonts w:hint="default" w:ascii="Times New Roman" w:hAnsi="Times New Roman" w:eastAsia="楷体" w:cs="Times New Roman"/>
          <w:b/>
          <w:bCs/>
          <w:color w:val="auto"/>
          <w:sz w:val="32"/>
          <w:szCs w:val="32"/>
          <w:lang w:val="en-US" w:eastAsia="zh-CN" w:bidi="ar-SA"/>
        </w:rPr>
        <w:t>条</w:t>
      </w:r>
      <w:r>
        <w:rPr>
          <w:rFonts w:hint="default" w:ascii="Times New Roman" w:hAnsi="Times New Roman" w:eastAsia="仿宋" w:cs="Times New Roman"/>
          <w:color w:val="auto"/>
          <w:sz w:val="32"/>
          <w:szCs w:val="32"/>
          <w:lang w:val="en-US" w:eastAsia="zh-CN" w:bidi="ar-SA"/>
        </w:rPr>
        <w:t xml:space="preserve">  建立州本级政府投资项目前期论证机制。州级行业主管部门应当按照职责分工，加强对本行业、本领域项目论证工作的统筹指导和审核把关。</w:t>
      </w:r>
    </w:p>
    <w:p w14:paraId="56EB896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楷体" w:cs="Times New Roman"/>
          <w:b/>
          <w:bCs/>
          <w:color w:val="auto"/>
          <w:sz w:val="32"/>
          <w:szCs w:val="32"/>
          <w:lang w:val="en-US" w:eastAsia="zh-CN" w:bidi="ar-SA"/>
        </w:rPr>
        <w:t>第</w:t>
      </w:r>
      <w:r>
        <w:rPr>
          <w:rFonts w:hint="eastAsia" w:eastAsia="楷体" w:cs="Times New Roman"/>
          <w:b/>
          <w:bCs/>
          <w:color w:val="auto"/>
          <w:sz w:val="32"/>
          <w:szCs w:val="32"/>
          <w:lang w:val="en-US" w:eastAsia="zh-CN" w:bidi="ar-SA"/>
        </w:rPr>
        <w:t>八</w:t>
      </w:r>
      <w:r>
        <w:rPr>
          <w:rFonts w:hint="default" w:ascii="Times New Roman" w:hAnsi="Times New Roman" w:eastAsia="楷体" w:cs="Times New Roman"/>
          <w:b/>
          <w:bCs/>
          <w:color w:val="auto"/>
          <w:sz w:val="32"/>
          <w:szCs w:val="32"/>
          <w:lang w:val="en-US" w:eastAsia="zh-CN" w:bidi="ar-SA"/>
        </w:rPr>
        <w:t>条</w:t>
      </w:r>
      <w:r>
        <w:rPr>
          <w:rFonts w:hint="default" w:ascii="Times New Roman" w:hAnsi="Times New Roman" w:eastAsia="仿宋" w:cs="Times New Roman"/>
          <w:color w:val="auto"/>
          <w:kern w:val="2"/>
          <w:sz w:val="32"/>
          <w:szCs w:val="32"/>
          <w:lang w:val="en-US" w:eastAsia="zh-CN" w:bidi="ar-SA"/>
        </w:rPr>
        <w:t xml:space="preserve">  </w:t>
      </w:r>
      <w:r>
        <w:rPr>
          <w:rFonts w:hint="eastAsia" w:ascii="Times New Roman" w:hAnsi="Times New Roman" w:eastAsia="仿宋" w:cs="Times New Roman"/>
          <w:color w:val="auto"/>
          <w:kern w:val="2"/>
          <w:sz w:val="32"/>
          <w:szCs w:val="32"/>
          <w:lang w:val="en-US" w:eastAsia="zh-CN" w:bidi="ar-SA"/>
        </w:rPr>
        <w:t>州级</w:t>
      </w:r>
      <w:r>
        <w:rPr>
          <w:rFonts w:hint="default" w:ascii="Times New Roman" w:hAnsi="Times New Roman" w:eastAsia="仿宋" w:cs="Times New Roman"/>
          <w:color w:val="auto"/>
          <w:kern w:val="2"/>
          <w:sz w:val="32"/>
          <w:szCs w:val="32"/>
          <w:lang w:val="en-US" w:eastAsia="zh-CN" w:bidi="ar-SA"/>
        </w:rPr>
        <w:t>行业主管部门</w:t>
      </w:r>
      <w:r>
        <w:rPr>
          <w:rFonts w:hint="eastAsia" w:ascii="Times New Roman" w:hAnsi="Times New Roman" w:eastAsia="仿宋" w:cs="Times New Roman"/>
          <w:color w:val="auto"/>
          <w:kern w:val="2"/>
          <w:sz w:val="32"/>
          <w:szCs w:val="32"/>
          <w:lang w:val="en-US" w:eastAsia="zh-CN" w:bidi="ar-SA"/>
        </w:rPr>
        <w:t>审核同意</w:t>
      </w:r>
      <w:r>
        <w:rPr>
          <w:rFonts w:hint="default" w:ascii="Times New Roman" w:hAnsi="Times New Roman" w:eastAsia="仿宋" w:cs="Times New Roman"/>
          <w:color w:val="auto"/>
          <w:kern w:val="2"/>
          <w:sz w:val="32"/>
          <w:szCs w:val="32"/>
          <w:lang w:val="en-US" w:eastAsia="zh-CN" w:bidi="ar-SA"/>
        </w:rPr>
        <w:t>项目建设方案</w:t>
      </w:r>
      <w:r>
        <w:rPr>
          <w:rFonts w:hint="eastAsia" w:ascii="Times New Roman" w:hAnsi="Times New Roman" w:eastAsia="仿宋" w:cs="Times New Roman"/>
          <w:color w:val="auto"/>
          <w:kern w:val="2"/>
          <w:sz w:val="32"/>
          <w:szCs w:val="32"/>
          <w:lang w:val="en-US" w:eastAsia="zh-CN" w:bidi="ar-SA"/>
        </w:rPr>
        <w:t>后</w:t>
      </w:r>
      <w:r>
        <w:rPr>
          <w:rFonts w:hint="default" w:ascii="Times New Roman" w:hAnsi="Times New Roman" w:eastAsia="仿宋" w:cs="Times New Roman"/>
          <w:color w:val="auto"/>
          <w:kern w:val="2"/>
          <w:sz w:val="32"/>
          <w:szCs w:val="32"/>
          <w:lang w:val="en-US" w:eastAsia="zh-CN" w:bidi="ar-SA"/>
        </w:rPr>
        <w:t>，提请州政府</w:t>
      </w:r>
      <w:r>
        <w:rPr>
          <w:rFonts w:hint="eastAsia" w:ascii="Times New Roman" w:hAnsi="Times New Roman" w:eastAsia="仿宋" w:cs="Times New Roman"/>
          <w:color w:val="auto"/>
          <w:kern w:val="2"/>
          <w:sz w:val="32"/>
          <w:szCs w:val="32"/>
          <w:lang w:val="en-US" w:eastAsia="zh-CN" w:bidi="ar-SA"/>
        </w:rPr>
        <w:t>分管副州长</w:t>
      </w:r>
      <w:r>
        <w:rPr>
          <w:rFonts w:hint="default" w:ascii="Times New Roman" w:hAnsi="Times New Roman" w:eastAsia="仿宋" w:cs="Times New Roman"/>
          <w:color w:val="auto"/>
          <w:kern w:val="2"/>
          <w:sz w:val="32"/>
          <w:szCs w:val="32"/>
          <w:lang w:val="en-US" w:eastAsia="zh-CN" w:bidi="ar-SA"/>
        </w:rPr>
        <w:t>召集发改、财政、自然资源、生态环境、水务、林草等州级部门召开专题会议研究论证，必要时可邀请专家列席。对于投资规模</w:t>
      </w:r>
      <w:r>
        <w:rPr>
          <w:rFonts w:hint="eastAsia" w:ascii="Times New Roman" w:hAnsi="Times New Roman" w:eastAsia="仿宋" w:cs="Times New Roman"/>
          <w:color w:val="auto"/>
          <w:kern w:val="2"/>
          <w:sz w:val="32"/>
          <w:szCs w:val="32"/>
          <w:lang w:val="en-US" w:eastAsia="zh-CN" w:bidi="ar-SA"/>
        </w:rPr>
        <w:t>1亿元以上，或</w:t>
      </w:r>
      <w:r>
        <w:rPr>
          <w:rFonts w:hint="default" w:ascii="Times New Roman" w:hAnsi="Times New Roman" w:eastAsia="仿宋" w:cs="Times New Roman"/>
          <w:color w:val="auto"/>
          <w:kern w:val="2"/>
          <w:sz w:val="32"/>
          <w:szCs w:val="32"/>
          <w:lang w:val="en-US" w:eastAsia="zh-CN" w:bidi="ar-SA"/>
        </w:rPr>
        <w:t>涉及重大民生保障</w:t>
      </w:r>
      <w:r>
        <w:rPr>
          <w:rFonts w:hint="eastAsia" w:ascii="Times New Roman" w:hAnsi="Times New Roman" w:eastAsia="仿宋" w:cs="Times New Roman"/>
          <w:color w:val="auto"/>
          <w:kern w:val="2"/>
          <w:sz w:val="32"/>
          <w:szCs w:val="32"/>
          <w:lang w:val="en-US" w:eastAsia="zh-CN" w:bidi="ar-SA"/>
        </w:rPr>
        <w:t>，或</w:t>
      </w:r>
      <w:r>
        <w:rPr>
          <w:rFonts w:hint="default" w:ascii="Times New Roman" w:hAnsi="Times New Roman" w:eastAsia="仿宋" w:cs="Times New Roman"/>
          <w:color w:val="auto"/>
          <w:kern w:val="2"/>
          <w:sz w:val="32"/>
          <w:szCs w:val="32"/>
          <w:lang w:val="en-US" w:eastAsia="zh-CN" w:bidi="ar-SA"/>
        </w:rPr>
        <w:t>对全州经济</w:t>
      </w:r>
      <w:r>
        <w:rPr>
          <w:rFonts w:hint="default" w:ascii="Times New Roman" w:hAnsi="Times New Roman" w:eastAsia="仿宋" w:cs="Times New Roman"/>
          <w:color w:val="auto"/>
          <w:spacing w:val="-6"/>
          <w:kern w:val="2"/>
          <w:sz w:val="32"/>
          <w:szCs w:val="32"/>
          <w:lang w:val="en-US" w:eastAsia="zh-CN" w:bidi="ar-SA"/>
        </w:rPr>
        <w:t>社会发展有深远影响的重大项目，应</w:t>
      </w:r>
      <w:r>
        <w:rPr>
          <w:rFonts w:hint="eastAsia" w:ascii="Times New Roman" w:hAnsi="Times New Roman" w:eastAsia="仿宋" w:cs="Times New Roman"/>
          <w:color w:val="auto"/>
          <w:spacing w:val="-6"/>
          <w:kern w:val="2"/>
          <w:sz w:val="32"/>
          <w:szCs w:val="32"/>
          <w:lang w:val="en-US" w:eastAsia="zh-CN" w:bidi="ar-SA"/>
        </w:rPr>
        <w:t>当</w:t>
      </w:r>
      <w:r>
        <w:rPr>
          <w:rFonts w:hint="default" w:ascii="Times New Roman" w:hAnsi="Times New Roman" w:eastAsia="仿宋" w:cs="Times New Roman"/>
          <w:color w:val="auto"/>
          <w:spacing w:val="-6"/>
          <w:kern w:val="2"/>
          <w:sz w:val="32"/>
          <w:szCs w:val="32"/>
          <w:lang w:val="en-US" w:eastAsia="zh-CN" w:bidi="ar-SA"/>
        </w:rPr>
        <w:t>提请州委召开专题会议研究</w:t>
      </w:r>
      <w:r>
        <w:rPr>
          <w:rFonts w:hint="eastAsia" w:eastAsia="仿宋" w:cs="Times New Roman"/>
          <w:color w:val="auto"/>
          <w:spacing w:val="-6"/>
          <w:kern w:val="2"/>
          <w:sz w:val="32"/>
          <w:szCs w:val="32"/>
          <w:lang w:val="en-US" w:eastAsia="zh-CN" w:bidi="ar-SA"/>
        </w:rPr>
        <w:t>；</w:t>
      </w:r>
      <w:r>
        <w:rPr>
          <w:rFonts w:hint="default" w:ascii="Times New Roman" w:hAnsi="Times New Roman" w:eastAsia="仿宋" w:cs="Times New Roman"/>
          <w:color w:val="auto"/>
          <w:sz w:val="32"/>
          <w:szCs w:val="32"/>
          <w:lang w:val="en-US" w:eastAsia="zh-CN" w:bidi="ar-SA"/>
        </w:rPr>
        <w:t>涉及举债融资的</w:t>
      </w:r>
      <w:r>
        <w:rPr>
          <w:rFonts w:hint="eastAsia" w:eastAsia="仿宋" w:cs="Times New Roman"/>
          <w:color w:val="auto"/>
          <w:sz w:val="32"/>
          <w:szCs w:val="32"/>
          <w:lang w:val="en-US" w:eastAsia="zh-CN" w:bidi="ar-SA"/>
        </w:rPr>
        <w:t>重大</w:t>
      </w:r>
      <w:r>
        <w:rPr>
          <w:rFonts w:hint="default" w:ascii="Times New Roman" w:hAnsi="Times New Roman" w:eastAsia="仿宋" w:cs="Times New Roman"/>
          <w:color w:val="auto"/>
          <w:sz w:val="32"/>
          <w:szCs w:val="32"/>
          <w:lang w:val="en-US" w:eastAsia="zh-CN" w:bidi="ar-SA"/>
        </w:rPr>
        <w:t>项目，应当</w:t>
      </w:r>
      <w:r>
        <w:rPr>
          <w:rFonts w:hint="eastAsia" w:eastAsia="仿宋" w:cs="Times New Roman"/>
          <w:color w:val="auto"/>
          <w:sz w:val="32"/>
          <w:szCs w:val="32"/>
          <w:lang w:val="en-US" w:eastAsia="zh-CN" w:bidi="ar-SA"/>
        </w:rPr>
        <w:t>提请</w:t>
      </w:r>
      <w:r>
        <w:rPr>
          <w:rFonts w:hint="default" w:ascii="Times New Roman" w:hAnsi="Times New Roman" w:eastAsia="仿宋" w:cs="Times New Roman"/>
          <w:color w:val="auto"/>
          <w:sz w:val="32"/>
          <w:szCs w:val="32"/>
          <w:lang w:val="en-US" w:eastAsia="zh-CN" w:bidi="ar-SA"/>
        </w:rPr>
        <w:t>州委财经委员会审核</w:t>
      </w:r>
      <w:r>
        <w:rPr>
          <w:rFonts w:hint="default" w:ascii="Times New Roman" w:hAnsi="Times New Roman" w:eastAsia="仿宋" w:cs="Times New Roman"/>
          <w:color w:val="auto"/>
          <w:spacing w:val="-6"/>
          <w:kern w:val="2"/>
          <w:sz w:val="32"/>
          <w:szCs w:val="32"/>
          <w:lang w:val="en-US" w:eastAsia="zh-CN" w:bidi="ar-SA"/>
        </w:rPr>
        <w:t>。</w:t>
      </w:r>
      <w:r>
        <w:rPr>
          <w:rFonts w:hint="default" w:ascii="Times New Roman" w:hAnsi="Times New Roman" w:eastAsia="仿宋" w:cs="Times New Roman"/>
          <w:color w:val="auto"/>
          <w:kern w:val="2"/>
          <w:sz w:val="32"/>
          <w:szCs w:val="32"/>
          <w:lang w:val="en-US" w:eastAsia="zh-CN" w:bidi="ar-SA"/>
        </w:rPr>
        <w:t>专题会议纪要</w:t>
      </w:r>
      <w:r>
        <w:rPr>
          <w:rFonts w:hint="eastAsia" w:ascii="Times New Roman" w:hAnsi="Times New Roman" w:eastAsia="仿宋" w:cs="Times New Roman"/>
          <w:color w:val="auto"/>
          <w:kern w:val="2"/>
          <w:sz w:val="32"/>
          <w:szCs w:val="32"/>
          <w:lang w:val="en-US" w:eastAsia="zh-CN" w:bidi="ar-SA"/>
        </w:rPr>
        <w:t>由州级行业主管部门负责起草，按程序报批印发</w:t>
      </w:r>
      <w:r>
        <w:rPr>
          <w:rFonts w:hint="default" w:ascii="Times New Roman" w:hAnsi="Times New Roman" w:eastAsia="仿宋" w:cs="Times New Roman"/>
          <w:color w:val="auto"/>
          <w:kern w:val="2"/>
          <w:sz w:val="32"/>
          <w:szCs w:val="32"/>
          <w:lang w:val="en-US" w:eastAsia="zh-CN" w:bidi="ar-SA"/>
        </w:rPr>
        <w:t>。</w:t>
      </w:r>
    </w:p>
    <w:p w14:paraId="075A20EC">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楷体" w:cs="Times New Roman"/>
          <w:b/>
          <w:bCs/>
          <w:color w:val="auto"/>
          <w:sz w:val="32"/>
          <w:szCs w:val="32"/>
          <w:lang w:val="en-US" w:eastAsia="zh-CN" w:bidi="ar-SA"/>
        </w:rPr>
        <w:t>第</w:t>
      </w:r>
      <w:r>
        <w:rPr>
          <w:rFonts w:hint="eastAsia" w:eastAsia="楷体" w:cs="Times New Roman"/>
          <w:b/>
          <w:bCs/>
          <w:color w:val="auto"/>
          <w:sz w:val="32"/>
          <w:szCs w:val="32"/>
          <w:lang w:val="en-US" w:eastAsia="zh-CN" w:bidi="ar-SA"/>
        </w:rPr>
        <w:t>九</w:t>
      </w:r>
      <w:r>
        <w:rPr>
          <w:rFonts w:hint="default" w:ascii="Times New Roman" w:hAnsi="Times New Roman" w:eastAsia="楷体" w:cs="Times New Roman"/>
          <w:b/>
          <w:bCs/>
          <w:color w:val="auto"/>
          <w:sz w:val="32"/>
          <w:szCs w:val="32"/>
          <w:lang w:val="en-US" w:eastAsia="zh-CN" w:bidi="ar-SA"/>
        </w:rPr>
        <w:t>条</w:t>
      </w:r>
      <w:r>
        <w:rPr>
          <w:rFonts w:hint="default" w:ascii="Times New Roman" w:hAnsi="Times New Roman" w:eastAsia="仿宋" w:cs="Times New Roman"/>
          <w:color w:val="auto"/>
          <w:kern w:val="2"/>
          <w:sz w:val="32"/>
          <w:szCs w:val="32"/>
          <w:lang w:val="en-US" w:eastAsia="zh-CN" w:bidi="ar-SA"/>
        </w:rPr>
        <w:t xml:space="preserve">  专题会议应当对以下事项进行充分评估论证，并按职责分工由相关部门出具书面意见：</w:t>
      </w:r>
    </w:p>
    <w:p w14:paraId="36FD71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 w:cs="Times New Roman"/>
          <w:color w:val="auto"/>
          <w:sz w:val="32"/>
          <w:szCs w:val="32"/>
          <w:lang w:val="en-US" w:eastAsia="zh-CN" w:bidi="ar-SA"/>
        </w:rPr>
      </w:pPr>
      <w:r>
        <w:rPr>
          <w:rFonts w:hint="default" w:ascii="Times New Roman" w:hAnsi="Times New Roman" w:eastAsia="仿宋" w:cs="Times New Roman"/>
          <w:color w:val="auto"/>
          <w:sz w:val="32"/>
          <w:szCs w:val="32"/>
          <w:lang w:val="en-US" w:eastAsia="zh-CN" w:bidi="ar-SA"/>
        </w:rPr>
        <w:t>（一）项目建设必要性</w:t>
      </w:r>
      <w:r>
        <w:rPr>
          <w:rFonts w:hint="eastAsia" w:ascii="Times New Roman" w:hAnsi="Times New Roman" w:eastAsia="仿宋" w:cs="Times New Roman"/>
          <w:color w:val="auto"/>
          <w:sz w:val="32"/>
          <w:szCs w:val="32"/>
          <w:lang w:val="en-US" w:eastAsia="zh-CN" w:bidi="ar-SA"/>
        </w:rPr>
        <w:t>、</w:t>
      </w:r>
      <w:r>
        <w:rPr>
          <w:rFonts w:hint="default" w:ascii="Times New Roman" w:hAnsi="Times New Roman" w:eastAsia="仿宋" w:cs="Times New Roman"/>
          <w:color w:val="auto"/>
          <w:sz w:val="32"/>
          <w:szCs w:val="32"/>
          <w:lang w:val="en-US" w:eastAsia="zh-CN" w:bidi="ar-SA"/>
        </w:rPr>
        <w:t>可行性</w:t>
      </w:r>
      <w:r>
        <w:rPr>
          <w:rFonts w:hint="eastAsia" w:ascii="Times New Roman" w:hAnsi="Times New Roman" w:eastAsia="仿宋" w:cs="Times New Roman"/>
          <w:color w:val="auto"/>
          <w:sz w:val="32"/>
          <w:szCs w:val="32"/>
          <w:lang w:val="en-US" w:eastAsia="zh-CN" w:bidi="ar-SA"/>
        </w:rPr>
        <w:t>以及投资估算合理性</w:t>
      </w:r>
      <w:r>
        <w:rPr>
          <w:rFonts w:hint="default" w:ascii="Times New Roman" w:hAnsi="Times New Roman" w:eastAsia="仿宋" w:cs="Times New Roman"/>
          <w:color w:val="auto"/>
          <w:sz w:val="32"/>
          <w:szCs w:val="32"/>
          <w:lang w:val="en-US" w:eastAsia="zh-CN" w:bidi="ar-SA"/>
        </w:rPr>
        <w:t>，由</w:t>
      </w:r>
      <w:r>
        <w:rPr>
          <w:rFonts w:hint="eastAsia" w:ascii="Times New Roman" w:hAnsi="Times New Roman" w:eastAsia="仿宋" w:cs="Times New Roman"/>
          <w:color w:val="auto"/>
          <w:sz w:val="32"/>
          <w:szCs w:val="32"/>
          <w:lang w:val="en-US" w:eastAsia="zh-CN" w:bidi="ar-SA"/>
        </w:rPr>
        <w:t>州发展改革委</w:t>
      </w:r>
      <w:r>
        <w:rPr>
          <w:rFonts w:hint="default" w:ascii="Times New Roman" w:hAnsi="Times New Roman" w:eastAsia="仿宋" w:cs="Times New Roman"/>
          <w:color w:val="auto"/>
          <w:sz w:val="32"/>
          <w:szCs w:val="32"/>
          <w:lang w:val="en-US" w:eastAsia="zh-CN" w:bidi="ar-SA"/>
        </w:rPr>
        <w:t>出具</w:t>
      </w:r>
      <w:r>
        <w:rPr>
          <w:rFonts w:hint="eastAsia" w:ascii="Times New Roman" w:hAnsi="Times New Roman" w:eastAsia="仿宋" w:cs="Times New Roman"/>
          <w:color w:val="auto"/>
          <w:sz w:val="32"/>
          <w:szCs w:val="32"/>
          <w:lang w:val="en-US" w:eastAsia="zh-CN" w:bidi="ar-SA"/>
        </w:rPr>
        <w:t>审核</w:t>
      </w:r>
      <w:r>
        <w:rPr>
          <w:rFonts w:hint="default" w:ascii="Times New Roman" w:hAnsi="Times New Roman" w:eastAsia="仿宋" w:cs="Times New Roman"/>
          <w:color w:val="auto"/>
          <w:sz w:val="32"/>
          <w:szCs w:val="32"/>
          <w:lang w:val="en-US" w:eastAsia="zh-CN" w:bidi="ar-SA"/>
        </w:rPr>
        <w:t>意见，</w:t>
      </w:r>
      <w:r>
        <w:rPr>
          <w:rFonts w:hint="eastAsia" w:ascii="Times New Roman" w:hAnsi="Times New Roman" w:eastAsia="仿宋" w:cs="Times New Roman"/>
          <w:color w:val="auto"/>
          <w:sz w:val="32"/>
          <w:szCs w:val="32"/>
          <w:lang w:val="en-US" w:eastAsia="zh-CN" w:bidi="ar-SA"/>
        </w:rPr>
        <w:t>明确</w:t>
      </w:r>
      <w:r>
        <w:rPr>
          <w:rFonts w:hint="default" w:ascii="Times New Roman" w:hAnsi="Times New Roman" w:eastAsia="仿宋" w:cs="Times New Roman"/>
          <w:color w:val="auto"/>
          <w:sz w:val="32"/>
          <w:szCs w:val="32"/>
          <w:lang w:val="en-US" w:eastAsia="zh-CN" w:bidi="ar-SA"/>
        </w:rPr>
        <w:t>项目是否符合</w:t>
      </w:r>
      <w:r>
        <w:rPr>
          <w:rFonts w:hint="eastAsia" w:ascii="Times New Roman" w:hAnsi="Times New Roman" w:eastAsia="仿宋" w:cs="Times New Roman"/>
          <w:color w:val="auto"/>
          <w:sz w:val="32"/>
          <w:szCs w:val="32"/>
          <w:lang w:val="en-US" w:eastAsia="zh-CN" w:bidi="ar-SA"/>
        </w:rPr>
        <w:t>相关</w:t>
      </w:r>
      <w:r>
        <w:rPr>
          <w:rFonts w:hint="default" w:ascii="Times New Roman" w:hAnsi="Times New Roman" w:eastAsia="仿宋" w:cs="Times New Roman"/>
          <w:color w:val="auto"/>
          <w:sz w:val="32"/>
          <w:szCs w:val="32"/>
          <w:lang w:val="en-US" w:eastAsia="zh-CN" w:bidi="ar-SA"/>
        </w:rPr>
        <w:t>规划</w:t>
      </w:r>
      <w:r>
        <w:rPr>
          <w:rFonts w:hint="eastAsia" w:ascii="Times New Roman" w:hAnsi="Times New Roman" w:eastAsia="仿宋" w:cs="Times New Roman"/>
          <w:color w:val="auto"/>
          <w:sz w:val="32"/>
          <w:szCs w:val="32"/>
          <w:lang w:val="en-US" w:eastAsia="zh-CN" w:bidi="ar-SA"/>
        </w:rPr>
        <w:t>、</w:t>
      </w:r>
      <w:r>
        <w:rPr>
          <w:rFonts w:hint="default" w:ascii="Times New Roman" w:hAnsi="Times New Roman" w:eastAsia="仿宋" w:cs="Times New Roman"/>
          <w:color w:val="auto"/>
          <w:sz w:val="32"/>
          <w:szCs w:val="32"/>
          <w:lang w:val="en-US" w:eastAsia="zh-CN" w:bidi="ar-SA"/>
        </w:rPr>
        <w:t>政策</w:t>
      </w:r>
      <w:r>
        <w:rPr>
          <w:rFonts w:hint="eastAsia" w:ascii="Times New Roman" w:hAnsi="Times New Roman" w:eastAsia="仿宋" w:cs="Times New Roman"/>
          <w:color w:val="auto"/>
          <w:sz w:val="32"/>
          <w:szCs w:val="32"/>
          <w:lang w:val="en-US" w:eastAsia="zh-CN" w:bidi="ar-SA"/>
        </w:rPr>
        <w:t>投向和投资标准，投资标准由州级行业主管部门提供</w:t>
      </w:r>
      <w:r>
        <w:rPr>
          <w:rFonts w:hint="default" w:ascii="Times New Roman" w:hAnsi="Times New Roman" w:eastAsia="仿宋" w:cs="Times New Roman"/>
          <w:color w:val="auto"/>
          <w:sz w:val="32"/>
          <w:szCs w:val="32"/>
          <w:lang w:val="en-US" w:eastAsia="zh-CN" w:bidi="ar-SA"/>
        </w:rPr>
        <w:t>；</w:t>
      </w:r>
    </w:p>
    <w:p w14:paraId="2D218EA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仿宋" w:cs="Times New Roman"/>
          <w:color w:val="auto"/>
          <w:sz w:val="32"/>
          <w:szCs w:val="32"/>
          <w:lang w:val="en-US" w:eastAsia="zh-CN" w:bidi="ar-SA"/>
        </w:rPr>
        <w:t>（二）建设规模、主要内容及建设标准，由</w:t>
      </w:r>
      <w:r>
        <w:rPr>
          <w:rFonts w:hint="eastAsia" w:ascii="Times New Roman" w:hAnsi="Times New Roman" w:eastAsia="仿宋" w:cs="Times New Roman"/>
          <w:color w:val="auto"/>
          <w:sz w:val="32"/>
          <w:szCs w:val="32"/>
          <w:lang w:val="en-US" w:eastAsia="zh-CN" w:bidi="ar-SA"/>
        </w:rPr>
        <w:t>州级</w:t>
      </w:r>
      <w:r>
        <w:rPr>
          <w:rFonts w:hint="default" w:ascii="Times New Roman" w:hAnsi="Times New Roman" w:eastAsia="仿宋" w:cs="Times New Roman"/>
          <w:color w:val="auto"/>
          <w:sz w:val="32"/>
          <w:szCs w:val="32"/>
          <w:lang w:val="en-US" w:eastAsia="zh-CN" w:bidi="ar-SA"/>
        </w:rPr>
        <w:t>行业主管部门出具</w:t>
      </w:r>
      <w:r>
        <w:rPr>
          <w:rFonts w:hint="eastAsia" w:ascii="Times New Roman" w:hAnsi="Times New Roman" w:eastAsia="仿宋" w:cs="Times New Roman"/>
          <w:color w:val="auto"/>
          <w:sz w:val="32"/>
          <w:szCs w:val="32"/>
          <w:lang w:val="en-US" w:eastAsia="zh-CN" w:bidi="ar-SA"/>
        </w:rPr>
        <w:t>审核</w:t>
      </w:r>
      <w:r>
        <w:rPr>
          <w:rFonts w:hint="default" w:ascii="Times New Roman" w:hAnsi="Times New Roman" w:eastAsia="仿宋" w:cs="Times New Roman"/>
          <w:color w:val="auto"/>
          <w:sz w:val="32"/>
          <w:szCs w:val="32"/>
          <w:lang w:val="en-US" w:eastAsia="zh-CN" w:bidi="ar-SA"/>
        </w:rPr>
        <w:t>意见，</w:t>
      </w:r>
      <w:r>
        <w:rPr>
          <w:rFonts w:hint="eastAsia" w:ascii="Times New Roman" w:hAnsi="Times New Roman" w:eastAsia="仿宋" w:cs="Times New Roman"/>
          <w:color w:val="auto"/>
          <w:sz w:val="32"/>
          <w:szCs w:val="32"/>
          <w:lang w:val="en-US" w:eastAsia="zh-CN" w:bidi="ar-SA"/>
        </w:rPr>
        <w:t>明确</w:t>
      </w:r>
      <w:r>
        <w:rPr>
          <w:rFonts w:hint="default" w:ascii="Times New Roman" w:hAnsi="Times New Roman" w:eastAsia="仿宋" w:cs="Times New Roman"/>
          <w:color w:val="auto"/>
          <w:sz w:val="32"/>
          <w:szCs w:val="32"/>
          <w:lang w:val="en-US" w:eastAsia="zh-CN" w:bidi="ar-SA"/>
        </w:rPr>
        <w:t>规模测算依据、建设内容合规性、投资标准是否控制在规范限值之内；</w:t>
      </w:r>
    </w:p>
    <w:p w14:paraId="0F0CB75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仿宋" w:cs="Times New Roman"/>
          <w:color w:val="auto"/>
          <w:sz w:val="32"/>
          <w:szCs w:val="32"/>
          <w:lang w:val="en-US" w:eastAsia="zh-CN" w:bidi="ar-SA"/>
        </w:rPr>
      </w:pPr>
      <w:r>
        <w:rPr>
          <w:rFonts w:hint="default" w:ascii="Times New Roman" w:hAnsi="Times New Roman" w:eastAsia="仿宋" w:cs="Times New Roman"/>
          <w:color w:val="auto"/>
          <w:sz w:val="32"/>
          <w:szCs w:val="32"/>
          <w:lang w:val="en-US" w:eastAsia="zh-CN" w:bidi="ar-SA"/>
        </w:rPr>
        <w:t>（三）项目资金筹措方案及前期经费估算的合理性，由</w:t>
      </w:r>
      <w:r>
        <w:rPr>
          <w:rFonts w:hint="eastAsia" w:ascii="Times New Roman" w:hAnsi="Times New Roman" w:eastAsia="仿宋" w:cs="Times New Roman"/>
          <w:color w:val="auto"/>
          <w:sz w:val="32"/>
          <w:szCs w:val="32"/>
          <w:lang w:val="en-US" w:eastAsia="zh-CN" w:bidi="ar-SA"/>
        </w:rPr>
        <w:t>州财政局</w:t>
      </w:r>
      <w:r>
        <w:rPr>
          <w:rFonts w:hint="default" w:ascii="Times New Roman" w:hAnsi="Times New Roman" w:eastAsia="仿宋" w:cs="Times New Roman"/>
          <w:color w:val="auto"/>
          <w:sz w:val="32"/>
          <w:szCs w:val="32"/>
          <w:lang w:val="en-US" w:eastAsia="zh-CN" w:bidi="ar-SA"/>
        </w:rPr>
        <w:t>出具</w:t>
      </w:r>
      <w:r>
        <w:rPr>
          <w:rFonts w:hint="eastAsia" w:ascii="Times New Roman" w:hAnsi="Times New Roman" w:eastAsia="仿宋" w:cs="Times New Roman"/>
          <w:color w:val="auto"/>
          <w:sz w:val="32"/>
          <w:szCs w:val="32"/>
          <w:lang w:val="en-US" w:eastAsia="zh-CN" w:bidi="ar-SA"/>
        </w:rPr>
        <w:t>审核</w:t>
      </w:r>
      <w:r>
        <w:rPr>
          <w:rFonts w:hint="default" w:ascii="Times New Roman" w:hAnsi="Times New Roman" w:eastAsia="仿宋" w:cs="Times New Roman"/>
          <w:color w:val="auto"/>
          <w:sz w:val="32"/>
          <w:szCs w:val="32"/>
          <w:lang w:val="en-US" w:eastAsia="zh-CN" w:bidi="ar-SA"/>
        </w:rPr>
        <w:t>意见，明确资金来源渠道、财政可承受能力及前期经费安排建议</w:t>
      </w:r>
      <w:r>
        <w:rPr>
          <w:rFonts w:hint="eastAsia" w:eastAsia="仿宋" w:cs="Times New Roman"/>
          <w:color w:val="auto"/>
          <w:sz w:val="32"/>
          <w:szCs w:val="32"/>
          <w:lang w:val="en-US" w:eastAsia="zh-CN" w:bidi="ar-SA"/>
        </w:rPr>
        <w:t>；</w:t>
      </w:r>
    </w:p>
    <w:p w14:paraId="3D84458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仿宋" w:cs="Times New Roman"/>
          <w:color w:val="auto"/>
          <w:sz w:val="32"/>
          <w:szCs w:val="32"/>
          <w:lang w:val="en-US" w:eastAsia="zh-CN" w:bidi="ar-SA"/>
        </w:rPr>
        <w:t>（</w:t>
      </w:r>
      <w:r>
        <w:rPr>
          <w:rFonts w:hint="eastAsia" w:ascii="Times New Roman" w:hAnsi="Times New Roman" w:eastAsia="仿宋" w:cs="Times New Roman"/>
          <w:color w:val="auto"/>
          <w:sz w:val="32"/>
          <w:szCs w:val="32"/>
          <w:lang w:val="en-US" w:eastAsia="zh-CN" w:bidi="ar-SA"/>
        </w:rPr>
        <w:t>四</w:t>
      </w:r>
      <w:r>
        <w:rPr>
          <w:rFonts w:hint="default" w:ascii="Times New Roman" w:hAnsi="Times New Roman" w:eastAsia="仿宋" w:cs="Times New Roman"/>
          <w:color w:val="auto"/>
          <w:sz w:val="32"/>
          <w:szCs w:val="32"/>
          <w:lang w:val="en-US" w:eastAsia="zh-CN" w:bidi="ar-SA"/>
        </w:rPr>
        <w:t>）规划选址及用地保障情况，由</w:t>
      </w:r>
      <w:r>
        <w:rPr>
          <w:rFonts w:hint="eastAsia" w:ascii="Times New Roman" w:hAnsi="Times New Roman" w:eastAsia="仿宋" w:cs="Times New Roman"/>
          <w:color w:val="auto"/>
          <w:sz w:val="32"/>
          <w:szCs w:val="32"/>
          <w:lang w:val="en-US" w:eastAsia="zh-CN" w:bidi="ar-SA"/>
        </w:rPr>
        <w:t>州自然资源局</w:t>
      </w:r>
      <w:r>
        <w:rPr>
          <w:rFonts w:hint="default" w:ascii="Times New Roman" w:hAnsi="Times New Roman" w:eastAsia="仿宋" w:cs="Times New Roman"/>
          <w:color w:val="auto"/>
          <w:sz w:val="32"/>
          <w:szCs w:val="32"/>
          <w:lang w:val="en-US" w:eastAsia="zh-CN" w:bidi="ar-SA"/>
        </w:rPr>
        <w:t>出具</w:t>
      </w:r>
      <w:r>
        <w:rPr>
          <w:rFonts w:hint="eastAsia" w:ascii="Times New Roman" w:hAnsi="Times New Roman" w:eastAsia="仿宋" w:cs="Times New Roman"/>
          <w:color w:val="auto"/>
          <w:sz w:val="32"/>
          <w:szCs w:val="32"/>
          <w:lang w:val="en-US" w:eastAsia="zh-CN" w:bidi="ar-SA"/>
        </w:rPr>
        <w:t>审核</w:t>
      </w:r>
      <w:r>
        <w:rPr>
          <w:rFonts w:hint="default" w:ascii="Times New Roman" w:hAnsi="Times New Roman" w:eastAsia="仿宋" w:cs="Times New Roman"/>
          <w:color w:val="auto"/>
          <w:sz w:val="32"/>
          <w:szCs w:val="32"/>
          <w:lang w:val="en-US" w:eastAsia="zh-CN" w:bidi="ar-SA"/>
        </w:rPr>
        <w:t>意见，</w:t>
      </w:r>
      <w:r>
        <w:rPr>
          <w:rFonts w:hint="eastAsia" w:ascii="Times New Roman" w:hAnsi="Times New Roman" w:eastAsia="仿宋" w:cs="Times New Roman"/>
          <w:color w:val="auto"/>
          <w:sz w:val="32"/>
          <w:szCs w:val="32"/>
          <w:lang w:val="en-US" w:eastAsia="zh-CN" w:bidi="ar-SA"/>
        </w:rPr>
        <w:t>明确</w:t>
      </w:r>
      <w:r>
        <w:rPr>
          <w:rFonts w:hint="default" w:ascii="Times New Roman" w:hAnsi="Times New Roman" w:eastAsia="仿宋" w:cs="Times New Roman"/>
          <w:color w:val="auto"/>
          <w:sz w:val="32"/>
          <w:szCs w:val="32"/>
          <w:lang w:val="en-US" w:eastAsia="zh-CN" w:bidi="ar-SA"/>
        </w:rPr>
        <w:t>项目选址是否符合国土空间规划、是否符合用地管控要求、土地供应可行性；</w:t>
      </w:r>
    </w:p>
    <w:p w14:paraId="4EBDADA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仿宋" w:cs="Times New Roman"/>
          <w:color w:val="auto"/>
          <w:sz w:val="32"/>
          <w:szCs w:val="32"/>
          <w:lang w:val="en-US" w:eastAsia="zh-CN" w:bidi="ar-SA"/>
        </w:rPr>
        <w:t>（</w:t>
      </w:r>
      <w:r>
        <w:rPr>
          <w:rFonts w:hint="eastAsia" w:ascii="Times New Roman" w:hAnsi="Times New Roman" w:eastAsia="仿宋" w:cs="Times New Roman"/>
          <w:color w:val="auto"/>
          <w:sz w:val="32"/>
          <w:szCs w:val="32"/>
          <w:lang w:val="en-US" w:eastAsia="zh-CN" w:bidi="ar-SA"/>
        </w:rPr>
        <w:t>五</w:t>
      </w:r>
      <w:r>
        <w:rPr>
          <w:rFonts w:hint="default" w:ascii="Times New Roman" w:hAnsi="Times New Roman" w:eastAsia="仿宋" w:cs="Times New Roman"/>
          <w:color w:val="auto"/>
          <w:sz w:val="32"/>
          <w:szCs w:val="32"/>
          <w:lang w:val="en-US" w:eastAsia="zh-CN" w:bidi="ar-SA"/>
        </w:rPr>
        <w:t>）资源要素保障及环境影响，由</w:t>
      </w:r>
      <w:r>
        <w:rPr>
          <w:rFonts w:hint="eastAsia" w:ascii="Times New Roman" w:hAnsi="Times New Roman" w:eastAsia="仿宋" w:cs="Times New Roman"/>
          <w:color w:val="auto"/>
          <w:sz w:val="32"/>
          <w:szCs w:val="32"/>
          <w:lang w:val="en-US" w:eastAsia="zh-CN" w:bidi="ar-SA"/>
        </w:rPr>
        <w:t>州</w:t>
      </w:r>
      <w:r>
        <w:rPr>
          <w:rFonts w:hint="default" w:ascii="Times New Roman" w:hAnsi="Times New Roman" w:eastAsia="仿宋" w:cs="Times New Roman"/>
          <w:color w:val="auto"/>
          <w:sz w:val="32"/>
          <w:szCs w:val="32"/>
          <w:lang w:val="en-US" w:eastAsia="zh-CN" w:bidi="ar-SA"/>
        </w:rPr>
        <w:t>林草</w:t>
      </w:r>
      <w:r>
        <w:rPr>
          <w:rFonts w:hint="eastAsia" w:ascii="Times New Roman" w:hAnsi="Times New Roman" w:eastAsia="仿宋" w:cs="Times New Roman"/>
          <w:color w:val="auto"/>
          <w:sz w:val="32"/>
          <w:szCs w:val="32"/>
          <w:lang w:val="en-US" w:eastAsia="zh-CN" w:bidi="ar-SA"/>
        </w:rPr>
        <w:t>局</w:t>
      </w:r>
      <w:r>
        <w:rPr>
          <w:rFonts w:hint="default" w:ascii="Times New Roman" w:hAnsi="Times New Roman" w:eastAsia="仿宋" w:cs="Times New Roman"/>
          <w:color w:val="auto"/>
          <w:sz w:val="32"/>
          <w:szCs w:val="32"/>
          <w:lang w:val="en-US" w:eastAsia="zh-CN" w:bidi="ar-SA"/>
        </w:rPr>
        <w:t>、</w:t>
      </w:r>
      <w:r>
        <w:rPr>
          <w:rFonts w:hint="eastAsia" w:ascii="Times New Roman" w:hAnsi="Times New Roman" w:eastAsia="仿宋" w:cs="Times New Roman"/>
          <w:color w:val="auto"/>
          <w:sz w:val="32"/>
          <w:szCs w:val="32"/>
          <w:lang w:val="en-US" w:eastAsia="zh-CN" w:bidi="ar-SA"/>
        </w:rPr>
        <w:t>州</w:t>
      </w:r>
      <w:r>
        <w:rPr>
          <w:rFonts w:hint="default" w:ascii="Times New Roman" w:hAnsi="Times New Roman" w:eastAsia="仿宋" w:cs="Times New Roman"/>
          <w:color w:val="auto"/>
          <w:sz w:val="32"/>
          <w:szCs w:val="32"/>
          <w:lang w:val="en-US" w:eastAsia="zh-CN" w:bidi="ar-SA"/>
        </w:rPr>
        <w:t>水务</w:t>
      </w:r>
      <w:r>
        <w:rPr>
          <w:rFonts w:hint="eastAsia" w:ascii="Times New Roman" w:hAnsi="Times New Roman" w:eastAsia="仿宋" w:cs="Times New Roman"/>
          <w:color w:val="auto"/>
          <w:sz w:val="32"/>
          <w:szCs w:val="32"/>
          <w:lang w:val="en-US" w:eastAsia="zh-CN" w:bidi="ar-SA"/>
        </w:rPr>
        <w:t>局</w:t>
      </w:r>
      <w:r>
        <w:rPr>
          <w:rFonts w:hint="default" w:ascii="Times New Roman" w:hAnsi="Times New Roman" w:eastAsia="仿宋" w:cs="Times New Roman"/>
          <w:color w:val="auto"/>
          <w:sz w:val="32"/>
          <w:szCs w:val="32"/>
          <w:lang w:val="en-US" w:eastAsia="zh-CN" w:bidi="ar-SA"/>
        </w:rPr>
        <w:t>、</w:t>
      </w:r>
      <w:r>
        <w:rPr>
          <w:rFonts w:hint="eastAsia" w:ascii="Times New Roman" w:hAnsi="Times New Roman" w:eastAsia="仿宋" w:cs="Times New Roman"/>
          <w:color w:val="auto"/>
          <w:sz w:val="32"/>
          <w:szCs w:val="32"/>
          <w:lang w:val="en-US" w:eastAsia="zh-CN" w:bidi="ar-SA"/>
        </w:rPr>
        <w:t>州</w:t>
      </w:r>
      <w:r>
        <w:rPr>
          <w:rFonts w:hint="default" w:ascii="Times New Roman" w:hAnsi="Times New Roman" w:eastAsia="仿宋" w:cs="Times New Roman"/>
          <w:color w:val="auto"/>
          <w:sz w:val="32"/>
          <w:szCs w:val="32"/>
          <w:lang w:val="en-US" w:eastAsia="zh-CN" w:bidi="ar-SA"/>
        </w:rPr>
        <w:t>生态环境</w:t>
      </w:r>
      <w:r>
        <w:rPr>
          <w:rFonts w:hint="eastAsia" w:ascii="Times New Roman" w:hAnsi="Times New Roman" w:eastAsia="仿宋" w:cs="Times New Roman"/>
          <w:color w:val="auto"/>
          <w:sz w:val="32"/>
          <w:szCs w:val="32"/>
          <w:lang w:val="en-US" w:eastAsia="zh-CN" w:bidi="ar-SA"/>
        </w:rPr>
        <w:t>局</w:t>
      </w:r>
      <w:r>
        <w:rPr>
          <w:rFonts w:hint="default" w:ascii="Times New Roman" w:hAnsi="Times New Roman" w:eastAsia="仿宋" w:cs="Times New Roman"/>
          <w:color w:val="auto"/>
          <w:sz w:val="32"/>
          <w:szCs w:val="32"/>
          <w:lang w:val="en-US" w:eastAsia="zh-CN" w:bidi="ar-SA"/>
        </w:rPr>
        <w:t>等部门按职责分别出具书面意见，</w:t>
      </w:r>
      <w:r>
        <w:rPr>
          <w:rFonts w:hint="eastAsia" w:ascii="Times New Roman" w:hAnsi="Times New Roman" w:eastAsia="仿宋" w:cs="Times New Roman"/>
          <w:color w:val="auto"/>
          <w:sz w:val="32"/>
          <w:szCs w:val="32"/>
          <w:lang w:val="en-US" w:eastAsia="zh-CN" w:bidi="ar-SA"/>
        </w:rPr>
        <w:t>明确</w:t>
      </w:r>
      <w:r>
        <w:rPr>
          <w:rFonts w:hint="default" w:ascii="Times New Roman" w:hAnsi="Times New Roman" w:eastAsia="仿宋" w:cs="Times New Roman"/>
          <w:color w:val="auto"/>
          <w:sz w:val="32"/>
          <w:szCs w:val="32"/>
          <w:lang w:val="en-US" w:eastAsia="zh-CN" w:bidi="ar-SA"/>
        </w:rPr>
        <w:t>是否涉及生态红线、水资源承载能力、</w:t>
      </w:r>
      <w:r>
        <w:rPr>
          <w:rFonts w:hint="eastAsia" w:ascii="Times New Roman" w:hAnsi="Times New Roman" w:eastAsia="仿宋" w:cs="Times New Roman"/>
          <w:color w:val="auto"/>
          <w:sz w:val="32"/>
          <w:szCs w:val="32"/>
          <w:lang w:val="en-US" w:eastAsia="zh-CN" w:bidi="ar-SA"/>
        </w:rPr>
        <w:t>集中式饮用水水源保护区</w:t>
      </w:r>
      <w:r>
        <w:rPr>
          <w:rFonts w:hint="default" w:ascii="Times New Roman" w:hAnsi="Times New Roman" w:eastAsia="仿宋" w:cs="Times New Roman"/>
          <w:color w:val="auto"/>
          <w:sz w:val="32"/>
          <w:szCs w:val="32"/>
          <w:lang w:val="en-US" w:eastAsia="zh-CN" w:bidi="ar-SA"/>
        </w:rPr>
        <w:t>等要素的保障情况；</w:t>
      </w:r>
    </w:p>
    <w:p w14:paraId="0467FB2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仿宋" w:cs="Times New Roman"/>
          <w:color w:val="auto"/>
          <w:sz w:val="32"/>
          <w:szCs w:val="32"/>
          <w:lang w:val="en-US" w:eastAsia="zh-CN" w:bidi="ar-SA"/>
        </w:rPr>
        <w:t>（</w:t>
      </w:r>
      <w:r>
        <w:rPr>
          <w:rFonts w:hint="eastAsia" w:ascii="Times New Roman" w:hAnsi="Times New Roman" w:eastAsia="仿宋" w:cs="Times New Roman"/>
          <w:color w:val="auto"/>
          <w:sz w:val="32"/>
          <w:szCs w:val="32"/>
          <w:lang w:val="en-US" w:eastAsia="zh-CN" w:bidi="ar-SA"/>
        </w:rPr>
        <w:t>六</w:t>
      </w:r>
      <w:r>
        <w:rPr>
          <w:rFonts w:hint="default" w:ascii="Times New Roman" w:hAnsi="Times New Roman" w:eastAsia="仿宋" w:cs="Times New Roman"/>
          <w:color w:val="auto"/>
          <w:sz w:val="32"/>
          <w:szCs w:val="32"/>
          <w:lang w:val="en-US" w:eastAsia="zh-CN" w:bidi="ar-SA"/>
        </w:rPr>
        <w:t>）潜在风险隐患及应对措施，由</w:t>
      </w:r>
      <w:r>
        <w:rPr>
          <w:rFonts w:hint="eastAsia" w:ascii="Times New Roman" w:hAnsi="Times New Roman" w:eastAsia="仿宋" w:cs="Times New Roman"/>
          <w:color w:val="auto"/>
          <w:sz w:val="32"/>
          <w:szCs w:val="32"/>
          <w:lang w:val="en-US" w:eastAsia="zh-CN" w:bidi="ar-SA"/>
        </w:rPr>
        <w:t>州级</w:t>
      </w:r>
      <w:r>
        <w:rPr>
          <w:rFonts w:hint="default" w:ascii="Times New Roman" w:hAnsi="Times New Roman" w:eastAsia="仿宋" w:cs="Times New Roman"/>
          <w:color w:val="auto"/>
          <w:sz w:val="32"/>
          <w:szCs w:val="32"/>
          <w:lang w:val="en-US" w:eastAsia="zh-CN" w:bidi="ar-SA"/>
        </w:rPr>
        <w:t>行业主管</w:t>
      </w:r>
      <w:r>
        <w:rPr>
          <w:rFonts w:hint="eastAsia" w:ascii="Times New Roman" w:hAnsi="Times New Roman" w:eastAsia="仿宋" w:cs="Times New Roman"/>
          <w:color w:val="auto"/>
          <w:sz w:val="32"/>
          <w:szCs w:val="32"/>
          <w:lang w:val="en-US" w:eastAsia="zh-CN" w:bidi="ar-SA"/>
        </w:rPr>
        <w:t>部门出具</w:t>
      </w:r>
      <w:r>
        <w:rPr>
          <w:rFonts w:hint="default" w:ascii="Times New Roman" w:hAnsi="Times New Roman" w:eastAsia="仿宋" w:cs="Times New Roman"/>
          <w:color w:val="auto"/>
          <w:sz w:val="32"/>
          <w:szCs w:val="32"/>
          <w:lang w:val="en-US" w:eastAsia="zh-CN" w:bidi="ar-SA"/>
        </w:rPr>
        <w:t>意见，</w:t>
      </w:r>
      <w:r>
        <w:rPr>
          <w:rFonts w:hint="eastAsia" w:ascii="Times New Roman" w:hAnsi="Times New Roman" w:eastAsia="仿宋" w:cs="Times New Roman"/>
          <w:color w:val="auto"/>
          <w:sz w:val="32"/>
          <w:szCs w:val="32"/>
          <w:lang w:val="en-US" w:eastAsia="zh-CN" w:bidi="ar-SA"/>
        </w:rPr>
        <w:t>明确</w:t>
      </w:r>
      <w:r>
        <w:rPr>
          <w:rFonts w:hint="default" w:ascii="Times New Roman" w:hAnsi="Times New Roman" w:eastAsia="仿宋" w:cs="Times New Roman"/>
          <w:color w:val="auto"/>
          <w:sz w:val="32"/>
          <w:szCs w:val="32"/>
          <w:lang w:val="en-US" w:eastAsia="zh-CN" w:bidi="ar-SA"/>
        </w:rPr>
        <w:t>主要风险点、等级评估及应对方案</w:t>
      </w:r>
      <w:r>
        <w:rPr>
          <w:rFonts w:hint="eastAsia" w:ascii="Times New Roman" w:hAnsi="Times New Roman" w:eastAsia="仿宋" w:cs="Times New Roman"/>
          <w:color w:val="auto"/>
          <w:sz w:val="32"/>
          <w:szCs w:val="32"/>
          <w:lang w:val="en-US" w:eastAsia="zh-CN" w:bidi="ar-SA"/>
        </w:rPr>
        <w:t>；</w:t>
      </w:r>
    </w:p>
    <w:p w14:paraId="591F837C">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rFonts w:hint="default" w:ascii="Times New Roman" w:hAnsi="Times New Roman" w:eastAsia="仿宋" w:cs="Times New Roman"/>
          <w:color w:val="auto"/>
          <w:spacing w:val="-6"/>
          <w:sz w:val="32"/>
          <w:szCs w:val="32"/>
          <w:lang w:val="en-US" w:eastAsia="zh-CN" w:bidi="ar-SA"/>
        </w:rPr>
      </w:pPr>
      <w:r>
        <w:rPr>
          <w:rFonts w:hint="default" w:ascii="Times New Roman" w:hAnsi="Times New Roman" w:eastAsia="仿宋" w:cs="Times New Roman"/>
          <w:color w:val="auto"/>
          <w:spacing w:val="-6"/>
          <w:sz w:val="32"/>
          <w:szCs w:val="32"/>
          <w:lang w:val="en-US" w:eastAsia="zh-CN" w:bidi="ar-SA"/>
        </w:rPr>
        <w:t>（七）</w:t>
      </w:r>
      <w:r>
        <w:rPr>
          <w:rFonts w:hint="default" w:ascii="Times New Roman" w:hAnsi="Times New Roman" w:eastAsia="仿宋" w:cs="Times New Roman"/>
          <w:color w:val="auto"/>
          <w:sz w:val="32"/>
          <w:szCs w:val="32"/>
          <w:lang w:val="en-US" w:eastAsia="zh-CN" w:bidi="ar-SA"/>
        </w:rPr>
        <w:t>社会稳定风险评估</w:t>
      </w:r>
      <w:r>
        <w:rPr>
          <w:rFonts w:hint="eastAsia" w:eastAsia="仿宋" w:cs="Times New Roman"/>
          <w:color w:val="auto"/>
          <w:sz w:val="32"/>
          <w:szCs w:val="32"/>
          <w:lang w:val="en-US" w:eastAsia="zh-CN" w:bidi="ar-SA"/>
        </w:rPr>
        <w:t>情况，</w:t>
      </w:r>
      <w:r>
        <w:rPr>
          <w:rFonts w:hint="default" w:ascii="Times New Roman" w:hAnsi="Times New Roman" w:eastAsia="仿宋" w:cs="Times New Roman"/>
          <w:color w:val="auto"/>
          <w:sz w:val="32"/>
          <w:szCs w:val="32"/>
          <w:lang w:val="en-US" w:eastAsia="zh-CN" w:bidi="ar-SA"/>
        </w:rPr>
        <w:t>由评估主体组织实施，并对评估过程和评估结果负责。评估主体按照属地管理、分级负责，谁决策谁负责、谁主管谁负责的原则确定</w:t>
      </w:r>
      <w:r>
        <w:rPr>
          <w:rFonts w:hint="eastAsia" w:eastAsia="仿宋" w:cs="Times New Roman"/>
          <w:color w:val="auto"/>
          <w:sz w:val="32"/>
          <w:szCs w:val="32"/>
          <w:lang w:val="en-US" w:eastAsia="zh-CN" w:bidi="ar-SA"/>
        </w:rPr>
        <w:t>；</w:t>
      </w:r>
    </w:p>
    <w:p w14:paraId="382EAC47">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rFonts w:hint="default" w:ascii="Times New Roman" w:hAnsi="Times New Roman" w:eastAsia="仿宋" w:cs="Times New Roman"/>
          <w:color w:val="auto"/>
          <w:spacing w:val="-6"/>
          <w:sz w:val="32"/>
          <w:szCs w:val="32"/>
          <w:lang w:val="en-US" w:eastAsia="zh-CN" w:bidi="ar-SA"/>
        </w:rPr>
      </w:pPr>
      <w:r>
        <w:rPr>
          <w:rFonts w:hint="default" w:ascii="Times New Roman" w:hAnsi="Times New Roman" w:eastAsia="仿宋" w:cs="Times New Roman"/>
          <w:color w:val="auto"/>
          <w:spacing w:val="-6"/>
          <w:sz w:val="32"/>
          <w:szCs w:val="32"/>
          <w:lang w:val="en-US" w:eastAsia="zh-CN" w:bidi="ar-SA"/>
        </w:rPr>
        <w:t>（八）意识形态安全评估，涉及重大宣传、民族宗教等敏感领域的项目，由州委宣传部或相关行业主管部门出具评估意见；</w:t>
      </w:r>
    </w:p>
    <w:p w14:paraId="589C53AB">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rFonts w:hint="default" w:ascii="Times New Roman" w:hAnsi="Times New Roman" w:eastAsia="仿宋" w:cs="Times New Roman"/>
          <w:color w:val="auto"/>
          <w:spacing w:val="-6"/>
          <w:sz w:val="32"/>
          <w:szCs w:val="32"/>
          <w:lang w:val="en-US" w:eastAsia="zh-CN" w:bidi="ar-SA"/>
        </w:rPr>
      </w:pPr>
      <w:r>
        <w:rPr>
          <w:rFonts w:hint="default" w:ascii="Times New Roman" w:hAnsi="Times New Roman" w:eastAsia="仿宋" w:cs="Times New Roman"/>
          <w:color w:val="auto"/>
          <w:spacing w:val="-6"/>
          <w:sz w:val="32"/>
          <w:szCs w:val="32"/>
          <w:lang w:val="en-US" w:eastAsia="zh-CN" w:bidi="ar-SA"/>
        </w:rPr>
        <w:t>（</w:t>
      </w:r>
      <w:r>
        <w:rPr>
          <w:rFonts w:hint="eastAsia" w:eastAsia="仿宋" w:cs="Times New Roman"/>
          <w:color w:val="auto"/>
          <w:spacing w:val="-6"/>
          <w:sz w:val="32"/>
          <w:szCs w:val="32"/>
          <w:lang w:val="en-US" w:eastAsia="zh-CN" w:bidi="ar-SA"/>
        </w:rPr>
        <w:t>九</w:t>
      </w:r>
      <w:r>
        <w:rPr>
          <w:rFonts w:hint="default" w:ascii="Times New Roman" w:hAnsi="Times New Roman" w:eastAsia="仿宋" w:cs="Times New Roman"/>
          <w:color w:val="auto"/>
          <w:spacing w:val="-6"/>
          <w:sz w:val="32"/>
          <w:szCs w:val="32"/>
          <w:lang w:val="en-US" w:eastAsia="zh-CN" w:bidi="ar-SA"/>
        </w:rPr>
        <w:t>）其他需要论证的事项，由会议召集人指定</w:t>
      </w:r>
      <w:r>
        <w:rPr>
          <w:rFonts w:hint="eastAsia" w:ascii="Times New Roman" w:hAnsi="Times New Roman" w:eastAsia="仿宋" w:cs="Times New Roman"/>
          <w:color w:val="auto"/>
          <w:spacing w:val="-6"/>
          <w:sz w:val="32"/>
          <w:szCs w:val="32"/>
          <w:lang w:val="en-US" w:eastAsia="zh-CN" w:bidi="ar-SA"/>
        </w:rPr>
        <w:t>州级相关</w:t>
      </w:r>
      <w:r>
        <w:rPr>
          <w:rFonts w:hint="default" w:ascii="Times New Roman" w:hAnsi="Times New Roman" w:eastAsia="仿宋" w:cs="Times New Roman"/>
          <w:color w:val="auto"/>
          <w:spacing w:val="-6"/>
          <w:sz w:val="32"/>
          <w:szCs w:val="32"/>
          <w:lang w:val="en-US" w:eastAsia="zh-CN" w:bidi="ar-SA"/>
        </w:rPr>
        <w:t>部门出具意见。</w:t>
      </w:r>
    </w:p>
    <w:p w14:paraId="45AF577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b/>
          <w:bCs/>
          <w:color w:val="auto"/>
          <w:sz w:val="32"/>
          <w:szCs w:val="32"/>
          <w:lang w:val="en-US" w:eastAsia="zh-CN" w:bidi="ar-SA"/>
        </w:rPr>
      </w:pPr>
      <w:r>
        <w:rPr>
          <w:rFonts w:hint="default" w:ascii="Times New Roman" w:hAnsi="Times New Roman" w:eastAsia="仿宋" w:cs="Times New Roman"/>
          <w:color w:val="auto"/>
          <w:sz w:val="32"/>
          <w:szCs w:val="32"/>
          <w:lang w:val="en-US" w:eastAsia="zh-CN" w:bidi="ar-SA"/>
        </w:rPr>
        <w:t>以上书面意见应在专题会议召开前3个工作日提交</w:t>
      </w:r>
      <w:r>
        <w:rPr>
          <w:rFonts w:hint="eastAsia" w:ascii="Times New Roman" w:hAnsi="Times New Roman" w:eastAsia="仿宋" w:cs="Times New Roman"/>
          <w:color w:val="auto"/>
          <w:sz w:val="32"/>
          <w:szCs w:val="32"/>
          <w:lang w:val="en-US" w:eastAsia="zh-CN" w:bidi="ar-SA"/>
        </w:rPr>
        <w:t>州级</w:t>
      </w:r>
      <w:r>
        <w:rPr>
          <w:rFonts w:hint="default" w:ascii="Times New Roman" w:hAnsi="Times New Roman" w:eastAsia="仿宋" w:cs="Times New Roman"/>
          <w:color w:val="auto"/>
          <w:sz w:val="32"/>
          <w:szCs w:val="32"/>
          <w:lang w:val="en-US" w:eastAsia="zh-CN" w:bidi="ar-SA"/>
        </w:rPr>
        <w:t>行业主管部门汇总，作为会议论证的基础材料。</w:t>
      </w:r>
    </w:p>
    <w:p w14:paraId="74CD642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楷体" w:cs="Times New Roman"/>
          <w:b/>
          <w:bCs/>
          <w:color w:val="auto"/>
          <w:sz w:val="32"/>
          <w:szCs w:val="32"/>
          <w:lang w:val="en-US" w:eastAsia="zh-CN" w:bidi="ar-SA"/>
        </w:rPr>
        <w:t>第</w:t>
      </w:r>
      <w:r>
        <w:rPr>
          <w:rFonts w:hint="eastAsia" w:eastAsia="楷体" w:cs="Times New Roman"/>
          <w:b/>
          <w:bCs/>
          <w:color w:val="auto"/>
          <w:sz w:val="32"/>
          <w:szCs w:val="32"/>
          <w:lang w:val="en-US" w:eastAsia="zh-CN" w:bidi="ar-SA"/>
        </w:rPr>
        <w:t>十</w:t>
      </w:r>
      <w:r>
        <w:rPr>
          <w:rFonts w:hint="default" w:ascii="Times New Roman" w:hAnsi="Times New Roman" w:eastAsia="楷体" w:cs="Times New Roman"/>
          <w:b/>
          <w:bCs/>
          <w:color w:val="auto"/>
          <w:sz w:val="32"/>
          <w:szCs w:val="32"/>
          <w:lang w:val="en-US" w:eastAsia="zh-CN" w:bidi="ar-SA"/>
        </w:rPr>
        <w:t>条</w:t>
      </w:r>
      <w:r>
        <w:rPr>
          <w:rFonts w:hint="default" w:ascii="Times New Roman" w:hAnsi="Times New Roman" w:eastAsia="黑体" w:cs="Times New Roman"/>
          <w:color w:val="auto"/>
          <w:sz w:val="32"/>
          <w:szCs w:val="32"/>
          <w:lang w:val="en-US" w:eastAsia="zh-CN" w:bidi="ar-SA"/>
        </w:rPr>
        <w:t xml:space="preserve">  </w:t>
      </w:r>
      <w:r>
        <w:rPr>
          <w:rFonts w:hint="default" w:ascii="Times New Roman" w:hAnsi="Times New Roman" w:eastAsia="仿宋" w:cs="Times New Roman"/>
          <w:color w:val="auto"/>
          <w:kern w:val="2"/>
          <w:sz w:val="32"/>
          <w:szCs w:val="32"/>
          <w:lang w:val="en-US" w:eastAsia="zh-CN" w:bidi="ar-SA"/>
        </w:rPr>
        <w:t>项目经州政府或州委专题会议论证通过后，由项目单位</w:t>
      </w:r>
      <w:r>
        <w:rPr>
          <w:rFonts w:hint="default" w:ascii="Times New Roman" w:hAnsi="Times New Roman" w:eastAsia="仿宋" w:cs="Times New Roman"/>
          <w:color w:val="auto"/>
          <w:sz w:val="32"/>
          <w:szCs w:val="32"/>
          <w:lang w:val="en-US" w:eastAsia="zh-CN" w:bidi="ar-SA"/>
        </w:rPr>
        <w:t>将项目清单报送</w:t>
      </w:r>
      <w:r>
        <w:rPr>
          <w:rFonts w:hint="eastAsia" w:ascii="Times New Roman" w:hAnsi="Times New Roman" w:eastAsia="仿宋" w:cs="Times New Roman"/>
          <w:color w:val="auto"/>
          <w:sz w:val="32"/>
          <w:szCs w:val="32"/>
          <w:lang w:val="en-US" w:eastAsia="zh-CN" w:bidi="ar-SA"/>
        </w:rPr>
        <w:t>州发展改革委</w:t>
      </w:r>
      <w:r>
        <w:rPr>
          <w:rFonts w:hint="default" w:ascii="Times New Roman" w:hAnsi="Times New Roman" w:eastAsia="仿宋" w:cs="Times New Roman"/>
          <w:color w:val="auto"/>
          <w:sz w:val="32"/>
          <w:szCs w:val="32"/>
          <w:lang w:val="en-US" w:eastAsia="zh-CN" w:bidi="ar-SA"/>
        </w:rPr>
        <w:t>。</w:t>
      </w:r>
      <w:r>
        <w:rPr>
          <w:rFonts w:hint="eastAsia" w:ascii="Times New Roman" w:hAnsi="Times New Roman" w:eastAsia="仿宋" w:cs="Times New Roman"/>
          <w:color w:val="auto"/>
          <w:sz w:val="32"/>
          <w:szCs w:val="32"/>
          <w:lang w:val="en-US" w:eastAsia="zh-CN" w:bidi="ar-SA"/>
        </w:rPr>
        <w:t>州发展改革委每月将审核汇总后的项目清单</w:t>
      </w:r>
      <w:r>
        <w:rPr>
          <w:rFonts w:hint="default" w:ascii="Times New Roman" w:hAnsi="Times New Roman" w:eastAsia="仿宋" w:cs="Times New Roman"/>
          <w:color w:val="auto"/>
          <w:sz w:val="32"/>
          <w:szCs w:val="32"/>
          <w:lang w:val="en-US" w:eastAsia="zh-CN" w:bidi="ar-SA"/>
        </w:rPr>
        <w:t>提请州长或常务副州长审定。审定意见是项目单位启动编制工作、拨付前期工作经费的直接依据。</w:t>
      </w:r>
    </w:p>
    <w:p w14:paraId="36AE19D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楷体" w:cs="Times New Roman"/>
          <w:b/>
          <w:bCs/>
          <w:color w:val="auto"/>
          <w:sz w:val="32"/>
          <w:szCs w:val="32"/>
          <w:lang w:val="en-US" w:eastAsia="zh-CN" w:bidi="ar-SA"/>
        </w:rPr>
        <w:t>第十</w:t>
      </w:r>
      <w:r>
        <w:rPr>
          <w:rFonts w:hint="eastAsia" w:eastAsia="楷体" w:cs="Times New Roman"/>
          <w:b/>
          <w:bCs/>
          <w:color w:val="auto"/>
          <w:sz w:val="32"/>
          <w:szCs w:val="32"/>
          <w:lang w:val="en-US" w:eastAsia="zh-CN" w:bidi="ar-SA"/>
        </w:rPr>
        <w:t>一</w:t>
      </w:r>
      <w:r>
        <w:rPr>
          <w:rFonts w:hint="default" w:ascii="Times New Roman" w:hAnsi="Times New Roman" w:eastAsia="楷体" w:cs="Times New Roman"/>
          <w:b/>
          <w:bCs/>
          <w:color w:val="auto"/>
          <w:sz w:val="32"/>
          <w:szCs w:val="32"/>
          <w:lang w:val="en-US" w:eastAsia="zh-CN" w:bidi="ar-SA"/>
        </w:rPr>
        <w:t xml:space="preserve">条  </w:t>
      </w:r>
      <w:r>
        <w:rPr>
          <w:rFonts w:hint="eastAsia" w:ascii="Times New Roman" w:hAnsi="Times New Roman" w:eastAsia="仿宋" w:cs="Times New Roman"/>
          <w:color w:val="auto"/>
          <w:sz w:val="32"/>
          <w:szCs w:val="32"/>
          <w:lang w:val="en-US" w:eastAsia="zh-CN" w:bidi="ar-SA"/>
        </w:rPr>
        <w:t>州发展改革委</w:t>
      </w:r>
      <w:r>
        <w:rPr>
          <w:rFonts w:hint="default" w:ascii="Times New Roman" w:hAnsi="Times New Roman" w:eastAsia="仿宋" w:cs="Times New Roman"/>
          <w:color w:val="auto"/>
          <w:sz w:val="32"/>
          <w:szCs w:val="32"/>
          <w:lang w:val="en-US" w:eastAsia="zh-CN" w:bidi="ar-SA"/>
        </w:rPr>
        <w:t>应当依托国家重大建设项目库和四川省投资项目管理服务</w:t>
      </w:r>
      <w:r>
        <w:rPr>
          <w:rFonts w:hint="default" w:ascii="Times New Roman" w:hAnsi="Times New Roman" w:eastAsia="仿宋" w:cs="Times New Roman"/>
          <w:color w:val="auto"/>
          <w:kern w:val="2"/>
          <w:sz w:val="32"/>
          <w:szCs w:val="32"/>
          <w:lang w:val="en-US" w:eastAsia="zh-CN" w:bidi="ar-SA"/>
        </w:rPr>
        <w:t>平台</w:t>
      </w:r>
      <w:r>
        <w:rPr>
          <w:rFonts w:hint="default" w:ascii="Times New Roman" w:hAnsi="Times New Roman" w:eastAsia="仿宋" w:cs="Times New Roman"/>
          <w:color w:val="auto"/>
          <w:sz w:val="32"/>
          <w:szCs w:val="32"/>
          <w:lang w:val="en-US" w:eastAsia="zh-CN" w:bidi="ar-SA"/>
        </w:rPr>
        <w:t>，建立政府投资</w:t>
      </w:r>
      <w:r>
        <w:rPr>
          <w:rFonts w:hint="default" w:ascii="Times New Roman" w:hAnsi="Times New Roman" w:eastAsia="仿宋" w:cs="Times New Roman"/>
          <w:color w:val="auto"/>
          <w:kern w:val="2"/>
          <w:sz w:val="32"/>
          <w:szCs w:val="32"/>
          <w:lang w:val="en-US" w:eastAsia="zh-CN" w:bidi="ar-SA"/>
        </w:rPr>
        <w:t>项目储备库</w:t>
      </w:r>
      <w:r>
        <w:rPr>
          <w:rFonts w:hint="eastAsia" w:ascii="Times New Roman" w:hAnsi="Times New Roman" w:eastAsia="仿宋" w:cs="Times New Roman"/>
          <w:color w:val="auto"/>
          <w:kern w:val="2"/>
          <w:sz w:val="32"/>
          <w:szCs w:val="32"/>
          <w:lang w:val="en-US" w:eastAsia="zh-CN" w:bidi="ar-SA"/>
        </w:rPr>
        <w:t>。</w:t>
      </w:r>
      <w:r>
        <w:rPr>
          <w:rFonts w:hint="default" w:ascii="Times New Roman" w:hAnsi="Times New Roman" w:eastAsia="仿宋" w:cs="Times New Roman"/>
          <w:color w:val="auto"/>
          <w:kern w:val="2"/>
          <w:sz w:val="32"/>
          <w:szCs w:val="32"/>
          <w:lang w:val="en-US" w:eastAsia="zh-CN" w:bidi="ar-SA"/>
        </w:rPr>
        <w:t>经第九条审定通过的项目，</w:t>
      </w:r>
      <w:r>
        <w:rPr>
          <w:rFonts w:hint="default" w:ascii="Times New Roman" w:hAnsi="Times New Roman" w:eastAsia="仿宋" w:cs="Times New Roman"/>
          <w:color w:val="auto"/>
          <w:sz w:val="32"/>
          <w:szCs w:val="32"/>
          <w:lang w:val="en-US" w:eastAsia="zh-CN" w:bidi="ar-SA"/>
        </w:rPr>
        <w:t>纳入储备库管理，未入库项目原则上不得进入决策程序。</w:t>
      </w:r>
    </w:p>
    <w:p w14:paraId="62545B5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auto"/>
          <w:sz w:val="32"/>
          <w:szCs w:val="32"/>
          <w:lang w:val="en-US" w:eastAsia="zh-CN" w:bidi="ar-SA"/>
        </w:rPr>
      </w:pPr>
    </w:p>
    <w:p w14:paraId="20C63E7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第四章  项目决策</w:t>
      </w:r>
    </w:p>
    <w:p w14:paraId="3D2B3D0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楷体" w:cs="Times New Roman"/>
          <w:b/>
          <w:bCs/>
          <w:color w:val="auto"/>
          <w:sz w:val="32"/>
          <w:szCs w:val="32"/>
          <w:lang w:val="en-US" w:eastAsia="zh-CN" w:bidi="ar-SA"/>
        </w:rPr>
        <w:t>第十</w:t>
      </w:r>
      <w:r>
        <w:rPr>
          <w:rFonts w:hint="eastAsia" w:eastAsia="楷体" w:cs="Times New Roman"/>
          <w:b/>
          <w:bCs/>
          <w:color w:val="auto"/>
          <w:sz w:val="32"/>
          <w:szCs w:val="32"/>
          <w:lang w:val="en-US" w:eastAsia="zh-CN" w:bidi="ar-SA"/>
        </w:rPr>
        <w:t>二</w:t>
      </w:r>
      <w:r>
        <w:rPr>
          <w:rFonts w:hint="default" w:ascii="Times New Roman" w:hAnsi="Times New Roman" w:eastAsia="楷体" w:cs="Times New Roman"/>
          <w:b/>
          <w:bCs/>
          <w:color w:val="auto"/>
          <w:sz w:val="32"/>
          <w:szCs w:val="32"/>
          <w:lang w:val="en-US" w:eastAsia="zh-CN" w:bidi="ar-SA"/>
        </w:rPr>
        <w:t>条</w:t>
      </w:r>
      <w:r>
        <w:rPr>
          <w:rFonts w:hint="default" w:ascii="Times New Roman" w:hAnsi="Times New Roman" w:eastAsia="仿宋" w:cs="Times New Roman"/>
          <w:color w:val="auto"/>
          <w:kern w:val="2"/>
          <w:sz w:val="32"/>
          <w:szCs w:val="32"/>
          <w:lang w:val="en-US" w:eastAsia="zh-CN" w:bidi="ar-SA"/>
        </w:rPr>
        <w:t xml:space="preserve">  建立州本级政府投资项目集体决策机制。提请集体决策的项目，应当完成以下前置工作：</w:t>
      </w:r>
    </w:p>
    <w:p w14:paraId="4E664C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（一）</w:t>
      </w:r>
      <w:r>
        <w:rPr>
          <w:rFonts w:hint="default" w:ascii="Times New Roman" w:hAnsi="Times New Roman" w:eastAsia="仿宋" w:cs="Times New Roman"/>
          <w:color w:val="auto"/>
          <w:sz w:val="32"/>
          <w:szCs w:val="32"/>
          <w:lang w:val="en-US" w:eastAsia="zh-CN" w:bidi="ar-SA"/>
        </w:rPr>
        <w:t>编制项目建议书或可行性研究报告，并取得工程咨询机构出具的评估报告；</w:t>
      </w:r>
    </w:p>
    <w:p w14:paraId="0CB5A7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（二）资金筹措意见；</w:t>
      </w:r>
    </w:p>
    <w:p w14:paraId="71AEC1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仿宋" w:cs="Times New Roman"/>
          <w:color w:val="auto"/>
          <w:sz w:val="32"/>
          <w:szCs w:val="32"/>
          <w:lang w:val="en-US" w:eastAsia="zh-CN" w:bidi="ar-SA"/>
        </w:rPr>
        <w:t>（</w:t>
      </w:r>
      <w:r>
        <w:rPr>
          <w:rFonts w:hint="eastAsia" w:ascii="Times New Roman" w:hAnsi="Times New Roman" w:eastAsia="仿宋" w:cs="Times New Roman"/>
          <w:color w:val="auto"/>
          <w:sz w:val="32"/>
          <w:szCs w:val="32"/>
          <w:lang w:val="en-US" w:eastAsia="zh-CN" w:bidi="ar-SA"/>
        </w:rPr>
        <w:t>三</w:t>
      </w:r>
      <w:r>
        <w:rPr>
          <w:rFonts w:hint="default" w:ascii="Times New Roman" w:hAnsi="Times New Roman" w:eastAsia="仿宋" w:cs="Times New Roman"/>
          <w:color w:val="auto"/>
          <w:sz w:val="32"/>
          <w:szCs w:val="32"/>
          <w:lang w:val="en-US" w:eastAsia="zh-CN" w:bidi="ar-SA"/>
        </w:rPr>
        <w:t>）涉及用地预审与选址意见书、环境影响评价、水土保持方案、行洪论证、地质灾害危险性评估、社会稳定风险评估等事项的，应当依法完成相应手续。其中，属于法定审批事项的，应当取得有权机关出具的正式批复；属于评估或备案事项的，应当完成评估论证并按规定程序完成备案。具体以有关主管部门意见为准。</w:t>
      </w:r>
    </w:p>
    <w:p w14:paraId="4A73D04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楷体" w:cs="Times New Roman"/>
          <w:b/>
          <w:bCs/>
          <w:color w:val="auto"/>
          <w:sz w:val="32"/>
          <w:szCs w:val="32"/>
          <w:lang w:val="en-US" w:eastAsia="zh-CN" w:bidi="ar-SA"/>
        </w:rPr>
        <w:t>第十</w:t>
      </w:r>
      <w:r>
        <w:rPr>
          <w:rFonts w:hint="eastAsia" w:eastAsia="楷体" w:cs="Times New Roman"/>
          <w:b/>
          <w:bCs/>
          <w:color w:val="auto"/>
          <w:sz w:val="32"/>
          <w:szCs w:val="32"/>
          <w:lang w:val="en-US" w:eastAsia="zh-CN" w:bidi="ar-SA"/>
        </w:rPr>
        <w:t>三</w:t>
      </w:r>
      <w:r>
        <w:rPr>
          <w:rFonts w:hint="default" w:ascii="Times New Roman" w:hAnsi="Times New Roman" w:eastAsia="楷体" w:cs="Times New Roman"/>
          <w:b/>
          <w:bCs/>
          <w:color w:val="auto"/>
          <w:sz w:val="32"/>
          <w:szCs w:val="32"/>
          <w:lang w:val="en-US" w:eastAsia="zh-CN" w:bidi="ar-SA"/>
        </w:rPr>
        <w:t xml:space="preserve">条  </w:t>
      </w:r>
      <w:r>
        <w:rPr>
          <w:rFonts w:hint="default" w:ascii="Times New Roman" w:hAnsi="Times New Roman" w:eastAsia="仿宋" w:cs="Times New Roman"/>
          <w:color w:val="auto"/>
          <w:sz w:val="32"/>
          <w:szCs w:val="32"/>
          <w:lang w:val="en-US" w:eastAsia="zh-CN" w:bidi="ar-SA"/>
        </w:rPr>
        <w:t>项目单位应当将经</w:t>
      </w:r>
      <w:r>
        <w:rPr>
          <w:rFonts w:hint="eastAsia" w:ascii="Times New Roman" w:hAnsi="Times New Roman" w:eastAsia="仿宋" w:cs="Times New Roman"/>
          <w:color w:val="auto"/>
          <w:sz w:val="32"/>
          <w:szCs w:val="32"/>
          <w:lang w:val="en-US" w:eastAsia="zh-CN" w:bidi="ar-SA"/>
        </w:rPr>
        <w:t>州长或常务副州长审定</w:t>
      </w:r>
      <w:r>
        <w:rPr>
          <w:rFonts w:hint="default" w:ascii="Times New Roman" w:hAnsi="Times New Roman" w:eastAsia="仿宋" w:cs="Times New Roman"/>
          <w:color w:val="auto"/>
          <w:sz w:val="32"/>
          <w:szCs w:val="32"/>
          <w:lang w:val="en-US" w:eastAsia="zh-CN" w:bidi="ar-SA"/>
        </w:rPr>
        <w:t>通过</w:t>
      </w:r>
      <w:r>
        <w:rPr>
          <w:rFonts w:hint="eastAsia" w:ascii="Times New Roman" w:hAnsi="Times New Roman" w:eastAsia="仿宋" w:cs="Times New Roman"/>
          <w:color w:val="auto"/>
          <w:sz w:val="32"/>
          <w:szCs w:val="32"/>
          <w:lang w:val="en-US" w:eastAsia="zh-CN" w:bidi="ar-SA"/>
        </w:rPr>
        <w:t>，</w:t>
      </w:r>
      <w:r>
        <w:rPr>
          <w:rFonts w:hint="default" w:ascii="Times New Roman" w:hAnsi="Times New Roman" w:eastAsia="仿宋" w:cs="Times New Roman"/>
          <w:color w:val="auto"/>
          <w:sz w:val="32"/>
          <w:szCs w:val="32"/>
          <w:lang w:val="en-US" w:eastAsia="zh-CN" w:bidi="ar-SA"/>
        </w:rPr>
        <w:t>且符合第十一条规定前置条件的州本级政府投资项目清单报送</w:t>
      </w:r>
      <w:r>
        <w:rPr>
          <w:rFonts w:hint="eastAsia" w:ascii="Times New Roman" w:hAnsi="Times New Roman" w:eastAsia="仿宋" w:cs="Times New Roman"/>
          <w:color w:val="auto"/>
          <w:sz w:val="32"/>
          <w:szCs w:val="32"/>
          <w:lang w:val="en-US" w:eastAsia="zh-CN" w:bidi="ar-SA"/>
        </w:rPr>
        <w:t>州发展改革委</w:t>
      </w:r>
      <w:r>
        <w:rPr>
          <w:rFonts w:hint="default" w:ascii="Times New Roman" w:hAnsi="Times New Roman" w:eastAsia="仿宋" w:cs="Times New Roman"/>
          <w:color w:val="auto"/>
          <w:sz w:val="32"/>
          <w:szCs w:val="32"/>
          <w:lang w:val="en-US" w:eastAsia="zh-CN" w:bidi="ar-SA"/>
        </w:rPr>
        <w:t>。</w:t>
      </w:r>
      <w:r>
        <w:rPr>
          <w:rFonts w:hint="eastAsia" w:ascii="Times New Roman" w:hAnsi="Times New Roman" w:eastAsia="仿宋" w:cs="Times New Roman"/>
          <w:color w:val="auto"/>
          <w:sz w:val="32"/>
          <w:szCs w:val="32"/>
          <w:lang w:val="en-US" w:eastAsia="zh-CN" w:bidi="ar-SA"/>
        </w:rPr>
        <w:t>州发展改革委</w:t>
      </w:r>
      <w:r>
        <w:rPr>
          <w:rFonts w:hint="default" w:ascii="Times New Roman" w:hAnsi="Times New Roman" w:eastAsia="仿宋" w:cs="Times New Roman"/>
          <w:color w:val="auto"/>
          <w:sz w:val="32"/>
          <w:szCs w:val="32"/>
          <w:lang w:val="en-US" w:eastAsia="zh-CN" w:bidi="ar-SA"/>
        </w:rPr>
        <w:t>每月将汇总后的项目清单提请州政府常务会议审议，特别重大的项目提请州委</w:t>
      </w:r>
      <w:r>
        <w:rPr>
          <w:rFonts w:hint="eastAsia" w:eastAsia="仿宋" w:cs="Times New Roman"/>
          <w:color w:val="auto"/>
          <w:sz w:val="32"/>
          <w:szCs w:val="32"/>
          <w:lang w:val="en-US" w:eastAsia="zh-CN" w:bidi="ar-SA"/>
        </w:rPr>
        <w:t>常委会会议审议</w:t>
      </w:r>
      <w:r>
        <w:rPr>
          <w:rFonts w:hint="default" w:ascii="Times New Roman" w:hAnsi="Times New Roman" w:eastAsia="仿宋" w:cs="Times New Roman"/>
          <w:color w:val="auto"/>
          <w:sz w:val="32"/>
          <w:szCs w:val="32"/>
          <w:lang w:val="en-US" w:eastAsia="zh-CN" w:bidi="ar-SA"/>
        </w:rPr>
        <w:t>。</w:t>
      </w:r>
    </w:p>
    <w:p w14:paraId="3F160FF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楷体" w:cs="Times New Roman"/>
          <w:b/>
          <w:bCs/>
          <w:color w:val="auto"/>
          <w:sz w:val="32"/>
          <w:szCs w:val="32"/>
          <w:lang w:val="en-US" w:eastAsia="zh-CN" w:bidi="ar-SA"/>
        </w:rPr>
        <w:t>第十</w:t>
      </w:r>
      <w:r>
        <w:rPr>
          <w:rFonts w:hint="eastAsia" w:eastAsia="楷体" w:cs="Times New Roman"/>
          <w:b/>
          <w:bCs/>
          <w:color w:val="auto"/>
          <w:sz w:val="32"/>
          <w:szCs w:val="32"/>
          <w:lang w:val="en-US" w:eastAsia="zh-CN" w:bidi="ar-SA"/>
        </w:rPr>
        <w:t>四</w:t>
      </w:r>
      <w:r>
        <w:rPr>
          <w:rFonts w:hint="default" w:ascii="Times New Roman" w:hAnsi="Times New Roman" w:eastAsia="楷体" w:cs="Times New Roman"/>
          <w:b/>
          <w:bCs/>
          <w:color w:val="auto"/>
          <w:sz w:val="32"/>
          <w:szCs w:val="32"/>
          <w:lang w:val="en-US" w:eastAsia="zh-CN" w:bidi="ar-SA"/>
        </w:rPr>
        <w:t>条</w:t>
      </w:r>
      <w:r>
        <w:rPr>
          <w:rFonts w:hint="default" w:ascii="Times New Roman" w:hAnsi="Times New Roman" w:eastAsia="仿宋" w:cs="Times New Roman"/>
          <w:color w:val="auto"/>
          <w:sz w:val="32"/>
          <w:szCs w:val="32"/>
          <w:lang w:val="en-US" w:eastAsia="zh-CN" w:bidi="ar-SA"/>
        </w:rPr>
        <w:t xml:space="preserve">  项目经集体决策通过后，作为后续项目审批、资金安排的依据。未按规定履行集体决策程序或决策未通过的项目，不得批复项目建议书、可行性研究报告</w:t>
      </w:r>
      <w:r>
        <w:rPr>
          <w:rFonts w:hint="eastAsia" w:ascii="Times New Roman" w:hAnsi="Times New Roman" w:eastAsia="仿宋" w:cs="Times New Roman"/>
          <w:color w:val="auto"/>
          <w:sz w:val="32"/>
          <w:szCs w:val="32"/>
          <w:lang w:val="en-US" w:eastAsia="zh-CN" w:bidi="ar-SA"/>
        </w:rPr>
        <w:t>、初步设计及投资概算</w:t>
      </w:r>
      <w:r>
        <w:rPr>
          <w:rFonts w:hint="default" w:ascii="Times New Roman" w:hAnsi="Times New Roman" w:eastAsia="仿宋" w:cs="Times New Roman"/>
          <w:color w:val="auto"/>
          <w:sz w:val="32"/>
          <w:szCs w:val="32"/>
          <w:lang w:val="en-US" w:eastAsia="zh-CN" w:bidi="ar-SA"/>
        </w:rPr>
        <w:t>，不得开展财政评审，不得拨付建设资金。</w:t>
      </w:r>
    </w:p>
    <w:p w14:paraId="60E38B8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 w:cs="Times New Roman"/>
          <w:b/>
          <w:bCs/>
          <w:color w:val="auto"/>
          <w:sz w:val="32"/>
          <w:szCs w:val="32"/>
          <w:highlight w:val="none"/>
          <w:u w:val="thick"/>
          <w:lang w:val="en-US" w:eastAsia="zh-CN" w:bidi="ar-SA"/>
        </w:rPr>
      </w:pPr>
      <w:r>
        <w:rPr>
          <w:rFonts w:hint="default" w:ascii="Times New Roman" w:hAnsi="Times New Roman" w:eastAsia="楷体" w:cs="Times New Roman"/>
          <w:b/>
          <w:bCs/>
          <w:color w:val="auto"/>
          <w:sz w:val="32"/>
          <w:szCs w:val="32"/>
          <w:lang w:val="en-US" w:eastAsia="zh-CN" w:bidi="ar-SA"/>
        </w:rPr>
        <w:t>第十</w:t>
      </w:r>
      <w:r>
        <w:rPr>
          <w:rFonts w:hint="eastAsia" w:eastAsia="楷体" w:cs="Times New Roman"/>
          <w:b/>
          <w:bCs/>
          <w:color w:val="auto"/>
          <w:sz w:val="32"/>
          <w:szCs w:val="32"/>
          <w:lang w:val="en-US" w:eastAsia="zh-CN" w:bidi="ar-SA"/>
        </w:rPr>
        <w:t>五</w:t>
      </w:r>
      <w:r>
        <w:rPr>
          <w:rFonts w:hint="default" w:ascii="Times New Roman" w:hAnsi="Times New Roman" w:eastAsia="楷体" w:cs="Times New Roman"/>
          <w:b/>
          <w:bCs/>
          <w:color w:val="auto"/>
          <w:sz w:val="32"/>
          <w:szCs w:val="32"/>
          <w:lang w:val="en-US" w:eastAsia="zh-CN" w:bidi="ar-SA"/>
        </w:rPr>
        <w:t>条</w:t>
      </w:r>
      <w:r>
        <w:rPr>
          <w:rFonts w:hint="default" w:ascii="Times New Roman" w:hAnsi="Times New Roman" w:eastAsia="仿宋" w:cs="Times New Roman"/>
          <w:color w:val="auto"/>
          <w:sz w:val="32"/>
          <w:szCs w:val="32"/>
          <w:lang w:val="en-US" w:eastAsia="zh-CN" w:bidi="ar-SA"/>
        </w:rPr>
        <w:t xml:space="preserve">  对应由政府采取直接投资、资本金注入方式投资和实质性承担偿还责任的州本级政府投资项目，严禁通过国有企业等以企业投资项目核准或备案形式规避政府投资项目审批。</w:t>
      </w:r>
    </w:p>
    <w:p w14:paraId="6E258E3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color w:val="auto"/>
          <w:sz w:val="32"/>
          <w:szCs w:val="32"/>
          <w:lang w:val="en-US" w:eastAsia="zh-CN" w:bidi="ar-SA"/>
        </w:rPr>
      </w:pPr>
    </w:p>
    <w:p w14:paraId="7537F11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第五章  前期经费</w:t>
      </w:r>
    </w:p>
    <w:p w14:paraId="707B249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楷体" w:cs="Times New Roman"/>
          <w:b/>
          <w:bCs/>
          <w:color w:val="auto"/>
          <w:sz w:val="32"/>
          <w:szCs w:val="32"/>
          <w:lang w:val="en-US" w:eastAsia="zh-CN" w:bidi="ar-SA"/>
        </w:rPr>
        <w:t>第十</w:t>
      </w:r>
      <w:r>
        <w:rPr>
          <w:rFonts w:hint="eastAsia" w:eastAsia="楷体" w:cs="Times New Roman"/>
          <w:b/>
          <w:bCs/>
          <w:color w:val="auto"/>
          <w:sz w:val="32"/>
          <w:szCs w:val="32"/>
          <w:lang w:val="en-US" w:eastAsia="zh-CN" w:bidi="ar-SA"/>
        </w:rPr>
        <w:t>六</w:t>
      </w:r>
      <w:r>
        <w:rPr>
          <w:rFonts w:hint="default" w:ascii="Times New Roman" w:hAnsi="Times New Roman" w:eastAsia="楷体" w:cs="Times New Roman"/>
          <w:b/>
          <w:bCs/>
          <w:color w:val="auto"/>
          <w:sz w:val="32"/>
          <w:szCs w:val="32"/>
          <w:lang w:val="en-US" w:eastAsia="zh-CN" w:bidi="ar-SA"/>
        </w:rPr>
        <w:t>条</w:t>
      </w:r>
      <w:r>
        <w:rPr>
          <w:rFonts w:hint="eastAsia" w:ascii="Times New Roman" w:hAnsi="Times New Roman" w:eastAsia="楷体" w:cs="Times New Roman"/>
          <w:b/>
          <w:bCs/>
          <w:color w:val="auto"/>
          <w:sz w:val="32"/>
          <w:szCs w:val="32"/>
          <w:lang w:val="en-US" w:eastAsia="zh-CN" w:bidi="ar-SA"/>
        </w:rPr>
        <w:t xml:space="preserve">  </w:t>
      </w:r>
      <w:r>
        <w:rPr>
          <w:rFonts w:hint="default" w:ascii="Times New Roman" w:hAnsi="Times New Roman" w:eastAsia="仿宋" w:cs="Times New Roman"/>
          <w:color w:val="auto"/>
          <w:sz w:val="32"/>
          <w:szCs w:val="32"/>
          <w:lang w:val="en-US" w:eastAsia="zh-CN" w:bidi="ar-SA"/>
        </w:rPr>
        <w:t>州本级直接实施的政府投资项目，其前期工作经费管理优先适用本章规定</w:t>
      </w:r>
      <w:r>
        <w:rPr>
          <w:rFonts w:hint="eastAsia" w:eastAsia="仿宋" w:cs="Times New Roman"/>
          <w:color w:val="auto"/>
          <w:sz w:val="32"/>
          <w:szCs w:val="32"/>
          <w:lang w:val="en-US" w:eastAsia="zh-CN" w:bidi="ar-SA"/>
        </w:rPr>
        <w:t>；</w:t>
      </w:r>
      <w:r>
        <w:rPr>
          <w:rFonts w:hint="default" w:ascii="Times New Roman" w:hAnsi="Times New Roman" w:eastAsia="仿宋" w:cs="Times New Roman"/>
          <w:color w:val="auto"/>
          <w:sz w:val="32"/>
          <w:szCs w:val="32"/>
          <w:lang w:val="en-US" w:eastAsia="zh-CN" w:bidi="ar-SA"/>
        </w:rPr>
        <w:t>本章未作规定的，按照《阿坝州项目前期工作经费管理暂行办法》执行。</w:t>
      </w:r>
    </w:p>
    <w:p w14:paraId="2B67A38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楷体" w:cs="Times New Roman"/>
          <w:b/>
          <w:bCs/>
          <w:color w:val="auto"/>
          <w:sz w:val="32"/>
          <w:szCs w:val="32"/>
          <w:lang w:val="en-US" w:eastAsia="zh-CN" w:bidi="ar-SA"/>
        </w:rPr>
        <w:t>第十</w:t>
      </w:r>
      <w:r>
        <w:rPr>
          <w:rFonts w:hint="eastAsia" w:eastAsia="楷体" w:cs="Times New Roman"/>
          <w:b/>
          <w:bCs/>
          <w:color w:val="auto"/>
          <w:sz w:val="32"/>
          <w:szCs w:val="32"/>
          <w:lang w:val="en-US" w:eastAsia="zh-CN" w:bidi="ar-SA"/>
        </w:rPr>
        <w:t>七</w:t>
      </w:r>
      <w:r>
        <w:rPr>
          <w:rFonts w:hint="default" w:ascii="Times New Roman" w:hAnsi="Times New Roman" w:eastAsia="楷体" w:cs="Times New Roman"/>
          <w:b/>
          <w:bCs/>
          <w:color w:val="auto"/>
          <w:sz w:val="32"/>
          <w:szCs w:val="32"/>
          <w:lang w:val="en-US" w:eastAsia="zh-CN" w:bidi="ar-SA"/>
        </w:rPr>
        <w:t>条</w:t>
      </w:r>
      <w:r>
        <w:rPr>
          <w:rFonts w:hint="eastAsia" w:ascii="Times New Roman" w:hAnsi="Times New Roman" w:eastAsia="楷体" w:cs="Times New Roman"/>
          <w:b/>
          <w:bCs/>
          <w:color w:val="auto"/>
          <w:sz w:val="32"/>
          <w:szCs w:val="32"/>
          <w:lang w:val="en-US" w:eastAsia="zh-CN" w:bidi="ar-SA"/>
        </w:rPr>
        <w:t xml:space="preserve">  </w:t>
      </w:r>
      <w:r>
        <w:rPr>
          <w:rFonts w:hint="default" w:ascii="Times New Roman" w:hAnsi="Times New Roman" w:eastAsia="仿宋" w:cs="Times New Roman"/>
          <w:color w:val="auto"/>
          <w:sz w:val="32"/>
          <w:szCs w:val="32"/>
          <w:lang w:val="en-US" w:eastAsia="zh-CN" w:bidi="ar-SA"/>
        </w:rPr>
        <w:t>州本级政府投资项目前期经费在项目论证阶段同步核定。项目单位在项目建设方案中应附前期经费估算表、费用明细、测算依据。</w:t>
      </w:r>
    </w:p>
    <w:p w14:paraId="6B9163D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楷体" w:cs="Times New Roman"/>
          <w:b/>
          <w:bCs/>
          <w:color w:val="auto"/>
          <w:sz w:val="32"/>
          <w:szCs w:val="32"/>
          <w:lang w:val="en-US" w:eastAsia="zh-CN" w:bidi="ar-SA"/>
        </w:rPr>
        <w:t>第十</w:t>
      </w:r>
      <w:r>
        <w:rPr>
          <w:rFonts w:hint="eastAsia" w:eastAsia="楷体" w:cs="Times New Roman"/>
          <w:b/>
          <w:bCs/>
          <w:color w:val="auto"/>
          <w:sz w:val="32"/>
          <w:szCs w:val="32"/>
          <w:lang w:val="en-US" w:eastAsia="zh-CN" w:bidi="ar-SA"/>
        </w:rPr>
        <w:t>八</w:t>
      </w:r>
      <w:r>
        <w:rPr>
          <w:rFonts w:hint="default" w:ascii="Times New Roman" w:hAnsi="Times New Roman" w:eastAsia="楷体" w:cs="Times New Roman"/>
          <w:b/>
          <w:bCs/>
          <w:color w:val="auto"/>
          <w:sz w:val="32"/>
          <w:szCs w:val="32"/>
          <w:lang w:val="en-US" w:eastAsia="zh-CN" w:bidi="ar-SA"/>
        </w:rPr>
        <w:t>条</w:t>
      </w:r>
      <w:r>
        <w:rPr>
          <w:rFonts w:hint="eastAsia" w:ascii="Times New Roman" w:hAnsi="Times New Roman" w:eastAsia="楷体" w:cs="Times New Roman"/>
          <w:b/>
          <w:bCs/>
          <w:color w:val="auto"/>
          <w:sz w:val="32"/>
          <w:szCs w:val="32"/>
          <w:lang w:val="en-US" w:eastAsia="zh-CN" w:bidi="ar-SA"/>
        </w:rPr>
        <w:t xml:space="preserve">  </w:t>
      </w:r>
      <w:r>
        <w:rPr>
          <w:rFonts w:hint="default" w:ascii="Times New Roman" w:hAnsi="Times New Roman" w:eastAsia="仿宋" w:cs="Times New Roman"/>
          <w:color w:val="auto"/>
          <w:sz w:val="32"/>
          <w:szCs w:val="32"/>
          <w:lang w:val="en-US" w:eastAsia="zh-CN" w:bidi="ar-SA"/>
        </w:rPr>
        <w:t>州本级</w:t>
      </w:r>
      <w:r>
        <w:rPr>
          <w:rFonts w:hint="eastAsia" w:ascii="Times New Roman" w:hAnsi="Times New Roman" w:eastAsia="仿宋" w:cs="Times New Roman"/>
          <w:color w:val="auto"/>
          <w:sz w:val="32"/>
          <w:szCs w:val="32"/>
          <w:lang w:val="en-US" w:eastAsia="zh-CN" w:bidi="ar-SA"/>
        </w:rPr>
        <w:t>政府投资</w:t>
      </w:r>
      <w:r>
        <w:rPr>
          <w:rFonts w:hint="default" w:ascii="Times New Roman" w:hAnsi="Times New Roman" w:eastAsia="仿宋" w:cs="Times New Roman"/>
          <w:color w:val="auto"/>
          <w:sz w:val="32"/>
          <w:szCs w:val="32"/>
          <w:lang w:val="en-US" w:eastAsia="zh-CN" w:bidi="ar-SA"/>
        </w:rPr>
        <w:t>项目经</w:t>
      </w:r>
      <w:r>
        <w:rPr>
          <w:rFonts w:hint="eastAsia" w:ascii="Times New Roman" w:hAnsi="Times New Roman" w:eastAsia="仿宋" w:cs="Times New Roman"/>
          <w:color w:val="auto"/>
          <w:sz w:val="32"/>
          <w:szCs w:val="32"/>
          <w:lang w:val="en-US" w:eastAsia="zh-CN" w:bidi="ar-SA"/>
        </w:rPr>
        <w:t>集体决策</w:t>
      </w:r>
      <w:r>
        <w:rPr>
          <w:rFonts w:hint="default" w:ascii="Times New Roman" w:hAnsi="Times New Roman" w:eastAsia="仿宋" w:cs="Times New Roman"/>
          <w:color w:val="auto"/>
          <w:sz w:val="32"/>
          <w:szCs w:val="32"/>
          <w:lang w:val="en-US" w:eastAsia="zh-CN" w:bidi="ar-SA"/>
        </w:rPr>
        <w:t>同意后，</w:t>
      </w:r>
      <w:r>
        <w:rPr>
          <w:rFonts w:hint="eastAsia" w:ascii="Times New Roman" w:hAnsi="Times New Roman" w:eastAsia="仿宋" w:cs="Times New Roman"/>
          <w:color w:val="auto"/>
          <w:sz w:val="32"/>
          <w:szCs w:val="32"/>
          <w:lang w:val="en-US" w:eastAsia="zh-CN" w:bidi="ar-SA"/>
        </w:rPr>
        <w:t>由</w:t>
      </w:r>
      <w:r>
        <w:rPr>
          <w:rFonts w:hint="default" w:ascii="Times New Roman" w:hAnsi="Times New Roman" w:eastAsia="仿宋" w:cs="Times New Roman"/>
          <w:color w:val="auto"/>
          <w:sz w:val="32"/>
          <w:szCs w:val="32"/>
          <w:lang w:val="en-US" w:eastAsia="zh-CN" w:bidi="ar-SA"/>
        </w:rPr>
        <w:t>州财政局</w:t>
      </w:r>
      <w:r>
        <w:rPr>
          <w:rFonts w:hint="eastAsia" w:ascii="Times New Roman" w:hAnsi="Times New Roman" w:eastAsia="仿宋" w:cs="Times New Roman"/>
          <w:color w:val="auto"/>
          <w:sz w:val="32"/>
          <w:szCs w:val="32"/>
          <w:lang w:val="en-US" w:eastAsia="zh-CN" w:bidi="ar-SA"/>
        </w:rPr>
        <w:t>按程序</w:t>
      </w:r>
      <w:r>
        <w:rPr>
          <w:rFonts w:hint="default" w:ascii="Times New Roman" w:hAnsi="Times New Roman" w:eastAsia="仿宋" w:cs="Times New Roman"/>
          <w:color w:val="auto"/>
          <w:sz w:val="32"/>
          <w:szCs w:val="32"/>
          <w:lang w:val="en-US" w:eastAsia="zh-CN" w:bidi="ar-SA"/>
        </w:rPr>
        <w:t>划拨</w:t>
      </w:r>
      <w:r>
        <w:rPr>
          <w:rFonts w:hint="eastAsia" w:ascii="Times New Roman" w:hAnsi="Times New Roman" w:eastAsia="仿宋" w:cs="Times New Roman"/>
          <w:color w:val="auto"/>
          <w:sz w:val="32"/>
          <w:szCs w:val="32"/>
          <w:lang w:val="en-US" w:eastAsia="zh-CN" w:bidi="ar-SA"/>
        </w:rPr>
        <w:t>项目前期经费，</w:t>
      </w:r>
      <w:r>
        <w:rPr>
          <w:rFonts w:hint="default" w:ascii="Times New Roman" w:hAnsi="Times New Roman" w:eastAsia="仿宋" w:cs="Times New Roman"/>
          <w:color w:val="auto"/>
          <w:sz w:val="32"/>
          <w:szCs w:val="32"/>
          <w:lang w:val="en-US" w:eastAsia="zh-CN" w:bidi="ar-SA"/>
        </w:rPr>
        <w:t>无需另行申报或集中审批</w:t>
      </w:r>
      <w:r>
        <w:rPr>
          <w:rFonts w:hint="eastAsia" w:eastAsia="仿宋" w:cs="Times New Roman"/>
          <w:color w:val="auto"/>
          <w:sz w:val="32"/>
          <w:szCs w:val="32"/>
          <w:lang w:val="en-US" w:eastAsia="zh-CN" w:bidi="ar-SA"/>
        </w:rPr>
        <w:t>。</w:t>
      </w:r>
    </w:p>
    <w:p w14:paraId="44C7876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bCs/>
          <w:color w:val="auto"/>
          <w:sz w:val="32"/>
          <w:szCs w:val="32"/>
          <w:lang w:val="en-US" w:eastAsia="zh-CN" w:bidi="ar-SA"/>
        </w:rPr>
      </w:pPr>
      <w:r>
        <w:rPr>
          <w:rFonts w:hint="default" w:ascii="Times New Roman" w:hAnsi="Times New Roman" w:eastAsia="楷体" w:cs="Times New Roman"/>
          <w:b/>
          <w:bCs/>
          <w:color w:val="auto"/>
          <w:sz w:val="32"/>
          <w:szCs w:val="32"/>
          <w:lang w:val="en-US" w:eastAsia="zh-CN" w:bidi="ar-SA"/>
        </w:rPr>
        <w:t>第十</w:t>
      </w:r>
      <w:r>
        <w:rPr>
          <w:rFonts w:hint="eastAsia" w:eastAsia="楷体" w:cs="Times New Roman"/>
          <w:b/>
          <w:bCs/>
          <w:color w:val="auto"/>
          <w:sz w:val="32"/>
          <w:szCs w:val="32"/>
          <w:lang w:val="en-US" w:eastAsia="zh-CN" w:bidi="ar-SA"/>
        </w:rPr>
        <w:t>九</w:t>
      </w:r>
      <w:r>
        <w:rPr>
          <w:rFonts w:hint="default" w:ascii="Times New Roman" w:hAnsi="Times New Roman" w:eastAsia="楷体" w:cs="Times New Roman"/>
          <w:b/>
          <w:bCs/>
          <w:color w:val="auto"/>
          <w:sz w:val="32"/>
          <w:szCs w:val="32"/>
          <w:lang w:val="en-US" w:eastAsia="zh-CN" w:bidi="ar-SA"/>
        </w:rPr>
        <w:t>条</w:t>
      </w:r>
      <w:r>
        <w:rPr>
          <w:rFonts w:hint="eastAsia" w:ascii="Times New Roman" w:hAnsi="Times New Roman" w:eastAsia="楷体" w:cs="Times New Roman"/>
          <w:b/>
          <w:bCs/>
          <w:color w:val="auto"/>
          <w:sz w:val="32"/>
          <w:szCs w:val="32"/>
          <w:lang w:val="en-US" w:eastAsia="zh-CN" w:bidi="ar-SA"/>
        </w:rPr>
        <w:t xml:space="preserve">  </w:t>
      </w:r>
      <w:r>
        <w:rPr>
          <w:rFonts w:hint="default" w:ascii="Times New Roman" w:hAnsi="Times New Roman" w:eastAsia="仿宋" w:cs="Times New Roman"/>
          <w:color w:val="auto"/>
          <w:sz w:val="32"/>
          <w:szCs w:val="32"/>
          <w:lang w:val="en-US" w:eastAsia="zh-CN" w:bidi="ar-SA"/>
        </w:rPr>
        <w:t>州本级</w:t>
      </w:r>
      <w:r>
        <w:rPr>
          <w:rFonts w:hint="eastAsia" w:ascii="Times New Roman" w:hAnsi="Times New Roman" w:eastAsia="仿宋" w:cs="Times New Roman"/>
          <w:color w:val="auto"/>
          <w:sz w:val="32"/>
          <w:szCs w:val="32"/>
          <w:lang w:val="en-US" w:eastAsia="zh-CN" w:bidi="ar-SA"/>
        </w:rPr>
        <w:t>政府投资</w:t>
      </w:r>
      <w:r>
        <w:rPr>
          <w:rFonts w:hint="default" w:ascii="Times New Roman" w:hAnsi="Times New Roman" w:eastAsia="仿宋" w:cs="Times New Roman"/>
          <w:color w:val="auto"/>
          <w:sz w:val="32"/>
          <w:szCs w:val="32"/>
          <w:lang w:val="en-US" w:eastAsia="zh-CN" w:bidi="ar-SA"/>
        </w:rPr>
        <w:t>项目前期经费实行专款专用、超支不补</w:t>
      </w:r>
      <w:r>
        <w:rPr>
          <w:rFonts w:hint="eastAsia" w:ascii="Times New Roman" w:hAnsi="Times New Roman" w:eastAsia="仿宋" w:cs="Times New Roman"/>
          <w:color w:val="auto"/>
          <w:sz w:val="32"/>
          <w:szCs w:val="32"/>
          <w:lang w:val="en-US" w:eastAsia="zh-CN" w:bidi="ar-SA"/>
        </w:rPr>
        <w:t>、</w:t>
      </w:r>
      <w:r>
        <w:rPr>
          <w:rFonts w:hint="default" w:ascii="Times New Roman" w:hAnsi="Times New Roman" w:eastAsia="仿宋" w:cs="Times New Roman"/>
          <w:color w:val="auto"/>
          <w:sz w:val="32"/>
          <w:szCs w:val="32"/>
          <w:lang w:val="en-US" w:eastAsia="zh-CN" w:bidi="ar-SA"/>
        </w:rPr>
        <w:t>结余收回。前期经费拨付后30日内未签订相关服务合同或未开展实质性工作的，由财政部门收回已拨付资金。</w:t>
      </w:r>
    </w:p>
    <w:p w14:paraId="054A9B1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auto"/>
          <w:sz w:val="32"/>
          <w:szCs w:val="32"/>
          <w:lang w:val="en-US" w:eastAsia="zh-CN" w:bidi="ar-SA"/>
        </w:rPr>
      </w:pPr>
    </w:p>
    <w:p w14:paraId="2C78BDD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第六章  项目实施与资金管理</w:t>
      </w:r>
    </w:p>
    <w:p w14:paraId="3B88E07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楷体" w:cs="Times New Roman"/>
          <w:b/>
          <w:bCs/>
          <w:color w:val="auto"/>
          <w:sz w:val="32"/>
          <w:szCs w:val="32"/>
          <w:lang w:val="en-US" w:eastAsia="zh-CN" w:bidi="ar-SA"/>
        </w:rPr>
        <w:t>第</w:t>
      </w:r>
      <w:r>
        <w:rPr>
          <w:rFonts w:hint="eastAsia" w:eastAsia="楷体" w:cs="Times New Roman"/>
          <w:b/>
          <w:bCs/>
          <w:color w:val="auto"/>
          <w:sz w:val="32"/>
          <w:szCs w:val="32"/>
          <w:lang w:val="en-US" w:eastAsia="zh-CN" w:bidi="ar-SA"/>
        </w:rPr>
        <w:t>二十</w:t>
      </w:r>
      <w:r>
        <w:rPr>
          <w:rFonts w:hint="default" w:ascii="Times New Roman" w:hAnsi="Times New Roman" w:eastAsia="楷体" w:cs="Times New Roman"/>
          <w:b/>
          <w:bCs/>
          <w:color w:val="auto"/>
          <w:sz w:val="32"/>
          <w:szCs w:val="32"/>
          <w:lang w:val="en-US" w:eastAsia="zh-CN" w:bidi="ar-SA"/>
        </w:rPr>
        <w:t>条</w:t>
      </w:r>
      <w:r>
        <w:rPr>
          <w:rFonts w:hint="default" w:ascii="Times New Roman" w:hAnsi="Times New Roman" w:eastAsia="仿宋" w:cs="Times New Roman"/>
          <w:color w:val="auto"/>
          <w:sz w:val="32"/>
          <w:szCs w:val="32"/>
          <w:lang w:val="en-US" w:eastAsia="zh-CN" w:bidi="ar-SA"/>
        </w:rPr>
        <w:t xml:space="preserve">  州本级政府投资项目应当严格执行项目法人责任制、招标投标制、工程监理制、合同管理制等建设管理制度，落实安全生产责任制和工程质量终身负责制。项目单位对项目实施全过程负责，应当建立健全项目管理架构，科学组织项目建设，加强质量、安全、进度、投资控制管理。</w:t>
      </w:r>
      <w:r>
        <w:rPr>
          <w:rFonts w:hint="eastAsia" w:ascii="Times New Roman" w:hAnsi="Times New Roman" w:eastAsia="仿宋" w:cs="Times New Roman"/>
          <w:color w:val="auto"/>
          <w:sz w:val="32"/>
          <w:szCs w:val="32"/>
          <w:lang w:val="en-US" w:eastAsia="zh-CN" w:bidi="ar-SA"/>
        </w:rPr>
        <w:t>对于项目单位缺乏相关专业技术人员和建设管理经验的，可以实行代建制，具体操作参照国家和省有关规定执行。</w:t>
      </w:r>
    </w:p>
    <w:p w14:paraId="4394699A">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楷体" w:cs="Times New Roman"/>
          <w:b/>
          <w:bCs/>
          <w:color w:val="auto"/>
          <w:sz w:val="32"/>
          <w:szCs w:val="32"/>
          <w:lang w:val="en-US" w:eastAsia="zh-CN" w:bidi="ar-SA"/>
        </w:rPr>
        <w:t>第</w:t>
      </w:r>
      <w:r>
        <w:rPr>
          <w:rFonts w:hint="eastAsia" w:ascii="Times New Roman" w:hAnsi="Times New Roman" w:eastAsia="楷体" w:cs="Times New Roman"/>
          <w:b/>
          <w:bCs/>
          <w:color w:val="auto"/>
          <w:sz w:val="32"/>
          <w:szCs w:val="32"/>
          <w:lang w:val="en-US" w:eastAsia="zh-CN" w:bidi="ar-SA"/>
        </w:rPr>
        <w:t>二十</w:t>
      </w:r>
      <w:r>
        <w:rPr>
          <w:rFonts w:hint="eastAsia" w:eastAsia="楷体" w:cs="Times New Roman"/>
          <w:b/>
          <w:bCs/>
          <w:color w:val="auto"/>
          <w:sz w:val="32"/>
          <w:szCs w:val="32"/>
          <w:lang w:val="en-US" w:eastAsia="zh-CN" w:bidi="ar-SA"/>
        </w:rPr>
        <w:t>一</w:t>
      </w:r>
      <w:r>
        <w:rPr>
          <w:rFonts w:hint="default" w:ascii="Times New Roman" w:hAnsi="Times New Roman" w:eastAsia="楷体" w:cs="Times New Roman"/>
          <w:b/>
          <w:bCs/>
          <w:color w:val="auto"/>
          <w:sz w:val="32"/>
          <w:szCs w:val="32"/>
          <w:lang w:val="en-US" w:eastAsia="zh-CN" w:bidi="ar-SA"/>
        </w:rPr>
        <w:t xml:space="preserve">条  </w:t>
      </w:r>
      <w:r>
        <w:rPr>
          <w:rFonts w:hint="default" w:ascii="Times New Roman" w:hAnsi="Times New Roman" w:eastAsia="仿宋" w:cs="Times New Roman"/>
          <w:color w:val="auto"/>
          <w:sz w:val="32"/>
          <w:szCs w:val="32"/>
          <w:lang w:val="en-US" w:eastAsia="zh-CN" w:bidi="ar-SA"/>
        </w:rPr>
        <w:t>严格执行投资控制责任制度，项目总投资原则上不得超过经审定的</w:t>
      </w:r>
      <w:r>
        <w:rPr>
          <w:rFonts w:hint="eastAsia" w:ascii="Times New Roman" w:hAnsi="Times New Roman" w:eastAsia="仿宋" w:cs="Times New Roman"/>
          <w:color w:val="auto"/>
          <w:sz w:val="32"/>
          <w:szCs w:val="32"/>
          <w:lang w:val="en-US" w:eastAsia="zh-CN" w:bidi="ar-SA"/>
        </w:rPr>
        <w:t>投资概算</w:t>
      </w:r>
      <w:r>
        <w:rPr>
          <w:rFonts w:hint="default" w:ascii="Times New Roman" w:hAnsi="Times New Roman" w:eastAsia="仿宋" w:cs="Times New Roman"/>
          <w:color w:val="auto"/>
          <w:sz w:val="32"/>
          <w:szCs w:val="32"/>
          <w:lang w:val="en-US" w:eastAsia="zh-CN" w:bidi="ar-SA"/>
        </w:rPr>
        <w:t>，确因政策调整、地质条件重大变化、物价大幅上涨等不可抗力因素需调整的，项目单位应组织论证并提出调整方案，按原决策程序重新报批。未经批准擅自增加建设内容、扩大建设规模、提高建设标准或管理不善造成超概算的，依法依规追究相关单位和人员责任。</w:t>
      </w:r>
    </w:p>
    <w:p w14:paraId="7862885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楷体" w:cs="Times New Roman"/>
          <w:b/>
          <w:bCs/>
          <w:color w:val="auto"/>
          <w:sz w:val="32"/>
          <w:szCs w:val="32"/>
          <w:lang w:val="en-US" w:eastAsia="zh-CN" w:bidi="ar-SA"/>
        </w:rPr>
        <w:t>第二十</w:t>
      </w:r>
      <w:r>
        <w:rPr>
          <w:rFonts w:hint="eastAsia" w:eastAsia="楷体" w:cs="Times New Roman"/>
          <w:b/>
          <w:bCs/>
          <w:color w:val="auto"/>
          <w:sz w:val="32"/>
          <w:szCs w:val="32"/>
          <w:lang w:val="en-US" w:eastAsia="zh-CN" w:bidi="ar-SA"/>
        </w:rPr>
        <w:t>二</w:t>
      </w:r>
      <w:r>
        <w:rPr>
          <w:rFonts w:hint="default" w:ascii="Times New Roman" w:hAnsi="Times New Roman" w:eastAsia="楷体" w:cs="Times New Roman"/>
          <w:b/>
          <w:bCs/>
          <w:color w:val="auto"/>
          <w:sz w:val="32"/>
          <w:szCs w:val="32"/>
          <w:lang w:val="en-US" w:eastAsia="zh-CN" w:bidi="ar-SA"/>
        </w:rPr>
        <w:t>条</w:t>
      </w:r>
      <w:r>
        <w:rPr>
          <w:rFonts w:hint="default" w:ascii="Times New Roman" w:hAnsi="Times New Roman" w:eastAsia="仿宋" w:cs="Times New Roman"/>
          <w:color w:val="auto"/>
          <w:sz w:val="32"/>
          <w:szCs w:val="32"/>
          <w:lang w:val="en-US" w:eastAsia="zh-CN" w:bidi="ar-SA"/>
        </w:rPr>
        <w:t xml:space="preserve">  </w:t>
      </w:r>
      <w:r>
        <w:rPr>
          <w:rFonts w:hint="default" w:ascii="Times New Roman" w:hAnsi="Times New Roman" w:eastAsia="仿宋" w:cs="Times New Roman"/>
          <w:color w:val="auto"/>
          <w:kern w:val="2"/>
          <w:sz w:val="32"/>
          <w:szCs w:val="32"/>
          <w:lang w:val="en-US" w:eastAsia="zh-CN" w:bidi="ar-SA"/>
        </w:rPr>
        <w:t>严格按照项目类型规范资金管理。州级</w:t>
      </w:r>
      <w:r>
        <w:rPr>
          <w:rFonts w:hint="eastAsia" w:ascii="Times New Roman" w:hAnsi="Times New Roman" w:eastAsia="仿宋" w:cs="Times New Roman"/>
          <w:color w:val="auto"/>
          <w:kern w:val="2"/>
          <w:sz w:val="32"/>
          <w:szCs w:val="32"/>
          <w:lang w:val="en-US" w:eastAsia="zh-CN" w:bidi="ar-SA"/>
        </w:rPr>
        <w:t>部门（单位）直接实施的</w:t>
      </w:r>
      <w:r>
        <w:rPr>
          <w:rFonts w:hint="default" w:ascii="Times New Roman" w:hAnsi="Times New Roman" w:eastAsia="仿宋" w:cs="Times New Roman"/>
          <w:color w:val="auto"/>
          <w:kern w:val="2"/>
          <w:sz w:val="32"/>
          <w:szCs w:val="32"/>
          <w:lang w:val="en-US" w:eastAsia="zh-CN" w:bidi="ar-SA"/>
        </w:rPr>
        <w:t>项目资金由州财政统筹保障，</w:t>
      </w:r>
      <w:r>
        <w:rPr>
          <w:rFonts w:hint="eastAsia" w:ascii="Times New Roman" w:hAnsi="Times New Roman" w:eastAsia="仿宋" w:cs="Times New Roman"/>
          <w:color w:val="auto"/>
          <w:kern w:val="2"/>
          <w:sz w:val="32"/>
          <w:szCs w:val="32"/>
          <w:lang w:val="en-US" w:eastAsia="zh-CN" w:bidi="ar-SA"/>
        </w:rPr>
        <w:t>项目单位</w:t>
      </w:r>
      <w:r>
        <w:rPr>
          <w:rFonts w:hint="default" w:ascii="Times New Roman" w:hAnsi="Times New Roman" w:eastAsia="仿宋" w:cs="Times New Roman"/>
          <w:color w:val="auto"/>
          <w:kern w:val="2"/>
          <w:sz w:val="32"/>
          <w:szCs w:val="32"/>
          <w:lang w:val="en-US" w:eastAsia="zh-CN" w:bidi="ar-SA"/>
        </w:rPr>
        <w:t>按</w:t>
      </w:r>
      <w:r>
        <w:rPr>
          <w:rFonts w:hint="eastAsia" w:ascii="Times New Roman" w:hAnsi="Times New Roman" w:eastAsia="仿宋" w:cs="Times New Roman"/>
          <w:color w:val="auto"/>
          <w:kern w:val="2"/>
          <w:sz w:val="32"/>
          <w:szCs w:val="32"/>
          <w:lang w:val="en-US" w:eastAsia="zh-CN" w:bidi="ar-SA"/>
        </w:rPr>
        <w:t>实施</w:t>
      </w:r>
      <w:r>
        <w:rPr>
          <w:rFonts w:hint="default" w:ascii="Times New Roman" w:hAnsi="Times New Roman" w:eastAsia="仿宋" w:cs="Times New Roman"/>
          <w:color w:val="auto"/>
          <w:kern w:val="2"/>
          <w:sz w:val="32"/>
          <w:szCs w:val="32"/>
          <w:lang w:val="en-US" w:eastAsia="zh-CN" w:bidi="ar-SA"/>
        </w:rPr>
        <w:t>进度及时拨付；补助资金项目严格执行专款专用，按补助政策和项目实施进度拨付，严禁挤占、截留、挪用，确保资金安全规范、使用高效。</w:t>
      </w:r>
    </w:p>
    <w:p w14:paraId="597381D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color w:val="auto"/>
          <w:kern w:val="2"/>
          <w:sz w:val="32"/>
          <w:szCs w:val="32"/>
          <w:lang w:val="en-US" w:eastAsia="zh-CN" w:bidi="ar-SA"/>
        </w:rPr>
      </w:pPr>
    </w:p>
    <w:p w14:paraId="718E880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 w:cs="Times New Roman"/>
          <w:b/>
          <w:bCs/>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第七章  项目调整与变更</w:t>
      </w:r>
    </w:p>
    <w:p w14:paraId="488EF9E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楷体" w:cs="Times New Roman"/>
          <w:b/>
          <w:bCs/>
          <w:color w:val="auto"/>
          <w:sz w:val="32"/>
          <w:szCs w:val="32"/>
          <w:lang w:val="en-US" w:eastAsia="zh-CN" w:bidi="ar-SA"/>
        </w:rPr>
        <w:t>第二十</w:t>
      </w:r>
      <w:r>
        <w:rPr>
          <w:rFonts w:hint="eastAsia" w:eastAsia="楷体" w:cs="Times New Roman"/>
          <w:b/>
          <w:bCs/>
          <w:color w:val="auto"/>
          <w:sz w:val="32"/>
          <w:szCs w:val="32"/>
          <w:lang w:val="en-US" w:eastAsia="zh-CN" w:bidi="ar-SA"/>
        </w:rPr>
        <w:t>三</w:t>
      </w:r>
      <w:r>
        <w:rPr>
          <w:rFonts w:hint="default" w:ascii="Times New Roman" w:hAnsi="Times New Roman" w:eastAsia="楷体" w:cs="Times New Roman"/>
          <w:b/>
          <w:bCs/>
          <w:color w:val="auto"/>
          <w:sz w:val="32"/>
          <w:szCs w:val="32"/>
          <w:lang w:val="en-US" w:eastAsia="zh-CN" w:bidi="ar-SA"/>
        </w:rPr>
        <w:t>条</w:t>
      </w:r>
      <w:r>
        <w:rPr>
          <w:rFonts w:hint="eastAsia" w:ascii="Times New Roman" w:hAnsi="Times New Roman" w:eastAsia="楷体" w:cs="Times New Roman"/>
          <w:b/>
          <w:bCs/>
          <w:color w:val="auto"/>
          <w:sz w:val="32"/>
          <w:szCs w:val="32"/>
          <w:lang w:val="en-US" w:eastAsia="zh-CN" w:bidi="ar-SA"/>
        </w:rPr>
        <w:t xml:space="preserve">  </w:t>
      </w:r>
      <w:r>
        <w:rPr>
          <w:rFonts w:hint="default" w:ascii="Times New Roman" w:hAnsi="Times New Roman" w:eastAsia="仿宋" w:cs="Times New Roman"/>
          <w:color w:val="auto"/>
          <w:kern w:val="2"/>
          <w:sz w:val="32"/>
          <w:szCs w:val="32"/>
          <w:lang w:val="en-US" w:eastAsia="zh-CN" w:bidi="ar-SA"/>
        </w:rPr>
        <w:t>州本级政府投资项目应当按照批准的建设地点、建设规模和建设内容实施。确需变更建设地点或者对建设规模、建设内容、项目单位等作较大调整及变更的，应当严格按照先批后变原则，报请原审批部门审批。</w:t>
      </w:r>
    </w:p>
    <w:p w14:paraId="3AC7CD3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楷体" w:cs="Times New Roman"/>
          <w:b/>
          <w:bCs/>
          <w:color w:val="auto"/>
          <w:sz w:val="32"/>
          <w:szCs w:val="32"/>
          <w:lang w:val="en-US" w:eastAsia="zh-CN" w:bidi="ar-SA"/>
        </w:rPr>
        <w:t>第二十</w:t>
      </w:r>
      <w:r>
        <w:rPr>
          <w:rFonts w:hint="eastAsia" w:eastAsia="楷体" w:cs="Times New Roman"/>
          <w:b/>
          <w:bCs/>
          <w:color w:val="auto"/>
          <w:sz w:val="32"/>
          <w:szCs w:val="32"/>
          <w:lang w:val="en-US" w:eastAsia="zh-CN" w:bidi="ar-SA"/>
        </w:rPr>
        <w:t>四</w:t>
      </w:r>
      <w:r>
        <w:rPr>
          <w:rFonts w:hint="default" w:ascii="Times New Roman" w:hAnsi="Times New Roman" w:eastAsia="楷体" w:cs="Times New Roman"/>
          <w:b/>
          <w:bCs/>
          <w:color w:val="auto"/>
          <w:sz w:val="32"/>
          <w:szCs w:val="32"/>
          <w:lang w:val="en-US" w:eastAsia="zh-CN" w:bidi="ar-SA"/>
        </w:rPr>
        <w:t xml:space="preserve">条 </w:t>
      </w:r>
      <w:r>
        <w:rPr>
          <w:rFonts w:hint="eastAsia" w:ascii="Times New Roman" w:hAnsi="Times New Roman" w:eastAsia="仿宋" w:cs="Times New Roman"/>
          <w:color w:val="auto"/>
          <w:kern w:val="2"/>
          <w:sz w:val="32"/>
          <w:szCs w:val="32"/>
          <w:lang w:val="en-US" w:eastAsia="zh-CN" w:bidi="ar-SA"/>
        </w:rPr>
        <w:t xml:space="preserve"> </w:t>
      </w:r>
      <w:r>
        <w:rPr>
          <w:rFonts w:hint="default" w:ascii="Times New Roman" w:hAnsi="Times New Roman" w:eastAsia="仿宋" w:cs="Times New Roman"/>
          <w:color w:val="auto"/>
          <w:kern w:val="2"/>
          <w:sz w:val="32"/>
          <w:szCs w:val="32"/>
          <w:lang w:val="en-US" w:eastAsia="zh-CN" w:bidi="ar-SA"/>
        </w:rPr>
        <w:t>项目开工前，初步设计提出的投资概算超过可行性研究报告批准的投资估算10%的，项目单位应当向州发展改革委报告，州发展改革委可以要求项目单位重新报送可行性研究报告。</w:t>
      </w:r>
    </w:p>
    <w:p w14:paraId="1B27597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楷体" w:cs="Times New Roman"/>
          <w:b/>
          <w:bCs/>
          <w:color w:val="auto"/>
          <w:sz w:val="32"/>
          <w:szCs w:val="32"/>
          <w:lang w:val="en-US" w:eastAsia="zh-CN" w:bidi="ar-SA"/>
        </w:rPr>
        <w:t>第二十</w:t>
      </w:r>
      <w:r>
        <w:rPr>
          <w:rFonts w:hint="eastAsia" w:eastAsia="楷体" w:cs="Times New Roman"/>
          <w:b/>
          <w:bCs/>
          <w:color w:val="auto"/>
          <w:sz w:val="32"/>
          <w:szCs w:val="32"/>
          <w:lang w:val="en-US" w:eastAsia="zh-CN" w:bidi="ar-SA"/>
        </w:rPr>
        <w:t>五</w:t>
      </w:r>
      <w:r>
        <w:rPr>
          <w:rFonts w:hint="default" w:ascii="Times New Roman" w:hAnsi="Times New Roman" w:eastAsia="楷体" w:cs="Times New Roman"/>
          <w:b/>
          <w:bCs/>
          <w:color w:val="auto"/>
          <w:sz w:val="32"/>
          <w:szCs w:val="32"/>
          <w:lang w:val="en-US" w:eastAsia="zh-CN" w:bidi="ar-SA"/>
        </w:rPr>
        <w:t>条</w:t>
      </w:r>
      <w:r>
        <w:rPr>
          <w:rFonts w:hint="eastAsia" w:ascii="Times New Roman" w:hAnsi="Times New Roman" w:eastAsia="楷体" w:cs="Times New Roman"/>
          <w:b/>
          <w:bCs/>
          <w:color w:val="auto"/>
          <w:sz w:val="32"/>
          <w:szCs w:val="32"/>
          <w:lang w:val="en-US" w:eastAsia="zh-CN" w:bidi="ar-SA"/>
        </w:rPr>
        <w:t xml:space="preserve">  </w:t>
      </w:r>
      <w:r>
        <w:rPr>
          <w:rFonts w:hint="default" w:ascii="Times New Roman" w:hAnsi="Times New Roman" w:eastAsia="仿宋" w:cs="Times New Roman"/>
          <w:color w:val="auto"/>
          <w:kern w:val="2"/>
          <w:sz w:val="32"/>
          <w:szCs w:val="32"/>
          <w:lang w:val="en-US" w:eastAsia="zh-CN" w:bidi="ar-SA"/>
        </w:rPr>
        <w:t>项目开工后</w:t>
      </w:r>
      <w:r>
        <w:rPr>
          <w:rFonts w:hint="eastAsia" w:ascii="Times New Roman" w:hAnsi="Times New Roman" w:eastAsia="仿宋" w:cs="Times New Roman"/>
          <w:color w:val="auto"/>
          <w:kern w:val="2"/>
          <w:sz w:val="32"/>
          <w:szCs w:val="32"/>
          <w:lang w:val="en-US" w:eastAsia="zh-CN" w:bidi="ar-SA"/>
        </w:rPr>
        <w:t>确需增加投资概算的</w:t>
      </w:r>
      <w:r>
        <w:rPr>
          <w:rFonts w:hint="default" w:ascii="Times New Roman" w:hAnsi="Times New Roman" w:eastAsia="仿宋" w:cs="Times New Roman"/>
          <w:color w:val="auto"/>
          <w:kern w:val="2"/>
          <w:sz w:val="32"/>
          <w:szCs w:val="32"/>
          <w:lang w:val="en-US" w:eastAsia="zh-CN" w:bidi="ar-SA"/>
        </w:rPr>
        <w:t>，应当明确调整方案及资金来源，按以下程序决策：</w:t>
      </w:r>
    </w:p>
    <w:p w14:paraId="5EDBDF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（一）增加投资300万元（不含）以下的，由州政府</w:t>
      </w:r>
      <w:r>
        <w:rPr>
          <w:rFonts w:hint="eastAsia" w:ascii="Times New Roman" w:hAnsi="Times New Roman" w:eastAsia="仿宋" w:cs="Times New Roman"/>
          <w:color w:val="auto"/>
          <w:kern w:val="2"/>
          <w:sz w:val="32"/>
          <w:szCs w:val="32"/>
          <w:lang w:val="en-US" w:eastAsia="zh-CN" w:bidi="ar-SA"/>
        </w:rPr>
        <w:t>专题会议</w:t>
      </w:r>
      <w:r>
        <w:rPr>
          <w:rFonts w:hint="default" w:ascii="Times New Roman" w:hAnsi="Times New Roman" w:eastAsia="仿宋" w:cs="Times New Roman"/>
          <w:color w:val="auto"/>
          <w:kern w:val="2"/>
          <w:sz w:val="32"/>
          <w:szCs w:val="32"/>
          <w:lang w:val="en-US" w:eastAsia="zh-CN" w:bidi="ar-SA"/>
        </w:rPr>
        <w:t>审定；</w:t>
      </w:r>
    </w:p>
    <w:p w14:paraId="179BD7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（二）增加投资300万元（含）以上3000万元（不含）以下的，由州政府常务会议审定；</w:t>
      </w:r>
    </w:p>
    <w:p w14:paraId="5F5125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（三）增加投资3000万元（含）以上的，经州政府常务会议审议后，按程序提请州委常委会会议审定。</w:t>
      </w:r>
    </w:p>
    <w:p w14:paraId="0F91855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楷体" w:cs="Times New Roman"/>
          <w:b/>
          <w:bCs/>
          <w:color w:val="auto"/>
          <w:sz w:val="32"/>
          <w:szCs w:val="32"/>
          <w:lang w:val="en-US" w:eastAsia="zh-CN" w:bidi="ar-SA"/>
        </w:rPr>
        <w:t>第</w:t>
      </w:r>
      <w:r>
        <w:rPr>
          <w:rFonts w:hint="eastAsia" w:ascii="Times New Roman" w:hAnsi="Times New Roman" w:eastAsia="楷体" w:cs="Times New Roman"/>
          <w:b/>
          <w:bCs/>
          <w:color w:val="auto"/>
          <w:sz w:val="32"/>
          <w:szCs w:val="32"/>
          <w:lang w:val="en-US" w:eastAsia="zh-CN" w:bidi="ar-SA"/>
        </w:rPr>
        <w:t>二十</w:t>
      </w:r>
      <w:r>
        <w:rPr>
          <w:rFonts w:hint="eastAsia" w:eastAsia="楷体" w:cs="Times New Roman"/>
          <w:b/>
          <w:bCs/>
          <w:color w:val="auto"/>
          <w:sz w:val="32"/>
          <w:szCs w:val="32"/>
          <w:lang w:val="en-US" w:eastAsia="zh-CN" w:bidi="ar-SA"/>
        </w:rPr>
        <w:t>六</w:t>
      </w:r>
      <w:r>
        <w:rPr>
          <w:rFonts w:hint="default" w:ascii="Times New Roman" w:hAnsi="Times New Roman" w:eastAsia="楷体" w:cs="Times New Roman"/>
          <w:b/>
          <w:bCs/>
          <w:color w:val="auto"/>
          <w:sz w:val="32"/>
          <w:szCs w:val="32"/>
          <w:lang w:val="en-US" w:eastAsia="zh-CN" w:bidi="ar-SA"/>
        </w:rPr>
        <w:t>条</w:t>
      </w:r>
      <w:r>
        <w:rPr>
          <w:rFonts w:hint="eastAsia" w:ascii="Times New Roman" w:hAnsi="Times New Roman" w:eastAsia="楷体" w:cs="Times New Roman"/>
          <w:b/>
          <w:bCs/>
          <w:color w:val="auto"/>
          <w:sz w:val="32"/>
          <w:szCs w:val="32"/>
          <w:lang w:val="en-US" w:eastAsia="zh-CN" w:bidi="ar-SA"/>
        </w:rPr>
        <w:t xml:space="preserve">  </w:t>
      </w:r>
      <w:r>
        <w:rPr>
          <w:rFonts w:hint="eastAsia" w:ascii="Times New Roman" w:hAnsi="Times New Roman" w:eastAsia="仿宋" w:cs="Times New Roman"/>
          <w:color w:val="auto"/>
          <w:kern w:val="2"/>
          <w:sz w:val="32"/>
          <w:szCs w:val="32"/>
          <w:lang w:val="en-US" w:eastAsia="zh-CN" w:bidi="ar-SA"/>
        </w:rPr>
        <w:t>项目施工过程中发生工程变更，</w:t>
      </w:r>
      <w:r>
        <w:rPr>
          <w:rFonts w:hint="default" w:ascii="Times New Roman" w:hAnsi="Times New Roman" w:eastAsia="仿宋" w:cs="Times New Roman"/>
          <w:color w:val="auto"/>
          <w:kern w:val="2"/>
          <w:sz w:val="32"/>
          <w:szCs w:val="32"/>
          <w:lang w:val="en-US" w:eastAsia="zh-CN" w:bidi="ar-SA"/>
        </w:rPr>
        <w:t>按以下程序决策：</w:t>
      </w:r>
    </w:p>
    <w:p w14:paraId="1A678B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（一）累计变更金额300万元（不含）以下，且超过工程中标价10%以上的，由项目单位提出变更申请，州</w:t>
      </w:r>
      <w:r>
        <w:rPr>
          <w:rFonts w:hint="eastAsia" w:ascii="Times New Roman" w:hAnsi="Times New Roman" w:eastAsia="仿宋" w:cs="Times New Roman"/>
          <w:color w:val="auto"/>
          <w:kern w:val="2"/>
          <w:sz w:val="32"/>
          <w:szCs w:val="32"/>
          <w:lang w:val="en-US" w:eastAsia="zh-CN" w:bidi="ar-SA"/>
        </w:rPr>
        <w:t>级</w:t>
      </w:r>
      <w:r>
        <w:rPr>
          <w:rFonts w:hint="default" w:ascii="Times New Roman" w:hAnsi="Times New Roman" w:eastAsia="仿宋" w:cs="Times New Roman"/>
          <w:color w:val="auto"/>
          <w:kern w:val="2"/>
          <w:sz w:val="32"/>
          <w:szCs w:val="32"/>
          <w:lang w:val="en-US" w:eastAsia="zh-CN" w:bidi="ar-SA"/>
        </w:rPr>
        <w:t>行业主管部门审核，州发展改革委复核，州财政局开展财政评审，由州行业主管部门报州政府</w:t>
      </w:r>
      <w:r>
        <w:rPr>
          <w:rFonts w:hint="eastAsia" w:ascii="Times New Roman" w:hAnsi="Times New Roman" w:eastAsia="仿宋" w:cs="Times New Roman"/>
          <w:color w:val="auto"/>
          <w:kern w:val="2"/>
          <w:sz w:val="32"/>
          <w:szCs w:val="32"/>
          <w:lang w:val="en-US" w:eastAsia="zh-CN" w:bidi="ar-SA"/>
        </w:rPr>
        <w:t>专题会议</w:t>
      </w:r>
      <w:r>
        <w:rPr>
          <w:rFonts w:hint="default" w:ascii="Times New Roman" w:hAnsi="Times New Roman" w:eastAsia="仿宋" w:cs="Times New Roman"/>
          <w:color w:val="auto"/>
          <w:kern w:val="2"/>
          <w:sz w:val="32"/>
          <w:szCs w:val="32"/>
          <w:lang w:val="en-US" w:eastAsia="zh-CN" w:bidi="ar-SA"/>
        </w:rPr>
        <w:t>审定；</w:t>
      </w:r>
    </w:p>
    <w:p w14:paraId="1F97C0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（二）累计变更金额300万元（含）以上600万元（不含）以下，且超过工程中标价10%以上的，由项目单位提出变更申请，州</w:t>
      </w:r>
      <w:r>
        <w:rPr>
          <w:rFonts w:hint="eastAsia" w:ascii="Times New Roman" w:hAnsi="Times New Roman" w:eastAsia="仿宋" w:cs="Times New Roman"/>
          <w:color w:val="auto"/>
          <w:kern w:val="2"/>
          <w:sz w:val="32"/>
          <w:szCs w:val="32"/>
          <w:lang w:val="en-US" w:eastAsia="zh-CN" w:bidi="ar-SA"/>
        </w:rPr>
        <w:t>级</w:t>
      </w:r>
      <w:r>
        <w:rPr>
          <w:rFonts w:hint="default" w:ascii="Times New Roman" w:hAnsi="Times New Roman" w:eastAsia="仿宋" w:cs="Times New Roman"/>
          <w:color w:val="auto"/>
          <w:kern w:val="2"/>
          <w:sz w:val="32"/>
          <w:szCs w:val="32"/>
          <w:lang w:val="en-US" w:eastAsia="zh-CN" w:bidi="ar-SA"/>
        </w:rPr>
        <w:t>行业主管部门审核，州发展改革委复核，州财政局开展财政评审，由州</w:t>
      </w:r>
      <w:r>
        <w:rPr>
          <w:rFonts w:hint="eastAsia" w:ascii="Times New Roman" w:hAnsi="Times New Roman" w:eastAsia="仿宋" w:cs="Times New Roman"/>
          <w:color w:val="auto"/>
          <w:kern w:val="2"/>
          <w:sz w:val="32"/>
          <w:szCs w:val="32"/>
          <w:lang w:val="en-US" w:eastAsia="zh-CN" w:bidi="ar-SA"/>
        </w:rPr>
        <w:t>级</w:t>
      </w:r>
      <w:r>
        <w:rPr>
          <w:rFonts w:hint="default" w:ascii="Times New Roman" w:hAnsi="Times New Roman" w:eastAsia="仿宋" w:cs="Times New Roman"/>
          <w:color w:val="auto"/>
          <w:kern w:val="2"/>
          <w:sz w:val="32"/>
          <w:szCs w:val="32"/>
          <w:lang w:val="en-US" w:eastAsia="zh-CN" w:bidi="ar-SA"/>
        </w:rPr>
        <w:t>行业主管部门报州政府常务会议审定；</w:t>
      </w:r>
    </w:p>
    <w:p w14:paraId="33311C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（三）累计变更金额600万元（含）以上，且超过工程中标价10%以上的，由项目单位提出变更申请，州</w:t>
      </w:r>
      <w:r>
        <w:rPr>
          <w:rFonts w:hint="eastAsia" w:ascii="Times New Roman" w:hAnsi="Times New Roman" w:eastAsia="仿宋" w:cs="Times New Roman"/>
          <w:color w:val="auto"/>
          <w:kern w:val="2"/>
          <w:sz w:val="32"/>
          <w:szCs w:val="32"/>
          <w:lang w:val="en-US" w:eastAsia="zh-CN" w:bidi="ar-SA"/>
        </w:rPr>
        <w:t>级</w:t>
      </w:r>
      <w:r>
        <w:rPr>
          <w:rFonts w:hint="default" w:ascii="Times New Roman" w:hAnsi="Times New Roman" w:eastAsia="仿宋" w:cs="Times New Roman"/>
          <w:color w:val="auto"/>
          <w:kern w:val="2"/>
          <w:sz w:val="32"/>
          <w:szCs w:val="32"/>
          <w:lang w:val="en-US" w:eastAsia="zh-CN" w:bidi="ar-SA"/>
        </w:rPr>
        <w:t>行业主管部门审核，州发展改革委复核，州财政局开展财政评审，由州</w:t>
      </w:r>
      <w:r>
        <w:rPr>
          <w:rFonts w:hint="eastAsia" w:ascii="Times New Roman" w:hAnsi="Times New Roman" w:eastAsia="仿宋" w:cs="Times New Roman"/>
          <w:color w:val="auto"/>
          <w:kern w:val="2"/>
          <w:sz w:val="32"/>
          <w:szCs w:val="32"/>
          <w:lang w:val="en-US" w:eastAsia="zh-CN" w:bidi="ar-SA"/>
        </w:rPr>
        <w:t>级</w:t>
      </w:r>
      <w:r>
        <w:rPr>
          <w:rFonts w:hint="default" w:ascii="Times New Roman" w:hAnsi="Times New Roman" w:eastAsia="仿宋" w:cs="Times New Roman"/>
          <w:color w:val="auto"/>
          <w:kern w:val="2"/>
          <w:sz w:val="32"/>
          <w:szCs w:val="32"/>
          <w:lang w:val="en-US" w:eastAsia="zh-CN" w:bidi="ar-SA"/>
        </w:rPr>
        <w:t>行业主管部门报州政府常务会议审议后，按程序提请州委常委会</w:t>
      </w:r>
      <w:r>
        <w:rPr>
          <w:rFonts w:hint="eastAsia" w:ascii="Times New Roman" w:hAnsi="Times New Roman" w:eastAsia="仿宋" w:cs="Times New Roman"/>
          <w:color w:val="auto"/>
          <w:kern w:val="2"/>
          <w:sz w:val="32"/>
          <w:szCs w:val="32"/>
          <w:lang w:val="en-US" w:eastAsia="zh-CN" w:bidi="ar-SA"/>
        </w:rPr>
        <w:t>会议</w:t>
      </w:r>
      <w:r>
        <w:rPr>
          <w:rFonts w:hint="default" w:ascii="Times New Roman" w:hAnsi="Times New Roman" w:eastAsia="仿宋" w:cs="Times New Roman"/>
          <w:color w:val="auto"/>
          <w:kern w:val="2"/>
          <w:sz w:val="32"/>
          <w:szCs w:val="32"/>
          <w:lang w:val="en-US" w:eastAsia="zh-CN" w:bidi="ar-SA"/>
        </w:rPr>
        <w:t>审定。</w:t>
      </w:r>
    </w:p>
    <w:p w14:paraId="0865340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auto"/>
          <w:sz w:val="32"/>
          <w:szCs w:val="32"/>
          <w:lang w:val="en-US" w:eastAsia="zh-CN" w:bidi="ar-SA"/>
        </w:rPr>
      </w:pPr>
    </w:p>
    <w:p w14:paraId="71FEC85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 w:cs="Times New Roman"/>
          <w:b/>
          <w:bCs/>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第八章  竣工验收与后评价</w:t>
      </w:r>
    </w:p>
    <w:p w14:paraId="292F2A1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楷体" w:cs="Times New Roman"/>
          <w:b/>
          <w:bCs/>
          <w:color w:val="auto"/>
          <w:sz w:val="32"/>
          <w:szCs w:val="32"/>
          <w:lang w:val="en-US" w:eastAsia="zh-CN" w:bidi="ar-SA"/>
        </w:rPr>
        <w:t>第二十</w:t>
      </w:r>
      <w:r>
        <w:rPr>
          <w:rFonts w:hint="eastAsia" w:eastAsia="楷体" w:cs="Times New Roman"/>
          <w:b/>
          <w:bCs/>
          <w:color w:val="auto"/>
          <w:sz w:val="32"/>
          <w:szCs w:val="32"/>
          <w:lang w:val="en-US" w:eastAsia="zh-CN" w:bidi="ar-SA"/>
        </w:rPr>
        <w:t>七</w:t>
      </w:r>
      <w:r>
        <w:rPr>
          <w:rFonts w:hint="default" w:ascii="Times New Roman" w:hAnsi="Times New Roman" w:eastAsia="楷体" w:cs="Times New Roman"/>
          <w:b/>
          <w:bCs/>
          <w:color w:val="auto"/>
          <w:sz w:val="32"/>
          <w:szCs w:val="32"/>
          <w:lang w:val="en-US" w:eastAsia="zh-CN" w:bidi="ar-SA"/>
        </w:rPr>
        <w:t>条</w:t>
      </w:r>
      <w:r>
        <w:rPr>
          <w:rFonts w:hint="eastAsia" w:ascii="Times New Roman" w:hAnsi="Times New Roman" w:eastAsia="楷体" w:cs="Times New Roman"/>
          <w:b/>
          <w:bCs/>
          <w:color w:val="auto"/>
          <w:sz w:val="32"/>
          <w:szCs w:val="32"/>
          <w:lang w:val="en-US" w:eastAsia="zh-CN" w:bidi="ar-SA"/>
        </w:rPr>
        <w:t xml:space="preserve">  </w:t>
      </w:r>
      <w:r>
        <w:rPr>
          <w:rFonts w:hint="default" w:ascii="Times New Roman" w:hAnsi="Times New Roman" w:eastAsia="仿宋" w:cs="Times New Roman"/>
          <w:color w:val="auto"/>
          <w:kern w:val="2"/>
          <w:sz w:val="32"/>
          <w:szCs w:val="32"/>
          <w:lang w:val="en-US" w:eastAsia="zh-CN" w:bidi="ar-SA"/>
        </w:rPr>
        <w:t>州本级政府投资项目建成后，</w:t>
      </w:r>
      <w:r>
        <w:rPr>
          <w:rFonts w:hint="eastAsia" w:ascii="Times New Roman" w:hAnsi="Times New Roman" w:eastAsia="仿宋" w:cs="Times New Roman"/>
          <w:color w:val="auto"/>
          <w:kern w:val="2"/>
          <w:sz w:val="32"/>
          <w:szCs w:val="32"/>
          <w:lang w:val="en-US" w:eastAsia="zh-CN" w:bidi="ar-SA"/>
        </w:rPr>
        <w:t>按照</w:t>
      </w:r>
      <w:r>
        <w:rPr>
          <w:rFonts w:hint="default" w:ascii="Times New Roman" w:hAnsi="Times New Roman" w:eastAsia="仿宋" w:cs="Times New Roman"/>
          <w:color w:val="auto"/>
          <w:kern w:val="2"/>
          <w:sz w:val="32"/>
          <w:szCs w:val="32"/>
          <w:lang w:val="en-US" w:eastAsia="zh-CN" w:bidi="ar-SA"/>
        </w:rPr>
        <w:t>国家及省、州有关规定及时组织竣工验收。</w:t>
      </w:r>
    </w:p>
    <w:p w14:paraId="0F0F014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楷体" w:cs="Times New Roman"/>
          <w:b/>
          <w:bCs/>
          <w:color w:val="auto"/>
          <w:sz w:val="32"/>
          <w:szCs w:val="32"/>
          <w:lang w:val="en-US" w:eastAsia="zh-CN" w:bidi="ar-SA"/>
        </w:rPr>
        <w:t>第</w:t>
      </w:r>
      <w:r>
        <w:rPr>
          <w:rFonts w:hint="eastAsia" w:ascii="Times New Roman" w:hAnsi="Times New Roman" w:eastAsia="楷体" w:cs="Times New Roman"/>
          <w:b/>
          <w:bCs/>
          <w:color w:val="auto"/>
          <w:sz w:val="32"/>
          <w:szCs w:val="32"/>
          <w:lang w:val="en-US" w:eastAsia="zh-CN" w:bidi="ar-SA"/>
        </w:rPr>
        <w:t>二十</w:t>
      </w:r>
      <w:r>
        <w:rPr>
          <w:rFonts w:hint="eastAsia" w:eastAsia="楷体" w:cs="Times New Roman"/>
          <w:b/>
          <w:bCs/>
          <w:color w:val="auto"/>
          <w:sz w:val="32"/>
          <w:szCs w:val="32"/>
          <w:lang w:val="en-US" w:eastAsia="zh-CN" w:bidi="ar-SA"/>
        </w:rPr>
        <w:t>八</w:t>
      </w:r>
      <w:r>
        <w:rPr>
          <w:rFonts w:hint="default" w:ascii="Times New Roman" w:hAnsi="Times New Roman" w:eastAsia="楷体" w:cs="Times New Roman"/>
          <w:b/>
          <w:bCs/>
          <w:color w:val="auto"/>
          <w:sz w:val="32"/>
          <w:szCs w:val="32"/>
          <w:lang w:val="en-US" w:eastAsia="zh-CN" w:bidi="ar-SA"/>
        </w:rPr>
        <w:t>条</w:t>
      </w:r>
      <w:r>
        <w:rPr>
          <w:rFonts w:hint="eastAsia" w:ascii="Times New Roman" w:hAnsi="Times New Roman" w:eastAsia="楷体" w:cs="Times New Roman"/>
          <w:b/>
          <w:bCs/>
          <w:color w:val="auto"/>
          <w:sz w:val="32"/>
          <w:szCs w:val="32"/>
          <w:lang w:val="en-US" w:eastAsia="zh-CN" w:bidi="ar-SA"/>
        </w:rPr>
        <w:t xml:space="preserve">  </w:t>
      </w:r>
      <w:r>
        <w:rPr>
          <w:rFonts w:hint="default" w:ascii="Times New Roman" w:hAnsi="Times New Roman" w:eastAsia="仿宋" w:cs="Times New Roman"/>
          <w:color w:val="auto"/>
          <w:kern w:val="2"/>
          <w:sz w:val="32"/>
          <w:szCs w:val="32"/>
          <w:lang w:val="en-US" w:eastAsia="zh-CN" w:bidi="ar-SA"/>
        </w:rPr>
        <w:t>项目单位应当在项目竣工验收合格后，及时编制竣工财务决算报告</w:t>
      </w:r>
      <w:r>
        <w:rPr>
          <w:rFonts w:hint="eastAsia" w:ascii="Times New Roman" w:hAnsi="Times New Roman" w:eastAsia="仿宋" w:cs="Times New Roman"/>
          <w:color w:val="auto"/>
          <w:kern w:val="2"/>
          <w:sz w:val="32"/>
          <w:szCs w:val="32"/>
          <w:lang w:val="en-US" w:eastAsia="zh-CN" w:bidi="ar-SA"/>
        </w:rPr>
        <w:t>，并按程序报</w:t>
      </w:r>
      <w:r>
        <w:rPr>
          <w:rFonts w:hint="default" w:ascii="Times New Roman" w:hAnsi="Times New Roman" w:eastAsia="仿宋" w:cs="Times New Roman"/>
          <w:color w:val="auto"/>
          <w:kern w:val="2"/>
          <w:sz w:val="32"/>
          <w:szCs w:val="32"/>
          <w:lang w:val="en-US" w:eastAsia="zh-CN" w:bidi="ar-SA"/>
        </w:rPr>
        <w:t>批。竣工财务决算批复后，项目单位应当按照批复及时办理资产移交手续，并依据政府会计准则制度确认资产价值，纳入国有资产管理。</w:t>
      </w:r>
    </w:p>
    <w:p w14:paraId="6C479FB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楷体" w:cs="Times New Roman"/>
          <w:b/>
          <w:bCs/>
          <w:color w:val="auto"/>
          <w:sz w:val="32"/>
          <w:szCs w:val="32"/>
          <w:lang w:val="en-US" w:eastAsia="zh-CN" w:bidi="ar-SA"/>
        </w:rPr>
        <w:t>第</w:t>
      </w:r>
      <w:r>
        <w:rPr>
          <w:rFonts w:hint="eastAsia" w:ascii="Times New Roman" w:hAnsi="Times New Roman" w:eastAsia="楷体" w:cs="Times New Roman"/>
          <w:b/>
          <w:bCs/>
          <w:color w:val="auto"/>
          <w:sz w:val="32"/>
          <w:szCs w:val="32"/>
          <w:lang w:val="en-US" w:eastAsia="zh-CN" w:bidi="ar-SA"/>
        </w:rPr>
        <w:t>二十</w:t>
      </w:r>
      <w:r>
        <w:rPr>
          <w:rFonts w:hint="eastAsia" w:eastAsia="楷体" w:cs="Times New Roman"/>
          <w:b/>
          <w:bCs/>
          <w:color w:val="auto"/>
          <w:sz w:val="32"/>
          <w:szCs w:val="32"/>
          <w:lang w:val="en-US" w:eastAsia="zh-CN" w:bidi="ar-SA"/>
        </w:rPr>
        <w:t>九</w:t>
      </w:r>
      <w:r>
        <w:rPr>
          <w:rFonts w:hint="default" w:ascii="Times New Roman" w:hAnsi="Times New Roman" w:eastAsia="楷体" w:cs="Times New Roman"/>
          <w:b/>
          <w:bCs/>
          <w:color w:val="auto"/>
          <w:sz w:val="32"/>
          <w:szCs w:val="32"/>
          <w:lang w:val="en-US" w:eastAsia="zh-CN" w:bidi="ar-SA"/>
        </w:rPr>
        <w:t>条</w:t>
      </w:r>
      <w:r>
        <w:rPr>
          <w:rFonts w:hint="eastAsia" w:ascii="Times New Roman" w:hAnsi="Times New Roman" w:eastAsia="楷体" w:cs="Times New Roman"/>
          <w:b/>
          <w:bCs/>
          <w:color w:val="auto"/>
          <w:sz w:val="32"/>
          <w:szCs w:val="32"/>
          <w:lang w:val="en-US" w:eastAsia="zh-CN" w:bidi="ar-SA"/>
        </w:rPr>
        <w:t xml:space="preserve">  </w:t>
      </w:r>
      <w:r>
        <w:rPr>
          <w:rFonts w:hint="eastAsia" w:ascii="Times New Roman" w:hAnsi="Times New Roman" w:eastAsia="仿宋" w:cs="Times New Roman"/>
          <w:color w:val="auto"/>
          <w:kern w:val="2"/>
          <w:sz w:val="32"/>
          <w:szCs w:val="32"/>
          <w:lang w:val="en-US" w:eastAsia="zh-CN" w:bidi="ar-SA"/>
        </w:rPr>
        <w:t>州级</w:t>
      </w:r>
      <w:r>
        <w:rPr>
          <w:rFonts w:hint="default" w:ascii="Times New Roman" w:hAnsi="Times New Roman" w:eastAsia="仿宋" w:cs="Times New Roman"/>
          <w:color w:val="auto"/>
          <w:kern w:val="2"/>
          <w:sz w:val="32"/>
          <w:szCs w:val="32"/>
          <w:lang w:val="en-US" w:eastAsia="zh-CN" w:bidi="ar-SA"/>
        </w:rPr>
        <w:t>行业主管部门应当</w:t>
      </w:r>
      <w:r>
        <w:rPr>
          <w:rFonts w:hint="eastAsia" w:ascii="Times New Roman" w:hAnsi="Times New Roman" w:eastAsia="仿宋" w:cs="Times New Roman"/>
          <w:color w:val="auto"/>
          <w:kern w:val="2"/>
          <w:sz w:val="32"/>
          <w:szCs w:val="32"/>
          <w:lang w:val="en-US" w:eastAsia="zh-CN" w:bidi="ar-SA"/>
        </w:rPr>
        <w:t>参照</w:t>
      </w:r>
      <w:r>
        <w:rPr>
          <w:rFonts w:hint="default" w:ascii="Times New Roman" w:hAnsi="Times New Roman" w:eastAsia="仿宋" w:cs="Times New Roman"/>
          <w:color w:val="auto"/>
          <w:kern w:val="2"/>
          <w:sz w:val="32"/>
          <w:szCs w:val="32"/>
          <w:lang w:val="en-US" w:eastAsia="zh-CN" w:bidi="ar-SA"/>
        </w:rPr>
        <w:t>《四川省政府投资项目后评价实施办法》等规定，选择已建成并投入使用的州本级政府投资项目开展后评价。后评价成果应当作为后续项目审批和资金安排的重要参考。</w:t>
      </w:r>
    </w:p>
    <w:p w14:paraId="454DC5E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auto"/>
          <w:sz w:val="32"/>
          <w:szCs w:val="32"/>
          <w:lang w:val="en-US" w:eastAsia="zh-CN" w:bidi="ar-SA"/>
        </w:rPr>
      </w:pPr>
    </w:p>
    <w:p w14:paraId="1BB422C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 w:cs="Times New Roman"/>
          <w:b/>
          <w:bCs/>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第九章  监督管理</w:t>
      </w:r>
    </w:p>
    <w:p w14:paraId="1D1C141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楷体" w:cs="Times New Roman"/>
          <w:b/>
          <w:bCs/>
          <w:color w:val="auto"/>
          <w:sz w:val="32"/>
          <w:szCs w:val="32"/>
          <w:lang w:val="en-US" w:eastAsia="zh-CN" w:bidi="ar-SA"/>
        </w:rPr>
        <w:t>第</w:t>
      </w:r>
      <w:r>
        <w:rPr>
          <w:rFonts w:hint="eastAsia" w:eastAsia="楷体" w:cs="Times New Roman"/>
          <w:b/>
          <w:bCs/>
          <w:color w:val="auto"/>
          <w:sz w:val="32"/>
          <w:szCs w:val="32"/>
          <w:lang w:val="en-US" w:eastAsia="zh-CN" w:bidi="ar-SA"/>
        </w:rPr>
        <w:t>三十</w:t>
      </w:r>
      <w:r>
        <w:rPr>
          <w:rFonts w:hint="default" w:ascii="Times New Roman" w:hAnsi="Times New Roman" w:eastAsia="楷体" w:cs="Times New Roman"/>
          <w:b/>
          <w:bCs/>
          <w:color w:val="auto"/>
          <w:sz w:val="32"/>
          <w:szCs w:val="32"/>
          <w:lang w:val="en-US" w:eastAsia="zh-CN" w:bidi="ar-SA"/>
        </w:rPr>
        <w:t xml:space="preserve">条  </w:t>
      </w:r>
      <w:r>
        <w:rPr>
          <w:rFonts w:hint="eastAsia" w:ascii="Times New Roman" w:hAnsi="Times New Roman" w:eastAsia="仿宋" w:cs="Times New Roman"/>
          <w:color w:val="auto"/>
          <w:sz w:val="32"/>
          <w:szCs w:val="32"/>
          <w:lang w:val="en-US" w:eastAsia="zh-CN" w:bidi="ar-SA"/>
        </w:rPr>
        <w:t>州本级</w:t>
      </w:r>
      <w:r>
        <w:rPr>
          <w:rFonts w:hint="default" w:ascii="Times New Roman" w:hAnsi="Times New Roman" w:eastAsia="仿宋" w:cs="Times New Roman"/>
          <w:color w:val="auto"/>
          <w:sz w:val="32"/>
          <w:szCs w:val="32"/>
          <w:lang w:val="en-US" w:eastAsia="zh-CN" w:bidi="ar-SA"/>
        </w:rPr>
        <w:t>政府投资项目按照“谁审批谁监管、谁主管谁监管”的原则，厘清项目监管责任</w:t>
      </w:r>
      <w:r>
        <w:rPr>
          <w:rFonts w:hint="eastAsia" w:ascii="Times New Roman" w:hAnsi="Times New Roman" w:eastAsia="仿宋" w:cs="Times New Roman"/>
          <w:color w:val="auto"/>
          <w:sz w:val="32"/>
          <w:szCs w:val="32"/>
          <w:lang w:val="en-US" w:eastAsia="zh-CN" w:bidi="ar-SA"/>
        </w:rPr>
        <w:t>。</w:t>
      </w:r>
    </w:p>
    <w:p w14:paraId="2EB9EE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仿宋" w:cs="Times New Roman"/>
          <w:color w:val="auto"/>
          <w:sz w:val="32"/>
          <w:szCs w:val="32"/>
          <w:lang w:val="en-US" w:eastAsia="zh-CN" w:bidi="ar-SA"/>
        </w:rPr>
        <w:t>（一）项目单位接受有关部门监督管理，对问题整改负直接责任。按规定报送项目建设信息，配合监督检查，按要求整改发现问题。</w:t>
      </w:r>
    </w:p>
    <w:p w14:paraId="2D4373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仿宋" w:cs="Times New Roman"/>
          <w:color w:val="auto"/>
          <w:sz w:val="32"/>
          <w:szCs w:val="32"/>
          <w:lang w:val="en-US" w:eastAsia="zh-CN" w:bidi="ar-SA"/>
        </w:rPr>
        <w:t>（二）</w:t>
      </w:r>
      <w:r>
        <w:rPr>
          <w:rFonts w:hint="eastAsia" w:ascii="Times New Roman" w:hAnsi="Times New Roman" w:eastAsia="仿宋" w:cs="Times New Roman"/>
          <w:color w:val="auto"/>
          <w:sz w:val="32"/>
          <w:szCs w:val="32"/>
          <w:lang w:val="en-US" w:eastAsia="zh-CN" w:bidi="ar-SA"/>
        </w:rPr>
        <w:t>州级</w:t>
      </w:r>
      <w:r>
        <w:rPr>
          <w:rFonts w:hint="default" w:ascii="Times New Roman" w:hAnsi="Times New Roman" w:eastAsia="仿宋" w:cs="Times New Roman"/>
          <w:color w:val="auto"/>
          <w:sz w:val="32"/>
          <w:szCs w:val="32"/>
          <w:lang w:val="en-US" w:eastAsia="zh-CN" w:bidi="ar-SA"/>
        </w:rPr>
        <w:t>行业主管部门履行行业监管职责。负责对项目审批程序、建设内容、工程质量安全、工程变更、概算控制等进行监督检查；组织或参与竣工验收；督促项目单位整改问题。</w:t>
      </w:r>
    </w:p>
    <w:p w14:paraId="592446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仿宋" w:cs="Times New Roman"/>
          <w:color w:val="auto"/>
          <w:sz w:val="32"/>
          <w:szCs w:val="32"/>
          <w:lang w:val="en-US" w:eastAsia="zh-CN" w:bidi="ar-SA"/>
        </w:rPr>
        <w:t>（三）属地政府履行属地监管职责。</w:t>
      </w:r>
      <w:r>
        <w:rPr>
          <w:rFonts w:hint="eastAsia" w:ascii="Times New Roman" w:hAnsi="Times New Roman" w:eastAsia="仿宋" w:cs="Times New Roman"/>
          <w:color w:val="auto"/>
          <w:sz w:val="32"/>
          <w:szCs w:val="32"/>
          <w:lang w:val="en-US" w:eastAsia="zh-CN" w:bidi="ar-SA"/>
        </w:rPr>
        <w:t>负责</w:t>
      </w:r>
      <w:r>
        <w:rPr>
          <w:rFonts w:hint="default" w:ascii="Times New Roman" w:hAnsi="Times New Roman" w:eastAsia="仿宋" w:cs="Times New Roman"/>
          <w:color w:val="auto"/>
          <w:sz w:val="32"/>
          <w:szCs w:val="32"/>
          <w:lang w:val="en-US" w:eastAsia="zh-CN" w:bidi="ar-SA"/>
        </w:rPr>
        <w:t>统筹协调辖区内州本级政府投资项目的整体推进；督促县级行业主管部门依法履行日常监管职责，配合州级有关部门监督检查；负责</w:t>
      </w:r>
      <w:r>
        <w:rPr>
          <w:rFonts w:hint="eastAsia" w:ascii="Times New Roman" w:hAnsi="Times New Roman" w:eastAsia="仿宋" w:cs="Times New Roman"/>
          <w:color w:val="auto"/>
          <w:sz w:val="32"/>
          <w:szCs w:val="32"/>
          <w:lang w:val="en-US" w:eastAsia="zh-CN" w:bidi="ar-SA"/>
        </w:rPr>
        <w:t>项目</w:t>
      </w:r>
      <w:r>
        <w:rPr>
          <w:rFonts w:hint="default" w:ascii="Times New Roman" w:hAnsi="Times New Roman" w:eastAsia="仿宋" w:cs="Times New Roman"/>
          <w:color w:val="auto"/>
          <w:sz w:val="32"/>
          <w:szCs w:val="32"/>
          <w:lang w:val="en-US" w:eastAsia="zh-CN" w:bidi="ar-SA"/>
        </w:rPr>
        <w:t>要素保障和矛盾纠纷化解；督促项目推进和问题整改。</w:t>
      </w:r>
    </w:p>
    <w:p w14:paraId="1F7F6C1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仿宋" w:cs="Times New Roman"/>
          <w:color w:val="auto"/>
          <w:sz w:val="32"/>
          <w:szCs w:val="32"/>
          <w:lang w:val="en-US" w:eastAsia="zh-CN" w:bidi="ar-SA"/>
        </w:rPr>
        <w:t>（四）</w:t>
      </w:r>
      <w:r>
        <w:rPr>
          <w:rFonts w:hint="eastAsia" w:ascii="Times New Roman" w:hAnsi="Times New Roman" w:eastAsia="仿宋" w:cs="Times New Roman"/>
          <w:color w:val="auto"/>
          <w:sz w:val="32"/>
          <w:szCs w:val="32"/>
          <w:lang w:val="en-US" w:eastAsia="zh-CN" w:bidi="ar-SA"/>
        </w:rPr>
        <w:t>州发展改革委</w:t>
      </w:r>
      <w:r>
        <w:rPr>
          <w:rFonts w:hint="default" w:ascii="Times New Roman" w:hAnsi="Times New Roman" w:eastAsia="仿宋" w:cs="Times New Roman"/>
          <w:color w:val="auto"/>
          <w:sz w:val="32"/>
          <w:szCs w:val="32"/>
          <w:lang w:val="en-US" w:eastAsia="zh-CN" w:bidi="ar-SA"/>
        </w:rPr>
        <w:t>履行投资综合监管职责。负责对项目审批程序、投资规模、招标</w:t>
      </w:r>
      <w:r>
        <w:rPr>
          <w:rFonts w:hint="eastAsia" w:ascii="Times New Roman" w:hAnsi="Times New Roman" w:eastAsia="仿宋" w:cs="Times New Roman"/>
          <w:color w:val="auto"/>
          <w:sz w:val="32"/>
          <w:szCs w:val="32"/>
          <w:lang w:val="en-US" w:eastAsia="zh-CN" w:bidi="ar-SA"/>
        </w:rPr>
        <w:t>投标</w:t>
      </w:r>
      <w:r>
        <w:rPr>
          <w:rFonts w:hint="default" w:ascii="Times New Roman" w:hAnsi="Times New Roman" w:eastAsia="仿宋" w:cs="Times New Roman"/>
          <w:color w:val="auto"/>
          <w:sz w:val="32"/>
          <w:szCs w:val="32"/>
          <w:lang w:val="en-US" w:eastAsia="zh-CN" w:bidi="ar-SA"/>
        </w:rPr>
        <w:t>等进行监管；依托国家重大建设项目库进行全生命周期监测；指导和监督项目后评价。</w:t>
      </w:r>
    </w:p>
    <w:p w14:paraId="4A0215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仿宋" w:cs="Times New Roman"/>
          <w:color w:val="auto"/>
          <w:sz w:val="32"/>
          <w:szCs w:val="32"/>
          <w:lang w:val="en-US" w:eastAsia="zh-CN" w:bidi="ar-SA"/>
        </w:rPr>
        <w:t>（五）</w:t>
      </w:r>
      <w:r>
        <w:rPr>
          <w:rFonts w:hint="eastAsia" w:ascii="Times New Roman" w:hAnsi="Times New Roman" w:eastAsia="仿宋" w:cs="Times New Roman"/>
          <w:color w:val="auto"/>
          <w:sz w:val="32"/>
          <w:szCs w:val="32"/>
          <w:lang w:val="en-US" w:eastAsia="zh-CN" w:bidi="ar-SA"/>
        </w:rPr>
        <w:t>州财政局</w:t>
      </w:r>
      <w:r>
        <w:rPr>
          <w:rFonts w:hint="default" w:ascii="Times New Roman" w:hAnsi="Times New Roman" w:eastAsia="仿宋" w:cs="Times New Roman"/>
          <w:color w:val="auto"/>
          <w:sz w:val="32"/>
          <w:szCs w:val="32"/>
          <w:lang w:val="en-US" w:eastAsia="zh-CN" w:bidi="ar-SA"/>
        </w:rPr>
        <w:t>履行资金监管职责。负责对项目概（预）算、资金拨付使用、政府采购、竣工财务</w:t>
      </w:r>
      <w:r>
        <w:rPr>
          <w:rFonts w:hint="eastAsia" w:ascii="Times New Roman" w:hAnsi="Times New Roman" w:eastAsia="仿宋" w:cs="Times New Roman"/>
          <w:color w:val="auto"/>
          <w:sz w:val="32"/>
          <w:szCs w:val="32"/>
          <w:lang w:val="en-US" w:eastAsia="zh-CN" w:bidi="ar-SA"/>
        </w:rPr>
        <w:t>结（</w:t>
      </w:r>
      <w:r>
        <w:rPr>
          <w:rFonts w:hint="default" w:ascii="Times New Roman" w:hAnsi="Times New Roman" w:eastAsia="仿宋" w:cs="Times New Roman"/>
          <w:color w:val="auto"/>
          <w:sz w:val="32"/>
          <w:szCs w:val="32"/>
          <w:lang w:val="en-US" w:eastAsia="zh-CN" w:bidi="ar-SA"/>
        </w:rPr>
        <w:t>决</w:t>
      </w:r>
      <w:r>
        <w:rPr>
          <w:rFonts w:hint="eastAsia" w:ascii="Times New Roman" w:hAnsi="Times New Roman" w:eastAsia="仿宋" w:cs="Times New Roman"/>
          <w:color w:val="auto"/>
          <w:sz w:val="32"/>
          <w:szCs w:val="32"/>
          <w:lang w:val="en-US" w:eastAsia="zh-CN" w:bidi="ar-SA"/>
        </w:rPr>
        <w:t>）</w:t>
      </w:r>
      <w:r>
        <w:rPr>
          <w:rFonts w:hint="default" w:ascii="Times New Roman" w:hAnsi="Times New Roman" w:eastAsia="仿宋" w:cs="Times New Roman"/>
          <w:color w:val="auto"/>
          <w:sz w:val="32"/>
          <w:szCs w:val="32"/>
          <w:lang w:val="en-US" w:eastAsia="zh-CN" w:bidi="ar-SA"/>
        </w:rPr>
        <w:t>算等进行监管；开展财政评审和绩效评价。</w:t>
      </w:r>
    </w:p>
    <w:p w14:paraId="07197B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仿宋" w:cs="Times New Roman"/>
          <w:color w:val="auto"/>
          <w:sz w:val="32"/>
          <w:szCs w:val="32"/>
          <w:lang w:val="en-US" w:eastAsia="zh-CN" w:bidi="ar-SA"/>
        </w:rPr>
        <w:t>（六）</w:t>
      </w:r>
      <w:r>
        <w:rPr>
          <w:rFonts w:hint="eastAsia" w:ascii="Times New Roman" w:hAnsi="Times New Roman" w:eastAsia="仿宋" w:cs="Times New Roman"/>
          <w:color w:val="auto"/>
          <w:sz w:val="32"/>
          <w:szCs w:val="32"/>
          <w:lang w:val="en-US" w:eastAsia="zh-CN" w:bidi="ar-SA"/>
        </w:rPr>
        <w:t>州审计局</w:t>
      </w:r>
      <w:r>
        <w:rPr>
          <w:rFonts w:hint="default" w:ascii="Times New Roman" w:hAnsi="Times New Roman" w:eastAsia="仿宋" w:cs="Times New Roman"/>
          <w:color w:val="auto"/>
          <w:sz w:val="32"/>
          <w:szCs w:val="32"/>
          <w:lang w:val="en-US" w:eastAsia="zh-CN" w:bidi="ar-SA"/>
        </w:rPr>
        <w:t>履行审计监督职责。依法对项目预算执行</w:t>
      </w:r>
      <w:r>
        <w:rPr>
          <w:rFonts w:hint="eastAsia" w:ascii="Times New Roman" w:hAnsi="Times New Roman" w:eastAsia="仿宋" w:cs="Times New Roman"/>
          <w:color w:val="auto"/>
          <w:sz w:val="32"/>
          <w:szCs w:val="32"/>
          <w:lang w:val="en-US" w:eastAsia="zh-CN" w:bidi="ar-SA"/>
        </w:rPr>
        <w:t>和</w:t>
      </w:r>
      <w:r>
        <w:rPr>
          <w:rFonts w:hint="default" w:ascii="Times New Roman" w:hAnsi="Times New Roman" w:eastAsia="仿宋" w:cs="Times New Roman"/>
          <w:color w:val="auto"/>
          <w:sz w:val="32"/>
          <w:szCs w:val="32"/>
          <w:lang w:val="en-US" w:eastAsia="zh-CN" w:bidi="ar-SA"/>
        </w:rPr>
        <w:t>决算及资金管理使用进行审计</w:t>
      </w:r>
      <w:r>
        <w:rPr>
          <w:rFonts w:hint="eastAsia" w:ascii="Times New Roman" w:hAnsi="Times New Roman" w:eastAsia="仿宋" w:cs="Times New Roman"/>
          <w:color w:val="auto"/>
          <w:sz w:val="32"/>
          <w:szCs w:val="32"/>
          <w:lang w:val="en-US" w:eastAsia="zh-CN" w:bidi="ar-SA"/>
        </w:rPr>
        <w:t>监督</w:t>
      </w:r>
      <w:r>
        <w:rPr>
          <w:rFonts w:hint="default" w:ascii="Times New Roman" w:hAnsi="Times New Roman" w:eastAsia="仿宋" w:cs="Times New Roman"/>
          <w:color w:val="auto"/>
          <w:sz w:val="32"/>
          <w:szCs w:val="32"/>
          <w:lang w:val="en-US" w:eastAsia="zh-CN" w:bidi="ar-SA"/>
        </w:rPr>
        <w:t>；</w:t>
      </w:r>
      <w:r>
        <w:rPr>
          <w:rFonts w:hint="eastAsia" w:ascii="Times New Roman" w:hAnsi="Times New Roman" w:eastAsia="仿宋" w:cs="Times New Roman"/>
          <w:color w:val="auto"/>
          <w:sz w:val="32"/>
          <w:szCs w:val="32"/>
          <w:lang w:val="en-US" w:eastAsia="zh-CN" w:bidi="ar-SA"/>
        </w:rPr>
        <w:t>按审计计划实施跟踪审计、专项审计调查</w:t>
      </w:r>
      <w:r>
        <w:rPr>
          <w:rFonts w:hint="default" w:ascii="Times New Roman" w:hAnsi="Times New Roman" w:eastAsia="仿宋" w:cs="Times New Roman"/>
          <w:color w:val="auto"/>
          <w:sz w:val="32"/>
          <w:szCs w:val="32"/>
          <w:lang w:val="en-US" w:eastAsia="zh-CN" w:bidi="ar-SA"/>
        </w:rPr>
        <w:t>；</w:t>
      </w:r>
      <w:r>
        <w:rPr>
          <w:rFonts w:hint="eastAsia" w:ascii="Times New Roman" w:hAnsi="Times New Roman" w:eastAsia="仿宋" w:cs="Times New Roman"/>
          <w:color w:val="auto"/>
          <w:sz w:val="32"/>
          <w:szCs w:val="32"/>
          <w:lang w:val="en-US" w:eastAsia="zh-CN" w:bidi="ar-SA"/>
        </w:rPr>
        <w:t>督促问题整改；</w:t>
      </w:r>
      <w:r>
        <w:rPr>
          <w:rFonts w:hint="default" w:ascii="Times New Roman" w:hAnsi="Times New Roman" w:eastAsia="仿宋" w:cs="Times New Roman"/>
          <w:color w:val="auto"/>
          <w:sz w:val="32"/>
          <w:szCs w:val="32"/>
          <w:lang w:val="en-US" w:eastAsia="zh-CN" w:bidi="ar-SA"/>
        </w:rPr>
        <w:t>与相关部门建立信息共享协作机制。</w:t>
      </w:r>
    </w:p>
    <w:p w14:paraId="7A3C01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楷体" w:cs="Times New Roman"/>
          <w:b/>
          <w:bCs/>
          <w:color w:val="auto"/>
          <w:sz w:val="32"/>
          <w:szCs w:val="32"/>
          <w:lang w:val="en-US" w:eastAsia="zh-CN" w:bidi="ar-SA"/>
        </w:rPr>
        <w:t>第</w:t>
      </w:r>
      <w:r>
        <w:rPr>
          <w:rFonts w:hint="eastAsia" w:ascii="Times New Roman" w:hAnsi="Times New Roman" w:eastAsia="楷体" w:cs="Times New Roman"/>
          <w:b/>
          <w:bCs/>
          <w:color w:val="auto"/>
          <w:sz w:val="32"/>
          <w:szCs w:val="32"/>
          <w:lang w:val="en-US" w:eastAsia="zh-CN" w:bidi="ar-SA"/>
        </w:rPr>
        <w:t>三十</w:t>
      </w:r>
      <w:r>
        <w:rPr>
          <w:rFonts w:hint="eastAsia" w:eastAsia="楷体" w:cs="Times New Roman"/>
          <w:b/>
          <w:bCs/>
          <w:color w:val="auto"/>
          <w:sz w:val="32"/>
          <w:szCs w:val="32"/>
          <w:lang w:val="en-US" w:eastAsia="zh-CN" w:bidi="ar-SA"/>
        </w:rPr>
        <w:t>一</w:t>
      </w:r>
      <w:r>
        <w:rPr>
          <w:rFonts w:hint="default" w:ascii="Times New Roman" w:hAnsi="Times New Roman" w:eastAsia="楷体" w:cs="Times New Roman"/>
          <w:b/>
          <w:bCs/>
          <w:color w:val="auto"/>
          <w:sz w:val="32"/>
          <w:szCs w:val="32"/>
          <w:lang w:val="en-US" w:eastAsia="zh-CN" w:bidi="ar-SA"/>
        </w:rPr>
        <w:t>条</w:t>
      </w:r>
      <w:r>
        <w:rPr>
          <w:rFonts w:hint="default" w:ascii="Times New Roman" w:hAnsi="Times New Roman" w:eastAsia="仿宋" w:cs="Times New Roman"/>
          <w:color w:val="auto"/>
          <w:sz w:val="32"/>
          <w:szCs w:val="32"/>
          <w:lang w:val="en-US" w:eastAsia="zh-CN" w:bidi="ar-SA"/>
        </w:rPr>
        <w:t xml:space="preserve">  </w:t>
      </w:r>
      <w:r>
        <w:rPr>
          <w:rFonts w:hint="eastAsia" w:ascii="Times New Roman" w:hAnsi="Times New Roman" w:eastAsia="仿宋" w:cs="Times New Roman"/>
          <w:color w:val="auto"/>
          <w:sz w:val="32"/>
          <w:szCs w:val="32"/>
          <w:lang w:val="en-US" w:eastAsia="zh-CN" w:bidi="ar-SA"/>
        </w:rPr>
        <w:t>州本级</w:t>
      </w:r>
      <w:r>
        <w:rPr>
          <w:rFonts w:hint="default" w:ascii="Times New Roman" w:hAnsi="Times New Roman" w:eastAsia="仿宋" w:cs="Times New Roman"/>
          <w:color w:val="auto"/>
          <w:sz w:val="32"/>
          <w:szCs w:val="32"/>
          <w:lang w:val="en-US" w:eastAsia="zh-CN" w:bidi="ar-SA"/>
        </w:rPr>
        <w:t>政府投资项目的绩效管理、建设工程质量管理、安全生产管理等事项，依照有关法律、行政法规和国家有关规定执行。</w:t>
      </w:r>
    </w:p>
    <w:p w14:paraId="71856A58">
      <w:pPr>
        <w:pStyle w:val="15"/>
        <w:ind w:left="0" w:leftChars="0" w:firstLine="0" w:firstLineChars="0"/>
        <w:rPr>
          <w:rFonts w:hint="default"/>
          <w:lang w:val="en-US" w:eastAsia="zh-CN"/>
        </w:rPr>
      </w:pPr>
    </w:p>
    <w:p w14:paraId="051B287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第十章  责任追究</w:t>
      </w:r>
    </w:p>
    <w:p w14:paraId="4426273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楷体" w:cs="Times New Roman"/>
          <w:b/>
          <w:bCs/>
          <w:color w:val="auto"/>
          <w:sz w:val="32"/>
          <w:szCs w:val="32"/>
          <w:lang w:val="en-US" w:eastAsia="zh-CN" w:bidi="ar-SA"/>
        </w:rPr>
        <w:t>第三十</w:t>
      </w:r>
      <w:r>
        <w:rPr>
          <w:rFonts w:hint="eastAsia" w:eastAsia="楷体" w:cs="Times New Roman"/>
          <w:b/>
          <w:bCs/>
          <w:color w:val="auto"/>
          <w:sz w:val="32"/>
          <w:szCs w:val="32"/>
          <w:lang w:val="en-US" w:eastAsia="zh-CN" w:bidi="ar-SA"/>
        </w:rPr>
        <w:t>二</w:t>
      </w:r>
      <w:r>
        <w:rPr>
          <w:rFonts w:hint="default" w:ascii="Times New Roman" w:hAnsi="Times New Roman" w:eastAsia="楷体" w:cs="Times New Roman"/>
          <w:b/>
          <w:bCs/>
          <w:color w:val="auto"/>
          <w:sz w:val="32"/>
          <w:szCs w:val="32"/>
          <w:lang w:val="en-US" w:eastAsia="zh-CN" w:bidi="ar-SA"/>
        </w:rPr>
        <w:t>条</w:t>
      </w:r>
      <w:r>
        <w:rPr>
          <w:rFonts w:hint="eastAsia" w:ascii="Times New Roman" w:hAnsi="Times New Roman" w:eastAsia="楷体" w:cs="Times New Roman"/>
          <w:b/>
          <w:bCs/>
          <w:color w:val="auto"/>
          <w:sz w:val="32"/>
          <w:szCs w:val="32"/>
          <w:lang w:val="en-US" w:eastAsia="zh-CN" w:bidi="ar-SA"/>
        </w:rPr>
        <w:t xml:space="preserve">  </w:t>
      </w:r>
      <w:r>
        <w:rPr>
          <w:rFonts w:hint="default" w:ascii="Times New Roman" w:hAnsi="Times New Roman" w:eastAsia="仿宋" w:cs="Times New Roman"/>
          <w:color w:val="auto"/>
          <w:sz w:val="32"/>
          <w:szCs w:val="32"/>
          <w:lang w:val="en-US" w:eastAsia="zh-CN" w:bidi="ar-SA"/>
        </w:rPr>
        <w:t>违反本办法规定，有下列情形之一的，责令改正，对负有责任的领导人员和直接责任人员依法依规追究责任；涉嫌违纪违法及犯罪的，移送有关部门处理；涉嫌犯罪的，依法移送司法机关：</w:t>
      </w:r>
    </w:p>
    <w:p w14:paraId="2F90696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仿宋" w:cs="Times New Roman"/>
          <w:color w:val="auto"/>
          <w:sz w:val="32"/>
          <w:szCs w:val="32"/>
          <w:lang w:val="en-US" w:eastAsia="zh-CN" w:bidi="ar-SA"/>
        </w:rPr>
        <w:t>（一）未按规定履行前期论证程序，擅自启动州本级政府投资项目前期工作的；</w:t>
      </w:r>
    </w:p>
    <w:p w14:paraId="7D5B4FF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仿宋" w:cs="Times New Roman"/>
          <w:color w:val="auto"/>
          <w:sz w:val="32"/>
          <w:szCs w:val="32"/>
          <w:lang w:val="en-US" w:eastAsia="zh-CN" w:bidi="ar-SA"/>
        </w:rPr>
        <w:t>（二）项目未经州政府常务会议或州委常委会</w:t>
      </w:r>
      <w:r>
        <w:rPr>
          <w:rFonts w:hint="eastAsia" w:ascii="Times New Roman" w:hAnsi="Times New Roman" w:eastAsia="仿宋" w:cs="Times New Roman"/>
          <w:color w:val="auto"/>
          <w:sz w:val="32"/>
          <w:szCs w:val="32"/>
          <w:lang w:val="en-US" w:eastAsia="zh-CN" w:bidi="ar-SA"/>
        </w:rPr>
        <w:t>会议</w:t>
      </w:r>
      <w:r>
        <w:rPr>
          <w:rFonts w:hint="default" w:ascii="Times New Roman" w:hAnsi="Times New Roman" w:eastAsia="仿宋" w:cs="Times New Roman"/>
          <w:color w:val="auto"/>
          <w:sz w:val="32"/>
          <w:szCs w:val="32"/>
          <w:lang w:val="en-US" w:eastAsia="zh-CN" w:bidi="ar-SA"/>
        </w:rPr>
        <w:t>审定，擅自开展财政评审、拨付建设资金或开工建设的；</w:t>
      </w:r>
    </w:p>
    <w:p w14:paraId="334A156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仿宋" w:cs="Times New Roman"/>
          <w:color w:val="auto"/>
          <w:sz w:val="32"/>
          <w:szCs w:val="32"/>
          <w:lang w:val="en-US" w:eastAsia="zh-CN" w:bidi="ar-SA"/>
        </w:rPr>
        <w:t>（三）未按规定拨付、管理和使用项目前期经费，或者虚报、拆分项目套取前期经费的；</w:t>
      </w:r>
    </w:p>
    <w:p w14:paraId="18CD9B8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仿宋" w:cs="Times New Roman"/>
          <w:color w:val="auto"/>
          <w:sz w:val="32"/>
          <w:szCs w:val="32"/>
          <w:lang w:val="en-US" w:eastAsia="zh-CN" w:bidi="ar-SA"/>
        </w:rPr>
        <w:t>（四）未经集体决策擅自批准项目立项、审批或开工建设的；</w:t>
      </w:r>
    </w:p>
    <w:p w14:paraId="677812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仿宋" w:cs="Times New Roman"/>
          <w:color w:val="auto"/>
          <w:sz w:val="32"/>
          <w:szCs w:val="32"/>
          <w:lang w:val="en-US" w:eastAsia="zh-CN" w:bidi="ar-SA"/>
        </w:rPr>
        <w:t>（五）违反决策程序造成重大失误、重大损失或恶劣影响的。</w:t>
      </w:r>
    </w:p>
    <w:p w14:paraId="0AF7579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楷体" w:cs="Times New Roman"/>
          <w:b/>
          <w:bCs/>
          <w:color w:val="auto"/>
          <w:sz w:val="32"/>
          <w:szCs w:val="32"/>
          <w:lang w:val="en-US" w:eastAsia="zh-CN" w:bidi="ar-SA"/>
        </w:rPr>
        <w:t>第三十</w:t>
      </w:r>
      <w:r>
        <w:rPr>
          <w:rFonts w:hint="eastAsia" w:eastAsia="楷体" w:cs="Times New Roman"/>
          <w:b/>
          <w:bCs/>
          <w:color w:val="auto"/>
          <w:sz w:val="32"/>
          <w:szCs w:val="32"/>
          <w:lang w:val="en-US" w:eastAsia="zh-CN" w:bidi="ar-SA"/>
        </w:rPr>
        <w:t>三</w:t>
      </w:r>
      <w:r>
        <w:rPr>
          <w:rFonts w:hint="default" w:ascii="Times New Roman" w:hAnsi="Times New Roman" w:eastAsia="楷体" w:cs="Times New Roman"/>
          <w:b/>
          <w:bCs/>
          <w:color w:val="auto"/>
          <w:sz w:val="32"/>
          <w:szCs w:val="32"/>
          <w:lang w:val="en-US" w:eastAsia="zh-CN" w:bidi="ar-SA"/>
        </w:rPr>
        <w:t>条</w:t>
      </w:r>
      <w:r>
        <w:rPr>
          <w:rFonts w:hint="eastAsia" w:ascii="Times New Roman" w:hAnsi="Times New Roman" w:eastAsia="楷体" w:cs="Times New Roman"/>
          <w:b/>
          <w:bCs/>
          <w:color w:val="auto"/>
          <w:sz w:val="32"/>
          <w:szCs w:val="32"/>
          <w:lang w:val="en-US" w:eastAsia="zh-CN" w:bidi="ar-SA"/>
        </w:rPr>
        <w:t xml:space="preserve">  </w:t>
      </w:r>
      <w:r>
        <w:rPr>
          <w:rFonts w:hint="default" w:ascii="Times New Roman" w:hAnsi="Times New Roman" w:eastAsia="仿宋" w:cs="Times New Roman"/>
          <w:color w:val="auto"/>
          <w:sz w:val="32"/>
          <w:szCs w:val="32"/>
          <w:lang w:val="en-US" w:eastAsia="zh-CN" w:bidi="ar-SA"/>
        </w:rPr>
        <w:t>州本级政府投资项目实行决策终身负责制。对违反决策程序、违规决策造成重大损失、恶劣影响的，依法依规严肃追究相关领导人员和直接责任人员的责任。</w:t>
      </w:r>
    </w:p>
    <w:p w14:paraId="4FB74C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楷体" w:cs="Times New Roman"/>
          <w:b/>
          <w:bCs/>
          <w:color w:val="auto"/>
          <w:sz w:val="32"/>
          <w:szCs w:val="32"/>
          <w:lang w:val="en-US" w:eastAsia="zh-CN" w:bidi="ar-SA"/>
        </w:rPr>
        <w:t>第三十</w:t>
      </w:r>
      <w:r>
        <w:rPr>
          <w:rFonts w:hint="eastAsia" w:eastAsia="楷体" w:cs="Times New Roman"/>
          <w:b/>
          <w:bCs/>
          <w:color w:val="auto"/>
          <w:sz w:val="32"/>
          <w:szCs w:val="32"/>
          <w:lang w:val="en-US" w:eastAsia="zh-CN" w:bidi="ar-SA"/>
        </w:rPr>
        <w:t>四</w:t>
      </w:r>
      <w:r>
        <w:rPr>
          <w:rFonts w:hint="default" w:ascii="Times New Roman" w:hAnsi="Times New Roman" w:eastAsia="楷体" w:cs="Times New Roman"/>
          <w:b/>
          <w:bCs/>
          <w:color w:val="auto"/>
          <w:sz w:val="32"/>
          <w:szCs w:val="32"/>
          <w:lang w:val="en-US" w:eastAsia="zh-CN" w:bidi="ar-SA"/>
        </w:rPr>
        <w:t>条</w:t>
      </w:r>
      <w:r>
        <w:rPr>
          <w:rFonts w:hint="eastAsia" w:ascii="Times New Roman" w:hAnsi="Times New Roman" w:eastAsia="楷体" w:cs="Times New Roman"/>
          <w:b/>
          <w:bCs/>
          <w:color w:val="auto"/>
          <w:sz w:val="32"/>
          <w:szCs w:val="32"/>
          <w:lang w:val="en-US" w:eastAsia="zh-CN" w:bidi="ar-SA"/>
        </w:rPr>
        <w:t xml:space="preserve">  </w:t>
      </w:r>
      <w:r>
        <w:rPr>
          <w:rFonts w:hint="default" w:ascii="Times New Roman" w:hAnsi="Times New Roman" w:eastAsia="仿宋" w:cs="Times New Roman"/>
          <w:color w:val="auto"/>
          <w:sz w:val="32"/>
          <w:szCs w:val="32"/>
          <w:lang w:val="en-US" w:eastAsia="zh-CN" w:bidi="ar-SA"/>
        </w:rPr>
        <w:t>有关部门及其工作人员在州本级政府投资项目审批、监管过程中，存在玩忽职守、滥用职权、徇私舞弊等情形的，依照有关法律法规及国家有关规定追究责任；涉嫌违纪违法及犯罪的，移送有关部门处理</w:t>
      </w:r>
      <w:r>
        <w:rPr>
          <w:rFonts w:hint="eastAsia" w:eastAsia="仿宋" w:cs="Times New Roman"/>
          <w:color w:val="auto"/>
          <w:sz w:val="32"/>
          <w:szCs w:val="32"/>
          <w:lang w:val="en-US" w:eastAsia="zh-CN" w:bidi="ar-SA"/>
        </w:rPr>
        <w:t>。</w:t>
      </w:r>
    </w:p>
    <w:p w14:paraId="424DCF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楷体" w:cs="Times New Roman"/>
          <w:b/>
          <w:bCs/>
          <w:color w:val="auto"/>
          <w:sz w:val="32"/>
          <w:szCs w:val="32"/>
          <w:lang w:val="en-US" w:eastAsia="zh-CN" w:bidi="ar-SA"/>
        </w:rPr>
        <w:t>第三十</w:t>
      </w:r>
      <w:r>
        <w:rPr>
          <w:rFonts w:hint="eastAsia" w:eastAsia="楷体" w:cs="Times New Roman"/>
          <w:b/>
          <w:bCs/>
          <w:color w:val="auto"/>
          <w:sz w:val="32"/>
          <w:szCs w:val="32"/>
          <w:lang w:val="en-US" w:eastAsia="zh-CN" w:bidi="ar-SA"/>
        </w:rPr>
        <w:t>五</w:t>
      </w:r>
      <w:r>
        <w:rPr>
          <w:rFonts w:hint="default" w:ascii="Times New Roman" w:hAnsi="Times New Roman" w:eastAsia="楷体" w:cs="Times New Roman"/>
          <w:b/>
          <w:bCs/>
          <w:color w:val="auto"/>
          <w:sz w:val="32"/>
          <w:szCs w:val="32"/>
          <w:lang w:val="en-US" w:eastAsia="zh-CN" w:bidi="ar-SA"/>
        </w:rPr>
        <w:t>条</w:t>
      </w:r>
      <w:r>
        <w:rPr>
          <w:rFonts w:hint="eastAsia" w:ascii="Times New Roman" w:hAnsi="Times New Roman" w:eastAsia="楷体" w:cs="Times New Roman"/>
          <w:b/>
          <w:bCs/>
          <w:color w:val="auto"/>
          <w:sz w:val="32"/>
          <w:szCs w:val="32"/>
          <w:lang w:val="en-US" w:eastAsia="zh-CN" w:bidi="ar-SA"/>
        </w:rPr>
        <w:t xml:space="preserve">  </w:t>
      </w:r>
      <w:r>
        <w:rPr>
          <w:rFonts w:hint="default" w:ascii="Times New Roman" w:hAnsi="Times New Roman" w:eastAsia="仿宋" w:cs="Times New Roman"/>
          <w:color w:val="auto"/>
          <w:sz w:val="32"/>
          <w:szCs w:val="32"/>
          <w:lang w:val="en-US" w:eastAsia="zh-CN" w:bidi="ar-SA"/>
        </w:rPr>
        <w:t>项目单位违反本办法规定，有下列情形之一的，由有关部门责令改正，并依照有关法律法规及国家有关规定追究责任：</w:t>
      </w:r>
    </w:p>
    <w:p w14:paraId="2E3AF2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仿宋" w:cs="Times New Roman"/>
          <w:color w:val="auto"/>
          <w:sz w:val="32"/>
          <w:szCs w:val="32"/>
          <w:lang w:val="en-US" w:eastAsia="zh-CN" w:bidi="ar-SA"/>
        </w:rPr>
        <w:t>（一）未经规定程序擅自调整建设规模、建设标准或投资概算的；</w:t>
      </w:r>
    </w:p>
    <w:p w14:paraId="5F0291C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仿宋" w:cs="Times New Roman"/>
          <w:color w:val="auto"/>
          <w:sz w:val="32"/>
          <w:szCs w:val="32"/>
          <w:lang w:val="en-US" w:eastAsia="zh-CN" w:bidi="ar-SA"/>
        </w:rPr>
        <w:t>（二）未按规定通过在线平台如实、及时、准确报送项目建设信息的；</w:t>
      </w:r>
    </w:p>
    <w:p w14:paraId="10A47E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仿宋" w:cs="Times New Roman"/>
          <w:color w:val="auto"/>
          <w:sz w:val="32"/>
          <w:szCs w:val="32"/>
          <w:lang w:val="en-US" w:eastAsia="zh-CN" w:bidi="ar-SA"/>
        </w:rPr>
        <w:t>（三）要求施工单位对政府投资项目垫资建设的。</w:t>
      </w:r>
    </w:p>
    <w:p w14:paraId="4A2265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楷体" w:cs="Times New Roman"/>
          <w:b/>
          <w:bCs/>
          <w:color w:val="auto"/>
          <w:sz w:val="32"/>
          <w:szCs w:val="32"/>
          <w:lang w:val="en-US" w:eastAsia="zh-CN" w:bidi="ar-SA"/>
        </w:rPr>
        <w:t>第</w:t>
      </w:r>
      <w:r>
        <w:rPr>
          <w:rFonts w:hint="eastAsia" w:ascii="Times New Roman" w:hAnsi="Times New Roman" w:eastAsia="楷体" w:cs="Times New Roman"/>
          <w:b/>
          <w:bCs/>
          <w:color w:val="auto"/>
          <w:sz w:val="32"/>
          <w:szCs w:val="32"/>
          <w:lang w:val="en-US" w:eastAsia="zh-CN" w:bidi="ar-SA"/>
        </w:rPr>
        <w:t>三十</w:t>
      </w:r>
      <w:r>
        <w:rPr>
          <w:rFonts w:hint="eastAsia" w:eastAsia="楷体" w:cs="Times New Roman"/>
          <w:b/>
          <w:bCs/>
          <w:color w:val="auto"/>
          <w:sz w:val="32"/>
          <w:szCs w:val="32"/>
          <w:lang w:val="en-US" w:eastAsia="zh-CN" w:bidi="ar-SA"/>
        </w:rPr>
        <w:t>六</w:t>
      </w:r>
      <w:r>
        <w:rPr>
          <w:rFonts w:hint="default" w:ascii="Times New Roman" w:hAnsi="Times New Roman" w:eastAsia="楷体" w:cs="Times New Roman"/>
          <w:b/>
          <w:bCs/>
          <w:color w:val="auto"/>
          <w:sz w:val="32"/>
          <w:szCs w:val="32"/>
          <w:lang w:val="en-US" w:eastAsia="zh-CN" w:bidi="ar-SA"/>
        </w:rPr>
        <w:t>条</w:t>
      </w:r>
      <w:r>
        <w:rPr>
          <w:rFonts w:hint="eastAsia" w:ascii="Times New Roman" w:hAnsi="Times New Roman" w:eastAsia="楷体" w:cs="Times New Roman"/>
          <w:b/>
          <w:bCs/>
          <w:color w:val="auto"/>
          <w:sz w:val="32"/>
          <w:szCs w:val="32"/>
          <w:lang w:val="en-US" w:eastAsia="zh-CN" w:bidi="ar-SA"/>
        </w:rPr>
        <w:t xml:space="preserve">  </w:t>
      </w:r>
      <w:r>
        <w:rPr>
          <w:rFonts w:hint="default" w:ascii="Times New Roman" w:hAnsi="Times New Roman" w:eastAsia="仿宋" w:cs="Times New Roman"/>
          <w:color w:val="auto"/>
          <w:sz w:val="32"/>
          <w:szCs w:val="32"/>
          <w:lang w:val="en-US" w:eastAsia="zh-CN" w:bidi="ar-SA"/>
        </w:rPr>
        <w:t>承担州本级政府投资项目相关业务的中介机构（工程咨询、评估、勘察、设计、施工、监理、造价咨询、招标采购代理等）及其从业人员存在出具虚假报告、串通违规操作、成果文件严重失实等情形的，由有关行政部门依法依规处理；造成经济损失的，依法承担赔偿责任；涉嫌犯罪的，移送司法机关处理。相关信息记入信用记录，依法依规实施联合惩戒。</w:t>
      </w:r>
      <w:r>
        <w:rPr>
          <w:rFonts w:hint="eastAsia" w:ascii="Times New Roman" w:hAnsi="Times New Roman" w:eastAsia="楷体" w:cs="Times New Roman"/>
          <w:b/>
          <w:bCs/>
          <w:color w:val="auto"/>
          <w:sz w:val="32"/>
          <w:szCs w:val="32"/>
          <w:lang w:val="en-US" w:eastAsia="zh-CN" w:bidi="ar-SA"/>
        </w:rPr>
        <w:t xml:space="preserve">  </w:t>
      </w:r>
    </w:p>
    <w:p w14:paraId="4EA9E2A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color w:val="auto"/>
          <w:sz w:val="32"/>
          <w:szCs w:val="32"/>
          <w:lang w:val="en-US" w:eastAsia="zh-CN" w:bidi="ar-SA"/>
        </w:rPr>
      </w:pPr>
    </w:p>
    <w:p w14:paraId="7F83701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第十一章  附则</w:t>
      </w:r>
    </w:p>
    <w:p w14:paraId="1433870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楷体" w:cs="Times New Roman"/>
          <w:b/>
          <w:bCs/>
          <w:color w:val="auto"/>
          <w:sz w:val="32"/>
          <w:szCs w:val="32"/>
          <w:lang w:val="en-US" w:eastAsia="zh-CN" w:bidi="ar-SA"/>
        </w:rPr>
        <w:t>第</w:t>
      </w:r>
      <w:r>
        <w:rPr>
          <w:rFonts w:hint="eastAsia" w:ascii="Times New Roman" w:hAnsi="Times New Roman" w:eastAsia="楷体" w:cs="Times New Roman"/>
          <w:b/>
          <w:bCs/>
          <w:color w:val="auto"/>
          <w:sz w:val="32"/>
          <w:szCs w:val="32"/>
          <w:lang w:val="en-US" w:eastAsia="zh-CN" w:bidi="ar-SA"/>
        </w:rPr>
        <w:t>三十</w:t>
      </w:r>
      <w:r>
        <w:rPr>
          <w:rFonts w:hint="eastAsia" w:eastAsia="楷体" w:cs="Times New Roman"/>
          <w:b/>
          <w:bCs/>
          <w:color w:val="auto"/>
          <w:sz w:val="32"/>
          <w:szCs w:val="32"/>
          <w:lang w:val="en-US" w:eastAsia="zh-CN" w:bidi="ar-SA"/>
        </w:rPr>
        <w:t>七</w:t>
      </w:r>
      <w:r>
        <w:rPr>
          <w:rFonts w:hint="default" w:ascii="Times New Roman" w:hAnsi="Times New Roman" w:eastAsia="楷体" w:cs="Times New Roman"/>
          <w:b/>
          <w:bCs/>
          <w:color w:val="auto"/>
          <w:sz w:val="32"/>
          <w:szCs w:val="32"/>
          <w:lang w:val="en-US" w:eastAsia="zh-CN" w:bidi="ar-SA"/>
        </w:rPr>
        <w:t>条</w:t>
      </w:r>
      <w:r>
        <w:rPr>
          <w:rFonts w:hint="default" w:ascii="Times New Roman" w:hAnsi="Times New Roman" w:eastAsia="仿宋" w:cs="Times New Roman"/>
          <w:color w:val="auto"/>
          <w:sz w:val="32"/>
          <w:szCs w:val="32"/>
          <w:lang w:val="en-US" w:eastAsia="zh-CN" w:bidi="ar-SA"/>
        </w:rPr>
        <w:t xml:space="preserve">  本办法由</w:t>
      </w:r>
      <w:r>
        <w:rPr>
          <w:rFonts w:hint="eastAsia" w:ascii="Times New Roman" w:hAnsi="Times New Roman" w:eastAsia="仿宋" w:cs="Times New Roman"/>
          <w:color w:val="auto"/>
          <w:sz w:val="32"/>
          <w:szCs w:val="32"/>
          <w:lang w:val="en-US" w:eastAsia="zh-CN" w:bidi="ar-SA"/>
        </w:rPr>
        <w:t>州发展改革委</w:t>
      </w:r>
      <w:r>
        <w:rPr>
          <w:rFonts w:hint="default" w:ascii="Times New Roman" w:hAnsi="Times New Roman" w:eastAsia="仿宋" w:cs="Times New Roman"/>
          <w:color w:val="auto"/>
          <w:sz w:val="32"/>
          <w:szCs w:val="32"/>
          <w:lang w:val="en-US" w:eastAsia="zh-CN" w:bidi="ar-SA"/>
        </w:rPr>
        <w:t>负责解释。</w:t>
      </w:r>
    </w:p>
    <w:p w14:paraId="4CC7AF5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楷体" w:cs="Times New Roman"/>
          <w:b/>
          <w:bCs/>
          <w:color w:val="auto"/>
          <w:sz w:val="32"/>
          <w:szCs w:val="32"/>
          <w:lang w:val="en-US" w:eastAsia="zh-CN" w:bidi="ar-SA"/>
        </w:rPr>
        <w:t>第</w:t>
      </w:r>
      <w:r>
        <w:rPr>
          <w:rFonts w:hint="eastAsia" w:ascii="Times New Roman" w:hAnsi="Times New Roman" w:eastAsia="楷体" w:cs="Times New Roman"/>
          <w:b/>
          <w:bCs/>
          <w:color w:val="auto"/>
          <w:sz w:val="32"/>
          <w:szCs w:val="32"/>
          <w:lang w:val="en-US" w:eastAsia="zh-CN" w:bidi="ar-SA"/>
        </w:rPr>
        <w:t>三十</w:t>
      </w:r>
      <w:r>
        <w:rPr>
          <w:rFonts w:hint="eastAsia" w:eastAsia="楷体" w:cs="Times New Roman"/>
          <w:b/>
          <w:bCs/>
          <w:color w:val="auto"/>
          <w:sz w:val="32"/>
          <w:szCs w:val="32"/>
          <w:lang w:val="en-US" w:eastAsia="zh-CN" w:bidi="ar-SA"/>
        </w:rPr>
        <w:t>八</w:t>
      </w:r>
      <w:r>
        <w:rPr>
          <w:rFonts w:hint="default" w:ascii="Times New Roman" w:hAnsi="Times New Roman" w:eastAsia="楷体" w:cs="Times New Roman"/>
          <w:b/>
          <w:bCs/>
          <w:color w:val="auto"/>
          <w:sz w:val="32"/>
          <w:szCs w:val="32"/>
          <w:lang w:val="en-US" w:eastAsia="zh-CN" w:bidi="ar-SA"/>
        </w:rPr>
        <w:t>条</w:t>
      </w:r>
      <w:r>
        <w:rPr>
          <w:rFonts w:hint="default" w:ascii="Times New Roman" w:hAnsi="Times New Roman" w:eastAsia="仿宋" w:cs="Times New Roman"/>
          <w:color w:val="auto"/>
          <w:sz w:val="32"/>
          <w:szCs w:val="32"/>
          <w:lang w:val="en-US" w:eastAsia="zh-CN" w:bidi="ar-SA"/>
        </w:rPr>
        <w:t xml:space="preserve">  各县（市）应</w:t>
      </w:r>
      <w:r>
        <w:rPr>
          <w:rFonts w:hint="eastAsia" w:ascii="Times New Roman" w:hAnsi="Times New Roman" w:eastAsia="仿宋" w:cs="Times New Roman"/>
          <w:color w:val="auto"/>
          <w:sz w:val="32"/>
          <w:szCs w:val="32"/>
          <w:lang w:val="en-US" w:eastAsia="zh-CN" w:bidi="ar-SA"/>
        </w:rPr>
        <w:t>当</w:t>
      </w:r>
      <w:r>
        <w:rPr>
          <w:rFonts w:hint="default" w:ascii="Times New Roman" w:hAnsi="Times New Roman" w:eastAsia="仿宋" w:cs="Times New Roman"/>
          <w:color w:val="auto"/>
          <w:sz w:val="32"/>
          <w:szCs w:val="32"/>
          <w:lang w:val="en-US" w:eastAsia="zh-CN" w:bidi="ar-SA"/>
        </w:rPr>
        <w:t>参照本办法，结合实际制定或修订本地区政府投资项目管理办法。</w:t>
      </w:r>
    </w:p>
    <w:p w14:paraId="679C053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宋体" w:cs="Times New Roman"/>
          <w:color w:val="auto"/>
          <w:lang w:eastAsia="zh-CN"/>
        </w:rPr>
      </w:pPr>
      <w:r>
        <w:rPr>
          <w:rFonts w:hint="default" w:ascii="Times New Roman" w:hAnsi="Times New Roman" w:eastAsia="楷体" w:cs="Times New Roman"/>
          <w:b/>
          <w:bCs/>
          <w:color w:val="auto"/>
          <w:sz w:val="32"/>
          <w:szCs w:val="32"/>
          <w:lang w:val="en-US" w:eastAsia="zh-CN" w:bidi="ar-SA"/>
        </w:rPr>
        <w:t>第</w:t>
      </w:r>
      <w:r>
        <w:rPr>
          <w:rFonts w:hint="eastAsia" w:ascii="Times New Roman" w:hAnsi="Times New Roman" w:eastAsia="楷体" w:cs="Times New Roman"/>
          <w:b/>
          <w:bCs/>
          <w:color w:val="auto"/>
          <w:sz w:val="32"/>
          <w:szCs w:val="32"/>
          <w:lang w:val="en-US" w:eastAsia="zh-CN" w:bidi="ar-SA"/>
        </w:rPr>
        <w:t>三十</w:t>
      </w:r>
      <w:r>
        <w:rPr>
          <w:rFonts w:hint="eastAsia" w:eastAsia="楷体" w:cs="Times New Roman"/>
          <w:b/>
          <w:bCs/>
          <w:color w:val="auto"/>
          <w:sz w:val="32"/>
          <w:szCs w:val="32"/>
          <w:lang w:val="en-US" w:eastAsia="zh-CN" w:bidi="ar-SA"/>
        </w:rPr>
        <w:t>九</w:t>
      </w:r>
      <w:r>
        <w:rPr>
          <w:rFonts w:hint="default" w:ascii="Times New Roman" w:hAnsi="Times New Roman" w:eastAsia="楷体" w:cs="Times New Roman"/>
          <w:b/>
          <w:bCs/>
          <w:color w:val="auto"/>
          <w:sz w:val="32"/>
          <w:szCs w:val="32"/>
          <w:lang w:val="en-US" w:eastAsia="zh-CN" w:bidi="ar-SA"/>
        </w:rPr>
        <w:t>条</w:t>
      </w:r>
      <w:r>
        <w:rPr>
          <w:rFonts w:hint="default" w:ascii="Times New Roman" w:hAnsi="Times New Roman" w:eastAsia="仿宋" w:cs="Times New Roman"/>
          <w:color w:val="auto"/>
          <w:sz w:val="32"/>
          <w:szCs w:val="32"/>
          <w:lang w:val="en-US" w:eastAsia="zh-CN" w:bidi="ar-SA"/>
        </w:rPr>
        <w:t xml:space="preserve">  本办法自发布之日起施行，有效期5年。原《阿坝州州本级政府投资项目前期决策管理办法》同时废止。</w:t>
      </w:r>
    </w:p>
    <w:sectPr>
      <w:footerReference r:id="rId5" w:type="default"/>
      <w:pgSz w:w="11906" w:h="16838"/>
      <w:pgMar w:top="2098" w:right="1474" w:bottom="1984" w:left="1587" w:header="851" w:footer="1474" w:gutter="0"/>
      <w:pgNumType w:fmt="numberInDash"/>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altName w:val="楷体_GB2312"/>
    <w:panose1 w:val="02010609060101010101"/>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
    <w:altName w:val="仿宋_GB2312"/>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D88D2">
    <w:pPr>
      <w:pStyle w:val="2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594A87EC">
                          <w:pPr>
                            <w:pStyle w:val="22"/>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OimN/XRAQAApwMAAA4AAAAAAAAAAQAgAAAAHgEAAGRy&#10;cy9lMm9Eb2MueG1sUEsFBgAAAAAGAAYAWQEAAGEFAAAAAA==&#10;">
              <v:fill on="f" focussize="0,0"/>
              <v:stroke on="f"/>
              <v:imagedata o:title=""/>
              <o:lock v:ext="edit" aspectratio="f"/>
              <v:textbox inset="0mm,0mm,0mm,0mm" style="mso-fit-shape-to-text:t;">
                <w:txbxContent>
                  <w:p w14:paraId="594A87EC">
                    <w:pPr>
                      <w:pStyle w:val="22"/>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FC4E21"/>
    <w:multiLevelType w:val="singleLevel"/>
    <w:tmpl w:val="FEFC4E21"/>
    <w:lvl w:ilvl="0" w:tentative="0">
      <w:start w:val="1"/>
      <w:numFmt w:val="bullet"/>
      <w:pStyle w:val="2"/>
      <w:lvlText w:val=""/>
      <w:lvlJc w:val="left"/>
      <w:pPr>
        <w:tabs>
          <w:tab w:val="left" w:pos="780"/>
        </w:tabs>
        <w:ind w:left="7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0"/>
  <w:drawingGridVerticalSpacing w:val="312"/>
  <w:displayHorizontalDrawingGridEvery w:val="0"/>
  <w:displayVerticalDrawingGridEvery w:val="1"/>
  <w:noPunctuationKerning w:val="1"/>
  <w:characterSpacingControl w:val="compressPunctuation"/>
  <w:footnotePr>
    <w:footnote w:id="0"/>
    <w:footnote w:id="1"/>
  </w:footnotePr>
  <w:endnotePr>
    <w:endnote w:id="0"/>
    <w:endnote w:id="1"/>
  </w:endnotePr>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7DF4214"/>
    <w:rsid w:val="7EFF1259"/>
    <w:rsid w:val="7F7B604A"/>
    <w:rsid w:val="7FDB902D"/>
    <w:rsid w:val="96FD34D2"/>
    <w:rsid w:val="D7EE2054"/>
    <w:rsid w:val="DFAB0AD9"/>
    <w:rsid w:val="FB7DCD99"/>
    <w:rsid w:val="FBFFF77C"/>
    <w:rsid w:val="FF7D0E1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both"/>
    </w:pPr>
    <w:rPr>
      <w:rFonts w:hint="default"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spacing w:before="340" w:after="330" w:line="578" w:lineRule="auto"/>
      <w:outlineLvl w:val="0"/>
    </w:pPr>
    <w:rPr>
      <w:b/>
      <w:kern w:val="44"/>
      <w:sz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paragraph" w:styleId="6">
    <w:name w:val="heading 4"/>
    <w:basedOn w:val="1"/>
    <w:next w:val="1"/>
    <w:link w:val="43"/>
    <w:unhideWhenUsed/>
    <w:qFormat/>
    <w:uiPriority w:val="9"/>
    <w:pPr>
      <w:keepNext/>
      <w:keepLines/>
      <w:spacing w:before="320" w:after="200"/>
      <w:outlineLvl w:val="3"/>
    </w:pPr>
    <w:rPr>
      <w:rFonts w:ascii="Arial" w:hAnsi="Arial" w:eastAsia="Arial" w:cs="Arial"/>
      <w:b/>
      <w:bCs/>
      <w:sz w:val="26"/>
      <w:szCs w:val="26"/>
    </w:rPr>
  </w:style>
  <w:style w:type="paragraph" w:styleId="7">
    <w:name w:val="heading 5"/>
    <w:basedOn w:val="1"/>
    <w:next w:val="1"/>
    <w:link w:val="44"/>
    <w:unhideWhenUsed/>
    <w:qFormat/>
    <w:uiPriority w:val="9"/>
    <w:pPr>
      <w:keepNext/>
      <w:keepLines/>
      <w:spacing w:before="320" w:after="200"/>
      <w:outlineLvl w:val="4"/>
    </w:pPr>
    <w:rPr>
      <w:rFonts w:ascii="Arial" w:hAnsi="Arial" w:eastAsia="Arial" w:cs="Arial"/>
      <w:b/>
      <w:bCs/>
      <w:sz w:val="24"/>
      <w:szCs w:val="24"/>
    </w:rPr>
  </w:style>
  <w:style w:type="paragraph" w:styleId="8">
    <w:name w:val="heading 6"/>
    <w:basedOn w:val="1"/>
    <w:next w:val="1"/>
    <w:link w:val="45"/>
    <w:unhideWhenUsed/>
    <w:qFormat/>
    <w:uiPriority w:val="9"/>
    <w:pPr>
      <w:keepNext/>
      <w:keepLines/>
      <w:spacing w:before="320" w:after="200"/>
      <w:outlineLvl w:val="5"/>
    </w:pPr>
    <w:rPr>
      <w:rFonts w:ascii="Arial" w:hAnsi="Arial" w:eastAsia="Arial" w:cs="Arial"/>
      <w:b/>
      <w:bCs/>
      <w:sz w:val="22"/>
      <w:szCs w:val="22"/>
    </w:rPr>
  </w:style>
  <w:style w:type="paragraph" w:styleId="9">
    <w:name w:val="heading 7"/>
    <w:basedOn w:val="1"/>
    <w:next w:val="1"/>
    <w:link w:val="46"/>
    <w:unhideWhenUsed/>
    <w:qFormat/>
    <w:uiPriority w:val="9"/>
    <w:pPr>
      <w:keepNext/>
      <w:keepLines/>
      <w:spacing w:before="320" w:after="200"/>
      <w:outlineLvl w:val="6"/>
    </w:pPr>
    <w:rPr>
      <w:rFonts w:ascii="Arial" w:hAnsi="Arial" w:eastAsia="Arial" w:cs="Arial"/>
      <w:b/>
      <w:bCs/>
      <w:i/>
      <w:iCs/>
      <w:sz w:val="22"/>
      <w:szCs w:val="22"/>
    </w:rPr>
  </w:style>
  <w:style w:type="paragraph" w:styleId="10">
    <w:name w:val="heading 8"/>
    <w:basedOn w:val="1"/>
    <w:next w:val="1"/>
    <w:link w:val="47"/>
    <w:unhideWhenUsed/>
    <w:qFormat/>
    <w:uiPriority w:val="9"/>
    <w:pPr>
      <w:keepNext/>
      <w:keepLines/>
      <w:spacing w:before="320" w:after="200"/>
      <w:outlineLvl w:val="7"/>
    </w:pPr>
    <w:rPr>
      <w:rFonts w:ascii="Arial" w:hAnsi="Arial" w:eastAsia="Arial" w:cs="Arial"/>
      <w:i/>
      <w:iCs/>
      <w:sz w:val="22"/>
      <w:szCs w:val="22"/>
    </w:rPr>
  </w:style>
  <w:style w:type="paragraph" w:styleId="11">
    <w:name w:val="heading 9"/>
    <w:basedOn w:val="1"/>
    <w:next w:val="1"/>
    <w:link w:val="48"/>
    <w:unhideWhenUsed/>
    <w:qFormat/>
    <w:uiPriority w:val="9"/>
    <w:pPr>
      <w:keepNext/>
      <w:keepLines/>
      <w:spacing w:before="320" w:after="200"/>
      <w:outlineLvl w:val="8"/>
    </w:pPr>
    <w:rPr>
      <w:rFonts w:ascii="Arial" w:hAnsi="Arial" w:eastAsia="Arial" w:cs="Arial"/>
      <w:i/>
      <w:iCs/>
      <w:sz w:val="21"/>
      <w:szCs w:val="21"/>
    </w:rPr>
  </w:style>
  <w:style w:type="character" w:default="1" w:styleId="36">
    <w:name w:val="Default Paragraph Font"/>
    <w:qFormat/>
    <w:uiPriority w:val="0"/>
  </w:style>
  <w:style w:type="table" w:default="1" w:styleId="34">
    <w:name w:val="Normal Table"/>
    <w:semiHidden/>
    <w:qFormat/>
    <w:uiPriority w:val="0"/>
    <w:tblPr>
      <w:tblCellMar>
        <w:top w:w="0" w:type="dxa"/>
        <w:left w:w="108" w:type="dxa"/>
        <w:bottom w:w="0" w:type="dxa"/>
        <w:right w:w="108" w:type="dxa"/>
      </w:tblCellMar>
    </w:tblPr>
  </w:style>
  <w:style w:type="paragraph" w:styleId="2">
    <w:name w:val="List Bullet 2"/>
    <w:basedOn w:val="1"/>
    <w:semiHidden/>
    <w:unhideWhenUsed/>
    <w:qFormat/>
    <w:uiPriority w:val="99"/>
    <w:pPr>
      <w:numPr>
        <w:ilvl w:val="0"/>
        <w:numId w:val="1"/>
      </w:numPr>
    </w:pPr>
  </w:style>
  <w:style w:type="paragraph" w:styleId="12">
    <w:name w:val="toc 7"/>
    <w:basedOn w:val="1"/>
    <w:next w:val="1"/>
    <w:unhideWhenUsed/>
    <w:qFormat/>
    <w:uiPriority w:val="39"/>
    <w:pPr>
      <w:spacing w:after="57"/>
      <w:ind w:left="1701" w:right="0" w:firstLine="0"/>
    </w:pPr>
  </w:style>
  <w:style w:type="paragraph" w:styleId="13">
    <w:name w:val="index 8"/>
    <w:basedOn w:val="1"/>
    <w:next w:val="1"/>
    <w:qFormat/>
    <w:uiPriority w:val="0"/>
    <w:pPr>
      <w:ind w:left="2940"/>
    </w:pPr>
  </w:style>
  <w:style w:type="paragraph" w:styleId="14">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5">
    <w:name w:val="index 5"/>
    <w:basedOn w:val="1"/>
    <w:next w:val="1"/>
    <w:qFormat/>
    <w:uiPriority w:val="0"/>
    <w:pPr>
      <w:widowControl w:val="0"/>
      <w:spacing w:line="360" w:lineRule="auto"/>
      <w:ind w:left="1680" w:firstLine="200" w:firstLineChars="200"/>
      <w:jc w:val="both"/>
    </w:pPr>
    <w:rPr>
      <w:rFonts w:ascii="仿宋_GB2312" w:eastAsia="仿宋_GB2312" w:cs="Arial"/>
      <w:kern w:val="2"/>
      <w:sz w:val="32"/>
      <w:szCs w:val="32"/>
      <w:lang w:val="en-US" w:eastAsia="zh-CN" w:bidi="ar-SA"/>
    </w:rPr>
  </w:style>
  <w:style w:type="paragraph" w:styleId="16">
    <w:name w:val="Body Text Indent"/>
    <w:basedOn w:val="1"/>
    <w:next w:val="17"/>
    <w:qFormat/>
    <w:uiPriority w:val="0"/>
    <w:pPr>
      <w:spacing w:after="120"/>
      <w:ind w:left="420"/>
    </w:pPr>
  </w:style>
  <w:style w:type="paragraph" w:styleId="17">
    <w:name w:val="Body Text First Indent 2"/>
    <w:basedOn w:val="16"/>
    <w:next w:val="1"/>
    <w:qFormat/>
    <w:uiPriority w:val="0"/>
    <w:pPr>
      <w:widowControl w:val="0"/>
      <w:ind w:left="200" w:leftChars="200" w:firstLine="200" w:firstLineChars="200"/>
    </w:pPr>
    <w:rPr>
      <w:rFonts w:ascii="Calibri" w:hAnsi="Calibri"/>
      <w:szCs w:val="24"/>
    </w:rPr>
  </w:style>
  <w:style w:type="paragraph" w:styleId="18">
    <w:name w:val="toc 5"/>
    <w:basedOn w:val="1"/>
    <w:next w:val="1"/>
    <w:unhideWhenUsed/>
    <w:qFormat/>
    <w:uiPriority w:val="39"/>
    <w:pPr>
      <w:spacing w:after="57"/>
      <w:ind w:left="1134" w:right="0" w:firstLine="0"/>
    </w:pPr>
  </w:style>
  <w:style w:type="paragraph" w:styleId="19">
    <w:name w:val="toc 3"/>
    <w:basedOn w:val="1"/>
    <w:next w:val="1"/>
    <w:unhideWhenUsed/>
    <w:qFormat/>
    <w:uiPriority w:val="39"/>
    <w:pPr>
      <w:spacing w:after="57"/>
      <w:ind w:left="567" w:right="0" w:firstLine="0"/>
    </w:pPr>
  </w:style>
  <w:style w:type="paragraph" w:styleId="20">
    <w:name w:val="toc 8"/>
    <w:basedOn w:val="1"/>
    <w:next w:val="1"/>
    <w:unhideWhenUsed/>
    <w:qFormat/>
    <w:uiPriority w:val="39"/>
    <w:pPr>
      <w:spacing w:after="57"/>
      <w:ind w:left="1984" w:right="0" w:firstLine="0"/>
    </w:pPr>
  </w:style>
  <w:style w:type="paragraph" w:styleId="21">
    <w:name w:val="endnote text"/>
    <w:basedOn w:val="1"/>
    <w:link w:val="186"/>
    <w:semiHidden/>
    <w:unhideWhenUsed/>
    <w:qFormat/>
    <w:uiPriority w:val="99"/>
    <w:pPr>
      <w:spacing w:after="0" w:line="240" w:lineRule="auto"/>
    </w:pPr>
    <w:rPr>
      <w:sz w:val="20"/>
    </w:rPr>
  </w:style>
  <w:style w:type="paragraph" w:styleId="22">
    <w:name w:val="footer"/>
    <w:basedOn w:val="1"/>
    <w:qFormat/>
    <w:uiPriority w:val="0"/>
    <w:pPr>
      <w:tabs>
        <w:tab w:val="center" w:pos="4153"/>
        <w:tab w:val="right" w:pos="8306"/>
      </w:tabs>
      <w:snapToGrid w:val="0"/>
      <w:jc w:val="left"/>
    </w:pPr>
    <w:rPr>
      <w:sz w:val="18"/>
    </w:rPr>
  </w:style>
  <w:style w:type="paragraph" w:styleId="23">
    <w:name w:val="header"/>
    <w:basedOn w:val="1"/>
    <w:link w:val="57"/>
    <w:unhideWhenUsed/>
    <w:qFormat/>
    <w:uiPriority w:val="99"/>
    <w:pPr>
      <w:tabs>
        <w:tab w:val="center" w:pos="7143"/>
        <w:tab w:val="right" w:pos="14287"/>
      </w:tabs>
      <w:spacing w:after="0" w:line="240" w:lineRule="auto"/>
    </w:pPr>
  </w:style>
  <w:style w:type="paragraph" w:styleId="24">
    <w:name w:val="toc 1"/>
    <w:basedOn w:val="1"/>
    <w:next w:val="1"/>
    <w:unhideWhenUsed/>
    <w:qFormat/>
    <w:uiPriority w:val="39"/>
    <w:pPr>
      <w:spacing w:after="57"/>
      <w:ind w:left="0" w:right="0" w:firstLine="0"/>
    </w:pPr>
  </w:style>
  <w:style w:type="paragraph" w:styleId="25">
    <w:name w:val="toc 4"/>
    <w:basedOn w:val="1"/>
    <w:next w:val="1"/>
    <w:unhideWhenUsed/>
    <w:qFormat/>
    <w:uiPriority w:val="39"/>
    <w:pPr>
      <w:spacing w:after="57"/>
      <w:ind w:left="850" w:right="0" w:firstLine="0"/>
    </w:pPr>
  </w:style>
  <w:style w:type="paragraph" w:styleId="26">
    <w:name w:val="Subtitle"/>
    <w:basedOn w:val="1"/>
    <w:next w:val="1"/>
    <w:link w:val="52"/>
    <w:qFormat/>
    <w:uiPriority w:val="11"/>
    <w:pPr>
      <w:spacing w:before="200" w:after="200"/>
    </w:pPr>
    <w:rPr>
      <w:sz w:val="24"/>
      <w:szCs w:val="24"/>
    </w:rPr>
  </w:style>
  <w:style w:type="paragraph" w:styleId="27">
    <w:name w:val="footnote text"/>
    <w:basedOn w:val="1"/>
    <w:link w:val="185"/>
    <w:semiHidden/>
    <w:unhideWhenUsed/>
    <w:qFormat/>
    <w:uiPriority w:val="99"/>
    <w:pPr>
      <w:spacing w:after="40" w:line="240" w:lineRule="auto"/>
    </w:pPr>
    <w:rPr>
      <w:sz w:val="18"/>
    </w:rPr>
  </w:style>
  <w:style w:type="paragraph" w:styleId="28">
    <w:name w:val="toc 6"/>
    <w:basedOn w:val="1"/>
    <w:next w:val="1"/>
    <w:unhideWhenUsed/>
    <w:qFormat/>
    <w:uiPriority w:val="39"/>
    <w:pPr>
      <w:spacing w:after="57"/>
      <w:ind w:left="1417" w:right="0" w:firstLine="0"/>
    </w:pPr>
  </w:style>
  <w:style w:type="paragraph" w:styleId="29">
    <w:name w:val="table of figures"/>
    <w:basedOn w:val="1"/>
    <w:next w:val="1"/>
    <w:unhideWhenUsed/>
    <w:qFormat/>
    <w:uiPriority w:val="99"/>
    <w:pPr>
      <w:spacing w:after="0" w:afterAutospacing="0"/>
    </w:pPr>
  </w:style>
  <w:style w:type="paragraph" w:styleId="30">
    <w:name w:val="toc 2"/>
    <w:basedOn w:val="1"/>
    <w:next w:val="1"/>
    <w:unhideWhenUsed/>
    <w:qFormat/>
    <w:uiPriority w:val="39"/>
    <w:pPr>
      <w:spacing w:after="57"/>
      <w:ind w:left="283" w:right="0" w:firstLine="0"/>
    </w:pPr>
  </w:style>
  <w:style w:type="paragraph" w:styleId="31">
    <w:name w:val="toc 9"/>
    <w:basedOn w:val="1"/>
    <w:next w:val="1"/>
    <w:unhideWhenUsed/>
    <w:qFormat/>
    <w:uiPriority w:val="39"/>
    <w:pPr>
      <w:spacing w:after="57"/>
      <w:ind w:left="2268" w:right="0" w:firstLine="0"/>
    </w:pPr>
  </w:style>
  <w:style w:type="paragraph" w:styleId="3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bidi="ar"/>
    </w:rPr>
  </w:style>
  <w:style w:type="paragraph" w:styleId="33">
    <w:name w:val="Title"/>
    <w:basedOn w:val="1"/>
    <w:next w:val="1"/>
    <w:link w:val="51"/>
    <w:qFormat/>
    <w:uiPriority w:val="10"/>
    <w:pPr>
      <w:spacing w:before="300" w:after="200"/>
      <w:contextualSpacing/>
    </w:pPr>
    <w:rPr>
      <w:sz w:val="48"/>
      <w:szCs w:val="48"/>
    </w:rPr>
  </w:style>
  <w:style w:type="table" w:styleId="35">
    <w:name w:val="Table Grid"/>
    <w:basedOn w:val="34"/>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7">
    <w:name w:val="endnote reference"/>
    <w:basedOn w:val="36"/>
    <w:semiHidden/>
    <w:unhideWhenUsed/>
    <w:qFormat/>
    <w:uiPriority w:val="99"/>
    <w:rPr>
      <w:vertAlign w:val="superscript"/>
    </w:rPr>
  </w:style>
  <w:style w:type="character" w:styleId="38">
    <w:name w:val="Hyperlink"/>
    <w:unhideWhenUsed/>
    <w:qFormat/>
    <w:uiPriority w:val="99"/>
    <w:rPr>
      <w:color w:val="0000FF" w:themeColor="hyperlink"/>
      <w:u w:val="single"/>
      <w14:textFill>
        <w14:solidFill>
          <w14:schemeClr w14:val="hlink"/>
        </w14:solidFill>
      </w14:textFill>
    </w:rPr>
  </w:style>
  <w:style w:type="character" w:styleId="39">
    <w:name w:val="footnote reference"/>
    <w:basedOn w:val="36"/>
    <w:unhideWhenUsed/>
    <w:qFormat/>
    <w:uiPriority w:val="99"/>
    <w:rPr>
      <w:vertAlign w:val="superscript"/>
    </w:rPr>
  </w:style>
  <w:style w:type="character" w:customStyle="1" w:styleId="40">
    <w:name w:val="Heading 1 Char"/>
    <w:basedOn w:val="36"/>
    <w:qFormat/>
    <w:uiPriority w:val="9"/>
    <w:rPr>
      <w:rFonts w:ascii="Arial" w:hAnsi="Arial" w:eastAsia="Arial" w:cs="Arial"/>
      <w:sz w:val="40"/>
      <w:szCs w:val="40"/>
    </w:rPr>
  </w:style>
  <w:style w:type="character" w:customStyle="1" w:styleId="41">
    <w:name w:val="Heading 2 Char"/>
    <w:basedOn w:val="36"/>
    <w:qFormat/>
    <w:uiPriority w:val="9"/>
    <w:rPr>
      <w:rFonts w:ascii="Arial" w:hAnsi="Arial" w:eastAsia="Arial" w:cs="Arial"/>
      <w:sz w:val="34"/>
    </w:rPr>
  </w:style>
  <w:style w:type="character" w:customStyle="1" w:styleId="42">
    <w:name w:val="Heading 3 Char"/>
    <w:basedOn w:val="36"/>
    <w:qFormat/>
    <w:uiPriority w:val="9"/>
    <w:rPr>
      <w:rFonts w:ascii="Arial" w:hAnsi="Arial" w:eastAsia="Arial" w:cs="Arial"/>
      <w:sz w:val="30"/>
      <w:szCs w:val="30"/>
    </w:rPr>
  </w:style>
  <w:style w:type="character" w:customStyle="1" w:styleId="43">
    <w:name w:val="Heading 4 Char"/>
    <w:basedOn w:val="36"/>
    <w:link w:val="6"/>
    <w:qFormat/>
    <w:uiPriority w:val="9"/>
    <w:rPr>
      <w:rFonts w:ascii="Arial" w:hAnsi="Arial" w:eastAsia="Arial" w:cs="Arial"/>
      <w:b/>
      <w:bCs/>
      <w:sz w:val="26"/>
      <w:szCs w:val="26"/>
    </w:rPr>
  </w:style>
  <w:style w:type="character" w:customStyle="1" w:styleId="44">
    <w:name w:val="Heading 5 Char"/>
    <w:basedOn w:val="36"/>
    <w:link w:val="7"/>
    <w:qFormat/>
    <w:uiPriority w:val="9"/>
    <w:rPr>
      <w:rFonts w:ascii="Arial" w:hAnsi="Arial" w:eastAsia="Arial" w:cs="Arial"/>
      <w:b/>
      <w:bCs/>
      <w:sz w:val="24"/>
      <w:szCs w:val="24"/>
    </w:rPr>
  </w:style>
  <w:style w:type="character" w:customStyle="1" w:styleId="45">
    <w:name w:val="Heading 6 Char"/>
    <w:basedOn w:val="36"/>
    <w:link w:val="8"/>
    <w:qFormat/>
    <w:uiPriority w:val="9"/>
    <w:rPr>
      <w:rFonts w:ascii="Arial" w:hAnsi="Arial" w:eastAsia="Arial" w:cs="Arial"/>
      <w:b/>
      <w:bCs/>
      <w:sz w:val="22"/>
      <w:szCs w:val="22"/>
    </w:rPr>
  </w:style>
  <w:style w:type="character" w:customStyle="1" w:styleId="46">
    <w:name w:val="Heading 7 Char"/>
    <w:basedOn w:val="36"/>
    <w:link w:val="9"/>
    <w:qFormat/>
    <w:uiPriority w:val="9"/>
    <w:rPr>
      <w:rFonts w:ascii="Arial" w:hAnsi="Arial" w:eastAsia="Arial" w:cs="Arial"/>
      <w:b/>
      <w:bCs/>
      <w:i/>
      <w:iCs/>
      <w:sz w:val="22"/>
      <w:szCs w:val="22"/>
    </w:rPr>
  </w:style>
  <w:style w:type="character" w:customStyle="1" w:styleId="47">
    <w:name w:val="Heading 8 Char"/>
    <w:basedOn w:val="36"/>
    <w:link w:val="10"/>
    <w:qFormat/>
    <w:uiPriority w:val="9"/>
    <w:rPr>
      <w:rFonts w:ascii="Arial" w:hAnsi="Arial" w:eastAsia="Arial" w:cs="Arial"/>
      <w:i/>
      <w:iCs/>
      <w:sz w:val="22"/>
      <w:szCs w:val="22"/>
    </w:rPr>
  </w:style>
  <w:style w:type="character" w:customStyle="1" w:styleId="48">
    <w:name w:val="Heading 9 Char"/>
    <w:basedOn w:val="36"/>
    <w:link w:val="11"/>
    <w:qFormat/>
    <w:uiPriority w:val="9"/>
    <w:rPr>
      <w:rFonts w:ascii="Arial" w:hAnsi="Arial" w:eastAsia="Arial" w:cs="Arial"/>
      <w:i/>
      <w:iCs/>
      <w:sz w:val="21"/>
      <w:szCs w:val="21"/>
    </w:rPr>
  </w:style>
  <w:style w:type="paragraph" w:styleId="49">
    <w:name w:val="List Paragraph"/>
    <w:basedOn w:val="1"/>
    <w:qFormat/>
    <w:uiPriority w:val="34"/>
    <w:pPr>
      <w:ind w:left="720"/>
      <w:contextualSpacing/>
    </w:pPr>
  </w:style>
  <w:style w:type="paragraph" w:styleId="50">
    <w:name w:val="No Spacing"/>
    <w:qFormat/>
    <w:uiPriority w:val="1"/>
    <w:pPr>
      <w:spacing w:before="0" w:after="0" w:line="240" w:lineRule="auto"/>
    </w:pPr>
    <w:rPr>
      <w:rFonts w:hint="default" w:ascii="Times New Roman" w:hAnsi="Times New Roman" w:eastAsia="宋体" w:cs="Times New Roman"/>
    </w:rPr>
  </w:style>
  <w:style w:type="character" w:customStyle="1" w:styleId="51">
    <w:name w:val="Title Char"/>
    <w:basedOn w:val="36"/>
    <w:link w:val="33"/>
    <w:qFormat/>
    <w:uiPriority w:val="10"/>
    <w:rPr>
      <w:sz w:val="48"/>
      <w:szCs w:val="48"/>
    </w:rPr>
  </w:style>
  <w:style w:type="character" w:customStyle="1" w:styleId="52">
    <w:name w:val="Subtitle Char"/>
    <w:basedOn w:val="36"/>
    <w:link w:val="26"/>
    <w:qFormat/>
    <w:uiPriority w:val="11"/>
    <w:rPr>
      <w:sz w:val="24"/>
      <w:szCs w:val="24"/>
    </w:rPr>
  </w:style>
  <w:style w:type="paragraph" w:styleId="53">
    <w:name w:val="Quote"/>
    <w:basedOn w:val="1"/>
    <w:next w:val="1"/>
    <w:link w:val="54"/>
    <w:qFormat/>
    <w:uiPriority w:val="29"/>
    <w:pPr>
      <w:ind w:left="720" w:right="720"/>
    </w:pPr>
    <w:rPr>
      <w:i/>
    </w:rPr>
  </w:style>
  <w:style w:type="character" w:customStyle="1" w:styleId="54">
    <w:name w:val="Quote Char"/>
    <w:link w:val="53"/>
    <w:qFormat/>
    <w:uiPriority w:val="29"/>
    <w:rPr>
      <w:i/>
    </w:rPr>
  </w:style>
  <w:style w:type="paragraph" w:styleId="55">
    <w:name w:val="Intense Quote"/>
    <w:basedOn w:val="1"/>
    <w:next w:val="1"/>
    <w:link w:val="56"/>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6">
    <w:name w:val="Intense Quote Char"/>
    <w:link w:val="55"/>
    <w:qFormat/>
    <w:uiPriority w:val="30"/>
    <w:rPr>
      <w:i/>
    </w:rPr>
  </w:style>
  <w:style w:type="character" w:customStyle="1" w:styleId="57">
    <w:name w:val="Header Char"/>
    <w:basedOn w:val="36"/>
    <w:link w:val="23"/>
    <w:qFormat/>
    <w:uiPriority w:val="99"/>
  </w:style>
  <w:style w:type="character" w:customStyle="1" w:styleId="58">
    <w:name w:val="Footer Char"/>
    <w:basedOn w:val="36"/>
    <w:qFormat/>
    <w:uiPriority w:val="99"/>
  </w:style>
  <w:style w:type="character" w:customStyle="1" w:styleId="59">
    <w:name w:val="Caption Char"/>
    <w:qFormat/>
    <w:uiPriority w:val="99"/>
  </w:style>
  <w:style w:type="table" w:customStyle="1" w:styleId="60">
    <w:name w:val="Table Grid Light"/>
    <w:basedOn w:val="34"/>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61">
    <w:name w:val="Plain Table 1"/>
    <w:basedOn w:val="34"/>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62">
    <w:name w:val="Plain Table 2"/>
    <w:basedOn w:val="34"/>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3">
    <w:name w:val="Plain Table 3"/>
    <w:basedOn w:val="34"/>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4">
    <w:name w:val="Plain Table 4"/>
    <w:basedOn w:val="3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5">
    <w:name w:val="Plain Table 5"/>
    <w:basedOn w:val="34"/>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6">
    <w:name w:val="Grid Table 1 Light"/>
    <w:basedOn w:val="34"/>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7">
    <w:name w:val="Grid Table 1 Light - Accent 1"/>
    <w:basedOn w:val="34"/>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68">
    <w:name w:val="Grid Table 1 Light - Accent 2"/>
    <w:basedOn w:val="34"/>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69">
    <w:name w:val="Grid Table 1 Light - Accent 3"/>
    <w:basedOn w:val="34"/>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70">
    <w:name w:val="Grid Table 1 Light - Accent 4"/>
    <w:basedOn w:val="3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71">
    <w:name w:val="Grid Table 1 Light - Accent 5"/>
    <w:basedOn w:val="34"/>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72">
    <w:name w:val="Grid Table 1 Light - Accent 6"/>
    <w:basedOn w:val="34"/>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73">
    <w:name w:val="Grid Table 2"/>
    <w:basedOn w:val="34"/>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4">
    <w:name w:val="Grid Table 2 - Accent 1"/>
    <w:basedOn w:val="34"/>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5">
    <w:name w:val="Grid Table 2 - Accent 2"/>
    <w:basedOn w:val="34"/>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6">
    <w:name w:val="Grid Table 2 - Accent 3"/>
    <w:basedOn w:val="34"/>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7">
    <w:name w:val="Grid Table 2 - Accent 4"/>
    <w:basedOn w:val="3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8">
    <w:name w:val="Grid Table 2 - Accent 5"/>
    <w:basedOn w:val="34"/>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9">
    <w:name w:val="Grid Table 2 - Accent 6"/>
    <w:basedOn w:val="34"/>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0">
    <w:name w:val="Grid Table 3"/>
    <w:basedOn w:val="34"/>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1">
    <w:name w:val="Grid Table 3 - Accent 1"/>
    <w:basedOn w:val="34"/>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2">
    <w:name w:val="Grid Table 3 - Accent 2"/>
    <w:basedOn w:val="34"/>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3">
    <w:name w:val="Grid Table 3 - Accent 3"/>
    <w:basedOn w:val="34"/>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4">
    <w:name w:val="Grid Table 3 - Accent 4"/>
    <w:basedOn w:val="3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5">
    <w:name w:val="Grid Table 3 - Accent 5"/>
    <w:basedOn w:val="34"/>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6">
    <w:name w:val="Grid Table 3 - Accent 6"/>
    <w:basedOn w:val="34"/>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7">
    <w:name w:val="Grid Table 4"/>
    <w:basedOn w:val="3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8">
    <w:name w:val="Grid Table 4 - Accent 1"/>
    <w:basedOn w:val="34"/>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89">
    <w:name w:val="Grid Table 4 - Accent 2"/>
    <w:basedOn w:val="34"/>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0">
    <w:name w:val="Grid Table 4 - Accent 3"/>
    <w:basedOn w:val="34"/>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1">
    <w:name w:val="Grid Table 4 - Accent 4"/>
    <w:basedOn w:val="34"/>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2">
    <w:name w:val="Grid Table 4 - Accent 5"/>
    <w:basedOn w:val="34"/>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3">
    <w:name w:val="Grid Table 4 - Accent 6"/>
    <w:basedOn w:val="34"/>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4">
    <w:name w:val="Grid Table 5 Dark"/>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5">
    <w:name w:val="Grid Table 5 Dark- Accent 1"/>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96">
    <w:name w:val="Grid Table 5 Dark - Accent 2"/>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97">
    <w:name w:val="Grid Table 5 Dark - Accent 3"/>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98">
    <w:name w:val="Grid Table 5 Dark- Accent 4"/>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99">
    <w:name w:val="Grid Table 5 Dark - Accent 5"/>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00">
    <w:name w:val="Grid Table 5 Dark - Accent 6"/>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01">
    <w:name w:val="Grid Table 6 Colorful"/>
    <w:basedOn w:val="34"/>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2">
    <w:name w:val="Grid Table 6 Colorful - Accent 1"/>
    <w:basedOn w:val="34"/>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3">
    <w:name w:val="Grid Table 6 Colorful - Accent 2"/>
    <w:basedOn w:val="34"/>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4">
    <w:name w:val="Grid Table 6 Colorful - Accent 3"/>
    <w:basedOn w:val="34"/>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05">
    <w:name w:val="Grid Table 6 Colorful - Accent 4"/>
    <w:basedOn w:val="3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6">
    <w:name w:val="Grid Table 6 Colorful - Accent 5"/>
    <w:basedOn w:val="34"/>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7">
    <w:name w:val="Grid Table 6 Colorful - Accent 6"/>
    <w:basedOn w:val="34"/>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08">
    <w:name w:val="Grid Table 7 Colorful"/>
    <w:basedOn w:val="34"/>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9">
    <w:name w:val="Grid Table 7 Colorful - Accent 1"/>
    <w:basedOn w:val="34"/>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10">
    <w:name w:val="Grid Table 7 Colorful - Accent 2"/>
    <w:basedOn w:val="34"/>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11">
    <w:name w:val="Grid Table 7 Colorful - Accent 3"/>
    <w:basedOn w:val="34"/>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12">
    <w:name w:val="Grid Table 7 Colorful - Accent 4"/>
    <w:basedOn w:val="34"/>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3">
    <w:name w:val="Grid Table 7 Colorful - Accent 5"/>
    <w:basedOn w:val="34"/>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4">
    <w:name w:val="Grid Table 7 Colorful - Accent 6"/>
    <w:basedOn w:val="34"/>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15">
    <w:name w:val="List Table 1 Light"/>
    <w:basedOn w:val="34"/>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6">
    <w:name w:val="List Table 1 Light - Accent 1"/>
    <w:basedOn w:val="34"/>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17">
    <w:name w:val="List Table 1 Light - Accent 2"/>
    <w:basedOn w:val="34"/>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18">
    <w:name w:val="List Table 1 Light - Accent 3"/>
    <w:basedOn w:val="34"/>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19">
    <w:name w:val="List Table 1 Light - Accent 4"/>
    <w:basedOn w:val="34"/>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20">
    <w:name w:val="List Table 1 Light - Accent 5"/>
    <w:basedOn w:val="34"/>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21">
    <w:name w:val="List Table 1 Light - Accent 6"/>
    <w:basedOn w:val="34"/>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22">
    <w:name w:val="List Table 2"/>
    <w:basedOn w:val="34"/>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3">
    <w:name w:val="List Table 2 - Accent 1"/>
    <w:basedOn w:val="34"/>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4">
    <w:name w:val="List Table 2 - Accent 2"/>
    <w:basedOn w:val="34"/>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25">
    <w:name w:val="List Table 2 - Accent 3"/>
    <w:basedOn w:val="34"/>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6">
    <w:name w:val="List Table 2 - Accent 4"/>
    <w:basedOn w:val="34"/>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27">
    <w:name w:val="List Table 2 - Accent 5"/>
    <w:basedOn w:val="34"/>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8">
    <w:name w:val="List Table 2 - Accent 6"/>
    <w:basedOn w:val="34"/>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29">
    <w:name w:val="List Table 3"/>
    <w:basedOn w:val="3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30">
    <w:name w:val="List Table 3 - Accent 1"/>
    <w:basedOn w:val="34"/>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31">
    <w:name w:val="List Table 3 - Accent 2"/>
    <w:basedOn w:val="34"/>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32">
    <w:name w:val="List Table 3 - Accent 3"/>
    <w:basedOn w:val="34"/>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33">
    <w:name w:val="List Table 3 - Accent 4"/>
    <w:basedOn w:val="3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34">
    <w:name w:val="List Table 3 - Accent 5"/>
    <w:basedOn w:val="34"/>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35">
    <w:name w:val="List Table 3 - Accent 6"/>
    <w:basedOn w:val="34"/>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36">
    <w:name w:val="List Table 4"/>
    <w:basedOn w:val="3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7">
    <w:name w:val="List Table 4 - Accent 1"/>
    <w:basedOn w:val="34"/>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8">
    <w:name w:val="List Table 4 - Accent 2"/>
    <w:basedOn w:val="34"/>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9">
    <w:name w:val="List Table 4 - Accent 3"/>
    <w:basedOn w:val="34"/>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40">
    <w:name w:val="List Table 4 - Accent 4"/>
    <w:basedOn w:val="34"/>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41">
    <w:name w:val="List Table 4 - Accent 5"/>
    <w:basedOn w:val="34"/>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2">
    <w:name w:val="List Table 4 - Accent 6"/>
    <w:basedOn w:val="34"/>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3">
    <w:name w:val="List Table 5 Dark"/>
    <w:basedOn w:val="34"/>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4">
    <w:name w:val="List Table 5 Dark - Accent 1"/>
    <w:basedOn w:val="34"/>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45">
    <w:name w:val="List Table 5 Dark - Accent 2"/>
    <w:basedOn w:val="34"/>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46">
    <w:name w:val="List Table 5 Dark - Accent 3"/>
    <w:basedOn w:val="34"/>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47">
    <w:name w:val="List Table 5 Dark - Accent 4"/>
    <w:basedOn w:val="34"/>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48">
    <w:name w:val="List Table 5 Dark - Accent 5"/>
    <w:basedOn w:val="34"/>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49">
    <w:name w:val="List Table 5 Dark - Accent 6"/>
    <w:basedOn w:val="34"/>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50">
    <w:name w:val="List Table 6 Colorful"/>
    <w:basedOn w:val="34"/>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51">
    <w:name w:val="List Table 6 Colorful - Accent 1"/>
    <w:basedOn w:val="34"/>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2">
    <w:name w:val="List Table 6 Colorful - Accent 2"/>
    <w:basedOn w:val="34"/>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3">
    <w:name w:val="List Table 6 Colorful - Accent 3"/>
    <w:basedOn w:val="34"/>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4">
    <w:name w:val="List Table 6 Colorful - Accent 4"/>
    <w:basedOn w:val="34"/>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5">
    <w:name w:val="List Table 6 Colorful - Accent 5"/>
    <w:basedOn w:val="34"/>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6">
    <w:name w:val="List Table 6 Colorful - Accent 6"/>
    <w:basedOn w:val="34"/>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7">
    <w:name w:val="List Table 7 Colorful"/>
    <w:basedOn w:val="34"/>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8">
    <w:name w:val="List Table 7 Colorful - Accent 1"/>
    <w:basedOn w:val="34"/>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9">
    <w:name w:val="List Table 7 Colorful - Accent 2"/>
    <w:basedOn w:val="34"/>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60">
    <w:name w:val="List Table 7 Colorful - Accent 3"/>
    <w:basedOn w:val="34"/>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61">
    <w:name w:val="List Table 7 Colorful - Accent 4"/>
    <w:basedOn w:val="34"/>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2">
    <w:name w:val="List Table 7 Colorful - Accent 5"/>
    <w:basedOn w:val="34"/>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3">
    <w:name w:val="List Table 7 Colorful - Accent 6"/>
    <w:basedOn w:val="34"/>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4">
    <w:name w:val="Lined - Accent"/>
    <w:basedOn w:val="34"/>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5">
    <w:name w:val="Lined - Accent 1"/>
    <w:basedOn w:val="34"/>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6">
    <w:name w:val="Lined - Accent 2"/>
    <w:basedOn w:val="34"/>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7">
    <w:name w:val="Lined - Accent 3"/>
    <w:basedOn w:val="34"/>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8">
    <w:name w:val="Lined - Accent 4"/>
    <w:basedOn w:val="34"/>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69">
    <w:name w:val="Lined - Accent 5"/>
    <w:basedOn w:val="34"/>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0">
    <w:name w:val="Lined - Accent 6"/>
    <w:basedOn w:val="34"/>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1">
    <w:name w:val="Bordered &amp; Lined - Accent"/>
    <w:basedOn w:val="34"/>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2">
    <w:name w:val="Bordered &amp; Lined - Accent 1"/>
    <w:basedOn w:val="34"/>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3">
    <w:name w:val="Bordered &amp; Lined - Accent 2"/>
    <w:basedOn w:val="34"/>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4">
    <w:name w:val="Bordered &amp; Lined - Accent 3"/>
    <w:basedOn w:val="34"/>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5">
    <w:name w:val="Bordered &amp; Lined - Accent 4"/>
    <w:basedOn w:val="34"/>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6">
    <w:name w:val="Bordered &amp; Lined - Accent 5"/>
    <w:basedOn w:val="34"/>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7">
    <w:name w:val="Bordered &amp; Lined - Accent 6"/>
    <w:basedOn w:val="34"/>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8">
    <w:name w:val="Bordered"/>
    <w:basedOn w:val="34"/>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9">
    <w:name w:val="Bordered - Accent 1"/>
    <w:basedOn w:val="34"/>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80">
    <w:name w:val="Bordered - Accent 2"/>
    <w:basedOn w:val="34"/>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81">
    <w:name w:val="Bordered - Accent 3"/>
    <w:basedOn w:val="34"/>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82">
    <w:name w:val="Bordered - Accent 4"/>
    <w:basedOn w:val="3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83">
    <w:name w:val="Bordered - Accent 5"/>
    <w:basedOn w:val="34"/>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84">
    <w:name w:val="Bordered - Accent 6"/>
    <w:basedOn w:val="34"/>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85">
    <w:name w:val="Footnote Text Char"/>
    <w:link w:val="27"/>
    <w:qFormat/>
    <w:uiPriority w:val="99"/>
    <w:rPr>
      <w:sz w:val="18"/>
    </w:rPr>
  </w:style>
  <w:style w:type="character" w:customStyle="1" w:styleId="186">
    <w:name w:val="Endnote Text Char"/>
    <w:link w:val="21"/>
    <w:qFormat/>
    <w:uiPriority w:val="99"/>
    <w:rPr>
      <w:sz w:val="20"/>
    </w:rPr>
  </w:style>
  <w:style w:type="paragraph" w:customStyle="1" w:styleId="187">
    <w:name w:val="TOC Heading"/>
    <w:unhideWhenUsed/>
    <w:qFormat/>
    <w:uiPriority w:val="39"/>
    <w:rPr>
      <w:rFonts w:hint="default" w:ascii="Times New Roman" w:hAnsi="Times New Roman" w:eastAsia="宋体" w:cs="Times New Roman"/>
    </w:rPr>
  </w:style>
  <w:style w:type="paragraph" w:customStyle="1" w:styleId="188">
    <w:name w:val="文档正文"/>
    <w:basedOn w:val="1"/>
    <w:qFormat/>
    <w:uiPriority w:val="99"/>
    <w:pPr>
      <w:adjustRightInd w:val="0"/>
      <w:spacing w:line="480" w:lineRule="atLeast"/>
      <w:textAlignment w:val="baseline"/>
    </w:pPr>
    <w:rPr>
      <w:rFonts w:hAnsi="Arial"/>
      <w:kern w:val="0"/>
    </w:rPr>
  </w:style>
  <w:style w:type="paragraph" w:customStyle="1" w:styleId="189">
    <w:name w:val="table of figures1"/>
    <w:basedOn w:val="1"/>
    <w:next w:val="1"/>
    <w:qFormat/>
    <w:uiPriority w:val="0"/>
    <w:pPr>
      <w:ind w:left="400" w:leftChars="200" w:hanging="200" w:hangingChars="200"/>
    </w:pPr>
  </w:style>
  <w:style w:type="paragraph" w:customStyle="1" w:styleId="190">
    <w:name w:val="正文 New New New New New New New New New"/>
    <w:next w:val="13"/>
    <w:qFormat/>
    <w:uiPriority w:val="0"/>
    <w:pPr>
      <w:widowControl w:val="0"/>
      <w:jc w:val="both"/>
    </w:pPr>
    <w:rPr>
      <w:rFonts w:hint="default" w:ascii="Calibri" w:hAnsi="Calibri" w:eastAsia="宋体" w:cs="Times New Roman"/>
      <w:kern w:val="2"/>
      <w:sz w:val="21"/>
      <w:szCs w:val="21"/>
      <w:lang w:val="en-US" w:eastAsia="zh-CN" w:bidi="ar-SA"/>
    </w:rPr>
  </w:style>
  <w:style w:type="table" w:customStyle="1" w:styleId="19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宋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永中软件股份有限公司</Company>
  <Pages>12</Pages>
  <TotalTime>24</TotalTime>
  <ScaleCrop>false</ScaleCrop>
  <LinksUpToDate>false</LinksUpToDate>
  <Application>WPS Office_12.1.2.23578_F1E327BC-269C-435d-A152-05C5408002CA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2010-09-18T22:51:00Z</dcterms:created>
  <dc:creator>user</dc:creator>
  <cp:lastModifiedBy>huawei</cp:lastModifiedBy>
  <dcterms:modified xsi:type="dcterms:W3CDTF">2026-05-29T16:09:26Z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DFE640A999CDD07F9545196AAC99564D_43</vt:lpwstr>
  </property>
</Properties>
</file>