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简体" w:eastAsia="方正小标宋简体"/>
          <w:sz w:val="44"/>
          <w:szCs w:val="44"/>
          <w:bdr w:val="none" w:sz="0" w:space="0" w:color="auto"/>
        </w:rPr>
      </w:pPr>
      <w:r>
        <w:rPr>
          <w:rStyle w:val="0"/>
          <w:rFonts w:ascii="方正小标宋简体" w:eastAsia="方正小标宋简体" w:hint="eastAsia"/>
          <w:sz w:val="44"/>
          <w:szCs w:val="44"/>
          <w:bdr w:val="none" w:sz="0" w:space="0" w:color="auto"/>
        </w:rPr>
        <w:t>202</w:t>
      </w:r>
      <w:r>
        <w:rPr>
          <w:rStyle w:val="0"/>
          <w:rFonts w:ascii="方正小标宋简体" w:eastAsia="方正小标宋简体"/>
          <w:sz w:val="44"/>
          <w:szCs w:val="44"/>
          <w:bdr w:val="none" w:sz="0" w:space="0" w:color="auto"/>
        </w:rPr>
        <w:t>1</w:t>
      </w:r>
      <w:r>
        <w:rPr>
          <w:rStyle w:val="0"/>
          <w:rFonts w:ascii="方正小标宋简体" w:eastAsia="方正小标宋简体" w:hint="eastAsia"/>
          <w:sz w:val="44"/>
          <w:szCs w:val="44"/>
          <w:bdr w:val="none" w:sz="0" w:space="0" w:color="auto"/>
        </w:rPr>
        <w:t>年财政预算绩效工作开展情况</w:t>
      </w:r>
      <w:r>
        <w:rPr>
          <w:rFonts w:ascii="方正小标宋简体" w:eastAsia="方正小标宋简体"/>
          <w:sz w:val="44"/>
          <w:szCs w:val="44"/>
          <w:bdr w:val="none" w:sz="0" w:space="0" w:color="auto"/>
        </w:rPr>
        <w:pgNum/>
      </w:r>
    </w:p>
    <w:p>
      <w:pPr>
        <w:spacing w:line="560" w:lineRule="exact"/>
        <w:jc w:val="center"/>
        <w:rPr>
          <w:rFonts w:ascii="方正小标宋简体" w:eastAsia="方正小标宋简体"/>
          <w:sz w:val="44"/>
          <w:szCs w:val="44"/>
          <w:bdr w:val="none" w:sz="0" w:space="0" w:color="auto"/>
        </w:rPr>
      </w:pP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一、财政监督检查工作开展情况</w:t>
      </w:r>
    </w:p>
    <w:p>
      <w:pPr>
        <w:spacing w:line="560" w:lineRule="exact"/>
        <w:ind w:firstLineChars="200" w:firstLine="640"/>
        <w:rPr>
          <w:rFonts w:ascii="楷体_GB2312" w:eastAsia="楷体_GB2312"/>
          <w:b/>
          <w:sz w:val="32"/>
          <w:szCs w:val="32"/>
        </w:rPr>
      </w:pPr>
      <w:r>
        <w:rPr>
          <w:rFonts w:ascii="楷体_GB2312" w:eastAsia="楷体_GB2312" w:hint="eastAsia"/>
          <w:b/>
          <w:sz w:val="32"/>
          <w:szCs w:val="32"/>
        </w:rPr>
        <w:t>（一）认真贯彻落实习近平总书记重要精神，建立财监督与其他监督融合贯通机制</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按照年初工作计划，深入贯彻学习习近平总书记关于财政工作、财会监督、我州的重要工作指示批示精神，以及《依法行使政府监督》等重要论述，把推进财会监督工作作为重要政治任务，深</w:t>
      </w:r>
    </w:p>
    <w:p>
      <w:pPr>
        <w:spacing w:line="560" w:lineRule="exact"/>
        <w:ind w:firstLineChars="200" w:firstLine="640"/>
        <w:rPr>
          <w:rFonts w:ascii="仿宋_GB2312" w:eastAsia="仿宋_GB2312"/>
          <w:sz w:val="32"/>
          <w:szCs w:val="32"/>
        </w:rPr>
      </w:pPr>
    </w:p>
    <w:p>
      <w:pPr>
        <w:spacing w:line="560" w:lineRule="exact"/>
        <w:ind w:firstLineChars="200" w:firstLine="640"/>
        <w:rPr>
          <w:rFonts w:ascii="仿宋_GB2312" w:eastAsia="仿宋_GB2312"/>
          <w:sz w:val="32"/>
          <w:szCs w:val="32"/>
        </w:rPr>
      </w:pPr>
      <w:bookmarkStart w:id="0" w:name="_GoBack"/>
      <w:bookmarkEnd w:id="0"/>
      <w:r>
        <w:rPr>
          <w:rFonts w:ascii="仿宋_GB2312" w:eastAsia="仿宋_GB2312" w:hint="eastAsia"/>
          <w:sz w:val="32"/>
          <w:szCs w:val="32"/>
        </w:rPr>
        <w:t>入研究，系统谋划，推动以党内监督为主导，与财会监督和其他监督有机贯通、相互协调，构建财会监督新格局。</w:t>
      </w:r>
    </w:p>
    <w:p>
      <w:pPr>
        <w:spacing w:line="560" w:lineRule="exact"/>
        <w:ind w:firstLineChars="200" w:firstLine="640"/>
        <w:rPr>
          <w:rFonts w:ascii="仿宋_GB2312" w:eastAsia="仿宋_GB2312"/>
          <w:b/>
          <w:bCs/>
          <w:sz w:val="32"/>
          <w:szCs w:val="32"/>
        </w:rPr>
      </w:pPr>
      <w:r>
        <w:rPr>
          <w:rFonts w:ascii="仿宋_GB2312" w:eastAsia="仿宋_GB2312" w:hint="eastAsia"/>
          <w:b/>
          <w:bCs/>
          <w:sz w:val="32"/>
          <w:szCs w:val="32"/>
        </w:rPr>
        <w:t>1.建立州委巡察机构与州财政局协作机制。</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配合州委巡察办细化完善巡察监督与财会监督事前、事中、事后全过程沟通协调的具体措施，强化组织保障等事项，认真核查州委巡察办交办线索问题。</w:t>
      </w:r>
    </w:p>
    <w:p>
      <w:pPr>
        <w:spacing w:line="560" w:lineRule="exact"/>
        <w:ind w:firstLineChars="200" w:firstLine="640"/>
        <w:rPr>
          <w:rFonts w:ascii="仿宋_GB2312" w:eastAsia="仿宋_GB2312"/>
          <w:b/>
          <w:bCs/>
          <w:sz w:val="32"/>
          <w:szCs w:val="32"/>
        </w:rPr>
      </w:pPr>
      <w:r>
        <w:rPr>
          <w:rFonts w:ascii="仿宋_GB2312" w:eastAsia="仿宋_GB2312" w:hint="eastAsia"/>
          <w:b/>
          <w:bCs/>
          <w:sz w:val="32"/>
          <w:szCs w:val="32"/>
        </w:rPr>
        <w:t>2.在局内部建立政治监督与财会监督协作机制。</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为充分发挥财会监督基础防线作用，积极配合驻财政局纪检监察组开展政治监督，完善工作机制，加强信息沟通、成果共享，切实形成监管合力。</w:t>
      </w:r>
    </w:p>
    <w:p>
      <w:pPr>
        <w:spacing w:line="560" w:lineRule="exact"/>
        <w:ind w:firstLineChars="200" w:firstLine="640"/>
        <w:rPr>
          <w:rFonts w:ascii="楷体_GB2312" w:eastAsia="楷体_GB2312"/>
          <w:b/>
          <w:sz w:val="32"/>
          <w:szCs w:val="32"/>
        </w:rPr>
      </w:pPr>
      <w:r>
        <w:rPr>
          <w:rFonts w:ascii="楷体_GB2312" w:eastAsia="楷体_GB2312" w:hint="eastAsia"/>
          <w:b/>
          <w:sz w:val="32"/>
          <w:szCs w:val="32"/>
        </w:rPr>
        <w:t>（二）聚焦主责主业，扎实开展各项监督检查</w:t>
      </w:r>
    </w:p>
    <w:p>
      <w:pPr>
        <w:spacing w:line="560" w:lineRule="exact"/>
        <w:ind w:firstLineChars="196" w:firstLine="627"/>
        <w:rPr>
          <w:rFonts w:ascii="楷体_GB2312" w:eastAsia="楷体_GB2312"/>
          <w:b/>
          <w:bCs/>
          <w:sz w:val="32"/>
          <w:szCs w:val="32"/>
        </w:rPr>
      </w:pPr>
      <w:r>
        <w:rPr>
          <w:rFonts w:ascii="仿宋_GB2312" w:eastAsia="仿宋_GB2312" w:hint="eastAsia"/>
          <w:bCs/>
          <w:sz w:val="32"/>
          <w:szCs w:val="32"/>
        </w:rPr>
        <w:t>为</w:t>
      </w:r>
      <w:r>
        <w:rPr>
          <w:rFonts w:ascii="仿宋_GB2312" w:eastAsia="仿宋_GB2312" w:hint="eastAsia"/>
          <w:sz w:val="32"/>
          <w:szCs w:val="32"/>
        </w:rPr>
        <w:t>贯彻落实党中央、国务院关于“政府要带头过紧日子”有关要求，以及省委、省政府、州委、州政府关于新形势下进一步严肃财经纪律有关规定，督促各级各部门严格遵守制度规定，切实增强纪律约束，推动财经秩序持续好转。</w:t>
      </w:r>
    </w:p>
    <w:p>
      <w:pPr>
        <w:spacing w:line="560" w:lineRule="exact"/>
        <w:ind w:firstLineChars="200" w:firstLine="640"/>
        <w:rPr>
          <w:rFonts w:ascii="仿宋_GB2312" w:eastAsia="仿宋_GB2312"/>
          <w:b/>
          <w:bCs/>
          <w:sz w:val="32"/>
          <w:szCs w:val="32"/>
        </w:rPr>
      </w:pPr>
      <w:r>
        <w:rPr>
          <w:rFonts w:ascii="仿宋_GB2312" w:eastAsia="仿宋_GB2312" w:hint="eastAsia"/>
          <w:b/>
          <w:bCs/>
          <w:sz w:val="32"/>
          <w:szCs w:val="32"/>
        </w:rPr>
        <w:t>1.持续抓好“排查清理两项工作”。</w:t>
      </w:r>
    </w:p>
    <w:p>
      <w:pPr>
        <w:spacing w:line="560" w:lineRule="exact"/>
        <w:ind w:firstLineChars="200" w:firstLine="640"/>
        <w:rPr>
          <w:rFonts w:ascii="仿宋_GB2312" w:eastAsia="仿宋_GB2312"/>
          <w:sz w:val="32"/>
          <w:szCs w:val="32"/>
        </w:rPr>
      </w:pPr>
      <w:r>
        <w:rPr>
          <w:rFonts w:ascii="仿宋_GB2312" w:eastAsia="仿宋_GB2312" w:hint="eastAsia"/>
          <w:b/>
          <w:sz w:val="32"/>
          <w:szCs w:val="32"/>
        </w:rPr>
        <w:t>一是</w:t>
      </w:r>
      <w:r>
        <w:rPr>
          <w:rFonts w:ascii="仿宋_GB2312" w:eastAsia="仿宋_GB2312" w:hint="eastAsia"/>
          <w:sz w:val="32"/>
          <w:szCs w:val="32"/>
        </w:rPr>
        <w:t>，为筑牢财政资金安全防线，防范化解管理风险，加强党风廉政建设和节约型机关建设，会同州纪委、州审计局、州机关事务管理局等相关部门，组织全州各级各部门持续深入推进严肃财经纪律及财务管理风险排查和部门闲置封存物资清理处置工作。</w:t>
      </w:r>
    </w:p>
    <w:p>
      <w:pPr>
        <w:spacing w:line="560" w:lineRule="exact"/>
        <w:ind w:firstLineChars="200" w:firstLine="640"/>
        <w:rPr>
          <w:rFonts w:ascii="仿宋_GB2312" w:eastAsia="仿宋_GB2312"/>
          <w:sz w:val="32"/>
          <w:szCs w:val="32"/>
        </w:rPr>
      </w:pPr>
      <w:r>
        <w:rPr>
          <w:rFonts w:ascii="仿宋_GB2312" w:eastAsia="仿宋_GB2312" w:hint="eastAsia"/>
          <w:b/>
          <w:sz w:val="32"/>
          <w:szCs w:val="32"/>
        </w:rPr>
        <w:t>二是，</w:t>
      </w:r>
      <w:r>
        <w:rPr>
          <w:rFonts w:ascii="仿宋_GB2312" w:eastAsia="仿宋_GB2312" w:hint="eastAsia"/>
          <w:sz w:val="32"/>
          <w:szCs w:val="32"/>
        </w:rPr>
        <w:t>督促各县（市）对已收回资金进行全面清理，逐一甄别资金来源、性质、沉淀年度、形成沉淀原因等情况，并持续配合机关事务管理局做好物资保管、分类处置等相关工作。</w:t>
      </w:r>
      <w:r>
        <w:rPr>
          <w:rFonts w:eastAsia="仿宋_GB2312" w:hint="eastAsia"/>
          <w:sz w:val="32"/>
          <w:szCs w:val="32"/>
        </w:rPr>
        <w:t>严肃财经纪律及财务管理风险排查工作，</w:t>
      </w:r>
      <w:r>
        <w:rPr>
          <w:rFonts w:ascii="仿宋_GB2312" w:eastAsia="仿宋_GB2312" w:cs="仿宋_GB2312" w:hint="eastAsia"/>
          <w:sz w:val="32"/>
          <w:szCs w:val="32"/>
        </w:rPr>
        <w:t>截止7月20日代管资金合计锁定数为18,505.35万元，其中：州级代管资金锁定数为234.99万元；县级代管资金锁定数为18,270.36万元。</w:t>
      </w:r>
      <w:r>
        <w:rPr>
          <w:rFonts w:eastAsia="仿宋_GB2312"/>
          <w:sz w:val="32"/>
          <w:szCs w:val="32"/>
        </w:rPr>
        <w:t>此次风险排查工作</w:t>
      </w:r>
      <w:r>
        <w:rPr>
          <w:rFonts w:ascii="仿宋_GB2312" w:eastAsia="仿宋_GB2312" w:cs="仿宋_GB2312" w:hint="eastAsia"/>
          <w:sz w:val="32"/>
          <w:szCs w:val="32"/>
        </w:rPr>
        <w:t>截止2021年11月18日，全州累计新缴入代管资金286.96万元，其中：州本级新缴入代管资金48.76万元，县（市）新缴入代管资金238.2万元。截止11月18日，全州共拨付资金7,222.92万元，其中：州级拨付102.86万元，县级拨付7,120.06万元。全州部门闲置物资清理工作，清理封存闲置物资三类，共计227件（瓶），已交省机关事务管理局国有资产处置平台进行处置。</w:t>
      </w:r>
    </w:p>
    <w:p>
      <w:pPr>
        <w:spacing w:line="560" w:lineRule="exact"/>
        <w:ind w:firstLineChars="200" w:firstLine="640"/>
        <w:rPr>
          <w:rFonts w:ascii="仿宋_GB2312" w:eastAsia="仿宋_GB2312"/>
          <w:b/>
          <w:bCs/>
          <w:sz w:val="32"/>
          <w:szCs w:val="32"/>
        </w:rPr>
      </w:pPr>
      <w:r>
        <w:rPr>
          <w:rFonts w:ascii="仿宋_GB2312" w:eastAsia="仿宋_GB2312" w:hint="eastAsia"/>
          <w:b/>
          <w:bCs/>
          <w:sz w:val="32"/>
          <w:szCs w:val="32"/>
        </w:rPr>
        <w:t>2.开展专项重点调研核查。</w:t>
      </w:r>
    </w:p>
    <w:p>
      <w:pPr>
        <w:spacing w:line="560" w:lineRule="exact"/>
        <w:ind w:firstLineChars="200" w:firstLine="640"/>
        <w:rPr>
          <w:rFonts w:ascii="楷体_GB2312" w:eastAsia="楷体_GB2312"/>
          <w:b/>
          <w:bCs/>
          <w:sz w:val="32"/>
          <w:szCs w:val="32"/>
        </w:rPr>
      </w:pPr>
      <w:r>
        <w:rPr>
          <w:rFonts w:ascii="仿宋_GB2312" w:eastAsia="仿宋_GB2312" w:hint="eastAsia"/>
          <w:sz w:val="32"/>
          <w:szCs w:val="32"/>
        </w:rPr>
        <w:t>2021年，积极督促州级各部门、组织县（市）对所辖县（市）部门上缴资金甄别清理、管理使用，以及物资保管、分类处置工作开展调研核查。在此基础上，对州、县（市）“排查清理两项工作”开展情况及上缴资金甄别和物资分类处置工作开展情况进行重点调研抽查，抽查发现问题上缴资金2.52亿元。</w:t>
      </w:r>
    </w:p>
    <w:p>
      <w:pPr>
        <w:spacing w:line="560" w:lineRule="exact"/>
        <w:ind w:firstLineChars="200" w:firstLine="640"/>
        <w:rPr>
          <w:rFonts w:ascii="仿宋_GB2312" w:eastAsia="仿宋_GB2312"/>
          <w:sz w:val="32"/>
          <w:szCs w:val="32"/>
        </w:rPr>
      </w:pPr>
      <w:r>
        <w:rPr>
          <w:rFonts w:ascii="仿宋_GB2312" w:eastAsia="仿宋_GB2312" w:hint="eastAsia"/>
          <w:b/>
          <w:bCs/>
          <w:sz w:val="32"/>
          <w:szCs w:val="32"/>
        </w:rPr>
        <w:t>3.深入推进预决算公开。</w:t>
      </w:r>
      <w:r>
        <w:rPr>
          <w:rFonts w:ascii="仿宋_GB2312" w:eastAsia="仿宋_GB2312" w:hint="eastAsia"/>
          <w:sz w:val="32"/>
          <w:szCs w:val="32"/>
        </w:rPr>
        <w:t>按照财政厅统一部署，在组织县（市）开展全面自查基础上，通过州县上下联动的方式进行专项抽查，并积极配合省厅预决算公开核查组的核查工作，对省核查组发现问题进行立查立改。</w:t>
      </w:r>
    </w:p>
    <w:p>
      <w:pPr>
        <w:spacing w:line="560" w:lineRule="exact"/>
        <w:ind w:firstLineChars="200" w:firstLine="640"/>
        <w:rPr>
          <w:rFonts w:ascii="仿宋_GB2312" w:eastAsia="仿宋_GB2312"/>
          <w:sz w:val="32"/>
          <w:szCs w:val="32"/>
        </w:rPr>
      </w:pPr>
      <w:r>
        <w:rPr>
          <w:rFonts w:ascii="仿宋_GB2312" w:eastAsia="仿宋_GB2312" w:hint="eastAsia"/>
          <w:b/>
          <w:sz w:val="32"/>
          <w:szCs w:val="32"/>
        </w:rPr>
        <w:t>4.开展2021年度财会监督检查工作。</w:t>
      </w:r>
      <w:r>
        <w:rPr>
          <w:rFonts w:ascii="仿宋_GB2312" w:eastAsia="仿宋_GB2312" w:hint="eastAsia"/>
          <w:sz w:val="32"/>
          <w:szCs w:val="32"/>
        </w:rPr>
        <w:t>按照《四川省财政厅关于开展2021年度财会监督检查工作的通知》（川财监督〔2021〕13号）要求，我州各级财政部门认真组织开展</w:t>
      </w:r>
      <w:r>
        <w:rPr>
          <w:rFonts w:ascii="仿宋_GB2312" w:eastAsia="仿宋_GB2312" w:hint="eastAsia"/>
          <w:color w:val="000000"/>
          <w:sz w:val="32"/>
          <w:szCs w:val="32"/>
        </w:rPr>
        <w:t>了财会监督检查工作，</w:t>
      </w:r>
      <w:r>
        <w:rPr>
          <w:rFonts w:ascii="仿宋_GB2312" w:eastAsia="仿宋_GB2312" w:hint="eastAsia"/>
          <w:sz w:val="32"/>
          <w:szCs w:val="32"/>
        </w:rPr>
        <w:t>共对656个单位进行会计监督检查，其中：</w:t>
      </w:r>
      <w:r>
        <w:rPr>
          <w:rFonts w:ascii="仿宋_GB2312" w:eastAsia="仿宋_GB2312" w:cs="楷体" w:hint="eastAsia"/>
          <w:bCs/>
          <w:sz w:val="32"/>
          <w:szCs w:val="32"/>
        </w:rPr>
        <w:t>行政事业单位618</w:t>
      </w:r>
      <w:r>
        <w:rPr>
          <w:rFonts w:ascii="仿宋_GB2312" w:eastAsia="仿宋_GB2312" w:hint="eastAsia"/>
          <w:sz w:val="32"/>
          <w:szCs w:val="32"/>
        </w:rPr>
        <w:t>个、</w:t>
      </w:r>
      <w:r>
        <w:rPr>
          <w:rFonts w:ascii="仿宋_GB2312" w:eastAsia="仿宋_GB2312" w:cs="楷体" w:hint="eastAsia"/>
          <w:bCs/>
          <w:sz w:val="32"/>
          <w:szCs w:val="32"/>
        </w:rPr>
        <w:t>政府投融资平台</w:t>
      </w:r>
      <w:r>
        <w:rPr>
          <w:rFonts w:ascii="仿宋_GB2312" w:eastAsia="仿宋_GB2312" w:hint="eastAsia"/>
          <w:sz w:val="32"/>
          <w:szCs w:val="32"/>
        </w:rPr>
        <w:t>3个、金融机构2个、企业单位33个。涉及违规问题单位46个，违规问题资金1,673.51万元。</w:t>
      </w:r>
    </w:p>
    <w:p>
      <w:pPr>
        <w:spacing w:line="560" w:lineRule="exact"/>
        <w:ind w:firstLineChars="200" w:firstLine="640"/>
        <w:rPr>
          <w:rFonts w:ascii="楷体_GB2312" w:eastAsia="楷体_GB2312"/>
          <w:b/>
          <w:sz w:val="32"/>
          <w:szCs w:val="32"/>
        </w:rPr>
      </w:pPr>
      <w:r>
        <w:rPr>
          <w:rFonts w:ascii="仿宋_GB2312" w:eastAsia="仿宋_GB2312" w:hint="eastAsia"/>
          <w:b/>
          <w:sz w:val="32"/>
          <w:szCs w:val="32"/>
        </w:rPr>
        <w:t>5.加强内控内审核查。</w:t>
      </w:r>
      <w:r>
        <w:rPr>
          <w:rFonts w:ascii="仿宋_GB2312" w:eastAsia="仿宋_GB2312" w:hint="eastAsia"/>
          <w:sz w:val="32"/>
          <w:szCs w:val="32"/>
        </w:rPr>
        <w:t>为了加强我局内控制度建设，积极组织人员对局财务室2019年度8月至2020年12月内控执行情况、财务情况进行了专项核查。</w:t>
      </w:r>
      <w:r>
        <w:rPr>
          <w:rFonts w:ascii="仿宋_GB2312" w:eastAsia="仿宋_GB2312" w:cs="宋体" w:hint="eastAsia"/>
          <w:color w:val="000000"/>
          <w:kern w:val="0"/>
          <w:sz w:val="32"/>
          <w:szCs w:val="32"/>
        </w:rPr>
        <w:t>全州共核查科（股）室39个，其中：预算职能科（股）室12个，综合业务科（股）室27个。延伸核查单位52个，发现问题21个，纠正问题21个，参与核查71人次。</w:t>
      </w:r>
    </w:p>
    <w:p>
      <w:pPr>
        <w:pBdr>
          <w:bottom w:val="single" w:sz="4" w:space="15" w:color="FFFFFF"/>
        </w:pBdr>
        <w:snapToGrid w:val="0"/>
        <w:spacing w:line="560" w:lineRule="exact"/>
        <w:ind w:firstLineChars="200" w:firstLine="640"/>
        <w:rPr>
          <w:rFonts w:ascii="楷体_GB2312" w:eastAsia="楷体_GB2312"/>
          <w:b/>
          <w:sz w:val="32"/>
          <w:szCs w:val="32"/>
        </w:rPr>
      </w:pPr>
      <w:r>
        <w:rPr>
          <w:rFonts w:ascii="楷体_GB2312" w:eastAsia="楷体_GB2312" w:hint="eastAsia"/>
          <w:b/>
          <w:sz w:val="32"/>
          <w:szCs w:val="32"/>
        </w:rPr>
        <w:t>（三）突出重点、强化财政监督管理</w:t>
      </w:r>
    </w:p>
    <w:p>
      <w:pPr>
        <w:pBdr>
          <w:bottom w:val="single" w:sz="4" w:space="15" w:color="FFFFFF"/>
        </w:pBdr>
        <w:snapToGrid w:val="0"/>
        <w:spacing w:line="560" w:lineRule="exact"/>
        <w:ind w:firstLineChars="200" w:firstLine="640"/>
        <w:rPr>
          <w:rFonts w:ascii="楷体_GB2312" w:eastAsia="楷体_GB2312"/>
          <w:b/>
          <w:sz w:val="32"/>
          <w:szCs w:val="32"/>
        </w:rPr>
      </w:pPr>
      <w:r>
        <w:rPr>
          <w:rFonts w:ascii="仿宋_GB2312" w:eastAsia="仿宋_GB2312" w:hint="eastAsia"/>
          <w:sz w:val="32"/>
          <w:szCs w:val="32"/>
        </w:rPr>
        <w:t>1.深入开展全州各级财政监督机构及干部职工认真学习贯彻落实习近平总书记在十九届中央纪委四次全会上发表的重要讲话精神，围绕加强财会监督工作与习近平新时代中国特色社会主义思想相结合，同落实十九届四中全会、中央经济工作会、省委十一届六次全会和州委十一届七次全会精</w:t>
      </w:r>
      <w:r>
        <w:rPr>
          <w:rFonts w:ascii="仿宋_GB2312" w:eastAsia="仿宋_GB2312" w:cs="宋体" w:hint="eastAsia"/>
          <w:color w:val="000000"/>
          <w:kern w:val="0"/>
          <w:sz w:val="32"/>
          <w:szCs w:val="32"/>
        </w:rPr>
        <w:t>神进行有机结合，找准切入点，领会精神实质，抓实制度约</w:t>
      </w:r>
      <w:r>
        <w:rPr>
          <w:rFonts w:ascii="仿宋_GB2312" w:eastAsia="仿宋_GB2312" w:hint="eastAsia"/>
          <w:sz w:val="32"/>
          <w:szCs w:val="32"/>
        </w:rPr>
        <w:t>束，严肃财经纪律，确保依法行使财政监督权力，提高监督效能，充分发挥财政监督“监测器”和“警示器”的作用，上下联动一盘棋，努力开创财政监督工作新局面。</w:t>
      </w:r>
    </w:p>
    <w:p>
      <w:pPr>
        <w:pBdr>
          <w:bottom w:val="single" w:sz="4" w:space="15" w:color="FFFFFF"/>
        </w:pBd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要求财政干部职工认真学习《会计法》《预算法》《政府会计制度》《财政违法处罚处分条例》等法律法规规章和相关政策制度办法。按照科室职责，制订学习计划,由分管领导带领、科室负责同志督促科室人员学原文、悟原理,结合财会监督工作实际谈学习体会、谈落实思路,在学懂、弄通、做实上下功夫，激发干部做好财会监督的使命感和责任感，做到守土有责、守土负责、守土尽责。</w:t>
      </w:r>
    </w:p>
    <w:p>
      <w:pPr>
        <w:pBdr>
          <w:bottom w:val="single" w:sz="4" w:space="15" w:color="FFFFFF"/>
        </w:pBdr>
        <w:snapToGrid w:val="0"/>
        <w:spacing w:line="560" w:lineRule="exact"/>
        <w:ind w:firstLineChars="200" w:firstLine="640"/>
        <w:rPr>
          <w:rFonts w:ascii="楷体_GB2312" w:eastAsia="楷体_GB2312"/>
          <w:b/>
          <w:sz w:val="32"/>
          <w:szCs w:val="32"/>
        </w:rPr>
      </w:pPr>
      <w:r>
        <w:rPr>
          <w:rFonts w:ascii="楷体_GB2312" w:eastAsia="楷体_GB2312" w:hint="eastAsia"/>
          <w:b/>
          <w:sz w:val="32"/>
          <w:szCs w:val="32"/>
        </w:rPr>
        <w:t>（四）对州委巡察办移送巡察发现问题线索认真开展调查核实工作</w:t>
      </w:r>
    </w:p>
    <w:p>
      <w:pPr>
        <w:pBdr>
          <w:bottom w:val="single" w:sz="4" w:space="15" w:color="FFFFFF"/>
        </w:pBd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按照州委巡察办《中共阿坝州委巡察工作领导小组办公室关于移送巡察发现问题线索的函》文件的要求，我</w:t>
      </w:r>
      <w:r>
        <w:rPr>
          <w:rFonts w:ascii="仿宋_GB2312" w:eastAsia="仿宋_GB2312" w:hint="eastAsia"/>
          <w:color w:val="000000"/>
          <w:sz w:val="32"/>
          <w:szCs w:val="32"/>
        </w:rPr>
        <w:t>局</w:t>
      </w:r>
      <w:r>
        <w:rPr>
          <w:rFonts w:ascii="仿宋_GB2312" w:eastAsia="仿宋_GB2312" w:hint="eastAsia"/>
          <w:sz w:val="32"/>
          <w:szCs w:val="32"/>
        </w:rPr>
        <w:t>高度重视，积极安排部署，召开专题会议，对州委巡察工作领导小组办公室移送问题线索，安排专人进行了调查核实。</w:t>
      </w:r>
    </w:p>
    <w:p>
      <w:pPr>
        <w:pBdr>
          <w:bottom w:val="single" w:sz="4" w:space="15" w:color="FFFFFF"/>
        </w:pBdr>
        <w:snapToGrid w:val="0"/>
        <w:spacing w:line="560" w:lineRule="exact"/>
        <w:ind w:firstLineChars="200" w:firstLine="640"/>
        <w:rPr>
          <w:rFonts w:ascii="楷体_GB2312" w:eastAsia="楷体_GB2312"/>
          <w:b/>
          <w:sz w:val="32"/>
          <w:szCs w:val="32"/>
        </w:rPr>
      </w:pPr>
      <w:r>
        <w:rPr>
          <w:rFonts w:ascii="楷体_GB2312" w:eastAsia="楷体_GB2312" w:hint="eastAsia"/>
          <w:b/>
          <w:sz w:val="32"/>
          <w:szCs w:val="32"/>
        </w:rPr>
        <w:t>（五）建立监督信息反馈机制</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hint="eastAsia"/>
          <w:sz w:val="32"/>
          <w:szCs w:val="32"/>
        </w:rPr>
        <w:t>对各类审计、检查发现的典型问题进行梳理归纳，督促州级部门和县（市）财政部门对标问题，对照自查、举一反三，完善整改，同时将各类</w:t>
      </w:r>
      <w:r>
        <w:rPr>
          <w:rFonts w:ascii="仿宋_GB2312" w:eastAsia="仿宋_GB2312" w:cs="仿宋_GB2312" w:hint="eastAsia"/>
          <w:sz w:val="32"/>
          <w:szCs w:val="32"/>
        </w:rPr>
        <w:t>问题及时反馈相关业务科室</w:t>
      </w:r>
      <w:r>
        <w:rPr>
          <w:rFonts w:ascii="仿宋_GB2312" w:eastAsia="仿宋_GB2312" w:hint="eastAsia"/>
          <w:sz w:val="32"/>
          <w:szCs w:val="32"/>
        </w:rPr>
        <w:t>。</w:t>
      </w:r>
    </w:p>
    <w:p>
      <w:pPr>
        <w:pBdr>
          <w:bottom w:val="single" w:sz="4" w:space="15" w:color="FFFFFF"/>
        </w:pBdr>
        <w:snapToGrid w:val="0"/>
        <w:spacing w:line="560" w:lineRule="exact"/>
        <w:ind w:firstLineChars="200" w:firstLine="640"/>
        <w:rPr>
          <w:rFonts w:ascii="黑体" w:eastAsia="黑体"/>
          <w:sz w:val="32"/>
          <w:szCs w:val="32"/>
        </w:rPr>
      </w:pPr>
      <w:r>
        <w:rPr>
          <w:rFonts w:ascii="黑体" w:eastAsia="黑体" w:hint="eastAsia"/>
          <w:color w:val="000000"/>
          <w:sz w:val="32"/>
          <w:szCs w:val="32"/>
        </w:rPr>
        <w:t>二、财政预算绩效管理工作开展情况</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hint="eastAsia"/>
          <w:color w:val="000000"/>
          <w:sz w:val="32"/>
          <w:szCs w:val="32"/>
        </w:rPr>
        <w:t>根据《中共四川省委四川省人民政府关于全面实施预算绩效管理的实施意见》总体要求和《全省预算绩效管理工作推进方案》布置安排，围绕提质增效目标，大力推进预算绩效管理做深做细做实，推动预算管理改革取得新的突破，为财政高质量发展奠定坚实基础，按照《阿坝州财政局预算绩效管理工作实施方案》要求，近年来我州着力以提升财政资金绩效管理为主线，以绩效目标为导向，以财政绩效评价为手段，以绩效评价结果应用为保障，建立健全与绩效管理相适应的机制，积极推进预算绩效管理工作。</w:t>
      </w:r>
    </w:p>
    <w:p>
      <w:pPr>
        <w:pBdr>
          <w:bottom w:val="single" w:sz="4" w:space="15" w:color="FFFFFF"/>
        </w:pBdr>
        <w:snapToGrid w:val="0"/>
        <w:spacing w:line="560" w:lineRule="exact"/>
        <w:ind w:firstLineChars="200" w:firstLine="640"/>
        <w:rPr>
          <w:rFonts w:ascii="黑体" w:eastAsia="黑体"/>
          <w:sz w:val="32"/>
          <w:szCs w:val="32"/>
        </w:rPr>
      </w:pPr>
      <w:r>
        <w:rPr>
          <w:rFonts w:ascii="楷体_GB2312" w:eastAsia="楷体_GB2312" w:hint="eastAsia"/>
          <w:b/>
          <w:sz w:val="32"/>
          <w:szCs w:val="32"/>
        </w:rPr>
        <w:t>（一）持续健全预算绩效管理制度机制</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hint="eastAsia"/>
          <w:sz w:val="32"/>
          <w:szCs w:val="32"/>
        </w:rPr>
        <w:t>按照“1+2+N”预算绩效管理制度架构、“2+2+N”职能科室工作架构。逐步贯彻落实“三全”管理总体要求，以“全过程”管理为主线，开始建立“3+2”预算绩效管控体系，以省委省政府关于全面实施预算绩效管理的实施意见为统领，全方位持续完善预算绩效管理制度机制，为深化预算绩效管理改革夯实制度基础。</w:t>
      </w:r>
    </w:p>
    <w:p>
      <w:pPr>
        <w:pBdr>
          <w:bottom w:val="single" w:sz="4" w:space="15" w:color="FFFFFF"/>
        </w:pBdr>
        <w:snapToGrid w:val="0"/>
        <w:spacing w:line="560" w:lineRule="exact"/>
        <w:ind w:firstLineChars="200" w:firstLine="640"/>
        <w:rPr>
          <w:rFonts w:ascii="黑体" w:eastAsia="黑体"/>
          <w:sz w:val="32"/>
          <w:szCs w:val="32"/>
        </w:rPr>
      </w:pPr>
      <w:r>
        <w:rPr>
          <w:rFonts w:ascii="楷体_GB2312" w:eastAsia="楷体_GB2312" w:hint="eastAsia"/>
          <w:b/>
          <w:sz w:val="32"/>
          <w:szCs w:val="32"/>
        </w:rPr>
        <w:t>（二）</w:t>
      </w:r>
      <w:r>
        <w:rPr>
          <w:rFonts w:ascii="楷体_GB2312" w:eastAsia="楷体_GB2312"/>
          <w:b/>
          <w:sz w:val="32"/>
          <w:szCs w:val="32"/>
        </w:rPr>
        <w:t>积极</w:t>
      </w:r>
      <w:r>
        <w:rPr>
          <w:rFonts w:ascii="楷体_GB2312" w:eastAsia="楷体_GB2312" w:hint="eastAsia"/>
          <w:b/>
          <w:sz w:val="32"/>
          <w:szCs w:val="32"/>
        </w:rPr>
        <w:t>开展2020年度中央对地方专项转移支付预算执行情况绩效自评工作</w:t>
      </w:r>
    </w:p>
    <w:p>
      <w:pPr>
        <w:pBdr>
          <w:bottom w:val="single" w:sz="4" w:space="15" w:color="FFFFFF"/>
        </w:pBdr>
        <w:snapToGrid w:val="0"/>
        <w:spacing w:line="560" w:lineRule="exact"/>
        <w:ind w:firstLineChars="200" w:firstLine="666"/>
        <w:rPr>
          <w:rFonts w:ascii="黑体" w:eastAsia="黑体"/>
          <w:sz w:val="32"/>
          <w:szCs w:val="32"/>
        </w:rPr>
      </w:pPr>
      <w:r>
        <w:rPr>
          <w:rFonts w:ascii="仿宋_GB2312" w:eastAsia="仿宋_GB2312" w:cs="宋体"/>
          <w:color w:val="030303"/>
          <w:w w:val="104"/>
          <w:kern w:val="0"/>
          <w:sz w:val="32"/>
          <w:szCs w:val="32"/>
        </w:rPr>
        <w:t>为做好</w:t>
      </w:r>
      <w:r>
        <w:rPr>
          <w:rFonts w:ascii="仿宋_GB2312" w:eastAsia="仿宋_GB2312" w:cs="宋体" w:hint="eastAsia"/>
          <w:color w:val="030303"/>
          <w:w w:val="104"/>
          <w:kern w:val="0"/>
          <w:sz w:val="32"/>
          <w:szCs w:val="32"/>
        </w:rPr>
        <w:t>2</w:t>
      </w:r>
      <w:r>
        <w:rPr>
          <w:rFonts w:ascii="仿宋_GB2312" w:eastAsia="仿宋_GB2312" w:cs="宋体"/>
          <w:color w:val="030303"/>
          <w:w w:val="104"/>
          <w:kern w:val="0"/>
          <w:sz w:val="32"/>
          <w:szCs w:val="32"/>
        </w:rPr>
        <w:t>0</w:t>
      </w:r>
      <w:r>
        <w:rPr>
          <w:rFonts w:ascii="仿宋_GB2312" w:eastAsia="仿宋_GB2312" w:cs="宋体" w:hint="eastAsia"/>
          <w:color w:val="030303"/>
          <w:w w:val="104"/>
          <w:kern w:val="0"/>
          <w:sz w:val="32"/>
          <w:szCs w:val="32"/>
        </w:rPr>
        <w:t>20</w:t>
      </w:r>
      <w:r>
        <w:rPr>
          <w:rFonts w:ascii="仿宋_GB2312" w:eastAsia="仿宋_GB2312" w:cs="宋体"/>
          <w:color w:val="030303"/>
          <w:w w:val="104"/>
          <w:kern w:val="0"/>
          <w:sz w:val="32"/>
          <w:szCs w:val="32"/>
        </w:rPr>
        <w:t>年度</w:t>
      </w:r>
      <w:r>
        <w:rPr>
          <w:rFonts w:ascii="仿宋_GB2312" w:eastAsia="仿宋_GB2312" w:cs="宋体"/>
          <w:color w:val="131313"/>
          <w:w w:val="104"/>
          <w:kern w:val="0"/>
          <w:sz w:val="32"/>
          <w:szCs w:val="32"/>
        </w:rPr>
        <w:t>中央对地方转移支付预算执行情况绩效自评工作</w:t>
      </w:r>
      <w:r>
        <w:rPr>
          <w:rFonts w:ascii="仿宋_GB2312" w:eastAsia="仿宋_GB2312" w:cs="宋体" w:hint="eastAsia"/>
          <w:color w:val="131313"/>
          <w:w w:val="104"/>
          <w:kern w:val="0"/>
          <w:sz w:val="32"/>
          <w:szCs w:val="32"/>
        </w:rPr>
        <w:t>，</w:t>
      </w:r>
      <w:r>
        <w:rPr>
          <w:rFonts w:ascii="仿宋_GB2312" w:eastAsia="仿宋_GB2312" w:cs="宋体"/>
          <w:color w:val="131313"/>
          <w:w w:val="104"/>
          <w:kern w:val="0"/>
          <w:sz w:val="32"/>
          <w:szCs w:val="32"/>
        </w:rPr>
        <w:t>切实增强各部门支出绩效意识</w:t>
      </w:r>
      <w:r>
        <w:rPr>
          <w:rFonts w:ascii="仿宋_GB2312" w:eastAsia="仿宋_GB2312" w:cs="宋体" w:hint="eastAsia"/>
          <w:color w:val="131313"/>
          <w:w w:val="104"/>
          <w:kern w:val="0"/>
          <w:sz w:val="32"/>
          <w:szCs w:val="32"/>
        </w:rPr>
        <w:t>，</w:t>
      </w:r>
      <w:r>
        <w:rPr>
          <w:rFonts w:ascii="仿宋_GB2312" w:eastAsia="仿宋_GB2312" w:cs="宋体"/>
          <w:color w:val="131313"/>
          <w:w w:val="104"/>
          <w:kern w:val="0"/>
          <w:sz w:val="32"/>
          <w:szCs w:val="32"/>
        </w:rPr>
        <w:t>提高转移支付资金使用效益</w:t>
      </w:r>
      <w:r>
        <w:rPr>
          <w:rFonts w:ascii="仿宋_GB2312" w:eastAsia="仿宋_GB2312" w:cs="宋体" w:hint="eastAsia"/>
          <w:color w:val="131313"/>
          <w:w w:val="104"/>
          <w:kern w:val="0"/>
          <w:sz w:val="32"/>
          <w:szCs w:val="32"/>
        </w:rPr>
        <w:t>，我州组织全州财政部门和资金主管部门对</w:t>
      </w:r>
      <w:r>
        <w:rPr>
          <w:rFonts w:ascii="仿宋_GB2312" w:eastAsia="仿宋_GB2312" w:cs="宋体" w:hint="eastAsia"/>
          <w:color w:val="030303"/>
          <w:w w:val="104"/>
          <w:kern w:val="0"/>
          <w:sz w:val="32"/>
          <w:szCs w:val="32"/>
        </w:rPr>
        <w:t>2</w:t>
      </w:r>
      <w:r>
        <w:rPr>
          <w:rFonts w:ascii="仿宋_GB2312" w:eastAsia="仿宋_GB2312" w:cs="宋体"/>
          <w:color w:val="030303"/>
          <w:w w:val="104"/>
          <w:kern w:val="0"/>
          <w:sz w:val="32"/>
          <w:szCs w:val="32"/>
        </w:rPr>
        <w:t>0</w:t>
      </w:r>
      <w:r>
        <w:rPr>
          <w:rFonts w:ascii="仿宋_GB2312" w:eastAsia="仿宋_GB2312" w:cs="宋体" w:hint="eastAsia"/>
          <w:color w:val="030303"/>
          <w:w w:val="104"/>
          <w:kern w:val="0"/>
          <w:sz w:val="32"/>
          <w:szCs w:val="32"/>
        </w:rPr>
        <w:t>20</w:t>
      </w:r>
      <w:r>
        <w:rPr>
          <w:rFonts w:ascii="仿宋_GB2312" w:eastAsia="仿宋_GB2312" w:cs="宋体"/>
          <w:color w:val="030303"/>
          <w:w w:val="104"/>
          <w:kern w:val="0"/>
          <w:sz w:val="32"/>
          <w:szCs w:val="32"/>
        </w:rPr>
        <w:t>年度</w:t>
      </w:r>
      <w:r>
        <w:rPr>
          <w:rFonts w:ascii="仿宋_GB2312" w:eastAsia="仿宋_GB2312" w:cs="宋体"/>
          <w:color w:val="131313"/>
          <w:w w:val="104"/>
          <w:kern w:val="0"/>
          <w:sz w:val="32"/>
          <w:szCs w:val="32"/>
        </w:rPr>
        <w:t>中央对地方转移支付预算执行情况</w:t>
      </w:r>
      <w:r>
        <w:rPr>
          <w:rFonts w:ascii="仿宋_GB2312" w:eastAsia="仿宋_GB2312" w:cs="宋体" w:hint="eastAsia"/>
          <w:color w:val="131313"/>
          <w:w w:val="104"/>
          <w:kern w:val="0"/>
          <w:sz w:val="32"/>
          <w:szCs w:val="32"/>
        </w:rPr>
        <w:t>开展</w:t>
      </w:r>
      <w:r>
        <w:rPr>
          <w:rFonts w:ascii="仿宋_GB2312" w:eastAsia="仿宋_GB2312" w:cs="宋体"/>
          <w:color w:val="131313"/>
          <w:w w:val="104"/>
          <w:kern w:val="0"/>
          <w:sz w:val="32"/>
          <w:szCs w:val="32"/>
        </w:rPr>
        <w:t>了绩效自评工作</w:t>
      </w:r>
      <w:r>
        <w:rPr>
          <w:rFonts w:ascii="仿宋_GB2312" w:eastAsia="仿宋_GB2312" w:cs="宋体" w:hint="eastAsia"/>
          <w:color w:val="131313"/>
          <w:w w:val="104"/>
          <w:kern w:val="0"/>
          <w:sz w:val="32"/>
          <w:szCs w:val="32"/>
        </w:rPr>
        <w:t>。</w:t>
      </w:r>
    </w:p>
    <w:p>
      <w:pPr>
        <w:pBdr>
          <w:bottom w:val="single" w:sz="4" w:space="15" w:color="FFFFFF"/>
        </w:pBdr>
        <w:snapToGrid w:val="0"/>
        <w:spacing w:line="560" w:lineRule="exact"/>
        <w:ind w:firstLineChars="200" w:firstLine="666"/>
        <w:rPr>
          <w:rFonts w:ascii="黑体" w:eastAsia="黑体"/>
          <w:sz w:val="32"/>
          <w:szCs w:val="32"/>
        </w:rPr>
      </w:pPr>
      <w:r>
        <w:rPr>
          <w:rFonts w:ascii="楷体_GB2312" w:eastAsia="楷体_GB2312" w:cs="宋体" w:hint="eastAsia"/>
          <w:b/>
          <w:color w:val="131313"/>
          <w:w w:val="104"/>
          <w:kern w:val="0"/>
          <w:sz w:val="32"/>
          <w:szCs w:val="32"/>
        </w:rPr>
        <w:t>（三）</w:t>
      </w:r>
      <w:r>
        <w:rPr>
          <w:rFonts w:ascii="楷体_GB2312" w:eastAsia="楷体_GB2312" w:cs="宋体" w:hint="eastAsia"/>
          <w:b/>
          <w:color w:val="131313"/>
          <w:spacing w:val="1"/>
          <w:kern w:val="0"/>
          <w:sz w:val="32"/>
          <w:szCs w:val="32"/>
        </w:rPr>
        <w:t>围绕提质增效目标，大力推进预算绩效管理，推动预算管理改革取得新的突破</w:t>
      </w:r>
    </w:p>
    <w:p>
      <w:pPr>
        <w:pBdr>
          <w:bottom w:val="single" w:sz="4" w:space="15" w:color="FFFFFF"/>
        </w:pBdr>
        <w:snapToGrid w:val="0"/>
        <w:spacing w:line="560" w:lineRule="exact"/>
        <w:ind w:firstLineChars="200" w:firstLine="666"/>
        <w:rPr>
          <w:rFonts w:ascii="黑体" w:eastAsia="黑体"/>
          <w:sz w:val="32"/>
          <w:szCs w:val="32"/>
        </w:rPr>
      </w:pPr>
      <w:r>
        <w:rPr>
          <w:rFonts w:ascii="仿宋_GB2312" w:eastAsia="仿宋_GB2312" w:cs="宋体" w:hint="eastAsia"/>
          <w:color w:val="131313"/>
          <w:w w:val="104"/>
          <w:kern w:val="0"/>
          <w:sz w:val="32"/>
          <w:szCs w:val="32"/>
        </w:rPr>
        <w:t>对标中央、省关于全面实施预算绩效管理的实施意见总体要求和预算管理一体化改革需求，结合全州预算绩效管理工作现状、预算绩效管理工作考核过程中反映出的工作短板和薄弱环节，研究制定</w:t>
      </w:r>
      <w:r>
        <w:rPr>
          <w:rFonts w:ascii="仿宋_GB2312" w:eastAsia="仿宋_GB2312" w:cs="宋体"/>
          <w:color w:val="131313"/>
          <w:w w:val="104"/>
          <w:kern w:val="0"/>
          <w:sz w:val="32"/>
          <w:szCs w:val="32"/>
        </w:rPr>
        <w:t>下发了《阿坝州州级2021年预算绩效管理工作要点》</w:t>
      </w:r>
      <w:r>
        <w:rPr>
          <w:rFonts w:ascii="仿宋_GB2312" w:eastAsia="仿宋_GB2312" w:cs="宋体" w:hint="eastAsia"/>
          <w:color w:val="131313"/>
          <w:w w:val="104"/>
          <w:kern w:val="0"/>
          <w:sz w:val="32"/>
          <w:szCs w:val="32"/>
        </w:rPr>
        <w:t>，强化关键环节工作要求，对标对表提升完善，为财政高质量发展奠定坚实基础。</w:t>
      </w:r>
    </w:p>
    <w:p>
      <w:pPr>
        <w:pBdr>
          <w:bottom w:val="single" w:sz="4" w:space="15" w:color="FFFFFF"/>
        </w:pBdr>
        <w:snapToGrid w:val="0"/>
        <w:spacing w:line="560" w:lineRule="exact"/>
        <w:ind w:firstLineChars="200" w:firstLine="640"/>
        <w:rPr>
          <w:rFonts w:ascii="黑体" w:eastAsia="黑体"/>
          <w:sz w:val="32"/>
          <w:szCs w:val="32"/>
        </w:rPr>
      </w:pPr>
      <w:r>
        <w:rPr>
          <w:rFonts w:ascii="楷体_GB2312" w:eastAsia="楷体_GB2312" w:cs="楷体" w:hint="eastAsia"/>
          <w:b/>
          <w:bCs/>
          <w:sz w:val="32"/>
          <w:szCs w:val="32"/>
        </w:rPr>
        <w:t>（四）强化绩效目标管理</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宋体" w:hint="eastAsia"/>
          <w:color w:val="000000"/>
          <w:kern w:val="0"/>
          <w:sz w:val="32"/>
          <w:szCs w:val="32"/>
        </w:rPr>
        <w:t>绩效目标是建设项目库、编制部门预算、实施绩效监控、开展绩效评价等的重要基础和依据。我局高度重视预算绩效管理工作，着重在建立目标管理机制、制度和组织保障上下功夫，夯实工作基础。坚持绩效目标引领，绩效目标与预算编制、事中监控、中期评估及事后绩效全过程。</w:t>
      </w:r>
    </w:p>
    <w:p>
      <w:pPr>
        <w:pBdr>
          <w:bottom w:val="single" w:sz="4" w:space="15" w:color="FFFFFF"/>
        </w:pBdr>
        <w:snapToGrid w:val="0"/>
        <w:spacing w:line="560" w:lineRule="exact"/>
        <w:ind w:firstLineChars="200" w:firstLine="640"/>
        <w:rPr>
          <w:rFonts w:ascii="黑体" w:eastAsia="黑体"/>
          <w:sz w:val="32"/>
          <w:szCs w:val="32"/>
        </w:rPr>
      </w:pPr>
      <w:r>
        <w:rPr>
          <w:rFonts w:ascii="楷体_GB2312" w:eastAsia="楷体_GB2312" w:hint="eastAsia"/>
          <w:b/>
          <w:bCs/>
          <w:sz w:val="32"/>
          <w:szCs w:val="32"/>
        </w:rPr>
        <w:t>（五）全面推进</w:t>
      </w:r>
      <w:r>
        <w:rPr>
          <w:rFonts w:ascii="楷体_GB2312" w:eastAsia="楷体_GB2312" w:cs="仿宋_GB2312" w:hint="eastAsia"/>
          <w:b/>
          <w:bCs/>
          <w:sz w:val="32"/>
          <w:szCs w:val="32"/>
        </w:rPr>
        <w:t>事前绩效评估工作</w:t>
      </w:r>
    </w:p>
    <w:p>
      <w:pPr>
        <w:pBdr>
          <w:bottom w:val="single" w:sz="4" w:space="15" w:color="FFFFFF"/>
        </w:pBdr>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为全面实施预算绩效管理，加快推进预算绩效管理工作进程，2021年坚持评估工作“做细做专”的目标导向，明晰项目范畴、部门职责和评价机制，形成了纵向到各预算部门，纵向到各财政科室聚焦事前评估新模式，并充分依托第三方专业意见优势，重点分析资金测算，实行“二上二下”评估模式，实现事前绩效评估和预算编制有机衔接。</w:t>
      </w:r>
    </w:p>
    <w:p>
      <w:pPr>
        <w:pBdr>
          <w:bottom w:val="single" w:sz="4" w:space="15" w:color="FFFFFF"/>
        </w:pBdr>
        <w:snapToGrid w:val="0"/>
        <w:spacing w:line="560" w:lineRule="exact"/>
        <w:ind w:firstLineChars="200" w:firstLine="640"/>
        <w:rPr>
          <w:rFonts w:ascii="仿宋_GB2312" w:eastAsia="仿宋_GB2312" w:cs="仿宋_GB2312"/>
          <w:sz w:val="32"/>
          <w:szCs w:val="32"/>
        </w:rPr>
      </w:pPr>
      <w:r>
        <w:rPr>
          <w:rFonts w:ascii="楷体_GB2312" w:eastAsia="楷体_GB2312" w:cs="仿宋_GB2312" w:hint="eastAsia"/>
          <w:b/>
          <w:bCs/>
          <w:sz w:val="32"/>
          <w:szCs w:val="32"/>
        </w:rPr>
        <w:t>（六）以财政资金活动监控为核心规范监控流程</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仿宋_GB2312" w:hint="eastAsia"/>
          <w:sz w:val="32"/>
          <w:szCs w:val="32"/>
        </w:rPr>
        <w:t>2021年将所有财政资金项目纳入绩效跟踪管理范围，实现绩效监控全覆盖，明确绩效监控管理职责、内容、程序、结果应用等内容，实现监控管理的格式化。监控发现</w:t>
      </w:r>
      <w:r>
        <w:rPr>
          <w:rFonts w:ascii="仿宋_GB2312" w:eastAsia="仿宋_GB2312" w:hint="eastAsia"/>
          <w:sz w:val="32"/>
          <w:szCs w:val="32"/>
        </w:rPr>
        <w:t>92个预算部门（单位）共348个项目资金拨付进度低于40%；2</w:t>
      </w:r>
      <w:r>
        <w:rPr>
          <w:rFonts w:ascii="仿宋_GB2312" w:eastAsia="仿宋_GB2312"/>
          <w:sz w:val="32"/>
          <w:szCs w:val="32"/>
        </w:rPr>
        <w:t>4</w:t>
      </w:r>
      <w:r>
        <w:rPr>
          <w:rFonts w:ascii="仿宋_GB2312" w:eastAsia="仿宋_GB2312" w:hint="eastAsia"/>
          <w:sz w:val="32"/>
          <w:szCs w:val="32"/>
        </w:rPr>
        <w:t>个单位，</w:t>
      </w:r>
      <w:r>
        <w:rPr>
          <w:rFonts w:ascii="仿宋_GB2312" w:eastAsia="仿宋_GB2312"/>
          <w:sz w:val="32"/>
          <w:szCs w:val="32"/>
        </w:rPr>
        <w:t>38</w:t>
      </w:r>
      <w:r>
        <w:rPr>
          <w:rFonts w:ascii="仿宋_GB2312" w:eastAsia="仿宋_GB2312" w:hint="eastAsia"/>
          <w:sz w:val="32"/>
          <w:szCs w:val="32"/>
        </w:rPr>
        <w:t>个预算项目预算编制精准度不高，已完成项目结余资金共计</w:t>
      </w:r>
      <w:r>
        <w:rPr>
          <w:rFonts w:ascii="仿宋_GB2312" w:eastAsia="仿宋_GB2312"/>
          <w:sz w:val="32"/>
          <w:szCs w:val="32"/>
        </w:rPr>
        <w:t>181.59</w:t>
      </w:r>
      <w:r>
        <w:rPr>
          <w:rFonts w:ascii="仿宋_GB2312" w:eastAsia="仿宋_GB2312" w:hint="eastAsia"/>
          <w:sz w:val="32"/>
          <w:szCs w:val="32"/>
        </w:rPr>
        <w:t>万元；1</w:t>
      </w:r>
      <w:r>
        <w:rPr>
          <w:rFonts w:ascii="仿宋_GB2312" w:eastAsia="仿宋_GB2312"/>
          <w:sz w:val="32"/>
          <w:szCs w:val="32"/>
        </w:rPr>
        <w:t>4</w:t>
      </w:r>
      <w:r>
        <w:rPr>
          <w:rFonts w:ascii="仿宋_GB2312" w:eastAsia="仿宋_GB2312" w:hint="eastAsia"/>
          <w:sz w:val="32"/>
          <w:szCs w:val="32"/>
        </w:rPr>
        <w:t>个单位，2</w:t>
      </w:r>
      <w:r>
        <w:rPr>
          <w:rFonts w:ascii="仿宋_GB2312" w:eastAsia="仿宋_GB2312"/>
          <w:sz w:val="32"/>
          <w:szCs w:val="32"/>
        </w:rPr>
        <w:t>5</w:t>
      </w:r>
      <w:r>
        <w:rPr>
          <w:rFonts w:ascii="仿宋_GB2312" w:eastAsia="仿宋_GB2312" w:hint="eastAsia"/>
          <w:sz w:val="32"/>
          <w:szCs w:val="32"/>
        </w:rPr>
        <w:t>个项目预算偏差较大，共计</w:t>
      </w:r>
      <w:r>
        <w:rPr>
          <w:rFonts w:ascii="仿宋_GB2312" w:eastAsia="仿宋_GB2312"/>
          <w:sz w:val="32"/>
          <w:szCs w:val="32"/>
        </w:rPr>
        <w:t>661.06</w:t>
      </w:r>
      <w:r>
        <w:rPr>
          <w:rFonts w:ascii="仿宋_GB2312" w:eastAsia="仿宋_GB2312" w:hint="eastAsia"/>
          <w:sz w:val="32"/>
          <w:szCs w:val="32"/>
        </w:rPr>
        <w:t>万元，按程序审核核实后盘活财政资金。</w:t>
      </w:r>
    </w:p>
    <w:p>
      <w:pPr>
        <w:pBdr>
          <w:bottom w:val="single" w:sz="4" w:space="15" w:color="FFFFFF"/>
        </w:pBdr>
        <w:snapToGrid w:val="0"/>
        <w:spacing w:line="560" w:lineRule="exact"/>
        <w:ind w:firstLineChars="200" w:firstLine="640"/>
        <w:rPr>
          <w:rFonts w:ascii="黑体" w:eastAsia="黑体"/>
          <w:sz w:val="32"/>
          <w:szCs w:val="32"/>
        </w:rPr>
      </w:pPr>
      <w:r>
        <w:rPr>
          <w:rFonts w:ascii="楷体_GB2312" w:eastAsia="楷体_GB2312" w:cs="仿宋_GB2312" w:hint="eastAsia"/>
          <w:b/>
          <w:bCs/>
          <w:sz w:val="32"/>
          <w:szCs w:val="32"/>
        </w:rPr>
        <w:t>（七）深入推进绩效评价</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仿宋_GB2312" w:hint="eastAsia"/>
          <w:b/>
          <w:bCs/>
          <w:sz w:val="32"/>
          <w:szCs w:val="32"/>
        </w:rPr>
        <w:t>1.开展项目支出绩效评价</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hint="eastAsia"/>
          <w:sz w:val="32"/>
          <w:szCs w:val="32"/>
        </w:rPr>
        <w:t>2021年以来，我州按照“优先选择贯彻落实党中央、国务院重大方针政策和决策部署的项目，覆盖面广、影响力大、社会关注度高、项目实施期长”的要求，重点选择</w:t>
      </w:r>
      <w:r>
        <w:rPr>
          <w:rFonts w:ascii="仿宋_GB2312" w:eastAsia="仿宋_GB2312" w:cs="仿宋_GB2312" w:hint="eastAsia"/>
          <w:color w:val="000000"/>
          <w:sz w:val="32"/>
          <w:szCs w:val="32"/>
        </w:rPr>
        <w:t>产业发展、脱贫攻坚、疫情防控、地灾防治、教育和卫生健康等领域</w:t>
      </w:r>
      <w:r>
        <w:rPr>
          <w:rFonts w:ascii="仿宋_GB2312" w:eastAsia="仿宋_GB2312" w:hint="eastAsia"/>
          <w:sz w:val="32"/>
          <w:szCs w:val="32"/>
        </w:rPr>
        <w:t>923类项目（不含子项目）开展重点绩效评价工作，</w:t>
      </w:r>
      <w:r>
        <w:rPr>
          <w:rFonts w:ascii="仿宋_GB2312" w:eastAsia="仿宋_GB2312" w:cs="宋体" w:hint="eastAsia"/>
          <w:color w:val="000000"/>
          <w:kern w:val="0"/>
          <w:sz w:val="32"/>
          <w:szCs w:val="32"/>
          <w:shd w:val="clear" w:color="auto" w:fill="FFFFFF"/>
        </w:rPr>
        <w:t>民生类资金达99%，涉及资金量80.6亿元。</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仿宋_GB2312" w:hint="eastAsia"/>
          <w:b/>
          <w:bCs/>
          <w:sz w:val="32"/>
          <w:szCs w:val="32"/>
        </w:rPr>
        <w:t>2.开展部门整体预算绩效评价</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宋体" w:hint="eastAsia"/>
          <w:color w:val="000000"/>
          <w:kern w:val="0"/>
          <w:sz w:val="32"/>
          <w:szCs w:val="32"/>
        </w:rPr>
        <w:t>按照“谁管理资金、谁负责绩效”的原则，扎实开展部门整体支出绩效评价，促进部门从整体上提升预算绩效管理水平，强化部门支出责任，规范资金管理行为，提高财政资金使用绩效，保障部门更好地履行职责。</w:t>
      </w:r>
      <w:r>
        <w:rPr>
          <w:rFonts w:ascii="仿宋_GB2312" w:eastAsia="仿宋_GB2312" w:hint="eastAsia"/>
          <w:sz w:val="32"/>
          <w:szCs w:val="32"/>
        </w:rPr>
        <w:t>2021年，</w:t>
      </w:r>
      <w:r>
        <w:rPr>
          <w:rFonts w:ascii="仿宋_GB2312" w:eastAsia="仿宋_GB2312" w:cs="宋体" w:hint="eastAsia"/>
          <w:color w:val="000000"/>
          <w:kern w:val="0"/>
          <w:sz w:val="32"/>
          <w:szCs w:val="32"/>
        </w:rPr>
        <w:t>我州</w:t>
      </w:r>
      <w:r>
        <w:rPr>
          <w:rFonts w:ascii="仿宋_GB2312" w:eastAsia="仿宋_GB2312" w:hint="eastAsia"/>
          <w:sz w:val="32"/>
          <w:szCs w:val="32"/>
        </w:rPr>
        <w:t>共选取441个部门（单位）组织开展了整体支出绩效</w:t>
      </w:r>
      <w:r>
        <w:rPr>
          <w:rFonts w:ascii="仿宋_GB2312" w:eastAsia="仿宋_GB2312" w:cs="宋体" w:hint="eastAsia"/>
          <w:color w:val="000000"/>
          <w:kern w:val="0"/>
          <w:sz w:val="32"/>
          <w:szCs w:val="32"/>
        </w:rPr>
        <w:t>抽查复评工作。</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仿宋_GB2312" w:hint="eastAsia"/>
          <w:b/>
          <w:bCs/>
          <w:sz w:val="32"/>
          <w:szCs w:val="32"/>
        </w:rPr>
        <w:t>3.开展财政政策绩效评价</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仿宋_GB2312" w:hint="eastAsia"/>
          <w:sz w:val="32"/>
          <w:szCs w:val="32"/>
        </w:rPr>
        <w:t>为持续提升政策绩效管理，</w:t>
      </w:r>
      <w:r>
        <w:rPr>
          <w:rFonts w:ascii="仿宋_GB2312" w:eastAsia="仿宋_GB2312" w:hint="eastAsia"/>
          <w:sz w:val="32"/>
          <w:szCs w:val="32"/>
        </w:rPr>
        <w:t>进一步提高相关政策的经济性、效益性、公平性和可持续性，</w:t>
      </w:r>
      <w:r>
        <w:rPr>
          <w:rFonts w:ascii="仿宋_GB2312" w:eastAsia="仿宋_GB2312" w:cs="仿宋_GB2312" w:hint="eastAsia"/>
          <w:sz w:val="32"/>
          <w:szCs w:val="32"/>
        </w:rPr>
        <w:t>我州2021年对财政扶贫资金、民族地区转移支付补助、农资补贴资金、城乡医疗救助、支持农村“厕所革命”整村推进财政奖补资金等67类项目，进行了政策性评价，涉及资金量26.34亿元。</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仿宋_GB2312" w:hint="eastAsia"/>
          <w:b/>
          <w:bCs/>
          <w:sz w:val="32"/>
          <w:szCs w:val="32"/>
        </w:rPr>
        <w:t>4.财政重点评价内容由一般公共预算拓展至政府性基金预算、国有资本经营预算、社会保险基金预算</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仿宋_GB2312" w:hint="eastAsia"/>
          <w:sz w:val="32"/>
          <w:szCs w:val="32"/>
        </w:rPr>
        <w:t>2021年，全州财政重点评价范围从一般公共预算拓展至政府性基金预算、国有资本经营预算、社会保险基金预算。</w:t>
      </w:r>
      <w:r>
        <w:rPr>
          <w:rFonts w:ascii="仿宋_GB2312" w:eastAsia="仿宋_GB2312" w:hint="eastAsia"/>
          <w:sz w:val="32"/>
          <w:szCs w:val="32"/>
        </w:rPr>
        <w:t xml:space="preserve"> </w:t>
      </w:r>
    </w:p>
    <w:p>
      <w:pPr>
        <w:pBdr>
          <w:bottom w:val="single" w:sz="4" w:space="15" w:color="FFFFFF"/>
        </w:pBdr>
        <w:snapToGrid w:val="0"/>
        <w:spacing w:line="560" w:lineRule="exact"/>
        <w:ind w:firstLineChars="200" w:firstLine="640"/>
        <w:rPr>
          <w:rFonts w:ascii="黑体" w:eastAsia="黑体"/>
          <w:sz w:val="32"/>
          <w:szCs w:val="32"/>
        </w:rPr>
      </w:pPr>
      <w:r>
        <w:rPr>
          <w:rFonts w:ascii="楷体_GB2312" w:eastAsia="楷体_GB2312" w:cs="仿宋_GB2312" w:hint="eastAsia"/>
          <w:b/>
          <w:bCs/>
          <w:sz w:val="32"/>
          <w:szCs w:val="32"/>
        </w:rPr>
        <w:t>（八）</w:t>
      </w:r>
      <w:r>
        <w:rPr>
          <w:rFonts w:ascii="楷体_GB2312" w:eastAsia="楷体_GB2312" w:hint="eastAsia"/>
          <w:b/>
          <w:sz w:val="32"/>
          <w:szCs w:val="32"/>
        </w:rPr>
        <w:t>进一步加强对薄弱部门和县（市）的重点督促指导</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hint="eastAsia"/>
          <w:sz w:val="32"/>
          <w:szCs w:val="32"/>
        </w:rPr>
        <w:t>结合全州预算绩效管理工作现状、预算绩效管理工作考核过程中反映出的工作短板和薄弱环节，建立了预算绩效管理跟踪问效“两书一函”制度，不断强化关键环节工作要求，对标对表提升完善。</w:t>
      </w:r>
    </w:p>
    <w:p>
      <w:pPr>
        <w:pBdr>
          <w:bottom w:val="single" w:sz="4" w:space="15" w:color="FFFFFF"/>
        </w:pBdr>
        <w:snapToGrid w:val="0"/>
        <w:spacing w:line="560" w:lineRule="exact"/>
        <w:ind w:firstLineChars="200" w:firstLine="640"/>
        <w:rPr>
          <w:rFonts w:ascii="黑体" w:eastAsia="黑体"/>
          <w:sz w:val="32"/>
          <w:szCs w:val="32"/>
        </w:rPr>
      </w:pPr>
      <w:r>
        <w:rPr>
          <w:rFonts w:ascii="楷体_GB2312" w:eastAsia="楷体_GB2312" w:hint="eastAsia"/>
          <w:b/>
          <w:sz w:val="32"/>
          <w:szCs w:val="32"/>
        </w:rPr>
        <w:t>（九）积极开展预算绩效管理宣传工作</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hint="eastAsia"/>
          <w:sz w:val="32"/>
          <w:szCs w:val="32"/>
        </w:rPr>
        <w:t>为深入推进全面预算绩效管理工作，加快建成全方位、全过程、全覆盖的预算绩效管理体系，2021年，积极将开展了预算绩效管理宣传工作。通过广播电视、报纸杂志、LED显示屏、部门网站等多种渠道广泛宣传全州预算绩效管理政策制度、经验做法和典型案例，传播绩效理念、营造浓厚的预算绩效管理气氛，不断提高预算绩效管理的知晓率和影响力。</w:t>
      </w:r>
    </w:p>
    <w:p>
      <w:pPr>
        <w:pBdr>
          <w:bottom w:val="single" w:sz="4" w:space="15" w:color="FFFFFF"/>
        </w:pBdr>
        <w:snapToGrid w:val="0"/>
        <w:spacing w:line="560" w:lineRule="exact"/>
        <w:ind w:firstLineChars="200" w:firstLine="640"/>
        <w:rPr>
          <w:rFonts w:ascii="黑体" w:eastAsia="黑体"/>
          <w:sz w:val="32"/>
          <w:szCs w:val="32"/>
        </w:rPr>
      </w:pPr>
      <w:r>
        <w:rPr>
          <w:rFonts w:ascii="楷体_GB2312" w:eastAsia="楷体_GB2312" w:cs="仿宋_GB2312" w:hint="eastAsia"/>
          <w:b/>
          <w:bCs/>
          <w:sz w:val="32"/>
          <w:szCs w:val="32"/>
        </w:rPr>
        <w:t>（十）是注重结果应用，提高绩效意识</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仿宋_GB2312" w:hint="eastAsia"/>
          <w:bCs/>
          <w:sz w:val="32"/>
          <w:szCs w:val="32"/>
        </w:rPr>
        <w:t>一方面加强对纳入评价的资金项目的跟踪问效，将绩效评价情况向州政府、州人大做专题汇报，对发现的资金使用、管理等问题，及时反馈给资金使用部门，以“发点球”的方式下发书面整改通知书，落实整改责任、措施，提高资金使用部门的绩效意识，规范资金管理，提高资金使用效益。另一方面重视资金分配的预算绩效和可行性研究，将绩效评价结果作为改进预算管理和安排以后年度预算的重要依据，实行绩效评价结果与预算编制和项目申报相挂钩，对绩效评价结果好的部门，在年度预算安排和项目申报时予以优先考虑。建立预算绩效管理激励制度，完善财政部门预算绩效管理工作机制，将预算绩效管理工作作为衡量县（市）财政运行管理水平的依据之一。为优化财政支出结构和提高财政支出效益提供信息支持，减少和避免资金分配的随意性和盲目性，提高科学理财工作水平，有效提升绩效评价工作的整体机制初步建立。</w:t>
      </w:r>
    </w:p>
    <w:p>
      <w:pPr>
        <w:pBdr>
          <w:bottom w:val="single" w:sz="4" w:space="15" w:color="FFFFFF"/>
        </w:pBdr>
        <w:snapToGrid w:val="0"/>
        <w:spacing w:line="560" w:lineRule="exact"/>
        <w:ind w:firstLineChars="200" w:firstLine="640"/>
        <w:rPr>
          <w:rFonts w:ascii="黑体" w:eastAsia="黑体"/>
          <w:sz w:val="32"/>
          <w:szCs w:val="32"/>
        </w:rPr>
      </w:pPr>
      <w:r>
        <w:rPr>
          <w:rFonts w:ascii="黑体" w:eastAsia="黑体" w:hint="eastAsia"/>
          <w:b/>
          <w:sz w:val="32"/>
          <w:szCs w:val="32"/>
        </w:rPr>
        <w:t>三、</w:t>
      </w:r>
      <w:r>
        <w:rPr>
          <w:rFonts w:ascii="黑体" w:eastAsia="黑体" w:hint="eastAsia"/>
          <w:sz w:val="32"/>
          <w:szCs w:val="32"/>
        </w:rPr>
        <w:t>完成领导交办的各项临时性工作和任务</w:t>
      </w:r>
      <w:r>
        <w:rPr>
          <w:rFonts w:ascii="黑体" w:eastAsia="黑体" w:hint="eastAsia"/>
          <w:b/>
          <w:sz w:val="32"/>
          <w:szCs w:val="32"/>
        </w:rPr>
        <w:t>。</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hint="eastAsia"/>
          <w:sz w:val="32"/>
        </w:rPr>
        <w:t>在组织做好财政监督检查与预算绩效管理工作的同时，积极完成省厅和局领导交办的其他工作。</w:t>
      </w:r>
    </w:p>
    <w:p>
      <w:pPr>
        <w:pBdr>
          <w:bottom w:val="single" w:sz="4" w:space="15" w:color="FFFFFF"/>
        </w:pBdr>
        <w:snapToGrid w:val="0"/>
        <w:spacing w:line="560" w:lineRule="exact"/>
        <w:ind w:firstLineChars="200" w:firstLine="640"/>
        <w:rPr>
          <w:rFonts w:ascii="黑体" w:eastAsia="黑体"/>
          <w:sz w:val="32"/>
          <w:szCs w:val="32"/>
        </w:rPr>
      </w:pPr>
      <w:r>
        <w:rPr>
          <w:rFonts w:ascii="黑体" w:eastAsia="黑体" w:hint="eastAsia"/>
          <w:sz w:val="32"/>
          <w:szCs w:val="32"/>
        </w:rPr>
        <w:t>四、2022年工作计划</w:t>
      </w:r>
    </w:p>
    <w:p>
      <w:pPr>
        <w:pBdr>
          <w:bottom w:val="single" w:sz="4" w:space="15" w:color="FFFFFF"/>
        </w:pBdr>
        <w:snapToGrid w:val="0"/>
        <w:spacing w:line="560" w:lineRule="exact"/>
        <w:ind w:firstLineChars="200" w:firstLine="640"/>
        <w:rPr>
          <w:rFonts w:ascii="楷体_GB2312" w:eastAsia="楷体_GB2312" w:cs="仿宋_GB2312"/>
          <w:b/>
          <w:bCs/>
          <w:color w:val="000000"/>
          <w:sz w:val="32"/>
          <w:szCs w:val="32"/>
        </w:rPr>
      </w:pPr>
      <w:r>
        <w:rPr>
          <w:rFonts w:ascii="楷体_GB2312" w:eastAsia="楷体_GB2312" w:cs="仿宋_GB2312" w:hint="eastAsia"/>
          <w:b/>
          <w:bCs/>
          <w:color w:val="000000"/>
          <w:sz w:val="32"/>
          <w:szCs w:val="32"/>
        </w:rPr>
        <w:t>（一）财政监督检查工作</w:t>
      </w:r>
    </w:p>
    <w:p>
      <w:pPr>
        <w:pBdr>
          <w:bottom w:val="single" w:sz="4" w:space="15" w:color="FFFFFF"/>
        </w:pBdr>
        <w:snapToGrid w:val="0"/>
        <w:spacing w:line="560" w:lineRule="exact"/>
        <w:ind w:firstLineChars="200" w:firstLine="640"/>
        <w:rPr>
          <w:rFonts w:ascii="仿宋_GB2312" w:eastAsia="仿宋_GB2312" w:cs="宋体"/>
          <w:color w:val="000000"/>
          <w:kern w:val="0"/>
          <w:sz w:val="32"/>
          <w:szCs w:val="32"/>
        </w:rPr>
      </w:pPr>
      <w:r>
        <w:rPr>
          <w:rFonts w:ascii="仿宋_GB2312" w:eastAsia="仿宋_GB2312" w:cs="宋体" w:hint="eastAsia"/>
          <w:b/>
          <w:color w:val="000000"/>
          <w:kern w:val="0"/>
          <w:sz w:val="32"/>
          <w:szCs w:val="32"/>
        </w:rPr>
        <w:t>一是</w:t>
      </w:r>
      <w:r>
        <w:rPr>
          <w:rFonts w:ascii="仿宋_GB2312" w:eastAsia="仿宋_GB2312" w:cs="宋体" w:hint="eastAsia"/>
          <w:color w:val="000000"/>
          <w:kern w:val="0"/>
          <w:sz w:val="32"/>
          <w:szCs w:val="32"/>
        </w:rPr>
        <w:t>继续抓好《四川省财政监督条例》的贯彻落实，逐步实现财政监督工作的规范化、制度化。采取多种形式，宣传贯彻《四川省财政监督条例》，切实履行《条例》赋予财政监督机构的职责，加大财政执法力度，切实做到有法必依、执法必严、违法必纠，推进依法行政、依法理财。</w:t>
      </w:r>
    </w:p>
    <w:p>
      <w:pPr>
        <w:pBdr>
          <w:bottom w:val="single" w:sz="4" w:space="15" w:color="FFFFFF"/>
        </w:pBdr>
        <w:snapToGrid w:val="0"/>
        <w:spacing w:line="560"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二是</w:t>
      </w:r>
      <w:r>
        <w:rPr>
          <w:rFonts w:ascii="仿宋_GB2312" w:eastAsia="仿宋_GB2312" w:hint="eastAsia"/>
          <w:color w:val="000000"/>
          <w:sz w:val="32"/>
          <w:szCs w:val="32"/>
        </w:rPr>
        <w:t>继续抓好会计信息质量、严肃财经纪律督专项检查。</w:t>
      </w:r>
    </w:p>
    <w:p>
      <w:pPr>
        <w:pBdr>
          <w:bottom w:val="single" w:sz="4" w:space="15" w:color="FFFFFF"/>
        </w:pBdr>
        <w:snapToGrid w:val="0"/>
        <w:spacing w:line="560" w:lineRule="exact"/>
        <w:ind w:firstLineChars="200" w:firstLine="640"/>
        <w:rPr>
          <w:rFonts w:ascii="楷体_GB2312" w:eastAsia="楷体_GB2312"/>
          <w:color w:val="000000"/>
          <w:sz w:val="32"/>
          <w:szCs w:val="32"/>
        </w:rPr>
      </w:pPr>
      <w:r>
        <w:rPr>
          <w:rFonts w:ascii="仿宋_GB2312" w:eastAsia="仿宋_GB2312" w:hint="eastAsia"/>
          <w:b/>
          <w:color w:val="000000"/>
          <w:sz w:val="32"/>
          <w:szCs w:val="32"/>
        </w:rPr>
        <w:t>三是</w:t>
      </w:r>
      <w:r>
        <w:rPr>
          <w:rFonts w:ascii="仿宋_GB2312" w:eastAsia="仿宋_GB2312" w:hint="eastAsia"/>
          <w:color w:val="000000"/>
          <w:sz w:val="32"/>
          <w:szCs w:val="32"/>
        </w:rPr>
        <w:t>加强财政内部监督检查，认真贯彻落实《财政部门内部监督检查办法》和《四川省财政部门内部监督检查实施办法》，对局内部各业务科室和各县财政局的财政管理活动、财政业务工作程序和财政资金运行情况进行事前、事中、事后的监督检查，确保资金及时分配下达</w:t>
      </w:r>
      <w:r>
        <w:rPr>
          <w:rFonts w:ascii="楷体_GB2312" w:eastAsia="楷体_GB2312" w:hint="eastAsia"/>
          <w:color w:val="000000"/>
          <w:sz w:val="32"/>
          <w:szCs w:val="32"/>
        </w:rPr>
        <w:t>。</w:t>
      </w:r>
    </w:p>
    <w:p>
      <w:pPr>
        <w:pBdr>
          <w:bottom w:val="single" w:sz="4" w:space="15" w:color="FFFFFF"/>
        </w:pBdr>
        <w:snapToGrid w:val="0"/>
        <w:spacing w:line="560"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四是</w:t>
      </w:r>
      <w:r>
        <w:rPr>
          <w:rFonts w:ascii="仿宋_GB2312" w:eastAsia="仿宋_GB2312" w:hint="eastAsia"/>
          <w:color w:val="000000"/>
          <w:sz w:val="32"/>
          <w:szCs w:val="32"/>
        </w:rPr>
        <w:t>加强财政监督机构和干部队伍建设。督促各县财政部门进一步加强财政监督检查机构建设，按照责任有担当、任务能落实、工作出成绩的要求充实财政监督检查干部队伍。加强学习和教育，通过开展培训、交流、研讨等方式，切实提高财政监督检查干部的业务素质和工作能力。</w:t>
      </w:r>
    </w:p>
    <w:p>
      <w:pPr>
        <w:pBdr>
          <w:bottom w:val="single" w:sz="4" w:space="15" w:color="FFFFFF"/>
        </w:pBdr>
        <w:snapToGrid w:val="0"/>
        <w:spacing w:line="560" w:lineRule="exact"/>
        <w:ind w:firstLineChars="200" w:firstLine="640"/>
        <w:rPr>
          <w:rFonts w:ascii="楷体_GB2312" w:eastAsia="楷体_GB2312" w:cs="仿宋_GB2312"/>
          <w:b/>
          <w:bCs/>
          <w:color w:val="000000"/>
          <w:sz w:val="32"/>
          <w:szCs w:val="32"/>
        </w:rPr>
      </w:pPr>
      <w:r>
        <w:rPr>
          <w:rFonts w:ascii="楷体_GB2312" w:eastAsia="楷体_GB2312" w:cs="仿宋_GB2312" w:hint="eastAsia"/>
          <w:b/>
          <w:bCs/>
          <w:color w:val="000000"/>
          <w:sz w:val="32"/>
          <w:szCs w:val="32"/>
        </w:rPr>
        <w:t>（二）预算绩效管理工作</w:t>
      </w:r>
    </w:p>
    <w:p>
      <w:pPr>
        <w:pBdr>
          <w:bottom w:val="single" w:sz="4" w:space="15" w:color="FFFFFF"/>
        </w:pBdr>
        <w:snapToGrid w:val="0"/>
        <w:spacing w:line="560" w:lineRule="exact"/>
        <w:ind w:firstLineChars="200" w:firstLine="640"/>
        <w:rPr>
          <w:rFonts w:ascii="仿宋_GB2312" w:eastAsia="仿宋_GB2312"/>
          <w:sz w:val="32"/>
          <w:szCs w:val="32"/>
        </w:rPr>
      </w:pPr>
      <w:r>
        <w:rPr>
          <w:rFonts w:ascii="仿宋_GB2312" w:eastAsia="仿宋_GB2312" w:hint="eastAsia"/>
          <w:b/>
          <w:sz w:val="32"/>
          <w:szCs w:val="32"/>
        </w:rPr>
        <w:t>一是</w:t>
      </w:r>
      <w:r>
        <w:rPr>
          <w:rFonts w:ascii="仿宋_GB2312" w:eastAsia="仿宋_GB2312" w:hint="eastAsia"/>
          <w:b/>
          <w:color w:val="000000"/>
          <w:sz w:val="32"/>
          <w:szCs w:val="32"/>
        </w:rPr>
        <w:t>加快推进预算管理一体化改革。</w:t>
      </w:r>
      <w:r>
        <w:rPr>
          <w:rFonts w:ascii="仿宋_GB2312" w:eastAsia="仿宋_GB2312" w:cs="仿宋_GB2312" w:hint="eastAsia"/>
          <w:sz w:val="32"/>
          <w:szCs w:val="32"/>
        </w:rPr>
        <w:t>明年争取建成</w:t>
      </w:r>
      <w:r>
        <w:rPr>
          <w:rFonts w:ascii="仿宋_GB2312" w:eastAsia="仿宋_GB2312" w:hint="eastAsia"/>
          <w:color w:val="000000"/>
          <w:sz w:val="32"/>
          <w:szCs w:val="32"/>
        </w:rPr>
        <w:t>预算管理一体化预算绩效管理模块，</w:t>
      </w:r>
      <w:r>
        <w:rPr>
          <w:rFonts w:ascii="仿宋_GB2312" w:eastAsia="仿宋_GB2312" w:cs="仿宋_GB2312" w:hint="eastAsia"/>
          <w:sz w:val="32"/>
          <w:szCs w:val="32"/>
        </w:rPr>
        <w:t>所有一级预算部门全部运行，不断</w:t>
      </w:r>
      <w:r>
        <w:rPr>
          <w:rFonts w:ascii="仿宋_GB2312" w:eastAsia="仿宋_GB2312" w:hint="eastAsia"/>
          <w:sz w:val="32"/>
          <w:szCs w:val="32"/>
        </w:rPr>
        <w:t>实现财政预算绩效管理全过程信息化，提升财政执政效率，体现“阳光财政、绩效财政”。</w:t>
      </w:r>
    </w:p>
    <w:p>
      <w:pPr>
        <w:pBdr>
          <w:bottom w:val="single" w:sz="4" w:space="15" w:color="FFFFFF"/>
        </w:pBdr>
        <w:snapToGrid w:val="0"/>
        <w:spacing w:line="560" w:lineRule="exact"/>
        <w:ind w:firstLineChars="200" w:firstLine="640"/>
        <w:rPr>
          <w:rFonts w:ascii="仿宋_GB2312" w:eastAsia="仿宋_GB2312" w:cs="宋体"/>
          <w:color w:val="000000"/>
          <w:kern w:val="0"/>
          <w:sz w:val="32"/>
          <w:szCs w:val="32"/>
        </w:rPr>
      </w:pPr>
      <w:r>
        <w:rPr>
          <w:rFonts w:ascii="仿宋_GB2312" w:eastAsia="仿宋_GB2312" w:cs="宋体" w:hint="eastAsia"/>
          <w:b/>
          <w:color w:val="000000"/>
          <w:kern w:val="0"/>
          <w:sz w:val="32"/>
          <w:szCs w:val="32"/>
        </w:rPr>
        <w:t>二是进一步加强绩效目标管理。</w:t>
      </w:r>
      <w:r>
        <w:rPr>
          <w:rFonts w:ascii="仿宋_GB2312" w:eastAsia="仿宋_GB2312" w:cs="宋体" w:hint="eastAsia"/>
          <w:color w:val="000000"/>
          <w:kern w:val="0"/>
          <w:sz w:val="32"/>
          <w:szCs w:val="32"/>
        </w:rPr>
        <w:t>依据国家相关政策、财政支出方向和重点、部门职能及事业发展规划等预算部门提出的绩效目标进行审核，包括绩效目标与部门职能的相关性、绩效目标的实现所采取措施的可行性、实现绩效目标所需资金的合理性等。定期采集绩效运行信息并汇总分析，对绩效目标运行情况进行跟踪管理和督促检查，纠偏扬长，促进绩效目标的顺利实现。</w:t>
      </w:r>
    </w:p>
    <w:p>
      <w:pPr>
        <w:pBdr>
          <w:bottom w:val="single" w:sz="4" w:space="15" w:color="FFFFFF"/>
        </w:pBdr>
        <w:snapToGrid w:val="0"/>
        <w:spacing w:line="560" w:lineRule="exact"/>
        <w:ind w:firstLineChars="200" w:firstLine="640"/>
        <w:rPr>
          <w:rFonts w:ascii="仿宋_GB2312" w:eastAsia="仿宋_GB2312" w:cs="宋体"/>
          <w:color w:val="000000"/>
          <w:kern w:val="0"/>
          <w:sz w:val="32"/>
          <w:szCs w:val="32"/>
        </w:rPr>
      </w:pPr>
      <w:r>
        <w:rPr>
          <w:rFonts w:ascii="仿宋_GB2312" w:eastAsia="仿宋_GB2312" w:cs="宋体" w:hint="eastAsia"/>
          <w:b/>
          <w:color w:val="000000"/>
          <w:kern w:val="0"/>
          <w:sz w:val="32"/>
          <w:szCs w:val="32"/>
        </w:rPr>
        <w:t>三是进一步加强项目、政策、整体的绩效评价。</w:t>
      </w:r>
      <w:r>
        <w:rPr>
          <w:rFonts w:ascii="仿宋_GB2312" w:eastAsia="仿宋_GB2312" w:cs="宋体" w:hint="eastAsia"/>
          <w:color w:val="000000"/>
          <w:kern w:val="0"/>
          <w:sz w:val="32"/>
          <w:szCs w:val="32"/>
        </w:rPr>
        <w:t>协调局内业务股室将预算绩效管理考评加入到日常工作中，形成常规化管理。加强预算部门项目自评工作，提高自评报告质量。认真分析研究评价结果所反映的问题，努力查找资金的使用和管理中的薄弱环节，制定改进和提高工作的措施。加大对预算部门的绩效评价工作指导、监督和检查的力度。同时， 加大重点评价工作力度。选出一些重点项目，积极公招有资质、能力强、工作责任心强的第三方，到项目施工地开展重点绩效评价，确保项目资金的合理运用。</w:t>
      </w:r>
    </w:p>
    <w:p>
      <w:pPr>
        <w:pBdr>
          <w:bottom w:val="single" w:sz="4" w:space="15" w:color="FFFFFF"/>
        </w:pBdr>
        <w:snapToGrid w:val="0"/>
        <w:spacing w:line="560" w:lineRule="exact"/>
        <w:ind w:firstLineChars="200" w:firstLine="640"/>
        <w:rPr>
          <w:rFonts w:ascii="仿宋_GB2312" w:eastAsia="仿宋_GB2312" w:cs="宋体"/>
          <w:color w:val="000000"/>
          <w:kern w:val="0"/>
          <w:sz w:val="32"/>
          <w:szCs w:val="32"/>
        </w:rPr>
      </w:pPr>
      <w:r>
        <w:rPr>
          <w:rFonts w:ascii="仿宋_GB2312" w:eastAsia="仿宋_GB2312" w:hint="eastAsia"/>
          <w:b/>
          <w:sz w:val="32"/>
          <w:szCs w:val="32"/>
        </w:rPr>
        <w:t>四是</w:t>
      </w:r>
      <w:r>
        <w:rPr>
          <w:rFonts w:ascii="仿宋_GB2312" w:eastAsia="仿宋_GB2312" w:cs="宋体" w:hint="eastAsia"/>
          <w:b/>
          <w:color w:val="000000"/>
          <w:kern w:val="0"/>
          <w:sz w:val="32"/>
          <w:szCs w:val="32"/>
        </w:rPr>
        <w:t>加强绩效评价结果运用。</w:t>
      </w:r>
      <w:r>
        <w:rPr>
          <w:rFonts w:ascii="仿宋_GB2312" w:eastAsia="仿宋_GB2312" w:cs="宋体" w:hint="eastAsia"/>
          <w:color w:val="000000"/>
          <w:kern w:val="0"/>
          <w:sz w:val="32"/>
          <w:szCs w:val="32"/>
        </w:rPr>
        <w:t>建立绩效评价结果的反馈与整改、激励与问责制度，不断完善绩效评价结果的反馈和运用机制，将绩效结果向社会逐步公布，进一步增强部门的责任感和紧迫感。将评价结果作为安排以后年度预算的重要依据。</w:t>
      </w:r>
    </w:p>
    <w:p>
      <w:pPr>
        <w:pBdr>
          <w:bottom w:val="single" w:sz="4" w:space="15" w:color="FFFFFF"/>
        </w:pBdr>
        <w:snapToGrid w:val="0"/>
        <w:spacing w:line="560" w:lineRule="exact"/>
        <w:ind w:firstLineChars="200" w:firstLine="640"/>
        <w:rPr>
          <w:rFonts w:ascii="黑体" w:eastAsia="黑体"/>
          <w:sz w:val="32"/>
          <w:szCs w:val="32"/>
        </w:rPr>
      </w:pPr>
      <w:r>
        <w:rPr>
          <w:rFonts w:ascii="仿宋_GB2312" w:eastAsia="仿宋_GB2312" w:cs="黑体" w:hint="eastAsia"/>
          <w:b/>
          <w:sz w:val="32"/>
          <w:szCs w:val="32"/>
        </w:rPr>
        <w:t>五是</w:t>
      </w:r>
      <w:r>
        <w:rPr>
          <w:rFonts w:ascii="仿宋_GB2312" w:eastAsia="仿宋_GB2312" w:cs="宋体" w:hint="eastAsia"/>
          <w:b/>
          <w:color w:val="000000"/>
          <w:kern w:val="0"/>
          <w:sz w:val="32"/>
          <w:szCs w:val="32"/>
        </w:rPr>
        <w:t>进一步加强绩效管理工作培训力度</w:t>
      </w:r>
      <w:r>
        <w:rPr>
          <w:rFonts w:ascii="仿宋_GB2312" w:eastAsia="仿宋_GB2312" w:cs="宋体" w:hint="eastAsia"/>
          <w:color w:val="000000"/>
          <w:kern w:val="0"/>
          <w:sz w:val="32"/>
          <w:szCs w:val="32"/>
        </w:rPr>
        <w:t>。聘请专业人员讲解绩效管理工作，增强预算绩效管理工作人员的业务素质。</w:t>
      </w:r>
    </w:p>
    <w:p>
      <w:pPr>
        <w:pBdr>
          <w:bottom w:val="single" w:sz="4" w:space="16" w:color="FFFFFF"/>
        </w:pBdr>
        <w:snapToGrid w:val="0"/>
        <w:spacing w:line="560" w:lineRule="exact"/>
        <w:ind w:firstLineChars="200" w:firstLine="640"/>
        <w:rPr>
          <w:rFonts w:ascii="黑体" w:eastAsia="黑体"/>
          <w:sz w:val="32"/>
          <w:szCs w:val="32"/>
        </w:rPr>
      </w:pPr>
    </w:p>
    <w:p>
      <w:pPr>
        <w:pBdr>
          <w:bottom w:val="single" w:sz="4" w:space="16" w:color="FFFFFF"/>
        </w:pBdr>
        <w:snapToGrid w:val="0"/>
        <w:spacing w:line="560" w:lineRule="exact"/>
        <w:ind w:firstLineChars="1300" w:firstLine="4160"/>
        <w:rPr>
          <w:rFonts w:ascii="仿宋_GB2312" w:eastAsia="仿宋_GB2312"/>
          <w:sz w:val="32"/>
          <w:szCs w:val="32"/>
        </w:rPr>
      </w:pPr>
      <w:r>
        <w:rPr>
          <w:rFonts w:ascii="仿宋_GB2312" w:eastAsia="仿宋_GB2312" w:hint="eastAsia"/>
          <w:sz w:val="32"/>
          <w:szCs w:val="32"/>
        </w:rPr>
        <w:t>财政监督与绩效管理科</w:t>
      </w:r>
    </w:p>
    <w:p>
      <w:pPr>
        <w:pBdr>
          <w:bottom w:val="single" w:sz="4" w:space="16" w:color="FFFFFF"/>
        </w:pBdr>
        <w:snapToGrid w:val="0"/>
        <w:spacing w:line="560" w:lineRule="exact"/>
        <w:ind w:firstLineChars="1400" w:firstLine="4480"/>
        <w:rPr>
          <w:rFonts w:ascii="仿宋_GB2312" w:eastAsia="仿宋_GB2312"/>
          <w:sz w:val="32"/>
          <w:szCs w:val="32"/>
        </w:rPr>
      </w:pPr>
      <w:r>
        <w:rPr>
          <w:rFonts w:ascii="仿宋_GB2312" w:eastAsia="仿宋_GB2312" w:hint="eastAsia"/>
          <w:sz w:val="32"/>
          <w:szCs w:val="32"/>
        </w:rPr>
        <w:t>2021年11月18日</w:t>
      </w: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_GB2312">
    <w:panose1 w:val="02010609030101010101"/>
    <w:charset w:val="86"/>
    <w:family w:val="modern"/>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楷体">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customStyle="1" w:styleId="15">
    <w:name w:val="textindent"/>
    <w:rPr>
      <w:rFonts w:cs="Times New Roman"/>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 w:type="character" w:styleId="86">
    <w:name w:val="Hyperlink"/>
    <w:basedOn w:val="10"/>
    <w:rPr>
      <w:color w:val="0000FF"/>
      <w:u w:val="single"/>
    </w:rPr>
  </w:style>
  <w:style w:type="character" w:styleId="87">
    <w:name w:val="FollowedHyperlink"/>
    <w:basedOn w:val="10"/>
    <w:rPr>
      <w:color w:val="800080"/>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11</Pages>
  <Words>5616</Words>
  <Characters>5825</Characters>
  <Lines>256</Lines>
  <Paragraphs>71</Paragraphs>
  <CharactersWithSpaces>5827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李银琳</dc:creator>
  <cp:lastModifiedBy>user</cp:lastModifiedBy>
  <cp:revision>3</cp:revision>
  <cp:lastPrinted>2021-11-18T07:09:00Z</cp:lastPrinted>
  <dcterms:created xsi:type="dcterms:W3CDTF">2021-11-18T09:29:00Z</dcterms:created>
  <dcterms:modified xsi:type="dcterms:W3CDTF">2023-09-19T01:58:15Z</dcterms:modified>
</cp:coreProperties>
</file>