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60" w:rsidRDefault="00670960" w:rsidP="00670960">
      <w:pPr>
        <w:spacing w:line="560" w:lineRule="exact"/>
      </w:pPr>
    </w:p>
    <w:p w:rsidR="00670960" w:rsidRDefault="00670960" w:rsidP="0067096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阿坝州人民政府</w:t>
      </w:r>
    </w:p>
    <w:p w:rsidR="00670960" w:rsidRDefault="00670960" w:rsidP="00670960">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关于阿坝藏族羌族自治州2022年</w:t>
      </w:r>
      <w:r w:rsidR="007D02CE">
        <w:rPr>
          <w:rFonts w:ascii="方正小标宋简体" w:eastAsia="方正小标宋简体" w:hint="eastAsia"/>
          <w:sz w:val="44"/>
          <w:szCs w:val="44"/>
        </w:rPr>
        <w:t>政府债务限额情况</w:t>
      </w:r>
      <w:r>
        <w:rPr>
          <w:rFonts w:ascii="方正小标宋简体" w:eastAsia="方正小标宋简体" w:hint="eastAsia"/>
          <w:sz w:val="44"/>
          <w:szCs w:val="44"/>
        </w:rPr>
        <w:t>的报告</w:t>
      </w:r>
    </w:p>
    <w:p w:rsidR="00A41FBE" w:rsidRDefault="00A41FBE" w:rsidP="00670960">
      <w:pPr>
        <w:spacing w:line="560" w:lineRule="exact"/>
        <w:jc w:val="center"/>
        <w:rPr>
          <w:rFonts w:ascii="仿宋_GB2312" w:eastAsia="仿宋_GB2312" w:cs="宋体"/>
          <w:color w:val="000000"/>
          <w:kern w:val="0"/>
          <w:sz w:val="32"/>
          <w:szCs w:val="32"/>
        </w:rPr>
      </w:pPr>
    </w:p>
    <w:p w:rsidR="00670960" w:rsidRDefault="00670960" w:rsidP="00670960">
      <w:pPr>
        <w:spacing w:line="560" w:lineRule="exact"/>
        <w:jc w:val="center"/>
        <w:outlineLvl w:val="0"/>
        <w:rPr>
          <w:rFonts w:ascii="仿宋_GB2312" w:eastAsia="仿宋_GB2312" w:cs="宋体"/>
          <w:color w:val="000000"/>
          <w:kern w:val="0"/>
          <w:sz w:val="32"/>
          <w:szCs w:val="32"/>
        </w:rPr>
      </w:pPr>
      <w:r>
        <w:rPr>
          <w:rFonts w:ascii="仿宋_GB2312" w:eastAsia="仿宋_GB2312" w:cs="宋体" w:hint="eastAsia"/>
          <w:color w:val="000000"/>
          <w:kern w:val="0"/>
          <w:sz w:val="32"/>
          <w:szCs w:val="32"/>
        </w:rPr>
        <w:t>（2022年10月</w:t>
      </w:r>
      <w:r w:rsidR="00F61FD2" w:rsidRPr="00F8258A">
        <w:rPr>
          <w:rFonts w:ascii="仿宋_GB2312" w:eastAsia="仿宋_GB2312" w:cs="宋体" w:hint="eastAsia"/>
          <w:color w:val="000000" w:themeColor="text1"/>
          <w:kern w:val="0"/>
          <w:sz w:val="32"/>
          <w:szCs w:val="32"/>
        </w:rPr>
        <w:t>30</w:t>
      </w:r>
      <w:r>
        <w:rPr>
          <w:rFonts w:ascii="仿宋_GB2312" w:eastAsia="仿宋_GB2312" w:cs="宋体" w:hint="eastAsia"/>
          <w:color w:val="000000"/>
          <w:kern w:val="0"/>
          <w:sz w:val="32"/>
          <w:szCs w:val="32"/>
        </w:rPr>
        <w:t>日在州十三届人大常委会第6次会议上）</w:t>
      </w:r>
    </w:p>
    <w:p w:rsidR="00670960" w:rsidRDefault="00670960" w:rsidP="00670960">
      <w:pPr>
        <w:spacing w:line="560" w:lineRule="exact"/>
        <w:jc w:val="center"/>
        <w:outlineLvl w:val="0"/>
        <w:rPr>
          <w:rFonts w:ascii="楷体" w:eastAsia="楷体"/>
          <w:sz w:val="32"/>
          <w:szCs w:val="32"/>
        </w:rPr>
      </w:pPr>
      <w:r>
        <w:rPr>
          <w:rFonts w:ascii="仿宋_GB2312" w:eastAsia="仿宋_GB2312" w:cs="宋体" w:hint="eastAsia"/>
          <w:color w:val="000000"/>
          <w:kern w:val="0"/>
          <w:sz w:val="32"/>
          <w:szCs w:val="32"/>
        </w:rPr>
        <w:t>州财政局局长</w:t>
      </w:r>
      <w:r>
        <w:rPr>
          <w:rFonts w:ascii="楷体" w:eastAsia="楷体" w:cs="宋体" w:hint="eastAsia"/>
          <w:color w:val="000000"/>
          <w:kern w:val="0"/>
          <w:sz w:val="32"/>
          <w:szCs w:val="32"/>
        </w:rPr>
        <w:t xml:space="preserve"> 刘俊</w:t>
      </w:r>
    </w:p>
    <w:p w:rsidR="00670960" w:rsidRDefault="00670960" w:rsidP="00670960">
      <w:pPr>
        <w:autoSpaceDE w:val="0"/>
        <w:autoSpaceDN w:val="0"/>
        <w:adjustRightInd w:val="0"/>
        <w:spacing w:line="560" w:lineRule="exact"/>
        <w:rPr>
          <w:rFonts w:ascii="仿宋_GB2312" w:eastAsia="仿宋_GB2312"/>
          <w:bCs/>
          <w:spacing w:val="-18"/>
          <w:sz w:val="32"/>
          <w:szCs w:val="32"/>
        </w:rPr>
      </w:pPr>
    </w:p>
    <w:p w:rsidR="00670960" w:rsidRDefault="00670960" w:rsidP="00670960">
      <w:pPr>
        <w:autoSpaceDE w:val="0"/>
        <w:autoSpaceDN w:val="0"/>
        <w:adjustRightInd w:val="0"/>
        <w:spacing w:line="640" w:lineRule="exact"/>
        <w:jc w:val="left"/>
        <w:outlineLvl w:val="0"/>
        <w:rPr>
          <w:rFonts w:ascii="仿宋_GB2312" w:eastAsia="仿宋_GB2312" w:cs="宋体"/>
          <w:sz w:val="32"/>
          <w:szCs w:val="32"/>
          <w:lang w:val="zh-CN"/>
        </w:rPr>
      </w:pPr>
      <w:r>
        <w:rPr>
          <w:rFonts w:ascii="仿宋_GB2312" w:eastAsia="仿宋_GB2312" w:cs="宋体" w:hint="eastAsia"/>
          <w:kern w:val="0"/>
          <w:sz w:val="32"/>
          <w:szCs w:val="32"/>
        </w:rPr>
        <w:t>主任、各位副主任，秘书长，各位委员</w:t>
      </w:r>
      <w:r>
        <w:rPr>
          <w:rFonts w:ascii="仿宋_GB2312" w:eastAsia="仿宋_GB2312" w:cs="宋体" w:hint="eastAsia"/>
          <w:sz w:val="32"/>
          <w:szCs w:val="32"/>
          <w:lang w:val="zh-CN"/>
        </w:rPr>
        <w:t>：</w:t>
      </w:r>
    </w:p>
    <w:p w:rsidR="00670960" w:rsidRDefault="00670960" w:rsidP="00670960">
      <w:pPr>
        <w:spacing w:line="640" w:lineRule="exact"/>
        <w:ind w:firstLineChars="196" w:firstLine="627"/>
        <w:jc w:val="left"/>
        <w:rPr>
          <w:rFonts w:ascii="仿宋_GB2312" w:eastAsia="仿宋_GB2312"/>
          <w:sz w:val="32"/>
          <w:szCs w:val="32"/>
        </w:rPr>
      </w:pPr>
      <w:r>
        <w:rPr>
          <w:rFonts w:ascii="仿宋_GB2312" w:eastAsia="仿宋_GB2312" w:hint="eastAsia"/>
          <w:sz w:val="32"/>
          <w:szCs w:val="32"/>
        </w:rPr>
        <w:t>受州人民政府委托，现向本次会议报告2022年全州政府债务限额情况，请予审议。</w:t>
      </w:r>
    </w:p>
    <w:p w:rsidR="00670960" w:rsidRDefault="00670960" w:rsidP="00670960">
      <w:pPr>
        <w:spacing w:line="640" w:lineRule="exact"/>
        <w:ind w:firstLineChars="196" w:firstLine="627"/>
        <w:jc w:val="left"/>
        <w:outlineLvl w:val="0"/>
        <w:rPr>
          <w:rFonts w:ascii="黑体" w:eastAsia="黑体"/>
          <w:sz w:val="32"/>
          <w:szCs w:val="32"/>
        </w:rPr>
      </w:pPr>
      <w:r>
        <w:rPr>
          <w:rFonts w:ascii="黑体" w:eastAsia="黑体" w:hint="eastAsia"/>
          <w:sz w:val="32"/>
          <w:szCs w:val="32"/>
        </w:rPr>
        <w:t>一、</w:t>
      </w:r>
      <w:r w:rsidR="000E0B1E" w:rsidRPr="000E0B1E">
        <w:rPr>
          <w:rFonts w:ascii="黑体" w:eastAsia="黑体" w:hint="eastAsia"/>
          <w:sz w:val="32"/>
          <w:szCs w:val="32"/>
        </w:rPr>
        <w:t>地方政府债务限额情况</w:t>
      </w:r>
    </w:p>
    <w:p w:rsidR="00670960" w:rsidRDefault="00670960" w:rsidP="00670960">
      <w:pPr>
        <w:spacing w:line="640" w:lineRule="exact"/>
        <w:ind w:firstLineChars="196" w:firstLine="627"/>
        <w:rPr>
          <w:rFonts w:ascii="仿宋_GB2312" w:eastAsia="仿宋_GB2312"/>
          <w:sz w:val="32"/>
          <w:szCs w:val="32"/>
        </w:rPr>
      </w:pPr>
      <w:r>
        <w:rPr>
          <w:rFonts w:ascii="仿宋_GB2312" w:eastAsia="仿宋_GB2312" w:hint="eastAsia"/>
          <w:sz w:val="32"/>
          <w:szCs w:val="32"/>
        </w:rPr>
        <w:t>按照《中华人民共和国预算法》、《国务院关于加强地方政府性债务管理的意见》和《四川省政府性债务管理办法》等规定，2022年9月底</w:t>
      </w:r>
      <w:r w:rsidR="00C21832">
        <w:rPr>
          <w:rFonts w:ascii="仿宋_GB2312" w:eastAsia="仿宋_GB2312" w:hint="eastAsia"/>
          <w:sz w:val="32"/>
          <w:szCs w:val="32"/>
        </w:rPr>
        <w:t>，</w:t>
      </w:r>
      <w:r>
        <w:rPr>
          <w:rFonts w:ascii="仿宋_GB2312" w:eastAsia="仿宋_GB2312" w:hint="eastAsia"/>
          <w:sz w:val="32"/>
          <w:szCs w:val="32"/>
        </w:rPr>
        <w:t>全州2022年地方政府债务限额为161</w:t>
      </w:r>
      <w:r w:rsidR="00EB6F93">
        <w:rPr>
          <w:rFonts w:ascii="仿宋_GB2312" w:eastAsia="仿宋_GB2312" w:hint="eastAsia"/>
          <w:sz w:val="32"/>
          <w:szCs w:val="32"/>
        </w:rPr>
        <w:t>.21</w:t>
      </w:r>
      <w:r>
        <w:rPr>
          <w:rFonts w:ascii="仿宋_GB2312" w:eastAsia="仿宋_GB2312" w:hint="eastAsia"/>
          <w:sz w:val="32"/>
          <w:szCs w:val="32"/>
        </w:rPr>
        <w:t>亿元，较上年增加13.44亿元，其中：一般债务限额97.</w:t>
      </w:r>
      <w:r w:rsidR="00EB6F93">
        <w:rPr>
          <w:rFonts w:ascii="仿宋_GB2312" w:eastAsia="仿宋_GB2312" w:hint="eastAsia"/>
          <w:sz w:val="32"/>
          <w:szCs w:val="32"/>
        </w:rPr>
        <w:t>61</w:t>
      </w:r>
      <w:r>
        <w:rPr>
          <w:rFonts w:ascii="仿宋_GB2312" w:eastAsia="仿宋_GB2312" w:hint="eastAsia"/>
          <w:sz w:val="32"/>
          <w:szCs w:val="32"/>
        </w:rPr>
        <w:t>亿元，较上年增加1.36亿元；专项债务限额63.6亿元,较上年增加12.08亿元。</w:t>
      </w:r>
    </w:p>
    <w:p w:rsidR="00670960" w:rsidRDefault="00670960" w:rsidP="00670960">
      <w:pPr>
        <w:spacing w:line="640" w:lineRule="exact"/>
        <w:ind w:firstLineChars="196" w:firstLine="627"/>
        <w:rPr>
          <w:rFonts w:ascii="仿宋_GB2312" w:eastAsia="仿宋_GB2312"/>
          <w:sz w:val="32"/>
          <w:szCs w:val="32"/>
        </w:rPr>
      </w:pPr>
      <w:r>
        <w:rPr>
          <w:rFonts w:ascii="仿宋_GB2312" w:eastAsia="仿宋_GB2312" w:hint="eastAsia"/>
          <w:sz w:val="32"/>
          <w:szCs w:val="32"/>
        </w:rPr>
        <w:t>2022年9月底，全州地方政府债务限额分级情况为：州本级地方政府债务限额核定为76.66亿元，较上年增加4.98亿元，其中：一般债务限额38.54亿元；专项债务限额38.12亿元，较</w:t>
      </w:r>
      <w:r>
        <w:rPr>
          <w:rFonts w:ascii="仿宋_GB2312" w:eastAsia="仿宋_GB2312" w:hint="eastAsia"/>
          <w:sz w:val="32"/>
          <w:szCs w:val="32"/>
        </w:rPr>
        <w:lastRenderedPageBreak/>
        <w:t>上年增加4.98亿元。县（市）级地方政府债务限额核定为84.55亿元，较上年增加8.46亿元，其中：一般债务限额59.07亿元, 较上年增加1.36亿元;专项债务限额25.48亿元，较上年增加7.1 亿元。</w:t>
      </w:r>
    </w:p>
    <w:p w:rsidR="00670960" w:rsidRPr="000E0B1E" w:rsidRDefault="00670960" w:rsidP="00670960">
      <w:pPr>
        <w:spacing w:line="640" w:lineRule="exact"/>
        <w:ind w:firstLineChars="196" w:firstLine="627"/>
        <w:jc w:val="left"/>
        <w:outlineLvl w:val="0"/>
        <w:rPr>
          <w:rFonts w:ascii="黑体" w:eastAsia="黑体"/>
          <w:sz w:val="32"/>
          <w:szCs w:val="32"/>
        </w:rPr>
      </w:pPr>
      <w:r w:rsidRPr="000E0B1E">
        <w:rPr>
          <w:rFonts w:ascii="黑体" w:eastAsia="黑体" w:hint="eastAsia"/>
          <w:sz w:val="32"/>
          <w:szCs w:val="32"/>
        </w:rPr>
        <w:t>二</w:t>
      </w:r>
      <w:r w:rsidR="000E0B1E">
        <w:rPr>
          <w:rFonts w:ascii="黑体" w:eastAsia="黑体" w:hint="eastAsia"/>
          <w:sz w:val="32"/>
          <w:szCs w:val="32"/>
        </w:rPr>
        <w:t>、</w:t>
      </w:r>
      <w:r w:rsidRPr="000E0B1E">
        <w:rPr>
          <w:rFonts w:ascii="黑体" w:eastAsia="黑体" w:hint="eastAsia"/>
          <w:sz w:val="32"/>
          <w:szCs w:val="32"/>
        </w:rPr>
        <w:t>地方政府债券发行及转贷情况</w:t>
      </w:r>
    </w:p>
    <w:p w:rsidR="00670960" w:rsidRDefault="00635EB8" w:rsidP="00670960">
      <w:pPr>
        <w:spacing w:line="640" w:lineRule="exact"/>
        <w:ind w:firstLineChars="196" w:firstLine="627"/>
        <w:rPr>
          <w:rFonts w:ascii="仿宋_GB2312" w:eastAsia="仿宋_GB2312"/>
          <w:sz w:val="32"/>
          <w:szCs w:val="32"/>
        </w:rPr>
      </w:pPr>
      <w:r>
        <w:rPr>
          <w:rFonts w:ascii="仿宋_GB2312" w:eastAsia="仿宋_GB2312" w:hint="eastAsia"/>
          <w:sz w:val="32"/>
          <w:szCs w:val="32"/>
        </w:rPr>
        <w:t>2022年</w:t>
      </w:r>
      <w:r w:rsidR="00670960">
        <w:rPr>
          <w:rFonts w:ascii="仿宋_GB2312" w:eastAsia="仿宋_GB2312" w:hint="eastAsia"/>
          <w:sz w:val="32"/>
          <w:szCs w:val="32"/>
        </w:rPr>
        <w:t>，财政厅代理发行并转贷我州地方政府债券20.72亿元，其中：新增一般债券1.36亿元、再融资债券7.28亿元、新增专项债券12.08亿元。州本级使用政府债券7.78亿元，其中：再融资债券2.8亿元、新增专项债券4.98亿元。转贷县（市）使用12.94亿元，其中：新增一般债券1.36亿元、再融资债券4.48亿元、新增专项债券7.1亿元。</w:t>
      </w:r>
    </w:p>
    <w:p w:rsidR="00670960" w:rsidRPr="000E0B1E" w:rsidRDefault="00670960" w:rsidP="00670960">
      <w:pPr>
        <w:spacing w:line="640" w:lineRule="exact"/>
        <w:ind w:firstLineChars="196" w:firstLine="627"/>
        <w:jc w:val="left"/>
        <w:outlineLvl w:val="0"/>
        <w:rPr>
          <w:rFonts w:ascii="黑体" w:eastAsia="黑体"/>
          <w:sz w:val="32"/>
          <w:szCs w:val="32"/>
        </w:rPr>
      </w:pPr>
      <w:r w:rsidRPr="000E0B1E">
        <w:rPr>
          <w:rFonts w:ascii="黑体" w:eastAsia="黑体" w:hint="eastAsia"/>
          <w:sz w:val="32"/>
          <w:szCs w:val="32"/>
        </w:rPr>
        <w:t>三</w:t>
      </w:r>
      <w:r w:rsidR="000E0B1E" w:rsidRPr="000E0B1E">
        <w:rPr>
          <w:rFonts w:ascii="黑体" w:eastAsia="黑体" w:hint="eastAsia"/>
          <w:sz w:val="32"/>
          <w:szCs w:val="32"/>
        </w:rPr>
        <w:t>、</w:t>
      </w:r>
      <w:r w:rsidRPr="000E0B1E">
        <w:rPr>
          <w:rFonts w:ascii="黑体" w:eastAsia="黑体" w:hint="eastAsia"/>
          <w:sz w:val="32"/>
          <w:szCs w:val="32"/>
        </w:rPr>
        <w:t>债券资金安排使用情况</w:t>
      </w:r>
    </w:p>
    <w:p w:rsidR="00670960" w:rsidRDefault="00635EB8" w:rsidP="00635EB8">
      <w:pPr>
        <w:spacing w:line="640" w:lineRule="exact"/>
        <w:ind w:firstLineChars="196" w:firstLine="630"/>
        <w:rPr>
          <w:rFonts w:ascii="仿宋_GB2312" w:eastAsia="仿宋_GB2312"/>
          <w:sz w:val="32"/>
          <w:szCs w:val="32"/>
        </w:rPr>
      </w:pPr>
      <w:r w:rsidRPr="00635EB8">
        <w:rPr>
          <w:rFonts w:ascii="楷体" w:eastAsia="楷体" w:hAnsi="楷体" w:hint="eastAsia"/>
          <w:b/>
          <w:sz w:val="32"/>
          <w:szCs w:val="32"/>
        </w:rPr>
        <w:t>（一）</w:t>
      </w:r>
      <w:r w:rsidR="00670960" w:rsidRPr="00635EB8">
        <w:rPr>
          <w:rFonts w:ascii="楷体" w:eastAsia="楷体" w:hAnsi="楷体" w:hint="eastAsia"/>
          <w:b/>
          <w:sz w:val="32"/>
          <w:szCs w:val="32"/>
        </w:rPr>
        <w:t>新增债券。</w:t>
      </w:r>
      <w:r w:rsidR="00670960">
        <w:rPr>
          <w:rFonts w:ascii="仿宋_GB2312" w:eastAsia="仿宋_GB2312" w:hint="eastAsia"/>
          <w:sz w:val="32"/>
          <w:szCs w:val="32"/>
        </w:rPr>
        <w:t>按规定，一般债券</w:t>
      </w:r>
      <w:r w:rsidR="00091738">
        <w:rPr>
          <w:rFonts w:ascii="仿宋_GB2312" w:eastAsia="仿宋_GB2312" w:hint="eastAsia"/>
          <w:sz w:val="32"/>
          <w:szCs w:val="32"/>
        </w:rPr>
        <w:t>资金</w:t>
      </w:r>
      <w:r w:rsidR="00670960">
        <w:rPr>
          <w:rFonts w:ascii="仿宋_GB2312" w:eastAsia="仿宋_GB2312" w:hint="eastAsia"/>
          <w:sz w:val="32"/>
          <w:szCs w:val="32"/>
        </w:rPr>
        <w:t>优先</w:t>
      </w:r>
      <w:r w:rsidR="00091738">
        <w:rPr>
          <w:rFonts w:ascii="仿宋_GB2312" w:eastAsia="仿宋_GB2312" w:hint="eastAsia"/>
          <w:sz w:val="32"/>
          <w:szCs w:val="32"/>
        </w:rPr>
        <w:t>用于</w:t>
      </w:r>
      <w:r w:rsidR="00670960">
        <w:rPr>
          <w:rFonts w:ascii="仿宋_GB2312" w:eastAsia="仿宋_GB2312" w:hint="eastAsia"/>
          <w:sz w:val="32"/>
          <w:szCs w:val="32"/>
        </w:rPr>
        <w:t>支持国省干线公路及高速公路征地拆迁、高标准农田建设等乡村振兴</w:t>
      </w:r>
      <w:r w:rsidR="00091738">
        <w:rPr>
          <w:rFonts w:ascii="仿宋_GB2312" w:eastAsia="仿宋_GB2312" w:hint="eastAsia"/>
          <w:sz w:val="32"/>
          <w:szCs w:val="32"/>
        </w:rPr>
        <w:t>项目</w:t>
      </w:r>
      <w:r w:rsidR="00670960">
        <w:rPr>
          <w:rFonts w:ascii="仿宋_GB2312" w:eastAsia="仿宋_GB2312" w:hint="eastAsia"/>
          <w:sz w:val="32"/>
          <w:szCs w:val="32"/>
        </w:rPr>
        <w:t>、洪涝灾后恢复重建、应急救援能力建设等重大项目，保障地方重点领域项目建设；专项债券资金是为有一定收益的公益性项目发行，以公益性项目对应的政府性基金收入或专项收入作为还本付息资金来源的政府债券</w:t>
      </w:r>
      <w:r w:rsidR="00091738">
        <w:rPr>
          <w:rFonts w:ascii="仿宋_GB2312" w:eastAsia="仿宋_GB2312" w:hint="eastAsia"/>
          <w:sz w:val="32"/>
          <w:szCs w:val="32"/>
        </w:rPr>
        <w:t>，</w:t>
      </w:r>
      <w:r w:rsidR="00670960">
        <w:rPr>
          <w:rFonts w:ascii="仿宋_GB2312" w:eastAsia="仿宋_GB2312" w:hint="eastAsia"/>
          <w:sz w:val="32"/>
          <w:szCs w:val="32"/>
        </w:rPr>
        <w:t>专项债券</w:t>
      </w:r>
      <w:r w:rsidR="00091738">
        <w:rPr>
          <w:rFonts w:ascii="仿宋_GB2312" w:eastAsia="仿宋_GB2312" w:hint="eastAsia"/>
          <w:sz w:val="32"/>
          <w:szCs w:val="32"/>
        </w:rPr>
        <w:t>资金</w:t>
      </w:r>
      <w:r w:rsidR="00670960">
        <w:rPr>
          <w:rFonts w:ascii="仿宋_GB2312" w:eastAsia="仿宋_GB2312" w:hint="eastAsia"/>
          <w:sz w:val="32"/>
          <w:szCs w:val="32"/>
        </w:rPr>
        <w:t>按规定用于交通基础设施、能源、农林水利、生态环保、社会事业、城乡冷链物流基础设施、市政和产业园区基础设施、国家重大战略项目、保障性安居工程</w:t>
      </w:r>
      <w:r w:rsidR="00670960">
        <w:rPr>
          <w:rFonts w:ascii="仿宋_GB2312" w:eastAsia="仿宋_GB2312" w:hint="eastAsia"/>
          <w:sz w:val="32"/>
          <w:szCs w:val="32"/>
        </w:rPr>
        <w:lastRenderedPageBreak/>
        <w:t>等九大投向领域。新增债券项目资金不得用于经常性支出和楼堂馆所等中央、省、州明令禁止的项目支出。</w:t>
      </w:r>
    </w:p>
    <w:p w:rsidR="00670960" w:rsidRDefault="00670960" w:rsidP="00670960">
      <w:pPr>
        <w:spacing w:line="640" w:lineRule="exact"/>
        <w:ind w:firstLineChars="196" w:firstLine="627"/>
        <w:rPr>
          <w:rFonts w:ascii="仿宋_GB2312" w:eastAsia="仿宋_GB2312"/>
          <w:sz w:val="32"/>
          <w:szCs w:val="32"/>
        </w:rPr>
      </w:pPr>
      <w:r>
        <w:rPr>
          <w:rFonts w:ascii="仿宋_GB2312" w:eastAsia="仿宋_GB2312" w:hint="eastAsia"/>
          <w:sz w:val="32"/>
          <w:szCs w:val="32"/>
        </w:rPr>
        <w:t>今年1-9月，全州新增地方政府债券13.44亿元，全部按照国务院、省委、省政府、州委、州政府确定的重点方向，用于公益性资本支出，优先用于保障在建公益性项目后续融资，加大对</w:t>
      </w:r>
      <w:r w:rsidR="00CD5C18">
        <w:rPr>
          <w:rFonts w:ascii="仿宋_GB2312" w:eastAsia="仿宋_GB2312" w:hint="eastAsia"/>
          <w:sz w:val="32"/>
          <w:szCs w:val="32"/>
        </w:rPr>
        <w:t>民生</w:t>
      </w:r>
      <w:r>
        <w:rPr>
          <w:rFonts w:ascii="仿宋_GB2312" w:eastAsia="仿宋_GB2312" w:hint="eastAsia"/>
          <w:sz w:val="32"/>
          <w:szCs w:val="32"/>
        </w:rPr>
        <w:t>保障改善和经济结构调整的支持力度。</w:t>
      </w:r>
    </w:p>
    <w:p w:rsidR="00670960" w:rsidRDefault="00670960" w:rsidP="00670960">
      <w:pPr>
        <w:spacing w:line="640" w:lineRule="exact"/>
        <w:ind w:firstLineChars="196" w:firstLine="630"/>
        <w:jc w:val="left"/>
        <w:rPr>
          <w:rFonts w:ascii="仿宋_GB2312" w:eastAsia="仿宋_GB2312"/>
          <w:color w:val="FF0000"/>
          <w:sz w:val="32"/>
          <w:szCs w:val="32"/>
        </w:rPr>
      </w:pPr>
      <w:r>
        <w:rPr>
          <w:rFonts w:ascii="仿宋_GB2312" w:eastAsia="仿宋_GB2312" w:hint="eastAsia"/>
          <w:b/>
          <w:sz w:val="32"/>
          <w:szCs w:val="32"/>
        </w:rPr>
        <w:t>新增一般债券资金1.36亿元，安排用于：</w:t>
      </w:r>
      <w:r>
        <w:rPr>
          <w:rFonts w:ascii="仿宋_GB2312" w:eastAsia="仿宋_GB2312" w:hint="eastAsia"/>
          <w:color w:val="000000"/>
          <w:sz w:val="32"/>
          <w:szCs w:val="32"/>
        </w:rPr>
        <w:t>马尔康市市政基础设施建设1亿元；全州地质灾害防护治理0.36亿元。</w:t>
      </w:r>
    </w:p>
    <w:p w:rsidR="00670960" w:rsidRDefault="00670960" w:rsidP="00670960">
      <w:pPr>
        <w:spacing w:line="640" w:lineRule="exact"/>
        <w:ind w:firstLineChars="196" w:firstLine="630"/>
        <w:jc w:val="left"/>
        <w:rPr>
          <w:rFonts w:ascii="仿宋_GB2312" w:eastAsia="仿宋_GB2312"/>
          <w:color w:val="FF0000"/>
          <w:sz w:val="32"/>
          <w:szCs w:val="32"/>
        </w:rPr>
      </w:pPr>
      <w:r>
        <w:rPr>
          <w:rFonts w:ascii="仿宋_GB2312" w:eastAsia="仿宋_GB2312" w:hint="eastAsia"/>
          <w:b/>
          <w:sz w:val="32"/>
          <w:szCs w:val="32"/>
        </w:rPr>
        <w:t>新增专项债券12.08亿元，安排用于：</w:t>
      </w:r>
      <w:r>
        <w:rPr>
          <w:rFonts w:ascii="仿宋_GB2312" w:eastAsia="仿宋_GB2312" w:hint="eastAsia"/>
          <w:color w:val="000000"/>
          <w:sz w:val="32"/>
          <w:szCs w:val="32"/>
        </w:rPr>
        <w:t>交通基础设施领域3.18亿元，用于都江堰至四姑娘山山地轨道交通扶贫项目2.98亿元、小金县中心停车场建设项目0.2亿元；社会事业领域7.75亿元，用于尘埃落定红色文化旅游城基础建设项目2亿元、马尔康市全域乡村振兴生态农旅融合产业区建设项目2亿元、雪马山4A景区创建基础设施建设项目1.8亿元、松岗柯盘天街4A景区提升改造项目0.75亿元、小金县四姑娘山景区及周边旅游基础设施建设项目0.5亿元、小金县沃日镇乡村振兴农文旅融合一体化建设项目0.3亿元、汶川县阿尔沟旅游扶贫综合开发项目及配套基础设施建设项目0.35亿元、米亚罗-孟屯河谷风景名胜区旅游基础设施建设项目0.05亿元；市政和产业园区基础设施领域0.4亿元，用于汶川县七盘沟中小微绿色科技园及其配套基础设</w:t>
      </w:r>
      <w:r>
        <w:rPr>
          <w:rFonts w:ascii="仿宋_GB2312" w:eastAsia="仿宋_GB2312" w:hint="eastAsia"/>
          <w:color w:val="000000"/>
          <w:sz w:val="32"/>
          <w:szCs w:val="32"/>
        </w:rPr>
        <w:lastRenderedPageBreak/>
        <w:t>施建设项目0.2亿元、马尔康市赶羊沟水厂输水管网建设项目0.2亿元；保障性安居工程领域0.6亿元，用于2022年黑水县老旧小区改造及配套基础设施建设工程；生态环保领域0.15亿元，用于茂县城市生活污水处理厂（二期）项目。</w:t>
      </w:r>
    </w:p>
    <w:p w:rsidR="00670960" w:rsidRDefault="00635EB8" w:rsidP="00670960">
      <w:pPr>
        <w:spacing w:line="640" w:lineRule="exact"/>
        <w:ind w:firstLineChars="196" w:firstLine="630"/>
        <w:jc w:val="left"/>
        <w:rPr>
          <w:rFonts w:ascii="仿宋_GB2312" w:eastAsia="仿宋_GB2312"/>
          <w:color w:val="000000"/>
          <w:sz w:val="32"/>
          <w:szCs w:val="32"/>
        </w:rPr>
      </w:pPr>
      <w:r>
        <w:rPr>
          <w:rFonts w:ascii="楷体" w:eastAsia="楷体" w:hAnsi="楷体" w:hint="eastAsia"/>
          <w:b/>
          <w:sz w:val="32"/>
          <w:szCs w:val="32"/>
        </w:rPr>
        <w:t>（二）</w:t>
      </w:r>
      <w:r w:rsidR="00670960" w:rsidRPr="00635EB8">
        <w:rPr>
          <w:rFonts w:ascii="楷体" w:eastAsia="楷体" w:hAnsi="楷体" w:hint="eastAsia"/>
          <w:b/>
          <w:sz w:val="32"/>
          <w:szCs w:val="32"/>
        </w:rPr>
        <w:t>再融资债券。</w:t>
      </w:r>
      <w:r w:rsidR="00670960">
        <w:rPr>
          <w:rFonts w:ascii="仿宋_GB2312" w:eastAsia="仿宋_GB2312" w:hint="eastAsia"/>
          <w:color w:val="000000"/>
          <w:sz w:val="32"/>
          <w:szCs w:val="32"/>
        </w:rPr>
        <w:t>今年1-9月，全州地方政府再融资债券共计7.28亿元，用于偿还到期地方政府债券，涵盖公路、城市道路、保障性安居工程、地下管网、土地开发整理、供水、污水处理等基础设施和城镇化项目，以及教育、医疗卫生等公益性事业和脱贫攻坚项目，其中：州本级使用再融资债券2.8亿元（一般债券2.8亿元），转贷县（市）使用4.48亿元（一般债券4.48亿元）。</w:t>
      </w:r>
    </w:p>
    <w:p w:rsidR="00670960" w:rsidRPr="000E0B1E" w:rsidRDefault="00670960" w:rsidP="00670960">
      <w:pPr>
        <w:spacing w:line="640" w:lineRule="exact"/>
        <w:ind w:firstLineChars="196" w:firstLine="627"/>
        <w:jc w:val="left"/>
        <w:outlineLvl w:val="0"/>
        <w:rPr>
          <w:rFonts w:ascii="黑体" w:eastAsia="黑体"/>
          <w:sz w:val="32"/>
          <w:szCs w:val="32"/>
        </w:rPr>
      </w:pPr>
      <w:r w:rsidRPr="000E0B1E">
        <w:rPr>
          <w:rFonts w:ascii="黑体" w:eastAsia="黑体" w:hint="eastAsia"/>
          <w:sz w:val="32"/>
          <w:szCs w:val="32"/>
        </w:rPr>
        <w:t>四</w:t>
      </w:r>
      <w:r w:rsidR="000E0B1E" w:rsidRPr="000E0B1E">
        <w:rPr>
          <w:rFonts w:ascii="黑体" w:eastAsia="黑体" w:hint="eastAsia"/>
          <w:sz w:val="32"/>
          <w:szCs w:val="32"/>
        </w:rPr>
        <w:t>、</w:t>
      </w:r>
      <w:r w:rsidRPr="000E0B1E">
        <w:rPr>
          <w:rFonts w:ascii="黑体" w:eastAsia="黑体" w:hint="eastAsia"/>
          <w:sz w:val="32"/>
          <w:szCs w:val="32"/>
        </w:rPr>
        <w:t>地方政府债务余额情况</w:t>
      </w:r>
    </w:p>
    <w:p w:rsidR="00670960" w:rsidRDefault="00670960" w:rsidP="00670960">
      <w:pPr>
        <w:autoSpaceDN w:val="0"/>
        <w:spacing w:line="640" w:lineRule="exact"/>
        <w:ind w:firstLineChars="200" w:firstLine="640"/>
        <w:rPr>
          <w:rFonts w:ascii="仿宋_GB2312" w:eastAsia="仿宋_GB2312"/>
          <w:sz w:val="32"/>
          <w:szCs w:val="32"/>
        </w:rPr>
      </w:pPr>
      <w:r>
        <w:rPr>
          <w:rFonts w:ascii="仿宋_GB2312" w:eastAsia="仿宋_GB2312" w:hint="eastAsia"/>
          <w:sz w:val="32"/>
          <w:szCs w:val="32"/>
        </w:rPr>
        <w:t>2022年9月底，全州地方政府债务当年转贷收入和还本支出品迭后预计累计余额为134.45亿元，其中：一般债务73.</w:t>
      </w:r>
      <w:r w:rsidR="00835B11">
        <w:rPr>
          <w:rFonts w:ascii="仿宋_GB2312" w:eastAsia="仿宋_GB2312" w:hint="eastAsia"/>
          <w:sz w:val="32"/>
          <w:szCs w:val="32"/>
        </w:rPr>
        <w:t>67</w:t>
      </w:r>
      <w:r>
        <w:rPr>
          <w:rFonts w:ascii="仿宋_GB2312" w:eastAsia="仿宋_GB2312" w:hint="eastAsia"/>
          <w:sz w:val="32"/>
          <w:szCs w:val="32"/>
        </w:rPr>
        <w:t>亿元、专项债务60.78亿元。分级次看：州本级政府债务余额63.52亿元，其中：一般债务26.76亿元、专项债务36.76亿元；县级政府债务余额70.93亿元，其中：一般债务46.91亿元、专项债务24.02亿元。</w:t>
      </w:r>
    </w:p>
    <w:p w:rsidR="00670960" w:rsidRDefault="00670960" w:rsidP="00FC71E9">
      <w:pPr>
        <w:autoSpaceDN w:val="0"/>
        <w:spacing w:line="640" w:lineRule="exact"/>
        <w:ind w:firstLineChars="200" w:firstLine="640"/>
        <w:rPr>
          <w:rFonts w:ascii="仿宋_GB2312" w:eastAsia="仿宋_GB2312"/>
          <w:sz w:val="32"/>
          <w:szCs w:val="32"/>
        </w:rPr>
      </w:pPr>
      <w:r>
        <w:rPr>
          <w:rFonts w:ascii="仿宋_GB2312" w:eastAsia="仿宋_GB2312" w:hint="eastAsia"/>
          <w:sz w:val="32"/>
          <w:szCs w:val="32"/>
        </w:rPr>
        <w:t>全州和州本级政府债务余额均在省政府批准的地方政府债务限额内，各级财政政府债务风险总体处在可控范围内。</w:t>
      </w:r>
    </w:p>
    <w:p w:rsidR="00670960" w:rsidRDefault="00670960" w:rsidP="00670960">
      <w:pPr>
        <w:spacing w:line="64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以上报告，请予审议。</w:t>
      </w:r>
    </w:p>
    <w:p w:rsidR="00670960" w:rsidRDefault="00670960" w:rsidP="00670960">
      <w:pPr>
        <w:spacing w:line="640" w:lineRule="exact"/>
        <w:ind w:firstLineChars="188" w:firstLine="602"/>
        <w:jc w:val="left"/>
        <w:rPr>
          <w:rFonts w:ascii="仿宋_GB2312" w:eastAsia="仿宋_GB2312"/>
          <w:color w:val="000000"/>
          <w:sz w:val="32"/>
          <w:szCs w:val="32"/>
        </w:rPr>
      </w:pPr>
      <w:r>
        <w:rPr>
          <w:rFonts w:ascii="仿宋_GB2312" w:eastAsia="仿宋_GB2312" w:hint="eastAsia"/>
          <w:sz w:val="32"/>
          <w:szCs w:val="32"/>
        </w:rPr>
        <w:t>附件：</w:t>
      </w:r>
      <w:r>
        <w:rPr>
          <w:rFonts w:ascii="仿宋_GB2312" w:eastAsia="仿宋_GB2312" w:hint="eastAsia"/>
          <w:color w:val="000000"/>
          <w:sz w:val="32"/>
          <w:szCs w:val="32"/>
        </w:rPr>
        <w:t>1.</w:t>
      </w:r>
      <w:r>
        <w:rPr>
          <w:rFonts w:hint="eastAsia"/>
        </w:rPr>
        <w:t xml:space="preserve"> </w:t>
      </w:r>
      <w:r>
        <w:rPr>
          <w:rFonts w:ascii="仿宋_GB2312" w:eastAsia="仿宋_GB2312" w:hint="eastAsia"/>
          <w:color w:val="000000"/>
          <w:sz w:val="32"/>
          <w:szCs w:val="32"/>
        </w:rPr>
        <w:t>2022年阿坝州地方政府债务限额情况表</w:t>
      </w:r>
    </w:p>
    <w:p w:rsidR="00670960" w:rsidRDefault="00670960" w:rsidP="00670960">
      <w:pPr>
        <w:spacing w:line="640" w:lineRule="exact"/>
        <w:ind w:firstLineChars="500" w:firstLine="1600"/>
        <w:jc w:val="left"/>
        <w:outlineLvl w:val="0"/>
        <w:rPr>
          <w:rFonts w:ascii="仿宋_GB2312" w:eastAsia="仿宋_GB2312"/>
          <w:color w:val="000000"/>
          <w:sz w:val="32"/>
          <w:szCs w:val="32"/>
        </w:rPr>
      </w:pPr>
      <w:r>
        <w:rPr>
          <w:rFonts w:ascii="仿宋_GB2312" w:eastAsia="仿宋_GB2312" w:hint="eastAsia"/>
          <w:color w:val="000000"/>
          <w:sz w:val="32"/>
          <w:szCs w:val="32"/>
        </w:rPr>
        <w:t>2.</w:t>
      </w:r>
      <w:r>
        <w:rPr>
          <w:rFonts w:hint="eastAsia"/>
        </w:rPr>
        <w:t xml:space="preserve"> </w:t>
      </w:r>
      <w:r>
        <w:rPr>
          <w:rFonts w:ascii="仿宋_GB2312" w:eastAsia="仿宋_GB2312" w:hint="eastAsia"/>
          <w:color w:val="000000"/>
          <w:sz w:val="32"/>
          <w:szCs w:val="32"/>
        </w:rPr>
        <w:t>2022年阿坝州地方政府债务限额变动情况表</w:t>
      </w:r>
    </w:p>
    <w:p w:rsidR="00670960" w:rsidRDefault="00670960" w:rsidP="00670960">
      <w:pPr>
        <w:spacing w:line="640" w:lineRule="exact"/>
        <w:ind w:firstLineChars="500" w:firstLine="1600"/>
        <w:jc w:val="left"/>
        <w:rPr>
          <w:rFonts w:ascii="仿宋_GB2312" w:eastAsia="仿宋_GB2312"/>
          <w:color w:val="000000"/>
          <w:sz w:val="32"/>
          <w:szCs w:val="32"/>
        </w:rPr>
      </w:pPr>
      <w:r>
        <w:rPr>
          <w:rFonts w:ascii="仿宋_GB2312" w:eastAsia="仿宋_GB2312" w:hint="eastAsia"/>
          <w:color w:val="000000"/>
          <w:sz w:val="32"/>
          <w:szCs w:val="32"/>
        </w:rPr>
        <w:t>3.2022年阿坝州地方政府债务余额情况表</w:t>
      </w:r>
    </w:p>
    <w:p w:rsidR="00C021AE" w:rsidRDefault="00C021AE"/>
    <w:p w:rsidR="00670960" w:rsidRDefault="00670960"/>
    <w:p w:rsidR="00670960" w:rsidRDefault="00670960"/>
    <w:p w:rsidR="00670960" w:rsidRDefault="00670960"/>
    <w:p w:rsidR="00670960" w:rsidRDefault="00670960"/>
    <w:p w:rsidR="009600F5" w:rsidRDefault="009600F5"/>
    <w:p w:rsidR="009600F5" w:rsidRDefault="009600F5"/>
    <w:p w:rsidR="009600F5" w:rsidRDefault="009600F5"/>
    <w:p w:rsidR="009600F5" w:rsidRDefault="009600F5"/>
    <w:p w:rsidR="009600F5" w:rsidRDefault="009600F5"/>
    <w:p w:rsidR="009600F5" w:rsidRDefault="009600F5"/>
    <w:p w:rsidR="009600F5" w:rsidRDefault="009600F5"/>
    <w:p w:rsidR="00A519A4" w:rsidRDefault="00A519A4"/>
    <w:p w:rsidR="00A519A4" w:rsidRDefault="00A519A4"/>
    <w:p w:rsidR="009600F5" w:rsidRDefault="009600F5"/>
    <w:p w:rsidR="00670960" w:rsidRDefault="00670960"/>
    <w:p w:rsidR="00670960" w:rsidRDefault="00670960"/>
    <w:p w:rsidR="000E0B1E" w:rsidRDefault="000E0B1E"/>
    <w:p w:rsidR="00670960" w:rsidRDefault="00670960"/>
    <w:p w:rsidR="00FC71E9" w:rsidRDefault="00FC71E9"/>
    <w:p w:rsidR="00FC71E9" w:rsidRDefault="00FC71E9"/>
    <w:p w:rsidR="00FC71E9" w:rsidRDefault="00FC71E9"/>
    <w:p w:rsidR="00FC71E9" w:rsidRDefault="00FC71E9"/>
    <w:p w:rsidR="00FC71E9" w:rsidRDefault="00FC71E9"/>
    <w:p w:rsidR="00FC71E9" w:rsidRDefault="00FC71E9"/>
    <w:p w:rsidR="00FC71E9" w:rsidRDefault="00FC71E9"/>
    <w:p w:rsidR="00FC71E9" w:rsidRDefault="00FC71E9"/>
    <w:p w:rsidR="00FC71E9" w:rsidRDefault="00FC71E9"/>
    <w:p w:rsidR="00F61FD2" w:rsidRDefault="00F61FD2"/>
    <w:p w:rsidR="00F61FD2" w:rsidRDefault="00F61FD2"/>
    <w:p w:rsidR="00FC71E9" w:rsidRDefault="00FC71E9"/>
    <w:p w:rsidR="00670960" w:rsidRDefault="00670960"/>
    <w:p w:rsidR="00670960" w:rsidRDefault="00670960"/>
    <w:tbl>
      <w:tblPr>
        <w:tblW w:w="8640" w:type="dxa"/>
        <w:tblInd w:w="93" w:type="dxa"/>
        <w:tblLook w:val="0000"/>
      </w:tblPr>
      <w:tblGrid>
        <w:gridCol w:w="1920"/>
        <w:gridCol w:w="2240"/>
        <w:gridCol w:w="2240"/>
        <w:gridCol w:w="2240"/>
      </w:tblGrid>
      <w:tr w:rsidR="00670960" w:rsidTr="00210DE5">
        <w:trPr>
          <w:trHeight w:val="312"/>
        </w:trPr>
        <w:tc>
          <w:tcPr>
            <w:tcW w:w="1920" w:type="dxa"/>
            <w:tcBorders>
              <w:top w:val="nil"/>
              <w:left w:val="nil"/>
              <w:bottom w:val="nil"/>
              <w:right w:val="nil"/>
            </w:tcBorders>
            <w:shd w:val="clear" w:color="auto" w:fill="auto"/>
            <w:noWrap/>
            <w:vAlign w:val="center"/>
          </w:tcPr>
          <w:p w:rsidR="00670960" w:rsidRDefault="00670960" w:rsidP="00210DE5">
            <w:pPr>
              <w:widowControl/>
              <w:jc w:val="left"/>
              <w:rPr>
                <w:rFonts w:ascii="宋体" w:cs="宋体"/>
                <w:b/>
                <w:bCs/>
                <w:kern w:val="0"/>
                <w:sz w:val="24"/>
              </w:rPr>
            </w:pPr>
            <w:r>
              <w:rPr>
                <w:rFonts w:ascii="宋体" w:cs="宋体" w:hint="eastAsia"/>
                <w:b/>
                <w:bCs/>
                <w:kern w:val="0"/>
                <w:sz w:val="24"/>
              </w:rPr>
              <w:lastRenderedPageBreak/>
              <w:t>附件1</w:t>
            </w:r>
          </w:p>
        </w:tc>
        <w:tc>
          <w:tcPr>
            <w:tcW w:w="2240" w:type="dxa"/>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c>
          <w:tcPr>
            <w:tcW w:w="2240" w:type="dxa"/>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c>
          <w:tcPr>
            <w:tcW w:w="2240" w:type="dxa"/>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r>
      <w:tr w:rsidR="00670960" w:rsidTr="00210DE5">
        <w:trPr>
          <w:trHeight w:val="375"/>
        </w:trPr>
        <w:tc>
          <w:tcPr>
            <w:tcW w:w="8640" w:type="dxa"/>
            <w:gridSpan w:val="4"/>
            <w:tcBorders>
              <w:top w:val="nil"/>
              <w:left w:val="nil"/>
              <w:bottom w:val="nil"/>
              <w:right w:val="nil"/>
            </w:tcBorders>
            <w:shd w:val="clear" w:color="auto" w:fill="auto"/>
            <w:noWrap/>
            <w:vAlign w:val="center"/>
          </w:tcPr>
          <w:p w:rsidR="00670960" w:rsidRDefault="00670960" w:rsidP="00210DE5">
            <w:pPr>
              <w:widowControl/>
              <w:jc w:val="center"/>
              <w:rPr>
                <w:rFonts w:ascii="宋体" w:cs="宋体"/>
                <w:b/>
                <w:bCs/>
                <w:kern w:val="0"/>
                <w:sz w:val="36"/>
                <w:szCs w:val="36"/>
              </w:rPr>
            </w:pPr>
            <w:r>
              <w:rPr>
                <w:rFonts w:ascii="宋体" w:cs="宋体" w:hint="eastAsia"/>
                <w:b/>
                <w:bCs/>
                <w:kern w:val="0"/>
                <w:sz w:val="36"/>
                <w:szCs w:val="36"/>
              </w:rPr>
              <w:t>2022年阿坝州地方政府债务限额情况表</w:t>
            </w:r>
          </w:p>
        </w:tc>
      </w:tr>
      <w:tr w:rsidR="00670960" w:rsidTr="00210DE5">
        <w:trPr>
          <w:trHeight w:val="312"/>
        </w:trPr>
        <w:tc>
          <w:tcPr>
            <w:tcW w:w="1920" w:type="dxa"/>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c>
          <w:tcPr>
            <w:tcW w:w="2240" w:type="dxa"/>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c>
          <w:tcPr>
            <w:tcW w:w="2240" w:type="dxa"/>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c>
          <w:tcPr>
            <w:tcW w:w="2240" w:type="dxa"/>
            <w:tcBorders>
              <w:top w:val="nil"/>
              <w:left w:val="nil"/>
              <w:bottom w:val="nil"/>
              <w:right w:val="nil"/>
            </w:tcBorders>
            <w:shd w:val="clear" w:color="auto" w:fill="auto"/>
            <w:noWrap/>
            <w:vAlign w:val="center"/>
          </w:tcPr>
          <w:p w:rsidR="00670960" w:rsidRDefault="00670960" w:rsidP="00210DE5">
            <w:pPr>
              <w:widowControl/>
              <w:jc w:val="right"/>
              <w:rPr>
                <w:rFonts w:ascii="宋体" w:cs="宋体"/>
                <w:kern w:val="0"/>
                <w:sz w:val="20"/>
                <w:szCs w:val="20"/>
              </w:rPr>
            </w:pPr>
            <w:r>
              <w:rPr>
                <w:rFonts w:ascii="宋体" w:cs="宋体" w:hint="eastAsia"/>
                <w:kern w:val="0"/>
                <w:sz w:val="20"/>
                <w:szCs w:val="20"/>
              </w:rPr>
              <w:t>单位：万元</w:t>
            </w:r>
          </w:p>
        </w:tc>
      </w:tr>
      <w:tr w:rsidR="00670960" w:rsidTr="00210DE5">
        <w:trPr>
          <w:trHeight w:val="312"/>
        </w:trPr>
        <w:tc>
          <w:tcPr>
            <w:tcW w:w="1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地区</w:t>
            </w:r>
          </w:p>
        </w:tc>
        <w:tc>
          <w:tcPr>
            <w:tcW w:w="6720" w:type="dxa"/>
            <w:gridSpan w:val="3"/>
            <w:tcBorders>
              <w:top w:val="single" w:sz="4" w:space="0" w:color="auto"/>
              <w:left w:val="nil"/>
              <w:bottom w:val="single" w:sz="4" w:space="0" w:color="auto"/>
              <w:right w:val="single" w:sz="4" w:space="0" w:color="auto"/>
            </w:tcBorders>
            <w:shd w:val="clear" w:color="auto" w:fill="auto"/>
            <w:noWrap/>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债务限额</w:t>
            </w:r>
          </w:p>
        </w:tc>
      </w:tr>
      <w:tr w:rsidR="00670960" w:rsidTr="00210DE5">
        <w:trPr>
          <w:trHeight w:val="312"/>
        </w:trPr>
        <w:tc>
          <w:tcPr>
            <w:tcW w:w="1920" w:type="dxa"/>
            <w:vMerge/>
            <w:tcBorders>
              <w:top w:val="single" w:sz="4" w:space="0" w:color="auto"/>
              <w:left w:val="single" w:sz="4" w:space="0" w:color="auto"/>
              <w:bottom w:val="single" w:sz="4" w:space="0" w:color="000000"/>
              <w:right w:val="single" w:sz="4" w:space="0" w:color="auto"/>
            </w:tcBorders>
            <w:vAlign w:val="center"/>
          </w:tcPr>
          <w:p w:rsidR="00670960" w:rsidRDefault="00670960" w:rsidP="00210DE5"/>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 xml:space="preserve">　</w:t>
            </w:r>
            <w:r w:rsidR="00892D83">
              <w:rPr>
                <w:rFonts w:ascii="宋体" w:cs="宋体" w:hint="eastAsia"/>
                <w:b/>
                <w:bCs/>
                <w:kern w:val="0"/>
                <w:sz w:val="22"/>
                <w:szCs w:val="22"/>
              </w:rPr>
              <w:t>合计</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一般债务</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专项债务</w:t>
            </w:r>
          </w:p>
        </w:tc>
      </w:tr>
      <w:tr w:rsidR="00670960" w:rsidTr="00210DE5">
        <w:trPr>
          <w:trHeight w:val="312"/>
        </w:trPr>
        <w:tc>
          <w:tcPr>
            <w:tcW w:w="1920" w:type="dxa"/>
            <w:tcBorders>
              <w:top w:val="nil"/>
              <w:left w:val="single" w:sz="4" w:space="0" w:color="auto"/>
              <w:bottom w:val="single" w:sz="4" w:space="0" w:color="auto"/>
              <w:right w:val="single" w:sz="4" w:space="0" w:color="auto"/>
            </w:tcBorders>
            <w:shd w:val="clear" w:color="auto" w:fill="auto"/>
            <w:noWrap/>
            <w:vAlign w:val="center"/>
          </w:tcPr>
          <w:p w:rsidR="00670960" w:rsidRDefault="00670960" w:rsidP="00210DE5">
            <w:pPr>
              <w:widowControl/>
              <w:jc w:val="left"/>
              <w:rPr>
                <w:rFonts w:ascii="宋体" w:cs="宋体"/>
                <w:b/>
                <w:bCs/>
                <w:kern w:val="0"/>
                <w:sz w:val="22"/>
                <w:szCs w:val="22"/>
              </w:rPr>
            </w:pPr>
            <w:r>
              <w:rPr>
                <w:rFonts w:ascii="宋体" w:cs="宋体" w:hint="eastAsia"/>
                <w:b/>
                <w:bCs/>
                <w:kern w:val="0"/>
                <w:sz w:val="22"/>
                <w:szCs w:val="22"/>
              </w:rPr>
              <w:t>阿坝州</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b/>
                <w:sz w:val="22"/>
              </w:rPr>
            </w:pPr>
            <w:r>
              <w:rPr>
                <w:rFonts w:ascii="宋体" w:cs="Arial" w:hint="eastAsia"/>
                <w:b/>
                <w:sz w:val="22"/>
              </w:rPr>
              <w:t xml:space="preserve">1,612,181 </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b/>
                <w:sz w:val="22"/>
              </w:rPr>
            </w:pPr>
            <w:r>
              <w:rPr>
                <w:rFonts w:ascii="宋体" w:cs="Arial" w:hint="eastAsia"/>
                <w:b/>
                <w:sz w:val="22"/>
              </w:rPr>
              <w:t xml:space="preserve">976,150 </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b/>
                <w:sz w:val="22"/>
              </w:rPr>
            </w:pPr>
            <w:r>
              <w:rPr>
                <w:rFonts w:ascii="宋体" w:cs="Arial" w:hint="eastAsia"/>
                <w:b/>
                <w:sz w:val="22"/>
              </w:rPr>
              <w:t xml:space="preserve">636,031 </w:t>
            </w:r>
          </w:p>
        </w:tc>
      </w:tr>
      <w:tr w:rsidR="00670960" w:rsidTr="00210DE5">
        <w:trPr>
          <w:trHeight w:val="312"/>
        </w:trPr>
        <w:tc>
          <w:tcPr>
            <w:tcW w:w="1920" w:type="dxa"/>
            <w:tcBorders>
              <w:top w:val="nil"/>
              <w:left w:val="single" w:sz="4" w:space="0" w:color="auto"/>
              <w:bottom w:val="single" w:sz="4" w:space="0" w:color="auto"/>
              <w:right w:val="single" w:sz="4" w:space="0" w:color="auto"/>
            </w:tcBorders>
            <w:shd w:val="clear" w:color="auto" w:fill="auto"/>
            <w:noWrap/>
            <w:vAlign w:val="center"/>
          </w:tcPr>
          <w:p w:rsidR="00670960" w:rsidRDefault="00670960" w:rsidP="00210DE5">
            <w:pPr>
              <w:widowControl/>
              <w:jc w:val="left"/>
              <w:rPr>
                <w:rFonts w:ascii="宋体" w:cs="宋体"/>
                <w:kern w:val="0"/>
                <w:sz w:val="22"/>
                <w:szCs w:val="22"/>
              </w:rPr>
            </w:pPr>
            <w:r>
              <w:rPr>
                <w:rFonts w:ascii="宋体" w:cs="宋体" w:hint="eastAsia"/>
                <w:kern w:val="0"/>
                <w:sz w:val="22"/>
                <w:szCs w:val="22"/>
              </w:rPr>
              <w:t xml:space="preserve">  州本级</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766,634 </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385,421 </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381,213 </w:t>
            </w:r>
          </w:p>
        </w:tc>
      </w:tr>
      <w:tr w:rsidR="00670960" w:rsidTr="00210DE5">
        <w:trPr>
          <w:trHeight w:val="312"/>
        </w:trPr>
        <w:tc>
          <w:tcPr>
            <w:tcW w:w="1920" w:type="dxa"/>
            <w:tcBorders>
              <w:top w:val="nil"/>
              <w:left w:val="single" w:sz="4" w:space="0" w:color="auto"/>
              <w:bottom w:val="single" w:sz="4" w:space="0" w:color="auto"/>
              <w:right w:val="single" w:sz="4" w:space="0" w:color="auto"/>
            </w:tcBorders>
            <w:shd w:val="clear" w:color="auto" w:fill="auto"/>
            <w:noWrap/>
            <w:vAlign w:val="center"/>
          </w:tcPr>
          <w:p w:rsidR="00670960" w:rsidRDefault="00670960" w:rsidP="00210DE5">
            <w:pPr>
              <w:widowControl/>
              <w:jc w:val="left"/>
              <w:rPr>
                <w:rFonts w:ascii="宋体" w:cs="宋体"/>
                <w:kern w:val="0"/>
                <w:sz w:val="22"/>
                <w:szCs w:val="22"/>
              </w:rPr>
            </w:pPr>
            <w:r>
              <w:rPr>
                <w:rFonts w:ascii="宋体" w:cs="宋体" w:hint="eastAsia"/>
                <w:kern w:val="0"/>
                <w:sz w:val="22"/>
                <w:szCs w:val="22"/>
              </w:rPr>
              <w:t xml:space="preserve">  县（市）级</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845,547 </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590,729 </w:t>
            </w:r>
          </w:p>
        </w:tc>
        <w:tc>
          <w:tcPr>
            <w:tcW w:w="2240"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254,818 </w:t>
            </w:r>
          </w:p>
        </w:tc>
      </w:tr>
    </w:tbl>
    <w:p w:rsidR="00670960" w:rsidRDefault="00670960" w:rsidP="00670960">
      <w:pPr>
        <w:spacing w:line="560" w:lineRule="exact"/>
        <w:ind w:firstLineChars="500" w:firstLine="1600"/>
        <w:rPr>
          <w:rFonts w:ascii="仿宋_GB2312" w:eastAsia="仿宋_GB2312"/>
          <w:sz w:val="32"/>
          <w:szCs w:val="32"/>
        </w:rPr>
      </w:pPr>
    </w:p>
    <w:p w:rsidR="00670960" w:rsidRDefault="00670960" w:rsidP="00670960">
      <w:pPr>
        <w:spacing w:line="560" w:lineRule="exact"/>
        <w:ind w:firstLineChars="500" w:firstLine="1600"/>
        <w:rPr>
          <w:rFonts w:ascii="仿宋_GB2312" w:eastAsia="仿宋_GB2312"/>
          <w:sz w:val="32"/>
          <w:szCs w:val="32"/>
        </w:rPr>
      </w:pPr>
    </w:p>
    <w:tbl>
      <w:tblPr>
        <w:tblW w:w="8662" w:type="dxa"/>
        <w:tblInd w:w="93" w:type="dxa"/>
        <w:tblLook w:val="0000"/>
      </w:tblPr>
      <w:tblGrid>
        <w:gridCol w:w="3559"/>
        <w:gridCol w:w="321"/>
        <w:gridCol w:w="1380"/>
        <w:gridCol w:w="94"/>
        <w:gridCol w:w="546"/>
        <w:gridCol w:w="1061"/>
        <w:gridCol w:w="959"/>
        <w:gridCol w:w="742"/>
      </w:tblGrid>
      <w:tr w:rsidR="00670960" w:rsidTr="00210DE5">
        <w:trPr>
          <w:trHeight w:val="288"/>
        </w:trPr>
        <w:tc>
          <w:tcPr>
            <w:tcW w:w="3880" w:type="dxa"/>
            <w:gridSpan w:val="2"/>
            <w:tcBorders>
              <w:top w:val="nil"/>
              <w:left w:val="nil"/>
              <w:bottom w:val="nil"/>
              <w:right w:val="nil"/>
            </w:tcBorders>
            <w:shd w:val="clear" w:color="auto" w:fill="auto"/>
            <w:noWrap/>
            <w:vAlign w:val="center"/>
          </w:tcPr>
          <w:p w:rsidR="00670960" w:rsidRDefault="00670960" w:rsidP="00210DE5">
            <w:pPr>
              <w:widowControl/>
              <w:jc w:val="left"/>
              <w:rPr>
                <w:rFonts w:ascii="宋体" w:cs="宋体"/>
                <w:b/>
                <w:bCs/>
                <w:kern w:val="0"/>
                <w:sz w:val="24"/>
              </w:rPr>
            </w:pPr>
            <w:r>
              <w:rPr>
                <w:rFonts w:ascii="宋体" w:cs="宋体" w:hint="eastAsia"/>
                <w:b/>
                <w:bCs/>
                <w:kern w:val="0"/>
                <w:sz w:val="24"/>
              </w:rPr>
              <w:t>附件2</w:t>
            </w:r>
          </w:p>
        </w:tc>
        <w:tc>
          <w:tcPr>
            <w:tcW w:w="2020" w:type="dxa"/>
            <w:gridSpan w:val="3"/>
            <w:tcBorders>
              <w:top w:val="nil"/>
              <w:left w:val="nil"/>
              <w:bottom w:val="nil"/>
              <w:right w:val="nil"/>
            </w:tcBorders>
            <w:shd w:val="clear" w:color="auto" w:fill="auto"/>
            <w:vAlign w:val="center"/>
          </w:tcPr>
          <w:p w:rsidR="00670960" w:rsidRDefault="00670960" w:rsidP="00210DE5">
            <w:pPr>
              <w:widowControl/>
              <w:jc w:val="center"/>
              <w:rPr>
                <w:rFonts w:ascii="宋体" w:cs="宋体"/>
                <w:kern w:val="0"/>
                <w:sz w:val="22"/>
                <w:szCs w:val="22"/>
              </w:rPr>
            </w:pPr>
          </w:p>
        </w:tc>
        <w:tc>
          <w:tcPr>
            <w:tcW w:w="2020" w:type="dxa"/>
            <w:gridSpan w:val="2"/>
            <w:tcBorders>
              <w:top w:val="nil"/>
              <w:left w:val="nil"/>
              <w:bottom w:val="nil"/>
              <w:right w:val="nil"/>
            </w:tcBorders>
            <w:shd w:val="clear" w:color="auto" w:fill="auto"/>
            <w:vAlign w:val="center"/>
          </w:tcPr>
          <w:p w:rsidR="00670960" w:rsidRDefault="00670960" w:rsidP="00210DE5">
            <w:pPr>
              <w:widowControl/>
              <w:jc w:val="center"/>
              <w:rPr>
                <w:rFonts w:ascii="宋体" w:cs="宋体"/>
                <w:kern w:val="0"/>
                <w:sz w:val="22"/>
                <w:szCs w:val="22"/>
              </w:rPr>
            </w:pPr>
          </w:p>
        </w:tc>
        <w:tc>
          <w:tcPr>
            <w:tcW w:w="742" w:type="dxa"/>
            <w:tcBorders>
              <w:top w:val="nil"/>
              <w:left w:val="nil"/>
              <w:bottom w:val="nil"/>
              <w:right w:val="nil"/>
            </w:tcBorders>
            <w:shd w:val="clear" w:color="auto" w:fill="auto"/>
            <w:vAlign w:val="center"/>
          </w:tcPr>
          <w:p w:rsidR="00670960" w:rsidRDefault="00670960" w:rsidP="00210DE5">
            <w:pPr>
              <w:widowControl/>
              <w:jc w:val="center"/>
              <w:rPr>
                <w:rFonts w:ascii="宋体" w:cs="宋体"/>
                <w:kern w:val="0"/>
                <w:sz w:val="22"/>
                <w:szCs w:val="22"/>
              </w:rPr>
            </w:pPr>
          </w:p>
        </w:tc>
      </w:tr>
      <w:tr w:rsidR="00670960" w:rsidTr="00210DE5">
        <w:trPr>
          <w:trHeight w:val="375"/>
        </w:trPr>
        <w:tc>
          <w:tcPr>
            <w:tcW w:w="8662" w:type="dxa"/>
            <w:gridSpan w:val="8"/>
            <w:tcBorders>
              <w:top w:val="nil"/>
              <w:left w:val="nil"/>
              <w:bottom w:val="nil"/>
              <w:right w:val="nil"/>
            </w:tcBorders>
            <w:shd w:val="clear" w:color="auto" w:fill="auto"/>
            <w:noWrap/>
            <w:vAlign w:val="center"/>
          </w:tcPr>
          <w:p w:rsidR="00670960" w:rsidRDefault="00670960" w:rsidP="00210DE5">
            <w:pPr>
              <w:widowControl/>
              <w:jc w:val="center"/>
              <w:rPr>
                <w:rFonts w:ascii="宋体" w:cs="宋体"/>
                <w:b/>
                <w:bCs/>
                <w:kern w:val="0"/>
                <w:sz w:val="36"/>
                <w:szCs w:val="36"/>
              </w:rPr>
            </w:pPr>
            <w:r>
              <w:rPr>
                <w:rFonts w:ascii="宋体" w:cs="宋体" w:hint="eastAsia"/>
                <w:b/>
                <w:bCs/>
                <w:kern w:val="0"/>
                <w:sz w:val="36"/>
                <w:szCs w:val="36"/>
              </w:rPr>
              <w:t>2022年阿坝州地方政府债务限额变动情况表</w:t>
            </w:r>
          </w:p>
        </w:tc>
      </w:tr>
      <w:tr w:rsidR="00670960" w:rsidTr="00210DE5">
        <w:trPr>
          <w:trHeight w:val="288"/>
        </w:trPr>
        <w:tc>
          <w:tcPr>
            <w:tcW w:w="3559" w:type="dxa"/>
            <w:tcBorders>
              <w:top w:val="nil"/>
              <w:left w:val="nil"/>
              <w:bottom w:val="nil"/>
              <w:right w:val="nil"/>
            </w:tcBorders>
            <w:shd w:val="clear" w:color="auto" w:fill="auto"/>
            <w:vAlign w:val="center"/>
          </w:tcPr>
          <w:p w:rsidR="00670960" w:rsidRDefault="00670960" w:rsidP="00210DE5">
            <w:pPr>
              <w:widowControl/>
              <w:jc w:val="center"/>
              <w:rPr>
                <w:rFonts w:ascii="宋体" w:cs="宋体"/>
                <w:kern w:val="0"/>
                <w:sz w:val="22"/>
                <w:szCs w:val="22"/>
              </w:rPr>
            </w:pPr>
          </w:p>
        </w:tc>
        <w:tc>
          <w:tcPr>
            <w:tcW w:w="1795" w:type="dxa"/>
            <w:gridSpan w:val="3"/>
            <w:tcBorders>
              <w:top w:val="nil"/>
              <w:left w:val="nil"/>
              <w:bottom w:val="nil"/>
              <w:right w:val="nil"/>
            </w:tcBorders>
            <w:shd w:val="clear" w:color="auto" w:fill="auto"/>
            <w:vAlign w:val="center"/>
          </w:tcPr>
          <w:p w:rsidR="00670960" w:rsidRDefault="00670960" w:rsidP="00210DE5">
            <w:pPr>
              <w:widowControl/>
              <w:jc w:val="center"/>
              <w:rPr>
                <w:rFonts w:ascii="宋体" w:cs="宋体"/>
                <w:kern w:val="0"/>
                <w:sz w:val="22"/>
                <w:szCs w:val="22"/>
              </w:rPr>
            </w:pPr>
          </w:p>
        </w:tc>
        <w:tc>
          <w:tcPr>
            <w:tcW w:w="1607" w:type="dxa"/>
            <w:gridSpan w:val="2"/>
            <w:tcBorders>
              <w:top w:val="nil"/>
              <w:left w:val="nil"/>
              <w:bottom w:val="nil"/>
              <w:right w:val="nil"/>
            </w:tcBorders>
            <w:shd w:val="clear" w:color="auto" w:fill="auto"/>
            <w:vAlign w:val="center"/>
          </w:tcPr>
          <w:p w:rsidR="00670960" w:rsidRDefault="00670960" w:rsidP="00210DE5">
            <w:pPr>
              <w:widowControl/>
              <w:jc w:val="center"/>
              <w:rPr>
                <w:rFonts w:ascii="宋体" w:cs="宋体"/>
                <w:kern w:val="0"/>
                <w:sz w:val="22"/>
                <w:szCs w:val="22"/>
              </w:rPr>
            </w:pPr>
          </w:p>
        </w:tc>
        <w:tc>
          <w:tcPr>
            <w:tcW w:w="1701" w:type="dxa"/>
            <w:gridSpan w:val="2"/>
            <w:tcBorders>
              <w:top w:val="nil"/>
              <w:left w:val="nil"/>
              <w:bottom w:val="nil"/>
              <w:right w:val="nil"/>
            </w:tcBorders>
            <w:shd w:val="clear" w:color="auto" w:fill="auto"/>
            <w:vAlign w:val="center"/>
          </w:tcPr>
          <w:p w:rsidR="00670960" w:rsidRDefault="00670960" w:rsidP="00210DE5">
            <w:pPr>
              <w:widowControl/>
              <w:jc w:val="right"/>
              <w:rPr>
                <w:rFonts w:ascii="宋体" w:cs="宋体"/>
                <w:kern w:val="0"/>
                <w:sz w:val="20"/>
                <w:szCs w:val="20"/>
              </w:rPr>
            </w:pPr>
            <w:r>
              <w:rPr>
                <w:rFonts w:ascii="宋体" w:cs="宋体" w:hint="eastAsia"/>
                <w:kern w:val="0"/>
                <w:sz w:val="20"/>
                <w:szCs w:val="20"/>
              </w:rPr>
              <w:t>单位：万元</w:t>
            </w:r>
          </w:p>
        </w:tc>
      </w:tr>
      <w:tr w:rsidR="00670960" w:rsidTr="00210DE5">
        <w:trPr>
          <w:trHeight w:val="288"/>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项目</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本地区</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州本级</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县（市）级</w:t>
            </w:r>
          </w:p>
        </w:tc>
      </w:tr>
      <w:tr w:rsidR="00670960" w:rsidTr="00210DE5">
        <w:trPr>
          <w:trHeight w:val="288"/>
        </w:trPr>
        <w:tc>
          <w:tcPr>
            <w:tcW w:w="3559" w:type="dxa"/>
            <w:tcBorders>
              <w:top w:val="nil"/>
              <w:left w:val="single" w:sz="4" w:space="0" w:color="auto"/>
              <w:bottom w:val="single" w:sz="4" w:space="0" w:color="auto"/>
              <w:right w:val="single" w:sz="4" w:space="0" w:color="auto"/>
            </w:tcBorders>
            <w:shd w:val="clear" w:color="auto" w:fill="auto"/>
            <w:vAlign w:val="center"/>
          </w:tcPr>
          <w:p w:rsidR="00670960" w:rsidRDefault="00670960" w:rsidP="00210DE5">
            <w:pPr>
              <w:rPr>
                <w:rFonts w:ascii="宋体" w:cs="宋体"/>
                <w:b/>
                <w:bCs/>
                <w:kern w:val="0"/>
                <w:sz w:val="22"/>
                <w:szCs w:val="22"/>
              </w:rPr>
            </w:pPr>
            <w:r>
              <w:rPr>
                <w:rFonts w:ascii="宋体" w:hint="eastAsia"/>
                <w:b/>
                <w:sz w:val="22"/>
              </w:rPr>
              <w:t>一、2</w:t>
            </w:r>
            <w:r>
              <w:rPr>
                <w:rFonts w:ascii="宋体" w:hint="eastAsia"/>
                <w:b/>
                <w:color w:val="000000"/>
                <w:sz w:val="22"/>
              </w:rPr>
              <w:t>021年地方政府债务限额</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b/>
                <w:sz w:val="22"/>
              </w:rPr>
            </w:pPr>
            <w:r>
              <w:rPr>
                <w:rFonts w:ascii="宋体" w:cs="Arial" w:hint="eastAsia"/>
                <w:b/>
                <w:sz w:val="22"/>
              </w:rPr>
              <w:t xml:space="preserve">1,477,761 </w:t>
            </w:r>
          </w:p>
        </w:tc>
        <w:tc>
          <w:tcPr>
            <w:tcW w:w="1701" w:type="dxa"/>
            <w:gridSpan w:val="3"/>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b/>
                <w:sz w:val="22"/>
              </w:rPr>
            </w:pPr>
            <w:r>
              <w:rPr>
                <w:rFonts w:ascii="宋体" w:cs="Arial" w:hint="eastAsia"/>
                <w:b/>
                <w:sz w:val="22"/>
              </w:rPr>
              <w:t xml:space="preserve">716,834 </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b/>
                <w:sz w:val="22"/>
              </w:rPr>
            </w:pPr>
            <w:r>
              <w:rPr>
                <w:rFonts w:ascii="宋体" w:cs="Arial" w:hint="eastAsia"/>
                <w:b/>
                <w:sz w:val="22"/>
              </w:rPr>
              <w:t xml:space="preserve">760,927 </w:t>
            </w:r>
          </w:p>
        </w:tc>
      </w:tr>
      <w:tr w:rsidR="00670960" w:rsidTr="00210DE5">
        <w:trPr>
          <w:trHeight w:val="288"/>
        </w:trPr>
        <w:tc>
          <w:tcPr>
            <w:tcW w:w="3559" w:type="dxa"/>
            <w:tcBorders>
              <w:top w:val="nil"/>
              <w:left w:val="single" w:sz="4" w:space="0" w:color="auto"/>
              <w:bottom w:val="single" w:sz="4" w:space="0" w:color="auto"/>
              <w:right w:val="single" w:sz="4" w:space="0" w:color="auto"/>
            </w:tcBorders>
            <w:shd w:val="clear" w:color="auto" w:fill="auto"/>
            <w:vAlign w:val="center"/>
          </w:tcPr>
          <w:p w:rsidR="00670960" w:rsidRDefault="00670960" w:rsidP="00210DE5">
            <w:pPr>
              <w:rPr>
                <w:rFonts w:ascii="宋体" w:cs="Arial"/>
                <w:sz w:val="22"/>
              </w:rPr>
            </w:pPr>
            <w:r>
              <w:rPr>
                <w:rFonts w:ascii="宋体" w:cs="Arial" w:hint="eastAsia"/>
                <w:sz w:val="22"/>
              </w:rPr>
              <w:t>其中：一般债务限额</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962,530 </w:t>
            </w:r>
          </w:p>
        </w:tc>
        <w:tc>
          <w:tcPr>
            <w:tcW w:w="1701" w:type="dxa"/>
            <w:gridSpan w:val="3"/>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385,421 </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577,109 </w:t>
            </w:r>
          </w:p>
        </w:tc>
      </w:tr>
      <w:tr w:rsidR="00670960" w:rsidTr="00210DE5">
        <w:trPr>
          <w:trHeight w:val="288"/>
        </w:trPr>
        <w:tc>
          <w:tcPr>
            <w:tcW w:w="3559" w:type="dxa"/>
            <w:tcBorders>
              <w:top w:val="nil"/>
              <w:left w:val="single" w:sz="4" w:space="0" w:color="auto"/>
              <w:bottom w:val="single" w:sz="4" w:space="0" w:color="auto"/>
              <w:right w:val="single" w:sz="4" w:space="0" w:color="auto"/>
            </w:tcBorders>
            <w:shd w:val="clear" w:color="auto" w:fill="auto"/>
            <w:vAlign w:val="center"/>
          </w:tcPr>
          <w:p w:rsidR="00670960" w:rsidRDefault="00670960" w:rsidP="00210DE5">
            <w:pPr>
              <w:rPr>
                <w:rFonts w:ascii="宋体" w:cs="宋体"/>
                <w:kern w:val="0"/>
                <w:sz w:val="22"/>
                <w:szCs w:val="22"/>
              </w:rPr>
            </w:pPr>
            <w:r>
              <w:rPr>
                <w:rFonts w:ascii="宋体" w:hint="eastAsia"/>
                <w:sz w:val="22"/>
              </w:rPr>
              <w:t xml:space="preserve">      专项债务限额</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515,231 </w:t>
            </w:r>
          </w:p>
        </w:tc>
        <w:tc>
          <w:tcPr>
            <w:tcW w:w="1701" w:type="dxa"/>
            <w:gridSpan w:val="3"/>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331,413 </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183,818 </w:t>
            </w:r>
          </w:p>
        </w:tc>
      </w:tr>
      <w:tr w:rsidR="00670960" w:rsidTr="00210DE5">
        <w:trPr>
          <w:trHeight w:val="288"/>
        </w:trPr>
        <w:tc>
          <w:tcPr>
            <w:tcW w:w="3559" w:type="dxa"/>
            <w:tcBorders>
              <w:top w:val="nil"/>
              <w:left w:val="single" w:sz="4" w:space="0" w:color="auto"/>
              <w:bottom w:val="single" w:sz="4" w:space="0" w:color="auto"/>
              <w:right w:val="single" w:sz="4" w:space="0" w:color="auto"/>
            </w:tcBorders>
            <w:shd w:val="clear" w:color="auto" w:fill="auto"/>
            <w:vAlign w:val="center"/>
          </w:tcPr>
          <w:p w:rsidR="00670960" w:rsidRDefault="00670960" w:rsidP="00210DE5">
            <w:pPr>
              <w:rPr>
                <w:rFonts w:ascii="宋体" w:cs="Arial"/>
                <w:b/>
                <w:sz w:val="22"/>
              </w:rPr>
            </w:pPr>
            <w:r>
              <w:rPr>
                <w:rFonts w:ascii="宋体" w:cs="Arial" w:hint="eastAsia"/>
                <w:b/>
                <w:sz w:val="22"/>
              </w:rPr>
              <w:t>二、2022年新增地方政府债务限额</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b/>
                <w:sz w:val="22"/>
              </w:rPr>
            </w:pPr>
            <w:r>
              <w:rPr>
                <w:rFonts w:ascii="宋体" w:cs="Arial" w:hint="eastAsia"/>
                <w:b/>
                <w:sz w:val="22"/>
              </w:rPr>
              <w:t xml:space="preserve">134,420 </w:t>
            </w:r>
          </w:p>
        </w:tc>
        <w:tc>
          <w:tcPr>
            <w:tcW w:w="1701" w:type="dxa"/>
            <w:gridSpan w:val="3"/>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b/>
                <w:sz w:val="22"/>
              </w:rPr>
            </w:pPr>
            <w:r>
              <w:rPr>
                <w:rFonts w:ascii="宋体" w:cs="Arial" w:hint="eastAsia"/>
                <w:b/>
                <w:sz w:val="22"/>
              </w:rPr>
              <w:t xml:space="preserve">49,800 </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b/>
                <w:sz w:val="22"/>
              </w:rPr>
            </w:pPr>
            <w:r>
              <w:rPr>
                <w:rFonts w:ascii="宋体" w:cs="Arial" w:hint="eastAsia"/>
                <w:b/>
                <w:sz w:val="22"/>
              </w:rPr>
              <w:t xml:space="preserve">84,620 </w:t>
            </w:r>
          </w:p>
        </w:tc>
      </w:tr>
      <w:tr w:rsidR="00670960" w:rsidTr="00210DE5">
        <w:trPr>
          <w:trHeight w:val="288"/>
        </w:trPr>
        <w:tc>
          <w:tcPr>
            <w:tcW w:w="3559" w:type="dxa"/>
            <w:tcBorders>
              <w:top w:val="nil"/>
              <w:left w:val="single" w:sz="4" w:space="0" w:color="auto"/>
              <w:bottom w:val="single" w:sz="4" w:space="0" w:color="auto"/>
              <w:right w:val="single" w:sz="4" w:space="0" w:color="auto"/>
            </w:tcBorders>
            <w:shd w:val="clear" w:color="auto" w:fill="auto"/>
            <w:vAlign w:val="center"/>
          </w:tcPr>
          <w:p w:rsidR="00670960" w:rsidRDefault="00670960" w:rsidP="00210DE5">
            <w:pPr>
              <w:rPr>
                <w:rFonts w:ascii="宋体" w:cs="Arial"/>
                <w:sz w:val="22"/>
              </w:rPr>
            </w:pPr>
            <w:r>
              <w:rPr>
                <w:rFonts w:ascii="宋体" w:cs="Arial" w:hint="eastAsia"/>
                <w:sz w:val="22"/>
              </w:rPr>
              <w:t>其中：一般债务限额</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13,620 </w:t>
            </w:r>
          </w:p>
        </w:tc>
        <w:tc>
          <w:tcPr>
            <w:tcW w:w="1701" w:type="dxa"/>
            <w:gridSpan w:val="3"/>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0 </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13,620 </w:t>
            </w:r>
          </w:p>
        </w:tc>
      </w:tr>
      <w:tr w:rsidR="00670960" w:rsidTr="00210DE5">
        <w:trPr>
          <w:trHeight w:val="288"/>
        </w:trPr>
        <w:tc>
          <w:tcPr>
            <w:tcW w:w="3559" w:type="dxa"/>
            <w:tcBorders>
              <w:top w:val="nil"/>
              <w:left w:val="single" w:sz="4" w:space="0" w:color="auto"/>
              <w:bottom w:val="single" w:sz="4" w:space="0" w:color="auto"/>
              <w:right w:val="single" w:sz="4" w:space="0" w:color="auto"/>
            </w:tcBorders>
            <w:shd w:val="clear" w:color="auto" w:fill="auto"/>
            <w:vAlign w:val="center"/>
          </w:tcPr>
          <w:p w:rsidR="00670960" w:rsidRDefault="00670960" w:rsidP="00210DE5">
            <w:pPr>
              <w:rPr>
                <w:rFonts w:ascii="宋体" w:cs="宋体"/>
                <w:kern w:val="0"/>
                <w:sz w:val="22"/>
                <w:szCs w:val="22"/>
              </w:rPr>
            </w:pPr>
            <w:r>
              <w:rPr>
                <w:rFonts w:ascii="宋体" w:hint="eastAsia"/>
                <w:sz w:val="22"/>
              </w:rPr>
              <w:t xml:space="preserve">      专项债务限额</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120,800 </w:t>
            </w:r>
          </w:p>
        </w:tc>
        <w:tc>
          <w:tcPr>
            <w:tcW w:w="1701" w:type="dxa"/>
            <w:gridSpan w:val="3"/>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49,800 </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71,000 </w:t>
            </w:r>
          </w:p>
        </w:tc>
      </w:tr>
      <w:tr w:rsidR="00670960" w:rsidTr="00210DE5">
        <w:trPr>
          <w:trHeight w:val="288"/>
        </w:trPr>
        <w:tc>
          <w:tcPr>
            <w:tcW w:w="3559" w:type="dxa"/>
            <w:tcBorders>
              <w:top w:val="nil"/>
              <w:left w:val="single" w:sz="4" w:space="0" w:color="auto"/>
              <w:bottom w:val="single" w:sz="4" w:space="0" w:color="auto"/>
              <w:right w:val="single" w:sz="4" w:space="0" w:color="auto"/>
            </w:tcBorders>
            <w:shd w:val="clear" w:color="auto" w:fill="auto"/>
            <w:vAlign w:val="center"/>
          </w:tcPr>
          <w:p w:rsidR="00670960" w:rsidRDefault="00670960" w:rsidP="00210DE5">
            <w:pPr>
              <w:rPr>
                <w:rFonts w:ascii="宋体" w:cs="Arial"/>
                <w:b/>
                <w:sz w:val="22"/>
              </w:rPr>
            </w:pPr>
            <w:r>
              <w:rPr>
                <w:rFonts w:ascii="宋体" w:cs="Arial" w:hint="eastAsia"/>
                <w:b/>
                <w:sz w:val="22"/>
              </w:rPr>
              <w:t>三、2022年地方政府债务限额</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b/>
                <w:sz w:val="22"/>
              </w:rPr>
            </w:pPr>
            <w:r>
              <w:rPr>
                <w:rFonts w:ascii="宋体" w:cs="Arial" w:hint="eastAsia"/>
                <w:b/>
                <w:sz w:val="22"/>
              </w:rPr>
              <w:t xml:space="preserve">1,612,181 </w:t>
            </w:r>
          </w:p>
        </w:tc>
        <w:tc>
          <w:tcPr>
            <w:tcW w:w="1701" w:type="dxa"/>
            <w:gridSpan w:val="3"/>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b/>
                <w:sz w:val="22"/>
              </w:rPr>
            </w:pPr>
            <w:r>
              <w:rPr>
                <w:rFonts w:ascii="宋体" w:cs="Arial" w:hint="eastAsia"/>
                <w:b/>
                <w:sz w:val="22"/>
              </w:rPr>
              <w:t xml:space="preserve">766,634 </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b/>
                <w:sz w:val="22"/>
              </w:rPr>
            </w:pPr>
            <w:r>
              <w:rPr>
                <w:rFonts w:ascii="宋体" w:cs="Arial" w:hint="eastAsia"/>
                <w:b/>
                <w:sz w:val="22"/>
              </w:rPr>
              <w:t xml:space="preserve">845,547 </w:t>
            </w:r>
          </w:p>
        </w:tc>
      </w:tr>
      <w:tr w:rsidR="00670960" w:rsidTr="00210DE5">
        <w:trPr>
          <w:trHeight w:val="288"/>
        </w:trPr>
        <w:tc>
          <w:tcPr>
            <w:tcW w:w="3559" w:type="dxa"/>
            <w:tcBorders>
              <w:top w:val="nil"/>
              <w:left w:val="single" w:sz="4" w:space="0" w:color="auto"/>
              <w:bottom w:val="single" w:sz="4" w:space="0" w:color="auto"/>
              <w:right w:val="single" w:sz="4" w:space="0" w:color="auto"/>
            </w:tcBorders>
            <w:shd w:val="clear" w:color="auto" w:fill="auto"/>
            <w:vAlign w:val="center"/>
          </w:tcPr>
          <w:p w:rsidR="00670960" w:rsidRDefault="00670960" w:rsidP="00210DE5">
            <w:pPr>
              <w:rPr>
                <w:rFonts w:ascii="宋体" w:cs="Arial"/>
                <w:sz w:val="22"/>
              </w:rPr>
            </w:pPr>
            <w:r>
              <w:rPr>
                <w:rFonts w:ascii="宋体" w:cs="Arial" w:hint="eastAsia"/>
                <w:sz w:val="22"/>
              </w:rPr>
              <w:t>其中：一般债务限额</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976,150 </w:t>
            </w:r>
          </w:p>
        </w:tc>
        <w:tc>
          <w:tcPr>
            <w:tcW w:w="1701" w:type="dxa"/>
            <w:gridSpan w:val="3"/>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385,421 </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590,729 </w:t>
            </w:r>
          </w:p>
        </w:tc>
      </w:tr>
      <w:tr w:rsidR="00670960" w:rsidTr="00210DE5">
        <w:trPr>
          <w:trHeight w:val="288"/>
        </w:trPr>
        <w:tc>
          <w:tcPr>
            <w:tcW w:w="3559" w:type="dxa"/>
            <w:tcBorders>
              <w:top w:val="nil"/>
              <w:left w:val="single" w:sz="4" w:space="0" w:color="auto"/>
              <w:bottom w:val="single" w:sz="4" w:space="0" w:color="auto"/>
              <w:right w:val="single" w:sz="4" w:space="0" w:color="auto"/>
            </w:tcBorders>
            <w:shd w:val="clear" w:color="auto" w:fill="auto"/>
            <w:vAlign w:val="center"/>
          </w:tcPr>
          <w:p w:rsidR="00670960" w:rsidRDefault="00670960" w:rsidP="00210DE5">
            <w:pPr>
              <w:rPr>
                <w:rFonts w:ascii="宋体" w:cs="宋体"/>
                <w:kern w:val="0"/>
                <w:sz w:val="22"/>
                <w:szCs w:val="22"/>
              </w:rPr>
            </w:pPr>
            <w:r>
              <w:rPr>
                <w:rFonts w:ascii="宋体" w:hint="eastAsia"/>
                <w:sz w:val="22"/>
              </w:rPr>
              <w:t xml:space="preserve">      专项债务限额</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636,031 </w:t>
            </w:r>
          </w:p>
        </w:tc>
        <w:tc>
          <w:tcPr>
            <w:tcW w:w="1701" w:type="dxa"/>
            <w:gridSpan w:val="3"/>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381,213 </w:t>
            </w:r>
          </w:p>
        </w:tc>
        <w:tc>
          <w:tcPr>
            <w:tcW w:w="1701" w:type="dxa"/>
            <w:gridSpan w:val="2"/>
            <w:tcBorders>
              <w:top w:val="nil"/>
              <w:left w:val="nil"/>
              <w:bottom w:val="single" w:sz="4" w:space="0" w:color="auto"/>
              <w:right w:val="single" w:sz="4" w:space="0" w:color="auto"/>
            </w:tcBorders>
            <w:shd w:val="clear" w:color="auto" w:fill="auto"/>
            <w:vAlign w:val="center"/>
          </w:tcPr>
          <w:p w:rsidR="00670960" w:rsidRDefault="00670960" w:rsidP="00210DE5">
            <w:pPr>
              <w:jc w:val="right"/>
              <w:rPr>
                <w:rFonts w:ascii="宋体" w:cs="Arial"/>
                <w:sz w:val="22"/>
              </w:rPr>
            </w:pPr>
            <w:r>
              <w:rPr>
                <w:rFonts w:ascii="宋体" w:cs="Arial" w:hint="eastAsia"/>
                <w:sz w:val="22"/>
              </w:rPr>
              <w:t xml:space="preserve">254,818 </w:t>
            </w:r>
          </w:p>
        </w:tc>
      </w:tr>
    </w:tbl>
    <w:p w:rsidR="00670960" w:rsidRDefault="00670960" w:rsidP="00670960">
      <w:pPr>
        <w:spacing w:line="560" w:lineRule="exact"/>
        <w:ind w:firstLineChars="500" w:firstLine="1600"/>
        <w:rPr>
          <w:rFonts w:ascii="仿宋_GB2312" w:eastAsia="仿宋_GB2312"/>
          <w:sz w:val="32"/>
          <w:szCs w:val="32"/>
        </w:rPr>
      </w:pPr>
    </w:p>
    <w:tbl>
      <w:tblPr>
        <w:tblW w:w="8662" w:type="dxa"/>
        <w:tblInd w:w="93" w:type="dxa"/>
        <w:tblLayout w:type="fixed"/>
        <w:tblLook w:val="0000"/>
      </w:tblPr>
      <w:tblGrid>
        <w:gridCol w:w="1807"/>
        <w:gridCol w:w="193"/>
        <w:gridCol w:w="1294"/>
        <w:gridCol w:w="926"/>
        <w:gridCol w:w="561"/>
        <w:gridCol w:w="1660"/>
        <w:gridCol w:w="2221"/>
      </w:tblGrid>
      <w:tr w:rsidR="00670960" w:rsidTr="00210DE5">
        <w:trPr>
          <w:trHeight w:val="312"/>
        </w:trPr>
        <w:tc>
          <w:tcPr>
            <w:tcW w:w="1807" w:type="dxa"/>
            <w:tcBorders>
              <w:top w:val="nil"/>
              <w:left w:val="nil"/>
              <w:bottom w:val="nil"/>
              <w:right w:val="nil"/>
            </w:tcBorders>
            <w:shd w:val="clear" w:color="auto" w:fill="auto"/>
            <w:noWrap/>
            <w:vAlign w:val="center"/>
          </w:tcPr>
          <w:p w:rsidR="00670960" w:rsidRDefault="00670960" w:rsidP="00210DE5">
            <w:pPr>
              <w:widowControl/>
              <w:jc w:val="left"/>
              <w:rPr>
                <w:rFonts w:ascii="宋体" w:cs="宋体"/>
                <w:b/>
                <w:bCs/>
                <w:kern w:val="0"/>
                <w:sz w:val="24"/>
              </w:rPr>
            </w:pPr>
            <w:r>
              <w:rPr>
                <w:rFonts w:ascii="宋体" w:cs="宋体" w:hint="eastAsia"/>
                <w:b/>
                <w:bCs/>
                <w:kern w:val="0"/>
                <w:sz w:val="24"/>
              </w:rPr>
              <w:t>附件3</w:t>
            </w:r>
          </w:p>
        </w:tc>
        <w:tc>
          <w:tcPr>
            <w:tcW w:w="1487" w:type="dxa"/>
            <w:gridSpan w:val="2"/>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c>
          <w:tcPr>
            <w:tcW w:w="1487" w:type="dxa"/>
            <w:gridSpan w:val="2"/>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c>
          <w:tcPr>
            <w:tcW w:w="3881" w:type="dxa"/>
            <w:gridSpan w:val="2"/>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r>
      <w:tr w:rsidR="00670960" w:rsidTr="00210DE5">
        <w:trPr>
          <w:trHeight w:val="375"/>
        </w:trPr>
        <w:tc>
          <w:tcPr>
            <w:tcW w:w="8662" w:type="dxa"/>
            <w:gridSpan w:val="7"/>
            <w:tcBorders>
              <w:top w:val="nil"/>
              <w:left w:val="nil"/>
              <w:bottom w:val="nil"/>
              <w:right w:val="nil"/>
            </w:tcBorders>
            <w:shd w:val="clear" w:color="auto" w:fill="auto"/>
            <w:noWrap/>
            <w:vAlign w:val="center"/>
          </w:tcPr>
          <w:p w:rsidR="00670960" w:rsidRDefault="00670960" w:rsidP="00210DE5">
            <w:pPr>
              <w:widowControl/>
              <w:jc w:val="center"/>
              <w:rPr>
                <w:rFonts w:ascii="宋体" w:cs="宋体"/>
                <w:b/>
                <w:bCs/>
                <w:kern w:val="0"/>
                <w:sz w:val="36"/>
                <w:szCs w:val="36"/>
              </w:rPr>
            </w:pPr>
            <w:r>
              <w:rPr>
                <w:rFonts w:ascii="宋体" w:cs="宋体" w:hint="eastAsia"/>
                <w:b/>
                <w:bCs/>
                <w:kern w:val="0"/>
                <w:sz w:val="36"/>
                <w:szCs w:val="36"/>
              </w:rPr>
              <w:t>2022年阿坝州地方政府债务余额情况表</w:t>
            </w:r>
          </w:p>
        </w:tc>
      </w:tr>
      <w:tr w:rsidR="00670960" w:rsidTr="00210DE5">
        <w:trPr>
          <w:trHeight w:val="312"/>
        </w:trPr>
        <w:tc>
          <w:tcPr>
            <w:tcW w:w="2000" w:type="dxa"/>
            <w:gridSpan w:val="2"/>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c>
          <w:tcPr>
            <w:tcW w:w="1294" w:type="dxa"/>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c>
          <w:tcPr>
            <w:tcW w:w="1487" w:type="dxa"/>
            <w:gridSpan w:val="2"/>
            <w:tcBorders>
              <w:top w:val="nil"/>
              <w:left w:val="nil"/>
              <w:bottom w:val="nil"/>
              <w:right w:val="nil"/>
            </w:tcBorders>
            <w:shd w:val="clear" w:color="auto" w:fill="auto"/>
            <w:noWrap/>
            <w:vAlign w:val="center"/>
          </w:tcPr>
          <w:p w:rsidR="00670960" w:rsidRDefault="00670960" w:rsidP="00210DE5">
            <w:pPr>
              <w:widowControl/>
              <w:jc w:val="center"/>
              <w:rPr>
                <w:rFonts w:ascii="宋体" w:cs="宋体"/>
                <w:kern w:val="0"/>
                <w:sz w:val="22"/>
                <w:szCs w:val="22"/>
              </w:rPr>
            </w:pPr>
          </w:p>
        </w:tc>
        <w:tc>
          <w:tcPr>
            <w:tcW w:w="3881" w:type="dxa"/>
            <w:gridSpan w:val="2"/>
            <w:tcBorders>
              <w:top w:val="nil"/>
              <w:left w:val="nil"/>
              <w:bottom w:val="nil"/>
              <w:right w:val="nil"/>
            </w:tcBorders>
            <w:shd w:val="clear" w:color="auto" w:fill="auto"/>
            <w:noWrap/>
            <w:vAlign w:val="center"/>
          </w:tcPr>
          <w:p w:rsidR="00670960" w:rsidRDefault="00670960" w:rsidP="00210DE5">
            <w:pPr>
              <w:widowControl/>
              <w:jc w:val="right"/>
              <w:rPr>
                <w:rFonts w:ascii="宋体" w:cs="宋体"/>
                <w:kern w:val="0"/>
                <w:sz w:val="20"/>
                <w:szCs w:val="20"/>
              </w:rPr>
            </w:pPr>
            <w:r>
              <w:rPr>
                <w:rFonts w:ascii="宋体" w:cs="宋体" w:hint="eastAsia"/>
                <w:kern w:val="0"/>
                <w:sz w:val="20"/>
                <w:szCs w:val="20"/>
              </w:rPr>
              <w:t>单位：万元</w:t>
            </w:r>
          </w:p>
        </w:tc>
      </w:tr>
      <w:tr w:rsidR="00670960" w:rsidTr="00210DE5">
        <w:trPr>
          <w:trHeight w:val="312"/>
        </w:trPr>
        <w:tc>
          <w:tcPr>
            <w:tcW w:w="200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地区</w:t>
            </w:r>
          </w:p>
        </w:tc>
        <w:tc>
          <w:tcPr>
            <w:tcW w:w="6662" w:type="dxa"/>
            <w:gridSpan w:val="5"/>
            <w:tcBorders>
              <w:top w:val="single" w:sz="4" w:space="0" w:color="auto"/>
              <w:left w:val="nil"/>
              <w:bottom w:val="single" w:sz="4" w:space="0" w:color="auto"/>
              <w:right w:val="single" w:sz="4" w:space="0" w:color="auto"/>
            </w:tcBorders>
            <w:shd w:val="clear" w:color="auto" w:fill="auto"/>
            <w:noWrap/>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债务余额预计执行数</w:t>
            </w:r>
          </w:p>
        </w:tc>
      </w:tr>
      <w:tr w:rsidR="00670960" w:rsidTr="00210DE5">
        <w:trPr>
          <w:trHeight w:val="312"/>
        </w:trPr>
        <w:tc>
          <w:tcPr>
            <w:tcW w:w="2000" w:type="dxa"/>
            <w:gridSpan w:val="2"/>
            <w:vMerge/>
            <w:tcBorders>
              <w:top w:val="single" w:sz="4" w:space="0" w:color="auto"/>
              <w:left w:val="single" w:sz="4" w:space="0" w:color="auto"/>
              <w:bottom w:val="single" w:sz="4" w:space="0" w:color="000000"/>
              <w:right w:val="single" w:sz="4" w:space="0" w:color="auto"/>
            </w:tcBorders>
            <w:vAlign w:val="center"/>
          </w:tcPr>
          <w:p w:rsidR="00670960" w:rsidRDefault="00670960" w:rsidP="00210DE5"/>
        </w:tc>
        <w:tc>
          <w:tcPr>
            <w:tcW w:w="2220" w:type="dxa"/>
            <w:gridSpan w:val="2"/>
            <w:tcBorders>
              <w:top w:val="nil"/>
              <w:left w:val="nil"/>
              <w:bottom w:val="single" w:sz="4" w:space="0" w:color="auto"/>
              <w:right w:val="single" w:sz="4" w:space="0" w:color="auto"/>
            </w:tcBorders>
            <w:shd w:val="clear" w:color="auto" w:fill="auto"/>
            <w:noWrap/>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合计</w:t>
            </w:r>
          </w:p>
        </w:tc>
        <w:tc>
          <w:tcPr>
            <w:tcW w:w="2221" w:type="dxa"/>
            <w:gridSpan w:val="2"/>
            <w:tcBorders>
              <w:top w:val="nil"/>
              <w:left w:val="nil"/>
              <w:bottom w:val="single" w:sz="4" w:space="0" w:color="auto"/>
              <w:right w:val="single" w:sz="4" w:space="0" w:color="auto"/>
            </w:tcBorders>
            <w:shd w:val="clear" w:color="auto" w:fill="auto"/>
            <w:noWrap/>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一般债务</w:t>
            </w:r>
          </w:p>
        </w:tc>
        <w:tc>
          <w:tcPr>
            <w:tcW w:w="2221" w:type="dxa"/>
            <w:tcBorders>
              <w:top w:val="nil"/>
              <w:left w:val="nil"/>
              <w:bottom w:val="single" w:sz="4" w:space="0" w:color="auto"/>
              <w:right w:val="single" w:sz="4" w:space="0" w:color="auto"/>
            </w:tcBorders>
            <w:shd w:val="clear" w:color="auto" w:fill="auto"/>
            <w:noWrap/>
            <w:vAlign w:val="center"/>
          </w:tcPr>
          <w:p w:rsidR="00670960" w:rsidRDefault="00670960" w:rsidP="00210DE5">
            <w:pPr>
              <w:widowControl/>
              <w:jc w:val="center"/>
              <w:rPr>
                <w:rFonts w:ascii="宋体" w:cs="宋体"/>
                <w:b/>
                <w:bCs/>
                <w:kern w:val="0"/>
                <w:sz w:val="22"/>
                <w:szCs w:val="22"/>
              </w:rPr>
            </w:pPr>
            <w:r>
              <w:rPr>
                <w:rFonts w:ascii="宋体" w:cs="宋体" w:hint="eastAsia"/>
                <w:b/>
                <w:bCs/>
                <w:kern w:val="0"/>
                <w:sz w:val="22"/>
                <w:szCs w:val="22"/>
              </w:rPr>
              <w:t>专项债务</w:t>
            </w:r>
          </w:p>
        </w:tc>
      </w:tr>
      <w:tr w:rsidR="00670960" w:rsidTr="00210DE5">
        <w:trPr>
          <w:trHeight w:val="312"/>
        </w:trPr>
        <w:tc>
          <w:tcPr>
            <w:tcW w:w="2000" w:type="dxa"/>
            <w:gridSpan w:val="2"/>
            <w:tcBorders>
              <w:top w:val="nil"/>
              <w:left w:val="single" w:sz="4" w:space="0" w:color="auto"/>
              <w:bottom w:val="single" w:sz="4" w:space="0" w:color="auto"/>
              <w:right w:val="single" w:sz="4" w:space="0" w:color="auto"/>
            </w:tcBorders>
            <w:shd w:val="clear" w:color="auto" w:fill="auto"/>
            <w:noWrap/>
            <w:vAlign w:val="center"/>
          </w:tcPr>
          <w:p w:rsidR="00670960" w:rsidRDefault="00670960" w:rsidP="00210DE5">
            <w:pPr>
              <w:widowControl/>
              <w:jc w:val="left"/>
              <w:rPr>
                <w:rFonts w:ascii="宋体" w:cs="宋体"/>
                <w:b/>
                <w:bCs/>
                <w:kern w:val="0"/>
                <w:sz w:val="22"/>
                <w:szCs w:val="22"/>
              </w:rPr>
            </w:pPr>
            <w:r>
              <w:rPr>
                <w:rFonts w:ascii="宋体" w:cs="宋体" w:hint="eastAsia"/>
                <w:b/>
                <w:bCs/>
                <w:kern w:val="0"/>
                <w:sz w:val="22"/>
                <w:szCs w:val="22"/>
              </w:rPr>
              <w:t>阿坝州</w:t>
            </w:r>
          </w:p>
        </w:tc>
        <w:tc>
          <w:tcPr>
            <w:tcW w:w="2220" w:type="dxa"/>
            <w:gridSpan w:val="2"/>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b/>
                <w:sz w:val="22"/>
              </w:rPr>
            </w:pPr>
            <w:r>
              <w:rPr>
                <w:rFonts w:ascii="宋体" w:cs="Arial" w:hint="eastAsia"/>
                <w:b/>
                <w:sz w:val="22"/>
              </w:rPr>
              <w:t xml:space="preserve">1,344,453.00 </w:t>
            </w:r>
          </w:p>
        </w:tc>
        <w:tc>
          <w:tcPr>
            <w:tcW w:w="2221" w:type="dxa"/>
            <w:gridSpan w:val="2"/>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b/>
                <w:sz w:val="22"/>
              </w:rPr>
            </w:pPr>
            <w:r>
              <w:rPr>
                <w:rFonts w:ascii="宋体" w:cs="Arial" w:hint="eastAsia"/>
                <w:b/>
                <w:sz w:val="22"/>
              </w:rPr>
              <w:t xml:space="preserve">736,639.00 </w:t>
            </w:r>
          </w:p>
        </w:tc>
        <w:tc>
          <w:tcPr>
            <w:tcW w:w="2221"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b/>
                <w:sz w:val="22"/>
              </w:rPr>
            </w:pPr>
            <w:r>
              <w:rPr>
                <w:rFonts w:ascii="宋体" w:cs="Arial" w:hint="eastAsia"/>
                <w:b/>
                <w:sz w:val="22"/>
              </w:rPr>
              <w:t xml:space="preserve">607,814.00 </w:t>
            </w:r>
          </w:p>
        </w:tc>
      </w:tr>
      <w:tr w:rsidR="00670960" w:rsidTr="00210DE5">
        <w:trPr>
          <w:trHeight w:val="312"/>
        </w:trPr>
        <w:tc>
          <w:tcPr>
            <w:tcW w:w="2000" w:type="dxa"/>
            <w:gridSpan w:val="2"/>
            <w:tcBorders>
              <w:top w:val="nil"/>
              <w:left w:val="single" w:sz="4" w:space="0" w:color="auto"/>
              <w:bottom w:val="single" w:sz="4" w:space="0" w:color="auto"/>
              <w:right w:val="single" w:sz="4" w:space="0" w:color="auto"/>
            </w:tcBorders>
            <w:shd w:val="clear" w:color="auto" w:fill="auto"/>
            <w:noWrap/>
            <w:vAlign w:val="center"/>
          </w:tcPr>
          <w:p w:rsidR="00670960" w:rsidRDefault="00670960" w:rsidP="00210DE5">
            <w:pPr>
              <w:widowControl/>
              <w:jc w:val="left"/>
              <w:rPr>
                <w:rFonts w:ascii="宋体" w:cs="宋体"/>
                <w:kern w:val="0"/>
                <w:sz w:val="22"/>
                <w:szCs w:val="22"/>
              </w:rPr>
            </w:pPr>
            <w:r>
              <w:rPr>
                <w:rFonts w:ascii="宋体" w:cs="宋体" w:hint="eastAsia"/>
                <w:kern w:val="0"/>
                <w:sz w:val="22"/>
                <w:szCs w:val="22"/>
              </w:rPr>
              <w:t xml:space="preserve">  州本级</w:t>
            </w:r>
          </w:p>
        </w:tc>
        <w:tc>
          <w:tcPr>
            <w:tcW w:w="2220" w:type="dxa"/>
            <w:gridSpan w:val="2"/>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635,175.00 </w:t>
            </w:r>
          </w:p>
        </w:tc>
        <w:tc>
          <w:tcPr>
            <w:tcW w:w="2221" w:type="dxa"/>
            <w:gridSpan w:val="2"/>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267,575.00 </w:t>
            </w:r>
          </w:p>
        </w:tc>
        <w:tc>
          <w:tcPr>
            <w:tcW w:w="2221"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367,600.00 </w:t>
            </w:r>
          </w:p>
        </w:tc>
      </w:tr>
      <w:tr w:rsidR="00670960" w:rsidTr="00210DE5">
        <w:trPr>
          <w:trHeight w:val="312"/>
        </w:trPr>
        <w:tc>
          <w:tcPr>
            <w:tcW w:w="2000" w:type="dxa"/>
            <w:gridSpan w:val="2"/>
            <w:tcBorders>
              <w:top w:val="nil"/>
              <w:left w:val="single" w:sz="4" w:space="0" w:color="auto"/>
              <w:bottom w:val="single" w:sz="4" w:space="0" w:color="auto"/>
              <w:right w:val="single" w:sz="4" w:space="0" w:color="auto"/>
            </w:tcBorders>
            <w:shd w:val="clear" w:color="auto" w:fill="auto"/>
            <w:noWrap/>
            <w:vAlign w:val="center"/>
          </w:tcPr>
          <w:p w:rsidR="00670960" w:rsidRDefault="00670960" w:rsidP="00210DE5">
            <w:pPr>
              <w:widowControl/>
              <w:jc w:val="left"/>
              <w:rPr>
                <w:rFonts w:ascii="宋体" w:cs="宋体"/>
                <w:kern w:val="0"/>
                <w:sz w:val="22"/>
                <w:szCs w:val="22"/>
              </w:rPr>
            </w:pPr>
            <w:r>
              <w:rPr>
                <w:rFonts w:ascii="宋体" w:cs="宋体" w:hint="eastAsia"/>
                <w:kern w:val="0"/>
                <w:sz w:val="22"/>
                <w:szCs w:val="22"/>
              </w:rPr>
              <w:t xml:space="preserve">  县（市）级</w:t>
            </w:r>
          </w:p>
        </w:tc>
        <w:tc>
          <w:tcPr>
            <w:tcW w:w="2220" w:type="dxa"/>
            <w:gridSpan w:val="2"/>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709,278.00 </w:t>
            </w:r>
          </w:p>
        </w:tc>
        <w:tc>
          <w:tcPr>
            <w:tcW w:w="2221" w:type="dxa"/>
            <w:gridSpan w:val="2"/>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469,064.00 </w:t>
            </w:r>
          </w:p>
        </w:tc>
        <w:tc>
          <w:tcPr>
            <w:tcW w:w="2221" w:type="dxa"/>
            <w:tcBorders>
              <w:top w:val="nil"/>
              <w:left w:val="nil"/>
              <w:bottom w:val="single" w:sz="4" w:space="0" w:color="auto"/>
              <w:right w:val="single" w:sz="4" w:space="0" w:color="auto"/>
            </w:tcBorders>
            <w:shd w:val="clear" w:color="auto" w:fill="auto"/>
            <w:noWrap/>
            <w:vAlign w:val="center"/>
          </w:tcPr>
          <w:p w:rsidR="00670960" w:rsidRDefault="00670960" w:rsidP="00210DE5">
            <w:pPr>
              <w:jc w:val="right"/>
              <w:rPr>
                <w:rFonts w:ascii="宋体" w:cs="Arial"/>
                <w:sz w:val="22"/>
              </w:rPr>
            </w:pPr>
            <w:r>
              <w:rPr>
                <w:rFonts w:ascii="宋体" w:cs="Arial" w:hint="eastAsia"/>
                <w:sz w:val="22"/>
              </w:rPr>
              <w:t xml:space="preserve">240,214.00 </w:t>
            </w:r>
          </w:p>
        </w:tc>
      </w:tr>
    </w:tbl>
    <w:p w:rsidR="00670960" w:rsidRDefault="00670960" w:rsidP="00670960">
      <w:pPr>
        <w:spacing w:line="560" w:lineRule="exact"/>
        <w:rPr>
          <w:rFonts w:ascii="仿宋_GB2312" w:eastAsia="仿宋_GB2312"/>
          <w:sz w:val="32"/>
          <w:szCs w:val="32"/>
        </w:rPr>
        <w:sectPr w:rsidR="00670960" w:rsidSect="00670960">
          <w:headerReference w:type="default" r:id="rId6"/>
          <w:footerReference w:type="even" r:id="rId7"/>
          <w:footerReference w:type="default" r:id="rId8"/>
          <w:pgSz w:w="11906" w:h="16838"/>
          <w:pgMar w:top="2098" w:right="1474" w:bottom="1701" w:left="1588" w:header="851" w:footer="992" w:gutter="0"/>
          <w:cols w:space="720"/>
          <w:docGrid w:type="lines" w:linePitch="312"/>
        </w:sectPr>
      </w:pPr>
    </w:p>
    <w:p w:rsidR="00670960" w:rsidRPr="00670960" w:rsidRDefault="00670960"/>
    <w:sectPr w:rsidR="00670960" w:rsidRPr="00670960" w:rsidSect="00C021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A2B" w:rsidRDefault="00D77A2B" w:rsidP="00C021AE">
      <w:r>
        <w:separator/>
      </w:r>
    </w:p>
  </w:endnote>
  <w:endnote w:type="continuationSeparator" w:id="1">
    <w:p w:rsidR="00D77A2B" w:rsidRDefault="00D77A2B" w:rsidP="00C021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8F" w:rsidRDefault="00B540D1">
    <w:pPr>
      <w:pStyle w:val="a3"/>
      <w:framePr w:wrap="around" w:vAnchor="text" w:hAnchor="margin" w:xAlign="right" w:y="1"/>
      <w:rPr>
        <w:rStyle w:val="a4"/>
      </w:rPr>
    </w:pPr>
    <w:r>
      <w:rPr>
        <w:rStyle w:val="a4"/>
      </w:rPr>
      <w:fldChar w:fldCharType="begin"/>
    </w:r>
    <w:r w:rsidR="007D02CE">
      <w:rPr>
        <w:rStyle w:val="a4"/>
      </w:rPr>
      <w:instrText xml:space="preserve">PAGE  </w:instrText>
    </w:r>
    <w:r>
      <w:rPr>
        <w:rStyle w:val="a4"/>
      </w:rPr>
      <w:fldChar w:fldCharType="separate"/>
    </w:r>
    <w:r w:rsidR="007D02CE">
      <w:rPr>
        <w:rStyle w:val="a4"/>
      </w:rPr>
      <w:t xml:space="preserve"> </w:t>
    </w:r>
    <w:r>
      <w:rPr>
        <w:rStyle w:val="a4"/>
      </w:rPr>
      <w:fldChar w:fldCharType="end"/>
    </w:r>
  </w:p>
  <w:p w:rsidR="00BE588F" w:rsidRDefault="00D77A2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8F" w:rsidRDefault="00B540D1">
    <w:pPr>
      <w:pStyle w:val="a3"/>
      <w:framePr w:wrap="around" w:vAnchor="text" w:hAnchor="margin" w:xAlign="right" w:y="1"/>
      <w:rPr>
        <w:rStyle w:val="a4"/>
      </w:rPr>
    </w:pPr>
    <w:r>
      <w:rPr>
        <w:rStyle w:val="a4"/>
      </w:rPr>
      <w:fldChar w:fldCharType="begin"/>
    </w:r>
    <w:r w:rsidR="007D02CE">
      <w:rPr>
        <w:rStyle w:val="a4"/>
      </w:rPr>
      <w:instrText xml:space="preserve">PAGE  </w:instrText>
    </w:r>
    <w:r>
      <w:rPr>
        <w:rStyle w:val="a4"/>
      </w:rPr>
      <w:fldChar w:fldCharType="separate"/>
    </w:r>
    <w:r w:rsidR="00A41FBE">
      <w:rPr>
        <w:rStyle w:val="a4"/>
        <w:noProof/>
      </w:rPr>
      <w:t>7</w:t>
    </w:r>
    <w:r>
      <w:rPr>
        <w:rStyle w:val="a4"/>
      </w:rPr>
      <w:fldChar w:fldCharType="end"/>
    </w:r>
  </w:p>
  <w:p w:rsidR="00BE588F" w:rsidRDefault="00D77A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A2B" w:rsidRDefault="00D77A2B" w:rsidP="00C021AE">
      <w:r>
        <w:separator/>
      </w:r>
    </w:p>
  </w:footnote>
  <w:footnote w:type="continuationSeparator" w:id="1">
    <w:p w:rsidR="00D77A2B" w:rsidRDefault="00D77A2B" w:rsidP="00C02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8F" w:rsidRDefault="00D77A2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0960"/>
    <w:rsid w:val="000137E5"/>
    <w:rsid w:val="00070521"/>
    <w:rsid w:val="00086D28"/>
    <w:rsid w:val="00091738"/>
    <w:rsid w:val="000E0B1E"/>
    <w:rsid w:val="00105D85"/>
    <w:rsid w:val="0013105D"/>
    <w:rsid w:val="00142245"/>
    <w:rsid w:val="001D7EE3"/>
    <w:rsid w:val="002943D6"/>
    <w:rsid w:val="00380AFA"/>
    <w:rsid w:val="003C209F"/>
    <w:rsid w:val="00482F99"/>
    <w:rsid w:val="005B001F"/>
    <w:rsid w:val="00635EB8"/>
    <w:rsid w:val="00670960"/>
    <w:rsid w:val="00711352"/>
    <w:rsid w:val="00761FCE"/>
    <w:rsid w:val="00763D89"/>
    <w:rsid w:val="007B0314"/>
    <w:rsid w:val="007D02CE"/>
    <w:rsid w:val="00835B11"/>
    <w:rsid w:val="00892D83"/>
    <w:rsid w:val="008A163B"/>
    <w:rsid w:val="00935815"/>
    <w:rsid w:val="009600F5"/>
    <w:rsid w:val="009D1824"/>
    <w:rsid w:val="00A41FBE"/>
    <w:rsid w:val="00A519A4"/>
    <w:rsid w:val="00A638DA"/>
    <w:rsid w:val="00B230BC"/>
    <w:rsid w:val="00B2422A"/>
    <w:rsid w:val="00B5116B"/>
    <w:rsid w:val="00B540D1"/>
    <w:rsid w:val="00B7077A"/>
    <w:rsid w:val="00C021AE"/>
    <w:rsid w:val="00C21832"/>
    <w:rsid w:val="00CD5C18"/>
    <w:rsid w:val="00D06246"/>
    <w:rsid w:val="00D648E7"/>
    <w:rsid w:val="00D77A2B"/>
    <w:rsid w:val="00DA29F8"/>
    <w:rsid w:val="00DD69FB"/>
    <w:rsid w:val="00EB6F93"/>
    <w:rsid w:val="00F47172"/>
    <w:rsid w:val="00F61FD2"/>
    <w:rsid w:val="00F8258A"/>
    <w:rsid w:val="00FC2075"/>
    <w:rsid w:val="00FC71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9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70960"/>
    <w:pPr>
      <w:tabs>
        <w:tab w:val="center" w:pos="4153"/>
        <w:tab w:val="right" w:pos="8306"/>
      </w:tabs>
      <w:snapToGrid w:val="0"/>
      <w:jc w:val="left"/>
    </w:pPr>
    <w:rPr>
      <w:sz w:val="18"/>
      <w:szCs w:val="18"/>
    </w:rPr>
  </w:style>
  <w:style w:type="character" w:customStyle="1" w:styleId="Char">
    <w:name w:val="页脚 Char"/>
    <w:basedOn w:val="a0"/>
    <w:link w:val="a3"/>
    <w:rsid w:val="00670960"/>
    <w:rPr>
      <w:rFonts w:ascii="Times New Roman" w:eastAsia="宋体" w:hAnsi="Times New Roman" w:cs="Times New Roman"/>
      <w:sz w:val="18"/>
      <w:szCs w:val="18"/>
    </w:rPr>
  </w:style>
  <w:style w:type="character" w:styleId="a4">
    <w:name w:val="page number"/>
    <w:basedOn w:val="a0"/>
    <w:rsid w:val="00670960"/>
  </w:style>
  <w:style w:type="paragraph" w:styleId="a5">
    <w:name w:val="header"/>
    <w:basedOn w:val="a"/>
    <w:link w:val="Char0"/>
    <w:rsid w:val="006709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70960"/>
    <w:rPr>
      <w:rFonts w:ascii="Times New Roman" w:eastAsia="宋体" w:hAnsi="Times New Roman" w:cs="Times New Roman"/>
      <w:sz w:val="18"/>
      <w:szCs w:val="18"/>
    </w:rPr>
  </w:style>
  <w:style w:type="paragraph" w:styleId="a6">
    <w:name w:val="Balloon Text"/>
    <w:basedOn w:val="a"/>
    <w:link w:val="Char1"/>
    <w:uiPriority w:val="99"/>
    <w:semiHidden/>
    <w:unhideWhenUsed/>
    <w:rsid w:val="00FC71E9"/>
    <w:rPr>
      <w:sz w:val="18"/>
      <w:szCs w:val="18"/>
    </w:rPr>
  </w:style>
  <w:style w:type="character" w:customStyle="1" w:styleId="Char1">
    <w:name w:val="批注框文本 Char"/>
    <w:basedOn w:val="a0"/>
    <w:link w:val="a6"/>
    <w:uiPriority w:val="99"/>
    <w:semiHidden/>
    <w:rsid w:val="00FC71E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总收发(勿动)</dc:creator>
  <cp:lastModifiedBy>总收发(勿动)</cp:lastModifiedBy>
  <cp:revision>15</cp:revision>
  <cp:lastPrinted>2022-10-19T01:45:00Z</cp:lastPrinted>
  <dcterms:created xsi:type="dcterms:W3CDTF">2022-10-19T07:23:00Z</dcterms:created>
  <dcterms:modified xsi:type="dcterms:W3CDTF">2023-04-03T02:40:00Z</dcterms:modified>
</cp:coreProperties>
</file>