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eastAsia="仿宋_GB2312"/>
          <w:sz w:val="32"/>
          <w:szCs w:val="32"/>
        </w:rPr>
      </w:pPr>
      <w:bookmarkStart w:id="0" w:name="_Toc15306267"/>
      <w:bookmarkStart w:id="68" w:name="_GoBack"/>
      <w:bookmarkEnd w:id="68"/>
      <w:r>
        <w:rPr>
          <w:rFonts w:hint="eastAsia" w:ascii="仿宋_GB2312" w:eastAsia="仿宋_GB2312"/>
          <w:sz w:val="32"/>
          <w:szCs w:val="32"/>
        </w:rPr>
        <w:t>附件3</w:t>
      </w:r>
    </w:p>
    <w:p>
      <w:pPr>
        <w:spacing w:line="600" w:lineRule="exact"/>
        <w:jc w:val="center"/>
        <w:outlineLvl w:val="0"/>
        <w:rPr>
          <w:rFonts w:ascii="方正小标宋简体" w:eastAsia="方正小标宋简体"/>
          <w:sz w:val="72"/>
          <w:szCs w:val="72"/>
        </w:rPr>
      </w:pPr>
    </w:p>
    <w:p>
      <w:pPr>
        <w:spacing w:line="600" w:lineRule="exact"/>
        <w:jc w:val="center"/>
        <w:outlineLvl w:val="0"/>
        <w:rPr>
          <w:rFonts w:ascii="方正小标宋简体" w:eastAsia="方正小标宋简体"/>
          <w:sz w:val="72"/>
          <w:szCs w:val="72"/>
        </w:rPr>
      </w:pPr>
    </w:p>
    <w:p>
      <w:pPr>
        <w:spacing w:line="600" w:lineRule="exact"/>
        <w:jc w:val="center"/>
        <w:outlineLvl w:val="0"/>
        <w:rPr>
          <w:rFonts w:ascii="方正小标宋简体" w:eastAsia="方正小标宋简体"/>
          <w:sz w:val="72"/>
          <w:szCs w:val="72"/>
        </w:rPr>
      </w:pPr>
    </w:p>
    <w:p>
      <w:pPr>
        <w:adjustRightInd w:val="0"/>
        <w:snapToGrid w:val="0"/>
        <w:spacing w:line="360" w:lineRule="auto"/>
        <w:jc w:val="center"/>
        <w:outlineLvl w:val="0"/>
        <w:rPr>
          <w:rFonts w:ascii="方正小标宋简体" w:eastAsia="方正小标宋简体" w:cs="方正小标宋简体"/>
          <w:sz w:val="72"/>
          <w:szCs w:val="72"/>
        </w:rPr>
      </w:pPr>
      <w:bookmarkStart w:id="1" w:name="_Toc15396475"/>
      <w:bookmarkStart w:id="2" w:name="_Toc15377193"/>
      <w:bookmarkStart w:id="3" w:name="_Toc15378441"/>
      <w:bookmarkStart w:id="4" w:name="_Toc15396597"/>
      <w:bookmarkStart w:id="5" w:name="_Toc15377425"/>
      <w:r>
        <w:rPr>
          <w:rFonts w:hint="eastAsia" w:ascii="方正小标宋简体" w:eastAsia="方正小标宋简体" w:cs="方正小标宋简体"/>
          <w:sz w:val="72"/>
          <w:szCs w:val="72"/>
        </w:rPr>
        <w:t>2021年度</w:t>
      </w:r>
      <w:bookmarkEnd w:id="1"/>
      <w:bookmarkEnd w:id="2"/>
      <w:bookmarkEnd w:id="3"/>
      <w:bookmarkEnd w:id="4"/>
      <w:bookmarkEnd w:id="5"/>
    </w:p>
    <w:p>
      <w:pPr>
        <w:adjustRightInd w:val="0"/>
        <w:snapToGrid w:val="0"/>
        <w:spacing w:line="360" w:lineRule="auto"/>
        <w:jc w:val="center"/>
        <w:outlineLvl w:val="0"/>
        <w:rPr>
          <w:rFonts w:ascii="方正小标宋简体" w:eastAsia="方正小标宋简体" w:cs="方正小标宋简体"/>
          <w:sz w:val="72"/>
          <w:szCs w:val="72"/>
        </w:rPr>
      </w:pPr>
      <w:bookmarkStart w:id="6" w:name="_Toc15377426"/>
      <w:bookmarkStart w:id="7" w:name="_Toc15396598"/>
      <w:bookmarkStart w:id="8" w:name="_Toc15396476"/>
      <w:bookmarkStart w:id="9" w:name="_Toc15378442"/>
      <w:bookmarkStart w:id="10" w:name="_Toc15377194"/>
      <w:r>
        <w:rPr>
          <w:rFonts w:ascii="方正小标宋简体" w:eastAsia="方正小标宋简体" w:cs="方正小标宋简体"/>
          <w:sz w:val="72"/>
          <w:szCs w:val="72"/>
        </w:rPr>
        <w:t>阿坝州</w:t>
      </w:r>
      <w:bookmarkEnd w:id="0"/>
      <w:bookmarkStart w:id="11" w:name="_Toc15306268"/>
      <w:r>
        <w:rPr>
          <w:rFonts w:ascii="方正小标宋简体" w:eastAsia="方正小标宋简体" w:cs="方正小标宋简体"/>
          <w:sz w:val="72"/>
          <w:szCs w:val="72"/>
        </w:rPr>
        <w:t>投资评审中心</w:t>
      </w:r>
      <w:r>
        <w:rPr>
          <w:rFonts w:hint="eastAsia" w:ascii="方正小标宋简体" w:eastAsia="方正小标宋简体" w:cs="方正小标宋简体"/>
          <w:sz w:val="72"/>
          <w:szCs w:val="72"/>
        </w:rPr>
        <w:t>单位决算</w:t>
      </w:r>
      <w:bookmarkEnd w:id="6"/>
      <w:bookmarkEnd w:id="7"/>
      <w:bookmarkEnd w:id="8"/>
      <w:bookmarkEnd w:id="9"/>
      <w:bookmarkEnd w:id="10"/>
      <w:bookmarkEnd w:id="11"/>
    </w:p>
    <w:p>
      <w:pPr>
        <w:pStyle w:val="2"/>
        <w:spacing w:beforeLines="0"/>
      </w:pPr>
    </w:p>
    <w:p>
      <w:pPr>
        <w:pStyle w:val="2"/>
        <w:spacing w:beforeLines="0"/>
      </w:pPr>
    </w:p>
    <w:p>
      <w:pPr>
        <w:pStyle w:val="2"/>
        <w:spacing w:beforeLines="0"/>
      </w:pPr>
    </w:p>
    <w:p>
      <w:pPr>
        <w:pStyle w:val="2"/>
        <w:spacing w:beforeLines="0"/>
      </w:pPr>
    </w:p>
    <w:p>
      <w:pPr>
        <w:pStyle w:val="2"/>
        <w:spacing w:beforeLines="0"/>
      </w:pPr>
    </w:p>
    <w:p>
      <w:pPr>
        <w:pStyle w:val="2"/>
        <w:spacing w:beforeLines="0"/>
      </w:pPr>
    </w:p>
    <w:p>
      <w:pPr>
        <w:pStyle w:val="2"/>
        <w:spacing w:beforeLines="0"/>
      </w:pPr>
    </w:p>
    <w:p>
      <w:pPr>
        <w:pStyle w:val="2"/>
        <w:spacing w:beforeLines="0"/>
        <w:jc w:val="center"/>
      </w:pPr>
      <w:bookmarkStart w:id="12" w:name="_Hlk113547609"/>
      <w:r>
        <w:rPr>
          <w:rFonts w:hint="eastAsia" w:cs="仿宋_GB2312"/>
          <w:sz w:val="32"/>
          <w:szCs w:val="32"/>
        </w:rPr>
        <w:t>已经保密审查、内容审定，同意对外公开</w:t>
      </w:r>
      <w:bookmarkEnd w:id="12"/>
    </w:p>
    <w:p>
      <w:pPr>
        <w:widowControl/>
        <w:jc w:val="center"/>
        <w:rPr>
          <w:rFonts w:ascii="黑体" w:eastAsia="黑体"/>
          <w:sz w:val="48"/>
          <w:szCs w:val="48"/>
        </w:rPr>
      </w:pPr>
      <w:r>
        <w:rPr>
          <w:rFonts w:ascii="方正小标宋简体" w:eastAsia="方正小标宋简体"/>
          <w:sz w:val="36"/>
          <w:szCs w:val="36"/>
        </w:rPr>
        <w:br w:type="page"/>
      </w:r>
      <w:r>
        <w:rPr>
          <w:rFonts w:hint="eastAsia" w:ascii="黑体" w:eastAsia="黑体"/>
          <w:sz w:val="48"/>
          <w:szCs w:val="48"/>
        </w:rPr>
        <w:t>目录</w:t>
      </w:r>
    </w:p>
    <w:p>
      <w:pPr>
        <w:widowControl/>
        <w:jc w:val="center"/>
        <w:rPr>
          <w:rFonts w:ascii="黑体" w:eastAsia="黑体" w:cs="Arial"/>
          <w:sz w:val="28"/>
          <w:szCs w:val="28"/>
        </w:rPr>
      </w:pPr>
    </w:p>
    <w:p>
      <w:pPr>
        <w:pStyle w:val="10"/>
      </w:pPr>
      <w:r>
        <w:rPr>
          <w:rFonts w:hint="eastAsia"/>
        </w:rPr>
        <w:t>公开时间：2022年9月9日</w:t>
      </w:r>
    </w:p>
    <w:p/>
    <w:p>
      <w:pPr>
        <w:pStyle w:val="10"/>
        <w:adjustRightInd w:val="0"/>
        <w:snapToGrid w:val="0"/>
        <w:spacing w:before="0" w:line="440" w:lineRule="exact"/>
        <w:jc w:val="left"/>
        <w:rPr>
          <w:rFonts w:cs="Arial"/>
          <w:sz w:val="24"/>
          <w:szCs w:val="24"/>
        </w:rPr>
      </w:pPr>
      <w:r>
        <w:rPr>
          <w:rFonts w:hint="eastAsia"/>
          <w:sz w:val="24"/>
        </w:rPr>
        <w:t>第一部分单位概况</w:t>
      </w:r>
    </w:p>
    <w:p>
      <w:pPr>
        <w:pStyle w:val="11"/>
        <w:adjustRightInd w:val="0"/>
        <w:snapToGrid w:val="0"/>
        <w:spacing w:line="440" w:lineRule="exact"/>
        <w:ind w:left="420"/>
        <w:jc w:val="left"/>
        <w:rPr>
          <w:sz w:val="24"/>
        </w:rPr>
      </w:pPr>
      <w:r>
        <w:rPr>
          <w:rFonts w:hint="eastAsia"/>
          <w:sz w:val="24"/>
        </w:rPr>
        <w:t>一、职能简介</w:t>
      </w:r>
    </w:p>
    <w:p>
      <w:pPr>
        <w:pStyle w:val="11"/>
        <w:adjustRightInd w:val="0"/>
        <w:snapToGrid w:val="0"/>
        <w:spacing w:line="440" w:lineRule="exact"/>
        <w:ind w:left="420"/>
        <w:jc w:val="left"/>
        <w:rPr>
          <w:rFonts w:ascii="宋体" w:cs="宋体"/>
          <w:sz w:val="24"/>
        </w:rPr>
      </w:pPr>
      <w:r>
        <w:rPr>
          <w:rFonts w:hint="eastAsia" w:ascii="宋体" w:cs="宋体"/>
          <w:sz w:val="24"/>
        </w:rPr>
        <w:t>二、2021年重点工作完成情况</w:t>
      </w:r>
    </w:p>
    <w:p>
      <w:pPr>
        <w:pStyle w:val="10"/>
        <w:adjustRightInd w:val="0"/>
        <w:snapToGrid w:val="0"/>
        <w:spacing w:before="0" w:line="440" w:lineRule="exact"/>
        <w:jc w:val="left"/>
        <w:rPr>
          <w:sz w:val="24"/>
          <w:szCs w:val="24"/>
        </w:rPr>
      </w:pPr>
      <w:r>
        <w:rPr>
          <w:rFonts w:hint="eastAsia"/>
          <w:sz w:val="24"/>
        </w:rPr>
        <w:t>第二部分 2021年度单位决算情况说明</w:t>
      </w:r>
    </w:p>
    <w:p>
      <w:pPr>
        <w:pStyle w:val="11"/>
        <w:adjustRightInd w:val="0"/>
        <w:snapToGrid w:val="0"/>
        <w:spacing w:line="440" w:lineRule="exact"/>
        <w:ind w:left="420"/>
        <w:jc w:val="left"/>
        <w:rPr>
          <w:rFonts w:ascii="仿宋" w:eastAsia="仿宋" w:cs="Arial"/>
          <w:sz w:val="24"/>
        </w:rPr>
      </w:pPr>
      <w:r>
        <w:rPr>
          <w:rFonts w:hint="eastAsia"/>
          <w:sz w:val="24"/>
        </w:rPr>
        <w:t>一、收入支出决算总体情况说明</w:t>
      </w:r>
    </w:p>
    <w:p>
      <w:pPr>
        <w:pStyle w:val="11"/>
        <w:adjustRightInd w:val="0"/>
        <w:snapToGrid w:val="0"/>
        <w:spacing w:line="440" w:lineRule="exact"/>
        <w:ind w:left="420"/>
        <w:jc w:val="left"/>
        <w:rPr>
          <w:rFonts w:ascii="仿宋" w:eastAsia="仿宋" w:cs="Arial"/>
          <w:sz w:val="24"/>
        </w:rPr>
      </w:pPr>
      <w:r>
        <w:rPr>
          <w:rFonts w:hint="eastAsia"/>
          <w:sz w:val="24"/>
        </w:rPr>
        <w:t>二、收入决算情况说明</w:t>
      </w:r>
    </w:p>
    <w:p>
      <w:pPr>
        <w:pStyle w:val="11"/>
        <w:adjustRightInd w:val="0"/>
        <w:snapToGrid w:val="0"/>
        <w:spacing w:line="440" w:lineRule="exact"/>
        <w:ind w:left="420"/>
        <w:jc w:val="left"/>
        <w:rPr>
          <w:rFonts w:ascii="仿宋" w:eastAsia="仿宋" w:cs="Arial"/>
          <w:sz w:val="24"/>
        </w:rPr>
      </w:pPr>
      <w:r>
        <w:rPr>
          <w:rFonts w:hint="eastAsia"/>
          <w:sz w:val="24"/>
        </w:rPr>
        <w:t>三、支出决算情况说明</w:t>
      </w:r>
    </w:p>
    <w:p>
      <w:pPr>
        <w:pStyle w:val="11"/>
        <w:adjustRightInd w:val="0"/>
        <w:snapToGrid w:val="0"/>
        <w:spacing w:line="440" w:lineRule="exact"/>
        <w:ind w:left="420"/>
        <w:jc w:val="left"/>
        <w:rPr>
          <w:rFonts w:ascii="仿宋" w:eastAsia="仿宋" w:cs="Arial"/>
          <w:sz w:val="24"/>
        </w:rPr>
      </w:pPr>
      <w:r>
        <w:rPr>
          <w:rFonts w:hint="eastAsia"/>
          <w:sz w:val="24"/>
        </w:rPr>
        <w:t>四、财政拨款收入支出决算总体情况说明</w:t>
      </w:r>
    </w:p>
    <w:p>
      <w:pPr>
        <w:pStyle w:val="11"/>
        <w:adjustRightInd w:val="0"/>
        <w:snapToGrid w:val="0"/>
        <w:spacing w:line="440" w:lineRule="exact"/>
        <w:ind w:left="420"/>
        <w:jc w:val="left"/>
        <w:rPr>
          <w:rFonts w:ascii="仿宋" w:eastAsia="仿宋" w:cs="Arial"/>
          <w:sz w:val="24"/>
        </w:rPr>
      </w:pPr>
      <w:r>
        <w:rPr>
          <w:rFonts w:hint="eastAsia"/>
          <w:sz w:val="24"/>
        </w:rPr>
        <w:t>五、一般公共预算财政拨款支出决算情况说明</w:t>
      </w:r>
    </w:p>
    <w:p>
      <w:pPr>
        <w:pStyle w:val="11"/>
        <w:adjustRightInd w:val="0"/>
        <w:snapToGrid w:val="0"/>
        <w:spacing w:line="440" w:lineRule="exact"/>
        <w:ind w:left="420"/>
        <w:jc w:val="left"/>
        <w:rPr>
          <w:rFonts w:ascii="仿宋" w:eastAsia="仿宋" w:cs="Arial"/>
          <w:sz w:val="24"/>
        </w:rPr>
      </w:pPr>
      <w:r>
        <w:rPr>
          <w:rFonts w:hint="eastAsia"/>
          <w:sz w:val="24"/>
        </w:rPr>
        <w:t>六、一般公共预算财政拨款基本支出决算情况说明</w:t>
      </w:r>
    </w:p>
    <w:p>
      <w:pPr>
        <w:pStyle w:val="11"/>
        <w:adjustRightInd w:val="0"/>
        <w:snapToGrid w:val="0"/>
        <w:spacing w:line="440" w:lineRule="exact"/>
        <w:ind w:left="420"/>
        <w:jc w:val="left"/>
        <w:rPr>
          <w:rFonts w:ascii="仿宋" w:eastAsia="仿宋" w:cs="Arial"/>
          <w:sz w:val="24"/>
        </w:rPr>
      </w:pPr>
      <w:r>
        <w:rPr>
          <w:rFonts w:hint="eastAsia"/>
          <w:sz w:val="24"/>
        </w:rPr>
        <w:t>七、“三公”经费财政拨款支出决算情况说明</w:t>
      </w:r>
    </w:p>
    <w:p>
      <w:pPr>
        <w:pStyle w:val="11"/>
        <w:adjustRightInd w:val="0"/>
        <w:snapToGrid w:val="0"/>
        <w:spacing w:line="440" w:lineRule="exact"/>
        <w:ind w:left="420"/>
        <w:jc w:val="left"/>
        <w:rPr>
          <w:rFonts w:ascii="仿宋" w:eastAsia="仿宋" w:cs="Arial"/>
          <w:sz w:val="24"/>
        </w:rPr>
      </w:pPr>
      <w:r>
        <w:rPr>
          <w:rFonts w:hint="eastAsia"/>
          <w:sz w:val="24"/>
        </w:rPr>
        <w:t>八、政府性基金预算支出决算情况说明</w:t>
      </w:r>
    </w:p>
    <w:p>
      <w:pPr>
        <w:pStyle w:val="11"/>
        <w:adjustRightInd w:val="0"/>
        <w:snapToGrid w:val="0"/>
        <w:spacing w:line="440" w:lineRule="exact"/>
        <w:ind w:left="420"/>
        <w:jc w:val="left"/>
        <w:rPr>
          <w:sz w:val="24"/>
        </w:rPr>
      </w:pPr>
      <w:r>
        <w:rPr>
          <w:rFonts w:hint="eastAsia"/>
          <w:sz w:val="24"/>
        </w:rPr>
        <w:t>九、国有资本经营预算支出决算情况说明</w:t>
      </w:r>
    </w:p>
    <w:p>
      <w:pPr>
        <w:pStyle w:val="11"/>
        <w:adjustRightInd w:val="0"/>
        <w:snapToGrid w:val="0"/>
        <w:spacing w:line="440" w:lineRule="exact"/>
        <w:ind w:left="420"/>
        <w:jc w:val="left"/>
        <w:rPr>
          <w:sz w:val="24"/>
        </w:rPr>
      </w:pPr>
      <w:r>
        <w:rPr>
          <w:rFonts w:hint="eastAsia"/>
          <w:sz w:val="24"/>
        </w:rPr>
        <w:t>十、其他重要事项的情况说明</w:t>
      </w:r>
    </w:p>
    <w:p>
      <w:pPr>
        <w:pStyle w:val="10"/>
        <w:adjustRightInd w:val="0"/>
        <w:snapToGrid w:val="0"/>
        <w:spacing w:before="0" w:line="440" w:lineRule="exact"/>
        <w:jc w:val="left"/>
        <w:rPr>
          <w:rFonts w:cs="Arial"/>
          <w:sz w:val="24"/>
          <w:szCs w:val="24"/>
        </w:rPr>
      </w:pPr>
      <w:r>
        <w:rPr>
          <w:rFonts w:hint="eastAsia"/>
          <w:sz w:val="24"/>
        </w:rPr>
        <w:t>第三部分名词解释</w:t>
      </w:r>
    </w:p>
    <w:p>
      <w:pPr>
        <w:pStyle w:val="10"/>
        <w:adjustRightInd w:val="0"/>
        <w:snapToGrid w:val="0"/>
        <w:spacing w:before="0" w:line="440" w:lineRule="exact"/>
        <w:jc w:val="left"/>
        <w:rPr>
          <w:rFonts w:cs="Arial"/>
          <w:sz w:val="24"/>
          <w:szCs w:val="24"/>
        </w:rPr>
      </w:pPr>
      <w:r>
        <w:rPr>
          <w:rFonts w:hint="eastAsia"/>
          <w:sz w:val="24"/>
        </w:rPr>
        <w:t>第四部分附件</w:t>
      </w:r>
    </w:p>
    <w:p>
      <w:pPr>
        <w:pStyle w:val="10"/>
        <w:adjustRightInd w:val="0"/>
        <w:snapToGrid w:val="0"/>
        <w:spacing w:before="0" w:line="440" w:lineRule="exact"/>
        <w:jc w:val="left"/>
        <w:rPr>
          <w:rFonts w:cs="Arial"/>
          <w:sz w:val="24"/>
          <w:szCs w:val="24"/>
        </w:rPr>
      </w:pPr>
      <w:r>
        <w:rPr>
          <w:rFonts w:hint="eastAsia"/>
          <w:sz w:val="24"/>
        </w:rPr>
        <w:t>第五部分附表</w:t>
      </w:r>
    </w:p>
    <w:p>
      <w:pPr>
        <w:pStyle w:val="11"/>
        <w:adjustRightInd w:val="0"/>
        <w:snapToGrid w:val="0"/>
        <w:spacing w:line="440" w:lineRule="exact"/>
        <w:ind w:left="420"/>
        <w:jc w:val="left"/>
        <w:rPr>
          <w:sz w:val="24"/>
        </w:rPr>
      </w:pPr>
      <w:r>
        <w:rPr>
          <w:rFonts w:hint="eastAsia"/>
          <w:sz w:val="24"/>
        </w:rPr>
        <w:t>一、收入支出决算总表</w:t>
      </w:r>
    </w:p>
    <w:p>
      <w:pPr>
        <w:pStyle w:val="11"/>
        <w:adjustRightInd w:val="0"/>
        <w:snapToGrid w:val="0"/>
        <w:spacing w:line="440" w:lineRule="exact"/>
        <w:ind w:left="420"/>
        <w:jc w:val="left"/>
        <w:rPr>
          <w:sz w:val="24"/>
        </w:rPr>
      </w:pPr>
      <w:r>
        <w:rPr>
          <w:rFonts w:hint="eastAsia"/>
          <w:sz w:val="24"/>
        </w:rPr>
        <w:t>二、收入决算表</w:t>
      </w:r>
    </w:p>
    <w:p>
      <w:pPr>
        <w:pStyle w:val="11"/>
        <w:adjustRightInd w:val="0"/>
        <w:snapToGrid w:val="0"/>
        <w:spacing w:line="440" w:lineRule="exact"/>
        <w:ind w:left="420"/>
        <w:jc w:val="left"/>
        <w:rPr>
          <w:sz w:val="24"/>
        </w:rPr>
      </w:pPr>
      <w:r>
        <w:rPr>
          <w:rFonts w:hint="eastAsia"/>
          <w:sz w:val="24"/>
        </w:rPr>
        <w:t>三、支出决算表</w:t>
      </w:r>
    </w:p>
    <w:p>
      <w:pPr>
        <w:pStyle w:val="11"/>
        <w:adjustRightInd w:val="0"/>
        <w:snapToGrid w:val="0"/>
        <w:spacing w:line="440" w:lineRule="exact"/>
        <w:ind w:left="420"/>
        <w:jc w:val="left"/>
        <w:rPr>
          <w:sz w:val="24"/>
        </w:rPr>
      </w:pPr>
      <w:r>
        <w:rPr>
          <w:rFonts w:hint="eastAsia"/>
          <w:sz w:val="24"/>
        </w:rPr>
        <w:t>四、财政拨款收入支出决算总表</w:t>
      </w:r>
    </w:p>
    <w:p>
      <w:pPr>
        <w:pStyle w:val="11"/>
        <w:adjustRightInd w:val="0"/>
        <w:snapToGrid w:val="0"/>
        <w:spacing w:line="440" w:lineRule="exact"/>
        <w:ind w:left="420"/>
        <w:jc w:val="left"/>
        <w:rPr>
          <w:sz w:val="24"/>
        </w:rPr>
      </w:pPr>
      <w:r>
        <w:rPr>
          <w:rFonts w:hint="eastAsia"/>
          <w:sz w:val="24"/>
        </w:rPr>
        <w:t>五、财政拨款支出决算明细表</w:t>
      </w:r>
    </w:p>
    <w:p>
      <w:pPr>
        <w:pStyle w:val="11"/>
        <w:adjustRightInd w:val="0"/>
        <w:snapToGrid w:val="0"/>
        <w:spacing w:line="440" w:lineRule="exact"/>
        <w:ind w:left="420"/>
        <w:jc w:val="left"/>
        <w:rPr>
          <w:sz w:val="24"/>
        </w:rPr>
      </w:pPr>
      <w:r>
        <w:rPr>
          <w:rFonts w:hint="eastAsia"/>
          <w:sz w:val="24"/>
        </w:rPr>
        <w:t>六、一般公共预算财政拨款支出决算表</w:t>
      </w:r>
    </w:p>
    <w:p>
      <w:pPr>
        <w:pStyle w:val="11"/>
        <w:adjustRightInd w:val="0"/>
        <w:snapToGrid w:val="0"/>
        <w:spacing w:line="440" w:lineRule="exact"/>
        <w:ind w:left="420"/>
        <w:jc w:val="left"/>
        <w:rPr>
          <w:sz w:val="24"/>
        </w:rPr>
      </w:pPr>
      <w:r>
        <w:rPr>
          <w:rFonts w:hint="eastAsia"/>
          <w:sz w:val="24"/>
        </w:rPr>
        <w:t>七、一般公共预算财政拨款支出决算明细表</w:t>
      </w:r>
    </w:p>
    <w:p>
      <w:pPr>
        <w:pStyle w:val="11"/>
        <w:adjustRightInd w:val="0"/>
        <w:snapToGrid w:val="0"/>
        <w:spacing w:line="440" w:lineRule="exact"/>
        <w:ind w:left="420"/>
        <w:jc w:val="left"/>
        <w:rPr>
          <w:sz w:val="24"/>
        </w:rPr>
      </w:pPr>
      <w:r>
        <w:rPr>
          <w:rFonts w:hint="eastAsia"/>
          <w:sz w:val="24"/>
        </w:rPr>
        <w:t>八、一般公共预算财政拨款基本支出决算表</w:t>
      </w:r>
    </w:p>
    <w:p>
      <w:pPr>
        <w:pStyle w:val="11"/>
        <w:adjustRightInd w:val="0"/>
        <w:snapToGrid w:val="0"/>
        <w:spacing w:line="440" w:lineRule="exact"/>
        <w:ind w:left="420"/>
        <w:jc w:val="left"/>
        <w:rPr>
          <w:sz w:val="24"/>
        </w:rPr>
      </w:pPr>
      <w:r>
        <w:rPr>
          <w:rFonts w:hint="eastAsia"/>
          <w:sz w:val="24"/>
        </w:rPr>
        <w:t>九、一般公共预算财政拨款项目支出决算表</w:t>
      </w:r>
    </w:p>
    <w:p>
      <w:pPr>
        <w:pStyle w:val="11"/>
        <w:adjustRightInd w:val="0"/>
        <w:snapToGrid w:val="0"/>
        <w:spacing w:line="440" w:lineRule="exact"/>
        <w:ind w:left="420"/>
        <w:jc w:val="left"/>
        <w:rPr>
          <w:sz w:val="24"/>
        </w:rPr>
      </w:pPr>
      <w:r>
        <w:rPr>
          <w:rFonts w:hint="eastAsia"/>
          <w:sz w:val="24"/>
        </w:rPr>
        <w:t>十、一般公共预算财政拨款“三公”经费支出决算表</w:t>
      </w:r>
    </w:p>
    <w:p>
      <w:pPr>
        <w:pStyle w:val="11"/>
        <w:adjustRightInd w:val="0"/>
        <w:snapToGrid w:val="0"/>
        <w:spacing w:line="440" w:lineRule="exact"/>
        <w:ind w:left="420"/>
        <w:jc w:val="left"/>
        <w:rPr>
          <w:sz w:val="24"/>
        </w:rPr>
      </w:pPr>
      <w:r>
        <w:rPr>
          <w:rFonts w:hint="eastAsia"/>
          <w:sz w:val="24"/>
        </w:rPr>
        <w:t>十一、政府性基金预算财政拨款收入支出决算表</w:t>
      </w:r>
    </w:p>
    <w:p>
      <w:pPr>
        <w:pStyle w:val="11"/>
        <w:adjustRightInd w:val="0"/>
        <w:snapToGrid w:val="0"/>
        <w:spacing w:line="440" w:lineRule="exact"/>
        <w:ind w:left="420"/>
        <w:jc w:val="left"/>
        <w:rPr>
          <w:sz w:val="24"/>
        </w:rPr>
      </w:pPr>
      <w:r>
        <w:rPr>
          <w:rFonts w:hint="eastAsia"/>
          <w:sz w:val="24"/>
        </w:rPr>
        <w:t>十二、政府性基金预算财政拨款“三公”经费支出决算表</w:t>
      </w:r>
    </w:p>
    <w:p>
      <w:pPr>
        <w:pStyle w:val="11"/>
        <w:adjustRightInd w:val="0"/>
        <w:snapToGrid w:val="0"/>
        <w:spacing w:line="440" w:lineRule="exact"/>
        <w:ind w:left="420"/>
        <w:jc w:val="left"/>
        <w:rPr>
          <w:sz w:val="24"/>
        </w:rPr>
      </w:pPr>
      <w:r>
        <w:rPr>
          <w:rFonts w:hint="eastAsia"/>
          <w:sz w:val="24"/>
        </w:rPr>
        <w:t>十三、国有资本经营预算财政拨款收入支出决算表</w:t>
      </w:r>
    </w:p>
    <w:p>
      <w:pPr>
        <w:pStyle w:val="11"/>
        <w:adjustRightInd w:val="0"/>
        <w:snapToGrid w:val="0"/>
        <w:spacing w:line="440" w:lineRule="exact"/>
        <w:ind w:left="420"/>
        <w:jc w:val="left"/>
        <w:rPr>
          <w:sz w:val="24"/>
        </w:rPr>
      </w:pPr>
      <w:r>
        <w:rPr>
          <w:rFonts w:hint="eastAsia"/>
          <w:sz w:val="24"/>
        </w:rPr>
        <w:t>十四、国有资本经营预算财政拨款支出决算表</w:t>
      </w:r>
    </w:p>
    <w:p>
      <w:pPr>
        <w:widowControl/>
        <w:adjustRightInd w:val="0"/>
        <w:snapToGrid w:val="0"/>
        <w:spacing w:line="440" w:lineRule="exact"/>
        <w:ind w:firstLine="1320" w:firstLineChars="550"/>
        <w:jc w:val="left"/>
        <w:rPr>
          <w:rFonts w:ascii="仿宋" w:eastAsia="仿宋"/>
          <w:sz w:val="24"/>
        </w:rPr>
      </w:pPr>
      <w:r>
        <w:rPr>
          <w:rFonts w:ascii="仿宋" w:eastAsia="仿宋"/>
          <w:sz w:val="24"/>
        </w:rPr>
        <w:t>(注：</w:t>
      </w:r>
      <w:r>
        <w:rPr>
          <w:rFonts w:hint="eastAsia" w:ascii="仿宋" w:eastAsia="仿宋"/>
          <w:sz w:val="24"/>
        </w:rPr>
        <w:t>请单位根据实际注明页码</w:t>
      </w:r>
      <w:r>
        <w:rPr>
          <w:rFonts w:ascii="仿宋" w:eastAsia="仿宋"/>
          <w:sz w:val="24"/>
        </w:rPr>
        <w:t>)</w:t>
      </w:r>
    </w:p>
    <w:p>
      <w:pPr>
        <w:widowControl/>
        <w:spacing w:line="440" w:lineRule="exact"/>
        <w:jc w:val="left"/>
        <w:rPr>
          <w:rFonts w:ascii="仿宋" w:eastAsia="仿宋"/>
          <w:bCs/>
          <w:kern w:val="44"/>
          <w:sz w:val="24"/>
        </w:rPr>
      </w:pPr>
      <w:bookmarkStart w:id="13" w:name="_Toc15377196"/>
      <w:bookmarkStart w:id="14" w:name="_Toc15396599"/>
      <w:r>
        <w:rPr>
          <w:rFonts w:ascii="仿宋" w:eastAsia="仿宋"/>
          <w:b/>
          <w:sz w:val="24"/>
        </w:rPr>
        <w:br w:type="page"/>
      </w:r>
    </w:p>
    <w:p>
      <w:pPr>
        <w:pStyle w:val="3"/>
        <w:jc w:val="center"/>
        <w:rPr>
          <w:rStyle w:val="17"/>
          <w:rFonts w:ascii="黑体" w:eastAsia="黑体"/>
          <w:b/>
          <w:bCs w:val="0"/>
        </w:rPr>
      </w:pPr>
      <w:r>
        <w:rPr>
          <w:rFonts w:hint="eastAsia" w:ascii="黑体" w:eastAsia="黑体"/>
          <w:b w:val="0"/>
        </w:rPr>
        <w:t>第一部分 单位</w:t>
      </w:r>
      <w:r>
        <w:rPr>
          <w:rStyle w:val="17"/>
          <w:rFonts w:hint="eastAsia" w:ascii="黑体" w:eastAsia="黑体"/>
          <w:b w:val="0"/>
          <w:bCs w:val="0"/>
        </w:rPr>
        <w:t>概况</w:t>
      </w:r>
      <w:bookmarkEnd w:id="13"/>
      <w:bookmarkEnd w:id="14"/>
    </w:p>
    <w:p>
      <w:pPr>
        <w:widowControl/>
        <w:jc w:val="left"/>
        <w:rPr>
          <w:rFonts w:ascii="黑体" w:eastAsia="黑体"/>
          <w:sz w:val="32"/>
          <w:szCs w:val="32"/>
        </w:rPr>
      </w:pPr>
    </w:p>
    <w:p>
      <w:pPr>
        <w:pStyle w:val="4"/>
        <w:rPr>
          <w:rStyle w:val="18"/>
          <w:rFonts w:ascii="黑体" w:eastAsia="黑体"/>
          <w:b w:val="0"/>
          <w:bCs w:val="0"/>
        </w:rPr>
      </w:pPr>
      <w:bookmarkStart w:id="15" w:name="_Toc15377197"/>
      <w:bookmarkStart w:id="16" w:name="_Toc15396600"/>
      <w:r>
        <w:rPr>
          <w:rStyle w:val="18"/>
          <w:rFonts w:hint="eastAsia" w:ascii="黑体" w:eastAsia="黑体"/>
          <w:b w:val="0"/>
          <w:bCs w:val="0"/>
        </w:rPr>
        <w:t>一、职能简介</w:t>
      </w:r>
    </w:p>
    <w:p>
      <w:pPr>
        <w:pStyle w:val="12"/>
        <w:shd w:val="clear" w:color="auto" w:fill="FFFFFF"/>
        <w:spacing w:before="0" w:beforeAutospacing="0" w:after="0" w:afterAutospacing="0" w:line="560" w:lineRule="exact"/>
        <w:ind w:firstLine="640"/>
      </w:pPr>
      <w:r>
        <w:rPr>
          <w:rFonts w:ascii="仿宋_GB2312" w:hAnsi="仿宋_GB2312" w:cs="Arial"/>
          <w:color w:val="000000"/>
          <w:kern w:val="2"/>
          <w:szCs w:val="32"/>
        </w:rPr>
        <w:t>贯彻执行举办单位及上级主管部门相关制度，完成财政信</w:t>
      </w:r>
      <w:r>
        <w:t>息化规划、建设和维护等工作。负责本级财政信息化规划、建设和维护等工作，指导县财政信息化工作。</w:t>
      </w:r>
    </w:p>
    <w:p>
      <w:pPr>
        <w:pStyle w:val="12"/>
        <w:shd w:val="clear" w:color="auto" w:fill="FFFFFF"/>
        <w:spacing w:before="0" w:beforeAutospacing="0" w:after="0" w:afterAutospacing="0" w:line="560" w:lineRule="exact"/>
        <w:ind w:firstLine="640"/>
      </w:pPr>
      <w:r>
        <w:rPr>
          <w:rFonts w:hint="eastAsia"/>
        </w:rPr>
        <w:t>本单位本年度纳入本套决算编制范围的独立编制机构数共1个，比上年增加0个，无变动情况；独立核算机构数共1个，比上年增加0个，无变动情况。阿坝州财政局信息网络管理中心直属事业单位5个，分别为阿坝州财政局信息网络管理中心、阿坝州财政局投资评审中心、阿坝州财政局离退休干部管理办公室、阿坝州财政局后勤服务中心、阿坝州财政局预算编审中心，独立编制机构数1个，独立核算机构数1个。</w:t>
      </w:r>
    </w:p>
    <w:p>
      <w:pPr>
        <w:pStyle w:val="12"/>
        <w:shd w:val="clear" w:color="auto" w:fill="FFFFFF"/>
        <w:spacing w:before="0" w:beforeAutospacing="0" w:after="0" w:afterAutospacing="0" w:line="560" w:lineRule="exact"/>
        <w:ind w:firstLine="640"/>
      </w:pPr>
      <w:r>
        <w:rPr>
          <w:rFonts w:hint="eastAsia"/>
        </w:rPr>
        <w:t>本单位本年度年末实有人数为44人，比上年增加14人，变动情况及原因为2021年共招考录用5名事业人员，加上去年新增9人共14人；年末实有离退休人数为6人，比上年增加0人；无变动情况.。年末实有其他人数为0人，比上年增加0人；无变动情况。</w:t>
      </w:r>
    </w:p>
    <w:p>
      <w:pPr>
        <w:widowControl/>
        <w:spacing w:line="560" w:lineRule="exact"/>
        <w:ind w:firstLine="640" w:firstLineChars="200"/>
        <w:jc w:val="left"/>
        <w:rPr>
          <w:rFonts w:ascii="仿宋_GB2312" w:eastAsia="仿宋_GB2312" w:cs="宋体"/>
          <w:kern w:val="0"/>
          <w:sz w:val="32"/>
          <w:szCs w:val="32"/>
        </w:rPr>
      </w:pPr>
    </w:p>
    <w:p>
      <w:pPr>
        <w:pStyle w:val="4"/>
        <w:rPr>
          <w:rFonts w:ascii="黑体" w:eastAsia="黑体"/>
          <w:b w:val="0"/>
        </w:rPr>
      </w:pPr>
      <w:r>
        <w:rPr>
          <w:rFonts w:hint="eastAsia" w:ascii="黑体" w:eastAsia="黑体"/>
          <w:b w:val="0"/>
        </w:rPr>
        <w:t>二、2021年重点工作</w:t>
      </w:r>
      <w:bookmarkEnd w:id="15"/>
      <w:bookmarkEnd w:id="16"/>
      <w:r>
        <w:rPr>
          <w:rFonts w:hint="eastAsia" w:ascii="黑体" w:eastAsia="黑体"/>
          <w:b w:val="0"/>
        </w:rPr>
        <w:t>完成情况</w:t>
      </w:r>
    </w:p>
    <w:p/>
    <w:p>
      <w:pPr>
        <w:pStyle w:val="12"/>
        <w:shd w:val="clear" w:color="auto" w:fill="FFFFFF"/>
        <w:spacing w:before="0" w:beforeAutospacing="0" w:after="0" w:afterAutospacing="0" w:line="560" w:lineRule="exact"/>
        <w:ind w:firstLine="640"/>
      </w:pPr>
      <w:r>
        <w:rPr>
          <w:rFonts w:hint="eastAsia"/>
        </w:rPr>
        <w:t>2021年度，信息网络管理中心（以下简称“中心”）在阿坝州财政局党组领导下，依据《事业单位登记管理暂行条例》及《条例实施细则》规定，按照登记的宗旨和业务范围积极规范开展业务活动，主要内容如下：</w:t>
      </w:r>
    </w:p>
    <w:p>
      <w:pPr>
        <w:pStyle w:val="12"/>
        <w:shd w:val="clear" w:color="auto" w:fill="FFFFFF"/>
        <w:spacing w:before="0" w:beforeAutospacing="0" w:after="0" w:afterAutospacing="0" w:line="560" w:lineRule="exact"/>
        <w:ind w:firstLine="640"/>
      </w:pPr>
      <w:r>
        <w:rPr>
          <w:rFonts w:hint="eastAsia"/>
        </w:rPr>
        <w:t>1. 财政信息化工作，现行系统的维护：2021年网管中心完成负责的全部业务系统2020年度账套初始化工作，包括金财综合业务系统2021年系统，扶贫动态监控2021年账套，总会计2021年账套等，保障各项财政业务顺利运转。推动全行业信息化建设：为全州预算一体化建设提供技术支持。</w:t>
      </w:r>
    </w:p>
    <w:p>
      <w:pPr>
        <w:pStyle w:val="12"/>
        <w:shd w:val="clear" w:color="auto" w:fill="FFFFFF"/>
        <w:spacing w:before="0" w:beforeAutospacing="0" w:after="0" w:afterAutospacing="0" w:line="560" w:lineRule="exact"/>
        <w:ind w:firstLine="640"/>
      </w:pPr>
      <w:r>
        <w:rPr>
          <w:rFonts w:hint="eastAsia"/>
        </w:rPr>
        <w:t>2. 信息发布工作，2021年协助完成信息发布和信息共享工作，截止目前，在门户网站和信息公开目录发布各类信息共294条。</w:t>
      </w:r>
    </w:p>
    <w:p>
      <w:pPr>
        <w:pStyle w:val="12"/>
        <w:shd w:val="clear" w:color="auto" w:fill="FFFFFF"/>
        <w:spacing w:before="0" w:beforeAutospacing="0" w:after="0" w:afterAutospacing="0" w:line="560" w:lineRule="exact"/>
        <w:ind w:firstLine="640"/>
      </w:pPr>
      <w:r>
        <w:rPr>
          <w:rFonts w:hint="eastAsia"/>
        </w:rPr>
        <w:t>3. 网络安全工作，2021年网管中心进一步加强网络安全工作，完成全州网络安全加固，全州财政系统业务专网等级保护工作全面完成。阿坝州互联网业务系统全部完成等保定级。</w:t>
      </w:r>
    </w:p>
    <w:p>
      <w:pPr>
        <w:pStyle w:val="12"/>
        <w:shd w:val="clear" w:color="auto" w:fill="FFFFFF"/>
        <w:spacing w:before="0" w:beforeAutospacing="0" w:after="0" w:afterAutospacing="0" w:line="560" w:lineRule="exact"/>
        <w:ind w:firstLine="640"/>
      </w:pPr>
      <w:r>
        <w:rPr>
          <w:rFonts w:hint="eastAsia"/>
        </w:rPr>
        <w:t>2022年预计完成以下工作：信息化建设方面，继续推进预算一体化系统使用和建设，实现采购一体化模块的建设。网络安全方面，依托等级保护制度，建立合法合规的常态网路安全制度。承担行业主管部门职责，对建立全州安全可控的财政专网，制定具体措施。</w:t>
      </w:r>
    </w:p>
    <w:p>
      <w:pPr>
        <w:pStyle w:val="3"/>
        <w:ind w:right="440"/>
        <w:jc w:val="center"/>
        <w:rPr>
          <w:rFonts w:ascii="黑体" w:eastAsia="黑体"/>
          <w:b w:val="0"/>
        </w:rPr>
      </w:pPr>
      <w:bookmarkStart w:id="17" w:name="_Toc15377204"/>
      <w:bookmarkStart w:id="18" w:name="_Toc15396602"/>
      <w:r>
        <w:rPr>
          <w:rFonts w:hint="eastAsia" w:ascii="黑体" w:eastAsia="黑体"/>
          <w:b w:val="0"/>
        </w:rPr>
        <w:t>第二部分 2021年度</w:t>
      </w:r>
      <w:r>
        <w:rPr>
          <w:rStyle w:val="17"/>
          <w:rFonts w:hint="eastAsia" w:ascii="黑体" w:eastAsia="黑体"/>
          <w:b w:val="0"/>
          <w:bCs/>
        </w:rPr>
        <w:t>单位决算情况说明</w:t>
      </w:r>
      <w:bookmarkEnd w:id="17"/>
      <w:bookmarkEnd w:id="18"/>
    </w:p>
    <w:p>
      <w:pPr>
        <w:pStyle w:val="23"/>
        <w:numPr>
          <w:ilvl w:val="0"/>
          <w:numId w:val="1"/>
        </w:numPr>
        <w:spacing w:line="600" w:lineRule="exact"/>
        <w:ind w:firstLineChars="0"/>
        <w:outlineLvl w:val="1"/>
        <w:rPr>
          <w:rStyle w:val="18"/>
          <w:rFonts w:ascii="黑体" w:eastAsia="黑体"/>
          <w:b w:val="0"/>
        </w:rPr>
      </w:pPr>
      <w:bookmarkStart w:id="19" w:name="_Toc15377205"/>
      <w:bookmarkStart w:id="20" w:name="_Toc15396603"/>
      <w:r>
        <w:rPr>
          <w:rFonts w:hint="eastAsia" w:ascii="黑体" w:eastAsia="黑体"/>
          <w:sz w:val="32"/>
          <w:szCs w:val="32"/>
        </w:rPr>
        <w:t>收</w:t>
      </w:r>
      <w:r>
        <w:rPr>
          <w:rStyle w:val="18"/>
          <w:rFonts w:hint="eastAsia" w:ascii="黑体" w:eastAsia="黑体"/>
          <w:b w:val="0"/>
        </w:rPr>
        <w:t>入支出决算总体情况说明</w:t>
      </w:r>
      <w:bookmarkEnd w:id="19"/>
      <w:bookmarkEnd w:id="20"/>
    </w:p>
    <w:p>
      <w:pPr>
        <w:spacing w:line="600" w:lineRule="exact"/>
        <w:ind w:firstLine="640" w:firstLineChars="200"/>
        <w:rPr>
          <w:rFonts w:ascii="仿宋" w:eastAsia="仿宋"/>
          <w:sz w:val="32"/>
          <w:szCs w:val="32"/>
        </w:rPr>
      </w:pPr>
      <w:r>
        <w:rPr>
          <w:rFonts w:hint="eastAsia" w:ascii="仿宋" w:eastAsia="仿宋"/>
          <w:sz w:val="32"/>
          <w:szCs w:val="32"/>
        </w:rPr>
        <w:t>2021年度收、支总计651.80万元。与2020年相比，收、支总计各增加195.12万元，增加42.73%。主要变动原因是2021年年初结转结余增加507.82万元，致使本年度收入总额上升。同时，由于2021年度新增4名人员，人员经费支出较2020年上升；公用经费上升幅度较大。</w:t>
      </w:r>
    </w:p>
    <w:p>
      <w:pPr>
        <w:pStyle w:val="2"/>
        <w:spacing w:beforeLines="0"/>
        <w:rPr>
          <w:rFonts w:hint="eastAsia"/>
        </w:rPr>
      </w:pPr>
      <w:r>
        <w:rPr>
          <w:sz w:val="32"/>
          <w:szCs w:val="32"/>
        </w:rPr>
        <w:drawing>
          <wp:inline distT="0" distB="0" distL="0" distR="0">
            <wp:extent cx="5116830" cy="2795270"/>
            <wp:effectExtent l="19050" t="0" r="26651" b="5034"/>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spacing w:line="600" w:lineRule="exact"/>
        <w:ind w:firstLine="640" w:firstLineChars="200"/>
        <w:jc w:val="center"/>
        <w:rPr>
          <w:rFonts w:ascii="仿宋" w:eastAsia="仿宋"/>
          <w:sz w:val="32"/>
          <w:szCs w:val="32"/>
        </w:rPr>
      </w:pPr>
      <w:r>
        <w:rPr>
          <w:rFonts w:hint="eastAsia" w:ascii="仿宋" w:eastAsia="仿宋"/>
          <w:sz w:val="32"/>
          <w:szCs w:val="32"/>
        </w:rPr>
        <w:t>（图</w:t>
      </w:r>
      <w:r>
        <w:rPr>
          <w:rFonts w:ascii="仿宋" w:eastAsia="仿宋"/>
          <w:sz w:val="32"/>
          <w:szCs w:val="32"/>
        </w:rPr>
        <w:t>1</w:t>
      </w:r>
      <w:r>
        <w:rPr>
          <w:rFonts w:hint="eastAsia" w:ascii="仿宋" w:eastAsia="仿宋"/>
          <w:sz w:val="32"/>
          <w:szCs w:val="32"/>
        </w:rPr>
        <w:t>：收、支决算总计变动情况图）</w:t>
      </w:r>
    </w:p>
    <w:p>
      <w:pPr>
        <w:pStyle w:val="23"/>
        <w:numPr>
          <w:ilvl w:val="0"/>
          <w:numId w:val="1"/>
        </w:numPr>
        <w:spacing w:line="600" w:lineRule="exact"/>
        <w:ind w:firstLineChars="0"/>
        <w:outlineLvl w:val="1"/>
        <w:rPr>
          <w:rStyle w:val="18"/>
          <w:rFonts w:ascii="黑体" w:eastAsia="黑体"/>
          <w:b w:val="0"/>
        </w:rPr>
      </w:pPr>
      <w:bookmarkStart w:id="21" w:name="_Toc15396604"/>
      <w:bookmarkStart w:id="22" w:name="_Toc15377206"/>
      <w:r>
        <w:rPr>
          <w:rFonts w:hint="eastAsia" w:ascii="黑体" w:eastAsia="黑体"/>
          <w:sz w:val="32"/>
          <w:szCs w:val="32"/>
        </w:rPr>
        <w:t>收</w:t>
      </w:r>
      <w:r>
        <w:rPr>
          <w:rStyle w:val="18"/>
          <w:rFonts w:hint="eastAsia" w:ascii="黑体" w:eastAsia="黑体"/>
          <w:b w:val="0"/>
        </w:rPr>
        <w:t>入决算情况说明</w:t>
      </w:r>
      <w:bookmarkEnd w:id="21"/>
      <w:bookmarkEnd w:id="22"/>
    </w:p>
    <w:p>
      <w:pPr>
        <w:spacing w:line="600" w:lineRule="exact"/>
        <w:ind w:firstLine="640" w:firstLineChars="200"/>
        <w:outlineLvl w:val="1"/>
        <w:rPr>
          <w:rFonts w:ascii="仿宋" w:eastAsia="仿宋"/>
          <w:sz w:val="32"/>
          <w:szCs w:val="32"/>
        </w:rPr>
      </w:pPr>
      <w:r>
        <w:rPr>
          <w:rFonts w:ascii="仿宋" w:eastAsia="仿宋"/>
          <w:sz w:val="32"/>
          <w:szCs w:val="32"/>
        </w:rPr>
        <w:t>20</w:t>
      </w:r>
      <w:r>
        <w:rPr>
          <w:rFonts w:hint="eastAsia" w:ascii="仿宋" w:eastAsia="仿宋"/>
          <w:sz w:val="32"/>
          <w:szCs w:val="32"/>
        </w:rPr>
        <w:t>21年本年收入合计3124.95万元，其中：一般公共预算财政拨款收入651.80万元，占100.00</w:t>
      </w:r>
      <w:r>
        <w:rPr>
          <w:rFonts w:ascii="仿宋" w:eastAsia="仿宋"/>
          <w:sz w:val="32"/>
          <w:szCs w:val="32"/>
        </w:rPr>
        <w:t>%</w:t>
      </w:r>
      <w:r>
        <w:rPr>
          <w:rFonts w:hint="eastAsia" w:ascii="仿宋" w:eastAsia="仿宋"/>
          <w:sz w:val="32"/>
          <w:szCs w:val="32"/>
        </w:rPr>
        <w:t>；政府性基金预算财政拨款收入0.00万元，占0.00</w:t>
      </w:r>
      <w:r>
        <w:rPr>
          <w:rFonts w:ascii="仿宋" w:eastAsia="仿宋"/>
          <w:sz w:val="32"/>
          <w:szCs w:val="32"/>
        </w:rPr>
        <w:t>%</w:t>
      </w:r>
      <w:r>
        <w:rPr>
          <w:rFonts w:hint="eastAsia" w:ascii="仿宋" w:eastAsia="仿宋"/>
          <w:sz w:val="32"/>
          <w:szCs w:val="32"/>
        </w:rPr>
        <w:t>；国有资本经营预算财政拨款收入0.00万元，占0.00</w:t>
      </w:r>
      <w:r>
        <w:rPr>
          <w:rFonts w:ascii="仿宋" w:eastAsia="仿宋"/>
          <w:sz w:val="32"/>
          <w:szCs w:val="32"/>
        </w:rPr>
        <w:t>%</w:t>
      </w:r>
      <w:r>
        <w:rPr>
          <w:rFonts w:hint="eastAsia" w:ascii="仿宋" w:eastAsia="仿宋"/>
          <w:sz w:val="32"/>
          <w:szCs w:val="32"/>
        </w:rPr>
        <w:t>；上级补助收入0.00万元，占0.00</w:t>
      </w:r>
      <w:r>
        <w:rPr>
          <w:rFonts w:ascii="仿宋" w:eastAsia="仿宋"/>
          <w:sz w:val="32"/>
          <w:szCs w:val="32"/>
        </w:rPr>
        <w:t>%</w:t>
      </w:r>
      <w:r>
        <w:rPr>
          <w:rFonts w:hint="eastAsia" w:ascii="仿宋" w:eastAsia="仿宋"/>
          <w:sz w:val="32"/>
          <w:szCs w:val="32"/>
        </w:rPr>
        <w:t>；事业收入0.00万元，占0.00</w:t>
      </w:r>
      <w:r>
        <w:rPr>
          <w:rFonts w:ascii="仿宋" w:eastAsia="仿宋"/>
          <w:sz w:val="32"/>
          <w:szCs w:val="32"/>
        </w:rPr>
        <w:t>%</w:t>
      </w:r>
      <w:r>
        <w:rPr>
          <w:rFonts w:hint="eastAsia" w:ascii="仿宋" w:eastAsia="仿宋"/>
          <w:sz w:val="32"/>
          <w:szCs w:val="32"/>
        </w:rPr>
        <w:t>；经营收入0.00万元，占0.00</w:t>
      </w:r>
      <w:r>
        <w:rPr>
          <w:rFonts w:ascii="仿宋" w:eastAsia="仿宋"/>
          <w:sz w:val="32"/>
          <w:szCs w:val="32"/>
        </w:rPr>
        <w:t>%</w:t>
      </w:r>
      <w:r>
        <w:rPr>
          <w:rFonts w:hint="eastAsia" w:ascii="仿宋" w:eastAsia="仿宋"/>
          <w:sz w:val="32"/>
          <w:szCs w:val="32"/>
        </w:rPr>
        <w:t>；附属单位上缴收入0.00万元，占0.00</w:t>
      </w:r>
      <w:r>
        <w:rPr>
          <w:rFonts w:ascii="仿宋" w:eastAsia="仿宋"/>
          <w:sz w:val="32"/>
          <w:szCs w:val="32"/>
        </w:rPr>
        <w:t>%</w:t>
      </w:r>
      <w:r>
        <w:rPr>
          <w:rFonts w:hint="eastAsia" w:ascii="仿宋" w:eastAsia="仿宋"/>
          <w:sz w:val="32"/>
          <w:szCs w:val="32"/>
        </w:rPr>
        <w:t>；其他收入0.00万元，占0.00</w:t>
      </w:r>
      <w:r>
        <w:rPr>
          <w:rFonts w:ascii="仿宋" w:eastAsia="仿宋"/>
          <w:sz w:val="32"/>
          <w:szCs w:val="32"/>
        </w:rPr>
        <w:t>%</w:t>
      </w:r>
      <w:r>
        <w:rPr>
          <w:rFonts w:hint="eastAsia" w:ascii="仿宋" w:eastAsia="仿宋"/>
          <w:sz w:val="32"/>
          <w:szCs w:val="32"/>
        </w:rPr>
        <w:t>。</w:t>
      </w:r>
    </w:p>
    <w:p>
      <w:pPr>
        <w:pStyle w:val="2"/>
        <w:spacing w:beforeLines="0"/>
      </w:pPr>
      <w:r>
        <w:rPr>
          <w:rFonts w:ascii="仿宋" w:eastAsia="仿宋"/>
          <w:sz w:val="32"/>
          <w:szCs w:val="32"/>
        </w:rPr>
        <w:drawing>
          <wp:inline distT="0" distB="0" distL="0" distR="0">
            <wp:extent cx="4719955" cy="1655445"/>
            <wp:effectExtent l="19050" t="0" r="23232" b="1394"/>
            <wp:docPr id="2"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pacing w:line="600" w:lineRule="exact"/>
        <w:ind w:firstLine="640" w:firstLineChars="200"/>
        <w:jc w:val="center"/>
        <w:rPr>
          <w:rFonts w:ascii="仿宋" w:eastAsia="仿宋"/>
          <w:sz w:val="32"/>
          <w:szCs w:val="32"/>
        </w:rPr>
      </w:pPr>
      <w:r>
        <w:rPr>
          <w:rFonts w:hint="eastAsia" w:ascii="仿宋" w:eastAsia="仿宋"/>
          <w:sz w:val="32"/>
          <w:szCs w:val="32"/>
        </w:rPr>
        <w:t>（图2：收入决算结构图）</w:t>
      </w:r>
    </w:p>
    <w:p>
      <w:pPr>
        <w:pStyle w:val="23"/>
        <w:numPr>
          <w:ilvl w:val="0"/>
          <w:numId w:val="1"/>
        </w:numPr>
        <w:spacing w:line="600" w:lineRule="exact"/>
        <w:ind w:firstLineChars="0"/>
        <w:outlineLvl w:val="1"/>
        <w:rPr>
          <w:rStyle w:val="18"/>
          <w:rFonts w:ascii="黑体" w:eastAsia="黑体"/>
          <w:b w:val="0"/>
        </w:rPr>
      </w:pPr>
      <w:bookmarkStart w:id="23" w:name="_Toc15396605"/>
      <w:bookmarkStart w:id="24" w:name="_Toc15377207"/>
      <w:r>
        <w:rPr>
          <w:rFonts w:hint="eastAsia" w:ascii="黑体" w:eastAsia="黑体"/>
          <w:sz w:val="32"/>
          <w:szCs w:val="32"/>
        </w:rPr>
        <w:t>支</w:t>
      </w:r>
      <w:r>
        <w:rPr>
          <w:rStyle w:val="18"/>
          <w:rFonts w:hint="eastAsia" w:ascii="黑体" w:eastAsia="黑体"/>
          <w:b w:val="0"/>
        </w:rPr>
        <w:t>出决算情况说明</w:t>
      </w:r>
      <w:bookmarkEnd w:id="23"/>
      <w:bookmarkEnd w:id="24"/>
    </w:p>
    <w:p>
      <w:pPr>
        <w:spacing w:line="600" w:lineRule="exact"/>
        <w:ind w:firstLine="640" w:firstLineChars="200"/>
        <w:outlineLvl w:val="1"/>
        <w:rPr>
          <w:rFonts w:ascii="仿宋" w:eastAsia="仿宋"/>
          <w:sz w:val="32"/>
          <w:szCs w:val="32"/>
        </w:rPr>
      </w:pPr>
      <w:r>
        <w:rPr>
          <w:rFonts w:ascii="仿宋" w:eastAsia="仿宋"/>
          <w:sz w:val="32"/>
          <w:szCs w:val="32"/>
        </w:rPr>
        <w:t>20</w:t>
      </w:r>
      <w:r>
        <w:rPr>
          <w:rFonts w:hint="eastAsia" w:ascii="仿宋" w:eastAsia="仿宋"/>
          <w:sz w:val="32"/>
          <w:szCs w:val="32"/>
        </w:rPr>
        <w:t>21年本年支出合计651.80万元，其中：基本支出651.80万元，占100</w:t>
      </w:r>
      <w:r>
        <w:rPr>
          <w:rFonts w:ascii="仿宋" w:eastAsia="仿宋"/>
          <w:sz w:val="32"/>
          <w:szCs w:val="32"/>
        </w:rPr>
        <w:t>%</w:t>
      </w:r>
      <w:r>
        <w:rPr>
          <w:rFonts w:hint="eastAsia" w:ascii="仿宋" w:eastAsia="仿宋"/>
          <w:sz w:val="32"/>
          <w:szCs w:val="32"/>
        </w:rPr>
        <w:t>；项目支出0.00万元，占0.00</w:t>
      </w:r>
      <w:r>
        <w:rPr>
          <w:rFonts w:ascii="仿宋" w:eastAsia="仿宋"/>
          <w:sz w:val="32"/>
          <w:szCs w:val="32"/>
        </w:rPr>
        <w:t>%</w:t>
      </w:r>
      <w:r>
        <w:rPr>
          <w:rFonts w:hint="eastAsia" w:ascii="仿宋" w:eastAsia="仿宋"/>
          <w:sz w:val="32"/>
          <w:szCs w:val="32"/>
        </w:rPr>
        <w:t>；上缴上级支出0.00万元，占0.00</w:t>
      </w:r>
      <w:r>
        <w:rPr>
          <w:rFonts w:ascii="仿宋" w:eastAsia="仿宋"/>
          <w:sz w:val="32"/>
          <w:szCs w:val="32"/>
        </w:rPr>
        <w:t>%</w:t>
      </w:r>
      <w:r>
        <w:rPr>
          <w:rFonts w:hint="eastAsia" w:ascii="仿宋" w:eastAsia="仿宋"/>
          <w:sz w:val="32"/>
          <w:szCs w:val="32"/>
        </w:rPr>
        <w:t>；经营支出0.00万元，占0</w:t>
      </w:r>
      <w:r>
        <w:rPr>
          <w:rFonts w:ascii="仿宋" w:eastAsia="仿宋"/>
          <w:sz w:val="32"/>
          <w:szCs w:val="32"/>
        </w:rPr>
        <w:t>%</w:t>
      </w:r>
      <w:r>
        <w:rPr>
          <w:rFonts w:hint="eastAsia" w:ascii="仿宋" w:eastAsia="仿宋"/>
          <w:sz w:val="32"/>
          <w:szCs w:val="32"/>
        </w:rPr>
        <w:t>；对附属单位补助支出0.00万元，占0.00</w:t>
      </w:r>
      <w:r>
        <w:rPr>
          <w:rFonts w:ascii="仿宋" w:eastAsia="仿宋"/>
          <w:sz w:val="32"/>
          <w:szCs w:val="32"/>
        </w:rPr>
        <w:t>%</w:t>
      </w:r>
      <w:r>
        <w:rPr>
          <w:rFonts w:hint="eastAsia" w:ascii="仿宋" w:eastAsia="仿宋"/>
          <w:sz w:val="32"/>
          <w:szCs w:val="32"/>
        </w:rPr>
        <w:t>。</w:t>
      </w:r>
    </w:p>
    <w:p>
      <w:pPr>
        <w:pStyle w:val="2"/>
        <w:spacing w:beforeLines="0"/>
      </w:pPr>
      <w:r>
        <w:drawing>
          <wp:anchor distT="0" distB="0" distL="114300" distR="114300" simplePos="0" relativeHeight="251659264" behindDoc="1" locked="0" layoutInCell="1" allowOverlap="1">
            <wp:simplePos x="0" y="0"/>
            <wp:positionH relativeFrom="column">
              <wp:posOffset>156210</wp:posOffset>
            </wp:positionH>
            <wp:positionV relativeFrom="paragraph">
              <wp:posOffset>60960</wp:posOffset>
            </wp:positionV>
            <wp:extent cx="5011420" cy="1836420"/>
            <wp:effectExtent l="0" t="0" r="0" b="0"/>
            <wp:wrapNone/>
            <wp:docPr id="3"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pPr>
        <w:pStyle w:val="2"/>
        <w:spacing w:beforeLines="0"/>
        <w:jc w:val="center"/>
      </w:pPr>
    </w:p>
    <w:p>
      <w:pPr>
        <w:pStyle w:val="2"/>
        <w:spacing w:beforeLines="0"/>
      </w:pPr>
    </w:p>
    <w:p>
      <w:pPr>
        <w:tabs>
          <w:tab w:val="left" w:pos="6993"/>
          <w:tab w:val="left" w:pos="7045"/>
        </w:tabs>
        <w:spacing w:line="600" w:lineRule="exact"/>
        <w:ind w:firstLine="640" w:firstLineChars="200"/>
        <w:rPr>
          <w:rFonts w:ascii="仿宋_GB2312" w:eastAsia="仿宋_GB2312"/>
          <w:sz w:val="32"/>
          <w:szCs w:val="32"/>
        </w:rPr>
      </w:pPr>
      <w:r>
        <w:rPr>
          <w:rFonts w:ascii="仿宋_GB2312" w:eastAsia="仿宋_GB2312"/>
          <w:sz w:val="32"/>
          <w:szCs w:val="32"/>
        </w:rPr>
        <w:tab/>
      </w:r>
    </w:p>
    <w:p>
      <w:pPr>
        <w:spacing w:line="600" w:lineRule="exact"/>
        <w:ind w:firstLine="640" w:firstLineChars="200"/>
        <w:jc w:val="center"/>
        <w:rPr>
          <w:rFonts w:hint="eastAsia" w:ascii="仿宋" w:eastAsia="仿宋"/>
          <w:sz w:val="32"/>
          <w:szCs w:val="32"/>
        </w:rPr>
      </w:pPr>
    </w:p>
    <w:p>
      <w:pPr>
        <w:spacing w:line="600" w:lineRule="exact"/>
        <w:ind w:firstLine="640" w:firstLineChars="200"/>
        <w:jc w:val="center"/>
        <w:rPr>
          <w:rFonts w:ascii="仿宋" w:eastAsia="仿宋"/>
          <w:sz w:val="32"/>
          <w:szCs w:val="32"/>
        </w:rPr>
      </w:pPr>
      <w:r>
        <w:rPr>
          <w:rFonts w:hint="eastAsia" w:ascii="仿宋" w:eastAsia="仿宋"/>
          <w:sz w:val="32"/>
          <w:szCs w:val="32"/>
        </w:rPr>
        <w:t>（图3：支出决算结构图）</w:t>
      </w:r>
    </w:p>
    <w:p>
      <w:pPr>
        <w:spacing w:line="600" w:lineRule="exact"/>
        <w:ind w:firstLine="640" w:firstLineChars="200"/>
        <w:outlineLvl w:val="1"/>
        <w:rPr>
          <w:rStyle w:val="18"/>
          <w:rFonts w:ascii="黑体" w:eastAsia="黑体"/>
          <w:b w:val="0"/>
        </w:rPr>
      </w:pPr>
      <w:bookmarkStart w:id="25" w:name="_Toc15377208"/>
      <w:bookmarkStart w:id="26" w:name="_Toc15396606"/>
      <w:r>
        <w:rPr>
          <w:rFonts w:hint="eastAsia" w:ascii="黑体" w:eastAsia="黑体"/>
          <w:sz w:val="32"/>
          <w:szCs w:val="32"/>
        </w:rPr>
        <w:t>四、财</w:t>
      </w:r>
      <w:r>
        <w:rPr>
          <w:rStyle w:val="18"/>
          <w:rFonts w:hint="eastAsia" w:ascii="黑体" w:eastAsia="黑体"/>
          <w:b w:val="0"/>
        </w:rPr>
        <w:t>政拨款收入支出决算总体情况说明</w:t>
      </w:r>
      <w:bookmarkEnd w:id="25"/>
      <w:bookmarkEnd w:id="26"/>
    </w:p>
    <w:p>
      <w:pPr>
        <w:spacing w:line="600" w:lineRule="exact"/>
        <w:ind w:firstLine="640"/>
        <w:rPr>
          <w:rFonts w:ascii="仿宋" w:eastAsia="仿宋"/>
          <w:sz w:val="32"/>
          <w:szCs w:val="32"/>
        </w:rPr>
      </w:pPr>
      <w:r>
        <w:rPr>
          <w:rFonts w:ascii="仿宋" w:eastAsia="仿宋"/>
          <w:sz w:val="32"/>
          <w:szCs w:val="32"/>
        </w:rPr>
        <w:t>20</w:t>
      </w:r>
      <w:r>
        <w:rPr>
          <w:rFonts w:hint="eastAsia" w:ascii="仿宋" w:eastAsia="仿宋"/>
          <w:sz w:val="32"/>
          <w:szCs w:val="32"/>
        </w:rPr>
        <w:t>21年财政拨款收、支总计651.80万元。与</w:t>
      </w:r>
      <w:r>
        <w:rPr>
          <w:rFonts w:ascii="仿宋" w:eastAsia="仿宋"/>
          <w:sz w:val="32"/>
          <w:szCs w:val="32"/>
        </w:rPr>
        <w:t>20</w:t>
      </w:r>
      <w:r>
        <w:rPr>
          <w:rFonts w:hint="eastAsia" w:ascii="仿宋" w:eastAsia="仿宋"/>
          <w:sz w:val="32"/>
          <w:szCs w:val="32"/>
        </w:rPr>
        <w:t>20年相比，财政拨款收、支总计各增加195.12万元，增长42.73</w:t>
      </w:r>
      <w:r>
        <w:rPr>
          <w:rFonts w:ascii="仿宋" w:eastAsia="仿宋"/>
          <w:sz w:val="32"/>
          <w:szCs w:val="32"/>
        </w:rPr>
        <w:t>%</w:t>
      </w:r>
      <w:r>
        <w:rPr>
          <w:rFonts w:hint="eastAsia" w:ascii="仿宋" w:eastAsia="仿宋"/>
          <w:sz w:val="32"/>
          <w:szCs w:val="32"/>
        </w:rPr>
        <w:t>。主要变动原因是2021年初结转余额较2020年增加507.82万元，新增4名人员，致使人员经费上升，同时，公共经费由有较大幅度增长。</w:t>
      </w:r>
    </w:p>
    <w:p>
      <w:pPr>
        <w:spacing w:line="600" w:lineRule="exact"/>
        <w:rPr>
          <w:rFonts w:ascii="仿宋" w:eastAsia="仿宋"/>
          <w:sz w:val="32"/>
          <w:szCs w:val="32"/>
        </w:rPr>
      </w:pPr>
      <w:r>
        <w:rPr>
          <w:rFonts w:hint="eastAsia" w:ascii="仿宋" w:eastAsia="仿宋"/>
          <w:sz w:val="32"/>
          <w:szCs w:val="32"/>
        </w:rPr>
        <w:drawing>
          <wp:anchor distT="0" distB="0" distL="114300" distR="114300" simplePos="0" relativeHeight="251659264" behindDoc="1" locked="0" layoutInCell="1" allowOverlap="1">
            <wp:simplePos x="0" y="0"/>
            <wp:positionH relativeFrom="column">
              <wp:posOffset>141605</wp:posOffset>
            </wp:positionH>
            <wp:positionV relativeFrom="paragraph">
              <wp:posOffset>73025</wp:posOffset>
            </wp:positionV>
            <wp:extent cx="4982210" cy="1940560"/>
            <wp:effectExtent l="19050" t="0" r="27878" b="2787"/>
            <wp:wrapNone/>
            <wp:docPr id="4"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pStyle w:val="2"/>
        <w:spacing w:beforeLines="0"/>
      </w:pPr>
    </w:p>
    <w:p>
      <w:pPr>
        <w:pStyle w:val="2"/>
        <w:spacing w:beforeLines="0"/>
      </w:pPr>
    </w:p>
    <w:p>
      <w:pPr>
        <w:pStyle w:val="2"/>
        <w:spacing w:beforeLines="0"/>
      </w:pPr>
    </w:p>
    <w:p>
      <w:pPr>
        <w:spacing w:line="600" w:lineRule="exact"/>
        <w:ind w:firstLine="640" w:firstLineChars="200"/>
        <w:rPr>
          <w:rFonts w:ascii="仿宋" w:eastAsia="仿宋"/>
          <w:sz w:val="32"/>
          <w:szCs w:val="32"/>
        </w:rPr>
      </w:pPr>
    </w:p>
    <w:p>
      <w:pPr>
        <w:spacing w:line="600" w:lineRule="exact"/>
        <w:ind w:firstLine="640" w:firstLineChars="200"/>
        <w:rPr>
          <w:rFonts w:ascii="仿宋" w:eastAsia="仿宋"/>
          <w:sz w:val="32"/>
          <w:szCs w:val="32"/>
        </w:rPr>
      </w:pPr>
      <w:r>
        <w:rPr>
          <w:rFonts w:hint="eastAsia" w:ascii="仿宋" w:eastAsia="仿宋"/>
          <w:sz w:val="32"/>
          <w:szCs w:val="32"/>
        </w:rPr>
        <w:t>（图4：财政拨款收、支决算总计变动情况）</w:t>
      </w:r>
    </w:p>
    <w:p>
      <w:pPr>
        <w:spacing w:line="600" w:lineRule="exact"/>
        <w:ind w:firstLine="640" w:firstLineChars="200"/>
        <w:outlineLvl w:val="1"/>
        <w:rPr>
          <w:rStyle w:val="18"/>
          <w:rFonts w:ascii="黑体" w:eastAsia="黑体"/>
          <w:b w:val="0"/>
        </w:rPr>
      </w:pPr>
      <w:bookmarkStart w:id="27" w:name="_Toc15396607"/>
      <w:bookmarkStart w:id="28" w:name="_Toc15377209"/>
      <w:r>
        <w:rPr>
          <w:rFonts w:hint="eastAsia" w:ascii="黑体" w:eastAsia="黑体"/>
          <w:sz w:val="32"/>
          <w:szCs w:val="32"/>
        </w:rPr>
        <w:t>五、</w:t>
      </w:r>
      <w:r>
        <w:rPr>
          <w:rFonts w:hint="eastAsia" w:ascii="黑体" w:eastAsia="黑体"/>
          <w:b/>
          <w:sz w:val="32"/>
          <w:szCs w:val="32"/>
        </w:rPr>
        <w:t>一</w:t>
      </w:r>
      <w:r>
        <w:rPr>
          <w:rStyle w:val="18"/>
          <w:rFonts w:hint="eastAsia" w:ascii="黑体" w:eastAsia="黑体"/>
          <w:b w:val="0"/>
        </w:rPr>
        <w:t>般公共预算财政拨款支出决算情况说明</w:t>
      </w:r>
      <w:bookmarkEnd w:id="27"/>
      <w:bookmarkEnd w:id="28"/>
    </w:p>
    <w:p>
      <w:pPr>
        <w:spacing w:line="600" w:lineRule="exact"/>
        <w:ind w:firstLine="643" w:firstLineChars="200"/>
        <w:outlineLvl w:val="2"/>
        <w:rPr>
          <w:rFonts w:ascii="仿宋" w:eastAsia="仿宋"/>
          <w:b/>
          <w:sz w:val="32"/>
          <w:szCs w:val="32"/>
        </w:rPr>
      </w:pPr>
      <w:bookmarkStart w:id="29" w:name="_Toc15377210"/>
      <w:r>
        <w:rPr>
          <w:rFonts w:hint="eastAsia" w:ascii="仿宋" w:eastAsia="仿宋"/>
          <w:b/>
          <w:sz w:val="32"/>
          <w:szCs w:val="32"/>
        </w:rPr>
        <w:t>（一）一般公共预算财政拨款支出决算总体情况</w:t>
      </w:r>
      <w:bookmarkEnd w:id="29"/>
    </w:p>
    <w:p>
      <w:pPr>
        <w:spacing w:line="600" w:lineRule="exact"/>
        <w:ind w:firstLine="640"/>
        <w:rPr>
          <w:rFonts w:ascii="仿宋" w:eastAsia="仿宋"/>
          <w:sz w:val="32"/>
          <w:szCs w:val="32"/>
        </w:rPr>
      </w:pPr>
      <w:r>
        <w:rPr>
          <w:rFonts w:ascii="仿宋" w:eastAsia="仿宋"/>
          <w:sz w:val="32"/>
          <w:szCs w:val="32"/>
        </w:rPr>
        <w:drawing>
          <wp:anchor distT="0" distB="0" distL="114300" distR="114300" simplePos="0" relativeHeight="251659264" behindDoc="1" locked="0" layoutInCell="1" allowOverlap="1">
            <wp:simplePos x="0" y="0"/>
            <wp:positionH relativeFrom="column">
              <wp:posOffset>367665</wp:posOffset>
            </wp:positionH>
            <wp:positionV relativeFrom="paragraph">
              <wp:posOffset>1885950</wp:posOffset>
            </wp:positionV>
            <wp:extent cx="4756150" cy="1561465"/>
            <wp:effectExtent l="19050" t="0" r="25555" b="930"/>
            <wp:wrapNone/>
            <wp:docPr id="5"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ascii="仿宋" w:eastAsia="仿宋"/>
          <w:sz w:val="32"/>
          <w:szCs w:val="32"/>
        </w:rPr>
        <w:t>20</w:t>
      </w:r>
      <w:r>
        <w:rPr>
          <w:rFonts w:hint="eastAsia" w:ascii="仿宋" w:eastAsia="仿宋"/>
          <w:sz w:val="32"/>
          <w:szCs w:val="32"/>
        </w:rPr>
        <w:t>21年一般公共预算财政拨款支出651.80万元，占本年支出合计的100</w:t>
      </w:r>
      <w:r>
        <w:rPr>
          <w:rFonts w:ascii="仿宋" w:eastAsia="仿宋"/>
          <w:sz w:val="32"/>
          <w:szCs w:val="32"/>
        </w:rPr>
        <w:t>%</w:t>
      </w:r>
      <w:r>
        <w:rPr>
          <w:rFonts w:hint="eastAsia" w:ascii="仿宋" w:eastAsia="仿宋"/>
          <w:sz w:val="32"/>
          <w:szCs w:val="32"/>
        </w:rPr>
        <w:t>。与</w:t>
      </w:r>
      <w:r>
        <w:rPr>
          <w:rFonts w:ascii="仿宋" w:eastAsia="仿宋"/>
          <w:sz w:val="32"/>
          <w:szCs w:val="32"/>
        </w:rPr>
        <w:t>20</w:t>
      </w:r>
      <w:r>
        <w:rPr>
          <w:rFonts w:hint="eastAsia" w:ascii="仿宋" w:eastAsia="仿宋"/>
          <w:sz w:val="32"/>
          <w:szCs w:val="32"/>
        </w:rPr>
        <w:t>20年相比，一般公共预算财政拨款支出增加195.32万元，增长42.73</w:t>
      </w:r>
      <w:r>
        <w:rPr>
          <w:rFonts w:ascii="仿宋" w:eastAsia="仿宋"/>
          <w:sz w:val="32"/>
          <w:szCs w:val="32"/>
        </w:rPr>
        <w:t>%</w:t>
      </w:r>
      <w:r>
        <w:rPr>
          <w:rFonts w:hint="eastAsia" w:ascii="仿宋" w:eastAsia="仿宋"/>
          <w:sz w:val="32"/>
          <w:szCs w:val="32"/>
        </w:rPr>
        <w:t>。主要变动原因是新增4名人员，致使人员经费上升；同时，公共经费由有较大幅度增长。</w:t>
      </w:r>
    </w:p>
    <w:p>
      <w:pPr>
        <w:spacing w:line="600" w:lineRule="exact"/>
        <w:ind w:firstLine="640" w:firstLineChars="200"/>
        <w:rPr>
          <w:rFonts w:ascii="仿宋" w:eastAsia="仿宋"/>
          <w:sz w:val="32"/>
          <w:szCs w:val="32"/>
        </w:rPr>
      </w:pPr>
    </w:p>
    <w:p>
      <w:pPr>
        <w:spacing w:line="600" w:lineRule="exact"/>
        <w:ind w:firstLine="640" w:firstLineChars="200"/>
        <w:rPr>
          <w:rFonts w:ascii="仿宋" w:eastAsia="仿宋"/>
          <w:sz w:val="32"/>
          <w:szCs w:val="32"/>
        </w:rPr>
      </w:pPr>
    </w:p>
    <w:p>
      <w:pPr>
        <w:spacing w:line="600" w:lineRule="exact"/>
        <w:ind w:firstLine="640" w:firstLineChars="200"/>
        <w:rPr>
          <w:rFonts w:ascii="仿宋" w:eastAsia="仿宋"/>
          <w:sz w:val="32"/>
          <w:szCs w:val="32"/>
        </w:rPr>
      </w:pPr>
    </w:p>
    <w:p>
      <w:pPr>
        <w:spacing w:line="600" w:lineRule="exact"/>
        <w:rPr>
          <w:rFonts w:ascii="仿宋" w:eastAsia="仿宋"/>
          <w:sz w:val="32"/>
          <w:szCs w:val="32"/>
        </w:rPr>
      </w:pPr>
    </w:p>
    <w:p>
      <w:pPr>
        <w:spacing w:line="600" w:lineRule="exact"/>
        <w:ind w:firstLine="640" w:firstLineChars="200"/>
        <w:rPr>
          <w:rFonts w:ascii="仿宋" w:eastAsia="仿宋"/>
          <w:sz w:val="32"/>
          <w:szCs w:val="32"/>
        </w:rPr>
      </w:pPr>
      <w:r>
        <w:rPr>
          <w:rFonts w:hint="eastAsia" w:ascii="仿宋" w:eastAsia="仿宋"/>
          <w:sz w:val="32"/>
          <w:szCs w:val="32"/>
        </w:rPr>
        <w:t>（图5：一般公共预算财政拨款支出决算变动情况）</w:t>
      </w:r>
    </w:p>
    <w:p>
      <w:pPr>
        <w:spacing w:line="600" w:lineRule="exact"/>
        <w:ind w:firstLine="643" w:firstLineChars="200"/>
        <w:outlineLvl w:val="2"/>
        <w:rPr>
          <w:rFonts w:ascii="仿宋" w:eastAsia="仿宋"/>
          <w:b/>
          <w:sz w:val="32"/>
          <w:szCs w:val="32"/>
        </w:rPr>
      </w:pPr>
      <w:bookmarkStart w:id="30" w:name="_Toc15377211"/>
      <w:r>
        <w:rPr>
          <w:rFonts w:hint="eastAsia" w:ascii="仿宋" w:eastAsia="仿宋"/>
          <w:b/>
          <w:sz w:val="32"/>
          <w:szCs w:val="32"/>
        </w:rPr>
        <w:t>（二）一般公共预算财政拨款支出决算结构情况</w:t>
      </w:r>
      <w:bookmarkEnd w:id="30"/>
    </w:p>
    <w:p>
      <w:pPr>
        <w:spacing w:line="600" w:lineRule="exact"/>
        <w:ind w:firstLine="640"/>
        <w:rPr>
          <w:rFonts w:ascii="仿宋" w:eastAsia="仿宋"/>
          <w:b/>
          <w:sz w:val="32"/>
          <w:szCs w:val="32"/>
        </w:rPr>
      </w:pPr>
      <w:r>
        <w:rPr>
          <w:rFonts w:ascii="仿宋" w:eastAsia="仿宋"/>
          <w:sz w:val="32"/>
          <w:szCs w:val="32"/>
        </w:rPr>
        <w:t>20</w:t>
      </w:r>
      <w:r>
        <w:rPr>
          <w:rFonts w:hint="eastAsia" w:ascii="仿宋" w:eastAsia="仿宋"/>
          <w:sz w:val="32"/>
          <w:szCs w:val="32"/>
        </w:rPr>
        <w:t>21年一般公共预算财政拨款支出658.10万元，主要用于以下方面</w:t>
      </w:r>
      <w:r>
        <w:rPr>
          <w:rFonts w:ascii="仿宋" w:eastAsia="仿宋"/>
          <w:sz w:val="32"/>
          <w:szCs w:val="32"/>
        </w:rPr>
        <w:t>:</w:t>
      </w:r>
      <w:r>
        <w:rPr>
          <w:rFonts w:hint="eastAsia" w:ascii="仿宋" w:eastAsia="仿宋"/>
          <w:b/>
          <w:sz w:val="32"/>
          <w:szCs w:val="32"/>
        </w:rPr>
        <w:t>一般公共服务（类）</w:t>
      </w:r>
      <w:r>
        <w:rPr>
          <w:rFonts w:hint="eastAsia" w:ascii="仿宋" w:eastAsia="仿宋"/>
          <w:sz w:val="32"/>
          <w:szCs w:val="32"/>
        </w:rPr>
        <w:t>支出524.20万元，占79.65</w:t>
      </w:r>
      <w:r>
        <w:rPr>
          <w:rFonts w:ascii="仿宋" w:eastAsia="仿宋"/>
          <w:sz w:val="32"/>
          <w:szCs w:val="32"/>
        </w:rPr>
        <w:t>%</w:t>
      </w:r>
      <w:r>
        <w:rPr>
          <w:rFonts w:hint="eastAsia" w:ascii="仿宋" w:eastAsia="仿宋"/>
          <w:sz w:val="32"/>
          <w:szCs w:val="32"/>
        </w:rPr>
        <w:t>；</w:t>
      </w:r>
      <w:r>
        <w:rPr>
          <w:rFonts w:hint="eastAsia" w:ascii="仿宋" w:eastAsia="仿宋"/>
          <w:b/>
          <w:sz w:val="32"/>
          <w:szCs w:val="32"/>
        </w:rPr>
        <w:t>教育支出（类）</w:t>
      </w:r>
      <w:r>
        <w:rPr>
          <w:rFonts w:hint="eastAsia" w:ascii="仿宋" w:eastAsia="仿宋"/>
          <w:sz w:val="32"/>
          <w:szCs w:val="32"/>
        </w:rPr>
        <w:t>0万元，占0</w:t>
      </w:r>
      <w:r>
        <w:rPr>
          <w:rFonts w:ascii="仿宋" w:eastAsia="仿宋"/>
          <w:sz w:val="32"/>
          <w:szCs w:val="32"/>
        </w:rPr>
        <w:t>%</w:t>
      </w:r>
      <w:r>
        <w:rPr>
          <w:rFonts w:hint="eastAsia" w:ascii="仿宋" w:eastAsia="仿宋"/>
          <w:sz w:val="32"/>
          <w:szCs w:val="32"/>
        </w:rPr>
        <w:t>；</w:t>
      </w:r>
      <w:r>
        <w:rPr>
          <w:rFonts w:hint="eastAsia" w:ascii="仿宋" w:eastAsia="仿宋"/>
          <w:b/>
          <w:sz w:val="32"/>
          <w:szCs w:val="32"/>
        </w:rPr>
        <w:t>科学技术（类）</w:t>
      </w:r>
      <w:r>
        <w:rPr>
          <w:rFonts w:hint="eastAsia" w:ascii="仿宋" w:eastAsia="仿宋"/>
          <w:sz w:val="32"/>
          <w:szCs w:val="32"/>
        </w:rPr>
        <w:t>支出0万元，占0</w:t>
      </w:r>
      <w:r>
        <w:rPr>
          <w:rFonts w:ascii="仿宋" w:eastAsia="仿宋"/>
          <w:sz w:val="32"/>
          <w:szCs w:val="32"/>
        </w:rPr>
        <w:t>%</w:t>
      </w:r>
      <w:r>
        <w:rPr>
          <w:rFonts w:hint="eastAsia" w:ascii="仿宋" w:eastAsia="仿宋"/>
          <w:sz w:val="32"/>
          <w:szCs w:val="32"/>
        </w:rPr>
        <w:t>；</w:t>
      </w:r>
      <w:r>
        <w:rPr>
          <w:rFonts w:hint="eastAsia" w:ascii="仿宋" w:eastAsia="仿宋"/>
          <w:b/>
          <w:bCs/>
          <w:sz w:val="32"/>
          <w:szCs w:val="32"/>
        </w:rPr>
        <w:t>文化旅游体育与传媒（类）支出0万元，占0</w:t>
      </w:r>
      <w:r>
        <w:rPr>
          <w:rFonts w:ascii="仿宋" w:eastAsia="仿宋"/>
          <w:b/>
          <w:bCs/>
          <w:sz w:val="32"/>
          <w:szCs w:val="32"/>
        </w:rPr>
        <w:t>%</w:t>
      </w:r>
      <w:r>
        <w:rPr>
          <w:rFonts w:hint="eastAsia" w:ascii="仿宋" w:eastAsia="仿宋"/>
          <w:sz w:val="32"/>
          <w:szCs w:val="32"/>
        </w:rPr>
        <w:t>；</w:t>
      </w:r>
      <w:r>
        <w:rPr>
          <w:rFonts w:hint="eastAsia" w:ascii="仿宋" w:eastAsia="仿宋"/>
          <w:b/>
          <w:sz w:val="32"/>
          <w:szCs w:val="32"/>
        </w:rPr>
        <w:t>社会保障和就业（类）</w:t>
      </w:r>
      <w:r>
        <w:rPr>
          <w:rFonts w:hint="eastAsia" w:ascii="仿宋" w:eastAsia="仿宋"/>
          <w:sz w:val="32"/>
          <w:szCs w:val="32"/>
        </w:rPr>
        <w:t>支出13.25万元，占2.01</w:t>
      </w:r>
      <w:r>
        <w:rPr>
          <w:rFonts w:ascii="仿宋" w:eastAsia="仿宋"/>
          <w:sz w:val="32"/>
          <w:szCs w:val="32"/>
        </w:rPr>
        <w:t>%</w:t>
      </w:r>
      <w:r>
        <w:rPr>
          <w:rFonts w:hint="eastAsia" w:ascii="仿宋" w:eastAsia="仿宋"/>
          <w:sz w:val="32"/>
          <w:szCs w:val="32"/>
        </w:rPr>
        <w:t>；</w:t>
      </w:r>
      <w:r>
        <w:rPr>
          <w:rFonts w:hint="eastAsia" w:ascii="仿宋" w:eastAsia="仿宋"/>
          <w:b/>
          <w:bCs/>
          <w:sz w:val="32"/>
          <w:szCs w:val="32"/>
        </w:rPr>
        <w:t>卫生健康支出</w:t>
      </w:r>
      <w:r>
        <w:rPr>
          <w:rFonts w:hint="eastAsia" w:ascii="仿宋" w:eastAsia="仿宋"/>
          <w:sz w:val="32"/>
          <w:szCs w:val="32"/>
        </w:rPr>
        <w:t>36.44万元，占5.54</w:t>
      </w:r>
      <w:r>
        <w:rPr>
          <w:rFonts w:ascii="仿宋" w:eastAsia="仿宋"/>
          <w:sz w:val="32"/>
          <w:szCs w:val="32"/>
        </w:rPr>
        <w:t>%</w:t>
      </w:r>
      <w:r>
        <w:rPr>
          <w:rFonts w:hint="eastAsia" w:ascii="仿宋" w:eastAsia="仿宋"/>
          <w:sz w:val="32"/>
          <w:szCs w:val="32"/>
        </w:rPr>
        <w:t>；</w:t>
      </w:r>
      <w:r>
        <w:rPr>
          <w:rFonts w:hint="eastAsia" w:ascii="仿宋" w:eastAsia="仿宋"/>
          <w:b/>
          <w:sz w:val="32"/>
          <w:szCs w:val="32"/>
        </w:rPr>
        <w:t>住房保障支出</w:t>
      </w:r>
      <w:r>
        <w:rPr>
          <w:rFonts w:hint="eastAsia" w:ascii="仿宋" w:eastAsia="仿宋"/>
          <w:sz w:val="32"/>
          <w:szCs w:val="32"/>
        </w:rPr>
        <w:t>77.91万元，占11.84</w:t>
      </w:r>
      <w:r>
        <w:rPr>
          <w:rFonts w:ascii="仿宋" w:eastAsia="仿宋"/>
          <w:sz w:val="32"/>
          <w:szCs w:val="32"/>
        </w:rPr>
        <w:t>%</w:t>
      </w:r>
      <w:r>
        <w:rPr>
          <w:rFonts w:hint="eastAsia" w:ascii="仿宋" w:eastAsia="仿宋"/>
          <w:sz w:val="32"/>
          <w:szCs w:val="32"/>
        </w:rPr>
        <w:t>；</w:t>
      </w:r>
    </w:p>
    <w:p>
      <w:pPr>
        <w:spacing w:line="600" w:lineRule="exact"/>
        <w:ind w:firstLine="640"/>
        <w:rPr>
          <w:rFonts w:ascii="仿宋" w:eastAsia="仿宋"/>
          <w:sz w:val="32"/>
          <w:szCs w:val="32"/>
        </w:rPr>
      </w:pPr>
      <w:r>
        <w:rPr>
          <w:rFonts w:ascii="仿宋" w:eastAsia="仿宋"/>
          <w:sz w:val="32"/>
          <w:szCs w:val="32"/>
        </w:rPr>
        <w:drawing>
          <wp:anchor distT="0" distB="0" distL="114300" distR="114300" simplePos="0" relativeHeight="251659264" behindDoc="1" locked="0" layoutInCell="1" allowOverlap="1">
            <wp:simplePos x="0" y="0"/>
            <wp:positionH relativeFrom="column">
              <wp:posOffset>354965</wp:posOffset>
            </wp:positionH>
            <wp:positionV relativeFrom="paragraph">
              <wp:posOffset>12700</wp:posOffset>
            </wp:positionV>
            <wp:extent cx="4474210" cy="1333500"/>
            <wp:effectExtent l="0" t="0" r="0" b="0"/>
            <wp:wrapNone/>
            <wp:docPr id="6"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spacing w:line="600" w:lineRule="exact"/>
        <w:ind w:firstLine="640" w:firstLineChars="200"/>
        <w:rPr>
          <w:rFonts w:ascii="仿宋" w:eastAsia="仿宋"/>
          <w:sz w:val="32"/>
          <w:szCs w:val="32"/>
        </w:rPr>
      </w:pPr>
    </w:p>
    <w:p>
      <w:pPr>
        <w:spacing w:line="600" w:lineRule="exact"/>
        <w:ind w:firstLine="640" w:firstLineChars="200"/>
        <w:rPr>
          <w:rFonts w:ascii="仿宋" w:eastAsia="仿宋"/>
          <w:sz w:val="32"/>
          <w:szCs w:val="32"/>
        </w:rPr>
      </w:pPr>
    </w:p>
    <w:p>
      <w:pPr>
        <w:spacing w:line="600" w:lineRule="exact"/>
        <w:ind w:firstLine="640" w:firstLineChars="200"/>
        <w:rPr>
          <w:rFonts w:ascii="仿宋" w:eastAsia="仿宋"/>
          <w:sz w:val="32"/>
          <w:szCs w:val="32"/>
        </w:rPr>
      </w:pPr>
      <w:r>
        <w:rPr>
          <w:rFonts w:hint="eastAsia" w:ascii="仿宋" w:eastAsia="仿宋"/>
          <w:sz w:val="32"/>
          <w:szCs w:val="32"/>
        </w:rPr>
        <w:t>（图6：一般公共预算财政拨款支出决算结构）</w:t>
      </w:r>
    </w:p>
    <w:p>
      <w:pPr>
        <w:spacing w:line="600" w:lineRule="exact"/>
        <w:ind w:firstLine="643" w:firstLineChars="200"/>
        <w:outlineLvl w:val="2"/>
        <w:rPr>
          <w:rFonts w:ascii="仿宋" w:eastAsia="仿宋"/>
          <w:b/>
          <w:sz w:val="32"/>
          <w:szCs w:val="32"/>
        </w:rPr>
      </w:pPr>
      <w:bookmarkStart w:id="31" w:name="_Toc15377212"/>
      <w:r>
        <w:rPr>
          <w:rFonts w:hint="eastAsia" w:ascii="仿宋" w:eastAsia="仿宋"/>
          <w:b/>
          <w:sz w:val="32"/>
          <w:szCs w:val="32"/>
        </w:rPr>
        <w:t>（三）一般公共预算财政拨款支出决算具体情况</w:t>
      </w:r>
      <w:bookmarkEnd w:id="31"/>
    </w:p>
    <w:p>
      <w:pPr>
        <w:spacing w:line="600" w:lineRule="exact"/>
        <w:ind w:firstLine="643" w:firstLineChars="200"/>
        <w:outlineLvl w:val="2"/>
        <w:rPr>
          <w:rFonts w:ascii="仿宋" w:eastAsia="仿宋"/>
          <w:sz w:val="32"/>
          <w:szCs w:val="32"/>
        </w:rPr>
      </w:pPr>
      <w:bookmarkStart w:id="32" w:name="_Toc15378460"/>
      <w:bookmarkStart w:id="33" w:name="_Toc15377213"/>
      <w:bookmarkStart w:id="34" w:name="_Toc15377444"/>
      <w:r>
        <w:rPr>
          <w:rFonts w:hint="eastAsia" w:ascii="仿宋" w:eastAsia="仿宋"/>
          <w:b/>
          <w:sz w:val="32"/>
          <w:szCs w:val="32"/>
        </w:rPr>
        <w:t>2021年一般公共预算支出决算数为658.10</w:t>
      </w:r>
      <w:r>
        <w:rPr>
          <w:rFonts w:hint="eastAsia" w:ascii="仿宋" w:eastAsia="仿宋"/>
          <w:sz w:val="32"/>
          <w:szCs w:val="32"/>
        </w:rPr>
        <w:t>，</w:t>
      </w:r>
      <w:r>
        <w:rPr>
          <w:rStyle w:val="15"/>
          <w:rFonts w:hint="eastAsia" w:ascii="仿宋" w:eastAsia="仿宋"/>
          <w:bCs/>
          <w:sz w:val="32"/>
          <w:szCs w:val="32"/>
        </w:rPr>
        <w:t>完成预算100</w:t>
      </w:r>
      <w:r>
        <w:rPr>
          <w:rStyle w:val="15"/>
          <w:rFonts w:ascii="仿宋" w:eastAsia="仿宋"/>
          <w:bCs/>
          <w:sz w:val="32"/>
          <w:szCs w:val="32"/>
        </w:rPr>
        <w:t>%</w:t>
      </w:r>
      <w:r>
        <w:rPr>
          <w:rStyle w:val="15"/>
          <w:rFonts w:hint="eastAsia" w:ascii="仿宋" w:eastAsia="仿宋"/>
          <w:bCs/>
          <w:sz w:val="32"/>
          <w:szCs w:val="32"/>
        </w:rPr>
        <w:t>。其中：</w:t>
      </w:r>
      <w:bookmarkEnd w:id="32"/>
      <w:bookmarkEnd w:id="33"/>
      <w:bookmarkEnd w:id="34"/>
    </w:p>
    <w:p>
      <w:pPr>
        <w:spacing w:line="600" w:lineRule="exact"/>
        <w:ind w:firstLine="643" w:firstLineChars="200"/>
        <w:rPr>
          <w:rStyle w:val="15"/>
          <w:rFonts w:ascii="仿宋" w:eastAsia="仿宋"/>
          <w:bCs/>
          <w:sz w:val="32"/>
          <w:szCs w:val="32"/>
        </w:rPr>
      </w:pPr>
      <w:r>
        <w:rPr>
          <w:rStyle w:val="15"/>
          <w:rFonts w:ascii="仿宋" w:eastAsia="仿宋"/>
          <w:bCs/>
          <w:sz w:val="32"/>
          <w:szCs w:val="32"/>
        </w:rPr>
        <w:t>1.</w:t>
      </w:r>
      <w:r>
        <w:rPr>
          <w:rStyle w:val="15"/>
          <w:rFonts w:hint="eastAsia" w:ascii="仿宋" w:eastAsia="仿宋"/>
          <w:bCs/>
          <w:sz w:val="32"/>
          <w:szCs w:val="32"/>
        </w:rPr>
        <w:t>一般公共服务（类）201（款）06（项）50</w:t>
      </w:r>
      <w:r>
        <w:rPr>
          <w:rStyle w:val="15"/>
          <w:rFonts w:ascii="仿宋" w:eastAsia="仿宋"/>
          <w:bCs/>
          <w:sz w:val="32"/>
          <w:szCs w:val="32"/>
        </w:rPr>
        <w:t>:</w:t>
      </w:r>
      <w:r>
        <w:rPr>
          <w:rStyle w:val="15"/>
          <w:rFonts w:hint="eastAsia" w:ascii="仿宋" w:eastAsia="仿宋"/>
          <w:b w:val="0"/>
          <w:bCs/>
          <w:sz w:val="32"/>
          <w:szCs w:val="32"/>
        </w:rPr>
        <w:t>支出决算为524.20万元，完成预算100</w:t>
      </w:r>
      <w:r>
        <w:rPr>
          <w:rStyle w:val="15"/>
          <w:rFonts w:ascii="仿宋" w:eastAsia="仿宋"/>
          <w:b w:val="0"/>
          <w:bCs/>
          <w:sz w:val="32"/>
          <w:szCs w:val="32"/>
        </w:rPr>
        <w:t>%</w:t>
      </w:r>
      <w:r>
        <w:rPr>
          <w:rStyle w:val="15"/>
          <w:rFonts w:hint="eastAsia" w:ascii="仿宋" w:eastAsia="仿宋"/>
          <w:b w:val="0"/>
          <w:bCs/>
          <w:sz w:val="32"/>
          <w:szCs w:val="32"/>
        </w:rPr>
        <w:t>，</w:t>
      </w:r>
      <w:r>
        <w:rPr>
          <w:rStyle w:val="15"/>
          <w:rFonts w:hint="eastAsia" w:ascii="仿宋" w:eastAsia="仿宋"/>
          <w:bCs/>
          <w:sz w:val="32"/>
          <w:szCs w:val="32"/>
        </w:rPr>
        <w:t>。</w:t>
      </w:r>
    </w:p>
    <w:p>
      <w:pPr>
        <w:spacing w:line="600" w:lineRule="exact"/>
        <w:ind w:firstLine="643" w:firstLineChars="200"/>
        <w:rPr>
          <w:rFonts w:ascii="仿宋" w:eastAsia="仿宋"/>
          <w:b/>
          <w:sz w:val="32"/>
          <w:szCs w:val="32"/>
        </w:rPr>
      </w:pPr>
      <w:r>
        <w:rPr>
          <w:rStyle w:val="15"/>
          <w:rFonts w:hint="eastAsia" w:ascii="仿宋" w:eastAsia="仿宋"/>
          <w:bCs/>
          <w:sz w:val="32"/>
          <w:szCs w:val="32"/>
        </w:rPr>
        <w:t>2</w:t>
      </w:r>
      <w:r>
        <w:rPr>
          <w:rStyle w:val="15"/>
          <w:rFonts w:ascii="仿宋" w:eastAsia="仿宋"/>
          <w:bCs/>
          <w:sz w:val="32"/>
          <w:szCs w:val="32"/>
        </w:rPr>
        <w:t>.</w:t>
      </w:r>
      <w:r>
        <w:rPr>
          <w:rStyle w:val="15"/>
          <w:rFonts w:hint="eastAsia" w:ascii="仿宋" w:eastAsia="仿宋"/>
          <w:bCs/>
          <w:sz w:val="32"/>
          <w:szCs w:val="32"/>
        </w:rPr>
        <w:t>社会保障和就业（类）208（款）05（项）05</w:t>
      </w:r>
      <w:r>
        <w:rPr>
          <w:rStyle w:val="15"/>
          <w:rFonts w:ascii="仿宋" w:eastAsia="仿宋"/>
          <w:bCs/>
          <w:sz w:val="32"/>
          <w:szCs w:val="32"/>
        </w:rPr>
        <w:t>:</w:t>
      </w:r>
      <w:r>
        <w:rPr>
          <w:rStyle w:val="15"/>
          <w:rFonts w:hint="eastAsia" w:ascii="仿宋" w:eastAsia="仿宋"/>
          <w:b w:val="0"/>
          <w:bCs/>
          <w:sz w:val="32"/>
          <w:szCs w:val="32"/>
        </w:rPr>
        <w:t>支出决算为13.25万元，完成预算100</w:t>
      </w:r>
      <w:r>
        <w:rPr>
          <w:rStyle w:val="15"/>
          <w:rFonts w:ascii="仿宋" w:eastAsia="仿宋"/>
          <w:b w:val="0"/>
          <w:bCs/>
          <w:sz w:val="32"/>
          <w:szCs w:val="32"/>
        </w:rPr>
        <w:t>%</w:t>
      </w:r>
      <w:r>
        <w:rPr>
          <w:rFonts w:ascii="仿宋" w:eastAsia="仿宋"/>
          <w:b/>
          <w:sz w:val="32"/>
          <w:szCs w:val="32"/>
        </w:rPr>
        <w:t>。</w:t>
      </w:r>
    </w:p>
    <w:p>
      <w:pPr>
        <w:spacing w:line="600" w:lineRule="exact"/>
        <w:ind w:firstLine="643" w:firstLineChars="200"/>
        <w:rPr>
          <w:rStyle w:val="15"/>
          <w:rFonts w:ascii="仿宋" w:eastAsia="仿宋"/>
          <w:b w:val="0"/>
          <w:bCs/>
          <w:sz w:val="32"/>
          <w:szCs w:val="32"/>
        </w:rPr>
      </w:pPr>
      <w:r>
        <w:rPr>
          <w:rStyle w:val="15"/>
          <w:rFonts w:hint="eastAsia" w:ascii="仿宋" w:eastAsia="仿宋"/>
          <w:bCs/>
          <w:sz w:val="32"/>
          <w:szCs w:val="32"/>
        </w:rPr>
        <w:t>3</w:t>
      </w:r>
      <w:r>
        <w:rPr>
          <w:rStyle w:val="15"/>
          <w:rFonts w:ascii="仿宋" w:eastAsia="仿宋"/>
          <w:bCs/>
          <w:sz w:val="32"/>
          <w:szCs w:val="32"/>
        </w:rPr>
        <w:t>.</w:t>
      </w:r>
      <w:r>
        <w:rPr>
          <w:rFonts w:hint="eastAsia" w:ascii="仿宋" w:eastAsia="仿宋"/>
          <w:b/>
          <w:bCs/>
          <w:sz w:val="32"/>
          <w:szCs w:val="32"/>
        </w:rPr>
        <w:t>卫生健康</w:t>
      </w:r>
      <w:r>
        <w:rPr>
          <w:rStyle w:val="15"/>
          <w:rFonts w:hint="eastAsia" w:ascii="仿宋" w:eastAsia="仿宋"/>
          <w:bCs/>
          <w:sz w:val="32"/>
          <w:szCs w:val="32"/>
        </w:rPr>
        <w:t>（类）210（款）11（项）02</w:t>
      </w:r>
      <w:r>
        <w:rPr>
          <w:rStyle w:val="15"/>
          <w:rFonts w:ascii="仿宋" w:eastAsia="仿宋"/>
          <w:bCs/>
          <w:sz w:val="32"/>
          <w:szCs w:val="32"/>
        </w:rPr>
        <w:t>:</w:t>
      </w:r>
      <w:r>
        <w:rPr>
          <w:rStyle w:val="15"/>
          <w:rFonts w:hint="eastAsia" w:ascii="仿宋" w:eastAsia="仿宋"/>
          <w:b w:val="0"/>
          <w:bCs/>
          <w:sz w:val="32"/>
          <w:szCs w:val="32"/>
        </w:rPr>
        <w:t>支出决算为29.64万元，完成预算100</w:t>
      </w:r>
      <w:r>
        <w:rPr>
          <w:rStyle w:val="15"/>
          <w:rFonts w:ascii="仿宋" w:eastAsia="仿宋"/>
          <w:b w:val="0"/>
          <w:bCs/>
          <w:sz w:val="32"/>
          <w:szCs w:val="32"/>
        </w:rPr>
        <w:t>%</w:t>
      </w:r>
      <w:r>
        <w:rPr>
          <w:rStyle w:val="15"/>
          <w:rFonts w:hint="eastAsia" w:ascii="仿宋" w:eastAsia="仿宋"/>
          <w:b w:val="0"/>
          <w:bCs/>
          <w:sz w:val="32"/>
          <w:szCs w:val="32"/>
        </w:rPr>
        <w:t>。</w:t>
      </w:r>
      <w:r>
        <w:rPr>
          <w:rFonts w:hint="eastAsia" w:ascii="仿宋" w:eastAsia="仿宋"/>
          <w:b/>
          <w:bCs/>
          <w:sz w:val="32"/>
          <w:szCs w:val="32"/>
        </w:rPr>
        <w:t>卫生健康</w:t>
      </w:r>
      <w:r>
        <w:rPr>
          <w:rStyle w:val="15"/>
          <w:rFonts w:hint="eastAsia" w:ascii="仿宋" w:eastAsia="仿宋"/>
          <w:bCs/>
          <w:sz w:val="32"/>
          <w:szCs w:val="32"/>
        </w:rPr>
        <w:t>（类）210（款）11（项）99：</w:t>
      </w:r>
      <w:r>
        <w:rPr>
          <w:rStyle w:val="15"/>
          <w:rFonts w:hint="eastAsia" w:ascii="仿宋" w:eastAsia="仿宋"/>
          <w:b w:val="0"/>
          <w:bCs/>
          <w:sz w:val="32"/>
          <w:szCs w:val="32"/>
        </w:rPr>
        <w:t>支出决算为6.80万元，完成预算100</w:t>
      </w:r>
      <w:r>
        <w:rPr>
          <w:rStyle w:val="15"/>
          <w:rFonts w:ascii="仿宋" w:eastAsia="仿宋"/>
          <w:b w:val="0"/>
          <w:bCs/>
          <w:sz w:val="32"/>
          <w:szCs w:val="32"/>
        </w:rPr>
        <w:t>%</w:t>
      </w:r>
      <w:r>
        <w:rPr>
          <w:rStyle w:val="15"/>
          <w:rFonts w:hint="eastAsia" w:ascii="仿宋" w:eastAsia="仿宋"/>
          <w:b w:val="0"/>
          <w:bCs/>
          <w:sz w:val="32"/>
          <w:szCs w:val="32"/>
        </w:rPr>
        <w:t>。</w:t>
      </w:r>
    </w:p>
    <w:p>
      <w:pPr>
        <w:pStyle w:val="2"/>
        <w:spacing w:beforeLines="0"/>
      </w:pPr>
      <w:r>
        <w:rPr>
          <w:rStyle w:val="15"/>
          <w:rFonts w:hint="eastAsia" w:ascii="仿宋" w:eastAsia="仿宋"/>
          <w:bCs/>
          <w:sz w:val="32"/>
          <w:szCs w:val="32"/>
        </w:rPr>
        <w:t>4.</w:t>
      </w:r>
      <w:r>
        <w:rPr>
          <w:rFonts w:hint="eastAsia" w:ascii="仿宋" w:eastAsia="仿宋"/>
          <w:b/>
          <w:bCs/>
          <w:sz w:val="32"/>
          <w:szCs w:val="32"/>
        </w:rPr>
        <w:t>住房保障支出</w:t>
      </w:r>
      <w:r>
        <w:rPr>
          <w:rStyle w:val="15"/>
          <w:rFonts w:hint="eastAsia" w:ascii="仿宋" w:eastAsia="仿宋"/>
          <w:bCs/>
          <w:sz w:val="32"/>
          <w:szCs w:val="32"/>
        </w:rPr>
        <w:t>（类）221（款）02（项）01</w:t>
      </w:r>
      <w:r>
        <w:rPr>
          <w:rStyle w:val="15"/>
          <w:rFonts w:ascii="仿宋" w:eastAsia="仿宋"/>
          <w:bCs/>
          <w:sz w:val="32"/>
          <w:szCs w:val="32"/>
        </w:rPr>
        <w:t>:</w:t>
      </w:r>
      <w:r>
        <w:rPr>
          <w:rStyle w:val="15"/>
          <w:rFonts w:hint="eastAsia" w:ascii="仿宋" w:eastAsia="仿宋"/>
          <w:b w:val="0"/>
          <w:bCs/>
          <w:sz w:val="32"/>
          <w:szCs w:val="32"/>
        </w:rPr>
        <w:t xml:space="preserve"> 支出决算为77.91万元，完成预算100</w:t>
      </w:r>
      <w:r>
        <w:rPr>
          <w:rStyle w:val="15"/>
          <w:rFonts w:ascii="仿宋" w:eastAsia="仿宋"/>
          <w:b w:val="0"/>
          <w:bCs/>
          <w:sz w:val="32"/>
          <w:szCs w:val="32"/>
        </w:rPr>
        <w:t>%</w:t>
      </w:r>
      <w:r>
        <w:rPr>
          <w:rStyle w:val="15"/>
          <w:rFonts w:hint="eastAsia" w:ascii="仿宋" w:eastAsia="仿宋"/>
          <w:b w:val="0"/>
          <w:bCs/>
          <w:kern w:val="2"/>
          <w:sz w:val="32"/>
          <w:szCs w:val="32"/>
        </w:rPr>
        <w:t>。</w:t>
      </w:r>
    </w:p>
    <w:p>
      <w:pPr>
        <w:tabs>
          <w:tab w:val="right" w:pos="8306"/>
        </w:tabs>
        <w:spacing w:line="600" w:lineRule="exact"/>
        <w:ind w:firstLine="640"/>
        <w:outlineLvl w:val="1"/>
        <w:rPr>
          <w:rStyle w:val="18"/>
        </w:rPr>
      </w:pPr>
      <w:bookmarkStart w:id="35" w:name="_Toc15396608"/>
      <w:bookmarkStart w:id="36" w:name="_Toc15377214"/>
      <w:r>
        <w:rPr>
          <w:rFonts w:hint="eastAsia" w:ascii="黑体" w:eastAsia="黑体"/>
          <w:sz w:val="32"/>
          <w:szCs w:val="32"/>
        </w:rPr>
        <w:t>六</w:t>
      </w:r>
      <w:r>
        <w:rPr>
          <w:rFonts w:hint="eastAsia" w:ascii="黑体" w:eastAsia="黑体"/>
          <w:b/>
          <w:sz w:val="32"/>
          <w:szCs w:val="32"/>
        </w:rPr>
        <w:t>、一</w:t>
      </w:r>
      <w:r>
        <w:rPr>
          <w:rStyle w:val="18"/>
          <w:rFonts w:hint="eastAsia" w:ascii="黑体" w:eastAsia="黑体"/>
          <w:b w:val="0"/>
        </w:rPr>
        <w:t>般公共预算财政拨款基本支出决算情况说明</w:t>
      </w:r>
      <w:bookmarkEnd w:id="35"/>
      <w:bookmarkEnd w:id="36"/>
      <w:r>
        <w:rPr>
          <w:rStyle w:val="18"/>
          <w:rFonts w:ascii="黑体" w:eastAsia="黑体"/>
          <w:b w:val="0"/>
        </w:rPr>
        <w:tab/>
      </w:r>
    </w:p>
    <w:p>
      <w:pPr>
        <w:spacing w:line="600" w:lineRule="exact"/>
        <w:ind w:firstLine="645"/>
        <w:rPr>
          <w:rFonts w:ascii="仿宋" w:eastAsia="仿宋"/>
          <w:sz w:val="32"/>
          <w:szCs w:val="32"/>
        </w:rPr>
      </w:pPr>
      <w:r>
        <w:rPr>
          <w:rFonts w:ascii="仿宋" w:eastAsia="仿宋"/>
          <w:sz w:val="32"/>
          <w:szCs w:val="32"/>
        </w:rPr>
        <w:t>20</w:t>
      </w:r>
      <w:r>
        <w:rPr>
          <w:rFonts w:hint="eastAsia" w:ascii="仿宋" w:eastAsia="仿宋"/>
          <w:sz w:val="32"/>
          <w:szCs w:val="32"/>
        </w:rPr>
        <w:t>21年一般公共预算财政拨款基本支出651.80万元</w:t>
      </w:r>
    </w:p>
    <w:p>
      <w:pPr>
        <w:rPr>
          <w:rFonts w:ascii="仿宋" w:eastAsia="仿宋"/>
          <w:sz w:val="32"/>
          <w:szCs w:val="32"/>
        </w:rPr>
      </w:pPr>
      <w:r>
        <w:rPr>
          <w:rFonts w:hint="eastAsia" w:ascii="仿宋" w:eastAsia="仿宋"/>
          <w:sz w:val="32"/>
          <w:szCs w:val="32"/>
        </w:rPr>
        <w:t>人员经费579.15万元，主要包括：基本工资129.08万元、津贴补贴152.51万元、奖金106.61万元、伙食补助费2.75万元、绩效工资47.02万元、机关事业单位基本养老保险缴费13.25万元、职工基本医疗保险缴费34.98万元、公务员医疗补助缴费1.46万元、其他社会保障缴费0.87万元、住房公积金77.91万元、其他工资福利支出0.6万元、生活补助12.10万元。</w:t>
      </w:r>
    </w:p>
    <w:p>
      <w:pPr>
        <w:rPr>
          <w:rFonts w:ascii="仿宋" w:eastAsia="仿宋"/>
          <w:sz w:val="32"/>
          <w:szCs w:val="32"/>
        </w:rPr>
      </w:pPr>
      <w:r>
        <w:rPr>
          <w:rFonts w:hint="eastAsia" w:ascii="仿宋" w:eastAsia="仿宋"/>
          <w:sz w:val="32"/>
          <w:szCs w:val="32"/>
        </w:rPr>
        <w:t xml:space="preserve">    公用经费72.66万元，主要包括：办公费12.02万元、印刷费1.78万元、水费8.36万元、电费7.49万元、邮电费1.87万元、物业管理费18.30万元、差旅费18.42万元、租赁费0.54万元、会议费0.40万元、培训费0.51万元、劳务费2.27万元、其他商品和服务支出0.69万元。</w:t>
      </w:r>
    </w:p>
    <w:p>
      <w:pPr>
        <w:spacing w:line="600" w:lineRule="exact"/>
        <w:ind w:firstLine="640"/>
        <w:outlineLvl w:val="1"/>
        <w:rPr>
          <w:rStyle w:val="18"/>
          <w:rFonts w:ascii="黑体" w:eastAsia="黑体"/>
          <w:b w:val="0"/>
        </w:rPr>
      </w:pPr>
      <w:bookmarkStart w:id="37" w:name="_Toc15396609"/>
      <w:bookmarkStart w:id="38" w:name="_Toc15377215"/>
      <w:r>
        <w:rPr>
          <w:rFonts w:hint="eastAsia" w:ascii="黑体" w:eastAsia="黑体"/>
          <w:sz w:val="32"/>
          <w:szCs w:val="32"/>
        </w:rPr>
        <w:t>七、</w:t>
      </w:r>
      <w:r>
        <w:rPr>
          <w:rStyle w:val="18"/>
          <w:rFonts w:hint="eastAsia" w:ascii="黑体" w:eastAsia="黑体"/>
        </w:rPr>
        <w:t>“</w:t>
      </w:r>
      <w:r>
        <w:rPr>
          <w:rStyle w:val="18"/>
          <w:rFonts w:hint="eastAsia" w:ascii="黑体" w:eastAsia="黑体"/>
          <w:b w:val="0"/>
        </w:rPr>
        <w:t>三公”经费财政拨款支出决算情况说明</w:t>
      </w:r>
      <w:bookmarkEnd w:id="37"/>
      <w:bookmarkEnd w:id="38"/>
    </w:p>
    <w:p>
      <w:pPr>
        <w:spacing w:line="600" w:lineRule="exact"/>
        <w:ind w:firstLine="640"/>
        <w:outlineLvl w:val="2"/>
        <w:rPr>
          <w:rFonts w:ascii="仿宋" w:eastAsia="仿宋"/>
          <w:b/>
          <w:sz w:val="32"/>
          <w:szCs w:val="32"/>
        </w:rPr>
      </w:pPr>
      <w:bookmarkStart w:id="39" w:name="_Toc15377216"/>
      <w:r>
        <w:rPr>
          <w:rFonts w:hint="eastAsia" w:ascii="仿宋" w:eastAsia="仿宋"/>
          <w:b/>
          <w:sz w:val="32"/>
          <w:szCs w:val="32"/>
        </w:rPr>
        <w:t>（一）“三公”经费财政拨款支出决算总体情况说明</w:t>
      </w:r>
      <w:bookmarkEnd w:id="39"/>
    </w:p>
    <w:p>
      <w:pPr>
        <w:spacing w:line="600" w:lineRule="exact"/>
        <w:ind w:firstLine="640"/>
        <w:rPr>
          <w:rFonts w:ascii="仿宋" w:eastAsia="仿宋"/>
          <w:sz w:val="32"/>
          <w:szCs w:val="32"/>
        </w:rPr>
      </w:pPr>
      <w:r>
        <w:rPr>
          <w:rFonts w:ascii="仿宋" w:eastAsia="仿宋"/>
          <w:sz w:val="32"/>
          <w:szCs w:val="32"/>
        </w:rPr>
        <w:t>20</w:t>
      </w:r>
      <w:r>
        <w:rPr>
          <w:rFonts w:hint="eastAsia" w:ascii="仿宋" w:eastAsia="仿宋"/>
          <w:sz w:val="32"/>
          <w:szCs w:val="32"/>
        </w:rPr>
        <w:t>21年“三公”经费财政拨款支出决算为0.00万元，完成预算0.00</w:t>
      </w:r>
      <w:r>
        <w:rPr>
          <w:rFonts w:ascii="仿宋" w:eastAsia="仿宋"/>
          <w:sz w:val="32"/>
          <w:szCs w:val="32"/>
        </w:rPr>
        <w:t>%</w:t>
      </w:r>
      <w:r>
        <w:rPr>
          <w:rFonts w:hint="eastAsia" w:ascii="仿宋" w:eastAsia="仿宋"/>
          <w:sz w:val="32"/>
          <w:szCs w:val="32"/>
        </w:rPr>
        <w:t>，决算数与预算数持平。</w:t>
      </w:r>
    </w:p>
    <w:p>
      <w:pPr>
        <w:spacing w:line="600" w:lineRule="exact"/>
        <w:ind w:firstLine="640"/>
        <w:outlineLvl w:val="2"/>
        <w:rPr>
          <w:rFonts w:ascii="仿宋" w:eastAsia="仿宋"/>
          <w:b/>
          <w:sz w:val="32"/>
          <w:szCs w:val="32"/>
        </w:rPr>
      </w:pPr>
      <w:bookmarkStart w:id="40" w:name="_Toc15377217"/>
      <w:r>
        <w:rPr>
          <w:rFonts w:hint="eastAsia" w:ascii="仿宋" w:eastAsia="仿宋"/>
          <w:b/>
          <w:sz w:val="32"/>
          <w:szCs w:val="32"/>
        </w:rPr>
        <w:t>（二）“三公”经费财政拨款支出决算具体情况说明</w:t>
      </w:r>
      <w:bookmarkEnd w:id="40"/>
    </w:p>
    <w:p>
      <w:pPr>
        <w:spacing w:line="600" w:lineRule="exact"/>
        <w:ind w:firstLine="640"/>
        <w:rPr>
          <w:rFonts w:ascii="仿宋" w:eastAsia="仿宋"/>
          <w:sz w:val="32"/>
          <w:szCs w:val="32"/>
        </w:rPr>
      </w:pPr>
      <w:r>
        <w:rPr>
          <w:rFonts w:ascii="仿宋" w:eastAsia="仿宋"/>
          <w:sz w:val="32"/>
          <w:szCs w:val="32"/>
        </w:rPr>
        <w:t>20</w:t>
      </w:r>
      <w:r>
        <w:rPr>
          <w:rFonts w:hint="eastAsia" w:ascii="仿宋" w:eastAsia="仿宋"/>
          <w:sz w:val="32"/>
          <w:szCs w:val="32"/>
        </w:rPr>
        <w:t>21年“三公”经费财政拨款支出决算中，因公出国（境）费支出决算0.00万元，占0.00</w:t>
      </w:r>
      <w:r>
        <w:rPr>
          <w:rFonts w:ascii="仿宋" w:eastAsia="仿宋"/>
          <w:sz w:val="32"/>
          <w:szCs w:val="32"/>
        </w:rPr>
        <w:t>%</w:t>
      </w:r>
      <w:r>
        <w:rPr>
          <w:rFonts w:hint="eastAsia" w:ascii="仿宋" w:eastAsia="仿宋"/>
          <w:sz w:val="32"/>
          <w:szCs w:val="32"/>
        </w:rPr>
        <w:t>；公务用车购置及运行维护费支出决算0.00万元，占0.00</w:t>
      </w:r>
      <w:r>
        <w:rPr>
          <w:rFonts w:ascii="仿宋" w:eastAsia="仿宋"/>
          <w:sz w:val="32"/>
          <w:szCs w:val="32"/>
        </w:rPr>
        <w:t>%</w:t>
      </w:r>
      <w:r>
        <w:rPr>
          <w:rFonts w:hint="eastAsia" w:ascii="仿宋" w:eastAsia="仿宋"/>
          <w:sz w:val="32"/>
          <w:szCs w:val="32"/>
        </w:rPr>
        <w:t>；公务接待费支出决算0.00万元，占0.00</w:t>
      </w:r>
      <w:r>
        <w:rPr>
          <w:rFonts w:ascii="仿宋" w:eastAsia="仿宋"/>
          <w:sz w:val="32"/>
          <w:szCs w:val="32"/>
        </w:rPr>
        <w:t>%</w:t>
      </w:r>
      <w:r>
        <w:rPr>
          <w:rFonts w:hint="eastAsia" w:ascii="仿宋" w:eastAsia="仿宋"/>
          <w:sz w:val="32"/>
          <w:szCs w:val="32"/>
        </w:rPr>
        <w:t>。具体情况如下：</w:t>
      </w:r>
    </w:p>
    <w:p>
      <w:pPr>
        <w:spacing w:line="600" w:lineRule="exact"/>
        <w:ind w:firstLine="640"/>
        <w:rPr>
          <w:rFonts w:ascii="仿宋_GB2312" w:eastAsia="仿宋_GB2312"/>
          <w:b/>
          <w:sz w:val="32"/>
          <w:szCs w:val="32"/>
        </w:rPr>
      </w:pPr>
      <w:r>
        <w:rPr>
          <w:rFonts w:ascii="仿宋_GB2312" w:eastAsia="仿宋_GB2312"/>
          <w:b/>
          <w:sz w:val="32"/>
          <w:szCs w:val="32"/>
        </w:rPr>
        <w:t>1.</w:t>
      </w:r>
      <w:r>
        <w:rPr>
          <w:rFonts w:hint="eastAsia" w:ascii="仿宋_GB2312" w:eastAsia="仿宋_GB2312"/>
          <w:b/>
          <w:sz w:val="32"/>
          <w:szCs w:val="32"/>
        </w:rPr>
        <w:t>因公出国（境）经费支出</w:t>
      </w:r>
      <w:r>
        <w:rPr>
          <w:rFonts w:hint="eastAsia" w:ascii="仿宋_GB2312" w:eastAsia="仿宋_GB2312"/>
          <w:sz w:val="32"/>
          <w:szCs w:val="32"/>
        </w:rPr>
        <w:t>0.00万元，</w:t>
      </w:r>
      <w:r>
        <w:rPr>
          <w:rStyle w:val="15"/>
          <w:rFonts w:hint="eastAsia" w:ascii="仿宋" w:eastAsia="仿宋"/>
          <w:b w:val="0"/>
          <w:bCs/>
          <w:sz w:val="32"/>
          <w:szCs w:val="32"/>
        </w:rPr>
        <w:t>完成预算0.00</w:t>
      </w:r>
      <w:r>
        <w:rPr>
          <w:rStyle w:val="15"/>
          <w:rFonts w:ascii="仿宋" w:eastAsia="仿宋"/>
          <w:b w:val="0"/>
          <w:bCs/>
          <w:sz w:val="32"/>
          <w:szCs w:val="32"/>
        </w:rPr>
        <w:t>%</w:t>
      </w:r>
      <w:r>
        <w:rPr>
          <w:rStyle w:val="15"/>
          <w:rFonts w:hint="eastAsia" w:ascii="仿宋" w:eastAsia="仿宋"/>
          <w:b w:val="0"/>
          <w:bCs/>
          <w:sz w:val="32"/>
          <w:szCs w:val="32"/>
        </w:rPr>
        <w:t>。</w:t>
      </w:r>
      <w:r>
        <w:rPr>
          <w:rFonts w:hint="eastAsia" w:ascii="仿宋_GB2312" w:eastAsia="仿宋_GB2312"/>
          <w:sz w:val="32"/>
          <w:szCs w:val="32"/>
        </w:rPr>
        <w:t>全年安排因公出国（境）团组0次，出国（境）0人。因公出国（境）支出决算比</w:t>
      </w:r>
      <w:r>
        <w:rPr>
          <w:rFonts w:ascii="仿宋_GB2312" w:eastAsia="仿宋_GB2312"/>
          <w:sz w:val="32"/>
          <w:szCs w:val="32"/>
        </w:rPr>
        <w:t>20</w:t>
      </w:r>
      <w:r>
        <w:rPr>
          <w:rFonts w:hint="eastAsia" w:ascii="仿宋_GB2312" w:eastAsia="仿宋_GB2312"/>
          <w:sz w:val="32"/>
          <w:szCs w:val="32"/>
        </w:rPr>
        <w:t>20年不变。</w:t>
      </w:r>
    </w:p>
    <w:p>
      <w:pPr>
        <w:spacing w:line="600" w:lineRule="exact"/>
        <w:ind w:firstLine="640"/>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w:t>
      </w:r>
      <w:r>
        <w:rPr>
          <w:rFonts w:hint="eastAsia" w:ascii="仿宋_GB2312" w:eastAsia="仿宋_GB2312"/>
          <w:sz w:val="32"/>
          <w:szCs w:val="32"/>
        </w:rPr>
        <w:t>0.00万元,</w:t>
      </w:r>
      <w:r>
        <w:rPr>
          <w:rStyle w:val="15"/>
          <w:rFonts w:hint="eastAsia" w:ascii="仿宋" w:eastAsia="仿宋"/>
          <w:b w:val="0"/>
          <w:bCs/>
          <w:sz w:val="32"/>
          <w:szCs w:val="32"/>
        </w:rPr>
        <w:t>完成预算0.00</w:t>
      </w:r>
      <w:r>
        <w:rPr>
          <w:rStyle w:val="15"/>
          <w:rFonts w:ascii="仿宋" w:eastAsia="仿宋"/>
          <w:b w:val="0"/>
          <w:bCs/>
          <w:sz w:val="32"/>
          <w:szCs w:val="32"/>
        </w:rPr>
        <w:t>%</w:t>
      </w:r>
      <w:r>
        <w:rPr>
          <w:rStyle w:val="15"/>
          <w:rFonts w:hint="eastAsia" w:ascii="仿宋" w:eastAsia="仿宋"/>
          <w:b w:val="0"/>
          <w:bCs/>
          <w:sz w:val="32"/>
          <w:szCs w:val="32"/>
        </w:rPr>
        <w:t>。</w:t>
      </w:r>
    </w:p>
    <w:p>
      <w:pPr>
        <w:spacing w:line="600" w:lineRule="exact"/>
        <w:ind w:firstLine="640"/>
        <w:rPr>
          <w:rFonts w:ascii="仿宋_GB2312" w:eastAsia="仿宋_GB2312"/>
          <w:sz w:val="32"/>
          <w:szCs w:val="32"/>
        </w:rPr>
      </w:pPr>
      <w:r>
        <w:rPr>
          <w:rFonts w:ascii="仿宋_GB2312" w:eastAsia="仿宋_GB2312"/>
          <w:b/>
          <w:sz w:val="32"/>
          <w:szCs w:val="32"/>
        </w:rPr>
        <w:t>3.</w:t>
      </w:r>
      <w:r>
        <w:rPr>
          <w:rFonts w:hint="eastAsia" w:ascii="仿宋_GB2312" w:eastAsia="仿宋_GB2312"/>
          <w:b/>
          <w:sz w:val="32"/>
          <w:szCs w:val="32"/>
        </w:rPr>
        <w:t>公务接待费支出</w:t>
      </w:r>
      <w:r>
        <w:rPr>
          <w:rFonts w:hint="eastAsia" w:ascii="仿宋_GB2312" w:eastAsia="仿宋_GB2312"/>
          <w:sz w:val="32"/>
          <w:szCs w:val="32"/>
        </w:rPr>
        <w:t>0.00万元，</w:t>
      </w:r>
      <w:r>
        <w:rPr>
          <w:rStyle w:val="15"/>
          <w:rFonts w:hint="eastAsia" w:ascii="仿宋" w:eastAsia="仿宋"/>
          <w:b w:val="0"/>
          <w:bCs/>
          <w:sz w:val="32"/>
          <w:szCs w:val="32"/>
        </w:rPr>
        <w:t>完成预算0.00</w:t>
      </w:r>
      <w:r>
        <w:rPr>
          <w:rStyle w:val="15"/>
          <w:rFonts w:ascii="仿宋" w:eastAsia="仿宋"/>
          <w:b w:val="0"/>
          <w:bCs/>
          <w:sz w:val="32"/>
          <w:szCs w:val="32"/>
        </w:rPr>
        <w:t>%</w:t>
      </w:r>
      <w:r>
        <w:rPr>
          <w:rStyle w:val="15"/>
          <w:rFonts w:hint="eastAsia" w:ascii="仿宋" w:eastAsia="仿宋"/>
          <w:b w:val="0"/>
          <w:bCs/>
          <w:sz w:val="32"/>
          <w:szCs w:val="32"/>
        </w:rPr>
        <w:t>。</w:t>
      </w:r>
    </w:p>
    <w:p>
      <w:pPr>
        <w:spacing w:line="600" w:lineRule="exact"/>
        <w:ind w:firstLine="640"/>
        <w:outlineLvl w:val="1"/>
        <w:rPr>
          <w:rStyle w:val="18"/>
          <w:rFonts w:ascii="黑体" w:eastAsia="黑体"/>
        </w:rPr>
      </w:pPr>
      <w:bookmarkStart w:id="41" w:name="_Toc15396610"/>
      <w:bookmarkStart w:id="42" w:name="_Toc15377218"/>
      <w:r>
        <w:rPr>
          <w:rFonts w:hint="eastAsia" w:ascii="黑体" w:eastAsia="黑体"/>
          <w:sz w:val="32"/>
          <w:szCs w:val="32"/>
        </w:rPr>
        <w:t>八、</w:t>
      </w:r>
      <w:r>
        <w:rPr>
          <w:rStyle w:val="18"/>
          <w:rFonts w:hint="eastAsia" w:ascii="黑体" w:eastAsia="黑体"/>
          <w:b w:val="0"/>
        </w:rPr>
        <w:t>政府性基金预算支出决算情况说明</w:t>
      </w:r>
      <w:bookmarkEnd w:id="41"/>
      <w:bookmarkEnd w:id="42"/>
    </w:p>
    <w:p>
      <w:pPr>
        <w:spacing w:line="600" w:lineRule="exact"/>
        <w:ind w:firstLine="64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21年政府性基金预算财政拨款支出0.00万元。</w:t>
      </w:r>
    </w:p>
    <w:p>
      <w:pPr>
        <w:numPr>
          <w:ilvl w:val="0"/>
          <w:numId w:val="2"/>
        </w:numPr>
        <w:spacing w:line="600" w:lineRule="exact"/>
        <w:ind w:firstLine="640"/>
        <w:outlineLvl w:val="1"/>
        <w:rPr>
          <w:rStyle w:val="18"/>
          <w:rFonts w:ascii="黑体" w:eastAsia="黑体"/>
          <w:b w:val="0"/>
        </w:rPr>
      </w:pPr>
      <w:bookmarkStart w:id="43" w:name="_Toc15377219"/>
      <w:bookmarkStart w:id="44" w:name="_Toc15396611"/>
      <w:r>
        <w:rPr>
          <w:rStyle w:val="18"/>
          <w:rFonts w:hint="eastAsia" w:ascii="黑体" w:eastAsia="黑体"/>
          <w:b w:val="0"/>
        </w:rPr>
        <w:t>国有资本经营预算支出决算情况说明</w:t>
      </w:r>
      <w:bookmarkEnd w:id="43"/>
      <w:bookmarkEnd w:id="44"/>
    </w:p>
    <w:p>
      <w:pPr>
        <w:spacing w:line="600" w:lineRule="exact"/>
        <w:ind w:firstLine="64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21年国有资本经营预算财政拨款支出0.00万元。</w:t>
      </w:r>
    </w:p>
    <w:p>
      <w:pPr>
        <w:spacing w:line="580" w:lineRule="exact"/>
        <w:jc w:val="center"/>
        <w:rPr>
          <w:rFonts w:ascii="方正小标宋简体" w:eastAsia="方正小标宋简体" w:cs="方正小标宋简体"/>
          <w:sz w:val="44"/>
          <w:szCs w:val="44"/>
        </w:rPr>
      </w:pPr>
    </w:p>
    <w:p>
      <w:pPr>
        <w:numPr>
          <w:ilvl w:val="0"/>
          <w:numId w:val="2"/>
        </w:numPr>
        <w:spacing w:line="600" w:lineRule="exact"/>
        <w:ind w:firstLine="640"/>
        <w:outlineLvl w:val="1"/>
        <w:rPr>
          <w:rStyle w:val="18"/>
          <w:rFonts w:ascii="黑体" w:eastAsia="黑体"/>
          <w:b w:val="0"/>
        </w:rPr>
      </w:pPr>
      <w:bookmarkStart w:id="45" w:name="_Toc15396612"/>
      <w:bookmarkStart w:id="46" w:name="_Toc15377221"/>
      <w:r>
        <w:rPr>
          <w:rStyle w:val="18"/>
          <w:rFonts w:hint="eastAsia" w:ascii="黑体" w:eastAsia="黑体"/>
          <w:b w:val="0"/>
        </w:rPr>
        <w:t>其他重要事项的情况说明</w:t>
      </w:r>
      <w:bookmarkEnd w:id="45"/>
      <w:bookmarkEnd w:id="46"/>
    </w:p>
    <w:p>
      <w:pPr>
        <w:spacing w:line="600" w:lineRule="exact"/>
        <w:ind w:firstLine="643" w:firstLineChars="200"/>
        <w:outlineLvl w:val="2"/>
        <w:rPr>
          <w:rFonts w:ascii="仿宋" w:eastAsia="仿宋"/>
          <w:sz w:val="32"/>
          <w:szCs w:val="32"/>
        </w:rPr>
      </w:pPr>
      <w:bookmarkStart w:id="47" w:name="_Toc15377222"/>
      <w:r>
        <w:rPr>
          <w:rFonts w:hint="eastAsia" w:ascii="仿宋" w:eastAsia="仿宋"/>
          <w:b/>
          <w:sz w:val="32"/>
          <w:szCs w:val="32"/>
        </w:rPr>
        <w:t>（一）机关运行经费支出情况</w:t>
      </w:r>
      <w:bookmarkEnd w:id="47"/>
    </w:p>
    <w:p>
      <w:pPr>
        <w:spacing w:line="600" w:lineRule="exact"/>
        <w:ind w:firstLine="640" w:firstLineChars="20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21年，机关运行经费支出0.00万元，与</w:t>
      </w:r>
      <w:r>
        <w:rPr>
          <w:rFonts w:ascii="仿宋_GB2312" w:eastAsia="仿宋_GB2312"/>
          <w:sz w:val="32"/>
          <w:szCs w:val="32"/>
        </w:rPr>
        <w:t>20</w:t>
      </w:r>
      <w:r>
        <w:rPr>
          <w:rFonts w:hint="eastAsia" w:ascii="仿宋_GB2312" w:eastAsia="仿宋_GB2312"/>
          <w:sz w:val="32"/>
          <w:szCs w:val="32"/>
        </w:rPr>
        <w:t>20年决算数持平。</w:t>
      </w:r>
    </w:p>
    <w:p>
      <w:pPr>
        <w:spacing w:line="600" w:lineRule="exact"/>
        <w:ind w:firstLine="643" w:firstLineChars="200"/>
        <w:rPr>
          <w:rFonts w:ascii="仿宋" w:eastAsia="仿宋"/>
          <w:b/>
          <w:sz w:val="32"/>
          <w:szCs w:val="32"/>
        </w:rPr>
      </w:pPr>
      <w:r>
        <w:rPr>
          <w:rFonts w:hint="eastAsia" w:ascii="仿宋" w:eastAsia="仿宋"/>
          <w:b/>
          <w:sz w:val="32"/>
          <w:szCs w:val="32"/>
        </w:rPr>
        <w:t>（注：数据来源于财决附</w:t>
      </w:r>
      <w:r>
        <w:rPr>
          <w:rFonts w:ascii="仿宋" w:eastAsia="仿宋"/>
          <w:b/>
          <w:sz w:val="32"/>
          <w:szCs w:val="32"/>
        </w:rPr>
        <w:t>03</w:t>
      </w:r>
      <w:r>
        <w:rPr>
          <w:rFonts w:hint="eastAsia" w:ascii="仿宋" w:eastAsia="仿宋"/>
          <w:b/>
          <w:sz w:val="32"/>
          <w:szCs w:val="32"/>
        </w:rPr>
        <w:t>表）</w:t>
      </w:r>
    </w:p>
    <w:p>
      <w:pPr>
        <w:autoSpaceDE w:val="0"/>
        <w:autoSpaceDN w:val="0"/>
        <w:adjustRightInd w:val="0"/>
        <w:spacing w:line="600" w:lineRule="exact"/>
        <w:ind w:firstLine="643" w:firstLineChars="200"/>
        <w:jc w:val="left"/>
        <w:outlineLvl w:val="2"/>
        <w:rPr>
          <w:rFonts w:ascii="仿宋" w:eastAsia="仿宋"/>
          <w:b/>
          <w:sz w:val="32"/>
          <w:szCs w:val="32"/>
        </w:rPr>
      </w:pPr>
      <w:bookmarkStart w:id="48" w:name="_Toc15377223"/>
      <w:r>
        <w:rPr>
          <w:rFonts w:hint="eastAsia" w:ascii="仿宋" w:eastAsia="仿宋"/>
          <w:b/>
          <w:sz w:val="32"/>
          <w:szCs w:val="32"/>
        </w:rPr>
        <w:t>（二）政府采购支出情况</w:t>
      </w:r>
      <w:bookmarkEnd w:id="48"/>
    </w:p>
    <w:p>
      <w:pPr>
        <w:spacing w:line="600" w:lineRule="exact"/>
        <w:ind w:firstLine="640" w:firstLineChars="20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21年，政府采购支出总额</w:t>
      </w:r>
      <w:r>
        <w:rPr>
          <w:rFonts w:ascii="仿宋_GB2312" w:eastAsia="仿宋_GB2312"/>
          <w:sz w:val="32"/>
          <w:szCs w:val="32"/>
        </w:rPr>
        <w:t>0</w:t>
      </w:r>
      <w:r>
        <w:rPr>
          <w:rFonts w:hint="eastAsia" w:ascii="仿宋_GB2312" w:eastAsia="仿宋_GB2312"/>
          <w:sz w:val="32"/>
          <w:szCs w:val="32"/>
        </w:rPr>
        <w:t>万元。</w:t>
      </w:r>
    </w:p>
    <w:p>
      <w:pPr>
        <w:spacing w:line="600" w:lineRule="exact"/>
        <w:ind w:firstLine="643" w:firstLineChars="200"/>
        <w:rPr>
          <w:rFonts w:ascii="仿宋" w:eastAsia="仿宋"/>
          <w:b/>
          <w:sz w:val="32"/>
          <w:szCs w:val="32"/>
        </w:rPr>
      </w:pPr>
      <w:r>
        <w:rPr>
          <w:rFonts w:hint="eastAsia" w:ascii="仿宋" w:eastAsia="仿宋"/>
          <w:b/>
          <w:sz w:val="32"/>
          <w:szCs w:val="32"/>
        </w:rPr>
        <w:t>（注：数据来源于财决附</w:t>
      </w:r>
      <w:r>
        <w:rPr>
          <w:rFonts w:ascii="仿宋" w:eastAsia="仿宋"/>
          <w:b/>
          <w:sz w:val="32"/>
          <w:szCs w:val="32"/>
        </w:rPr>
        <w:t>03</w:t>
      </w:r>
      <w:r>
        <w:rPr>
          <w:rFonts w:hint="eastAsia" w:ascii="仿宋" w:eastAsia="仿宋"/>
          <w:b/>
          <w:sz w:val="32"/>
          <w:szCs w:val="32"/>
        </w:rPr>
        <w:t>表）</w:t>
      </w:r>
    </w:p>
    <w:p>
      <w:pPr>
        <w:autoSpaceDE w:val="0"/>
        <w:autoSpaceDN w:val="0"/>
        <w:adjustRightInd w:val="0"/>
        <w:spacing w:line="600" w:lineRule="exact"/>
        <w:ind w:firstLine="643" w:firstLineChars="200"/>
        <w:jc w:val="left"/>
        <w:outlineLvl w:val="2"/>
        <w:rPr>
          <w:rFonts w:ascii="仿宋" w:eastAsia="仿宋"/>
          <w:b/>
          <w:sz w:val="32"/>
          <w:szCs w:val="32"/>
        </w:rPr>
      </w:pPr>
      <w:bookmarkStart w:id="49" w:name="_Toc15377224"/>
      <w:r>
        <w:rPr>
          <w:rFonts w:hint="eastAsia" w:ascii="仿宋" w:eastAsia="仿宋"/>
          <w:b/>
          <w:sz w:val="32"/>
          <w:szCs w:val="32"/>
        </w:rPr>
        <w:t>（三）国有资产占有使用情况</w:t>
      </w:r>
      <w:bookmarkEnd w:id="49"/>
    </w:p>
    <w:p>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w:t>
      </w:r>
      <w:r>
        <w:rPr>
          <w:rFonts w:hint="eastAsia" w:ascii="仿宋_GB2312" w:eastAsia="仿宋_GB2312"/>
          <w:sz w:val="32"/>
          <w:szCs w:val="32"/>
        </w:rPr>
        <w:t>21年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ascii="仿宋_GB2312" w:eastAsia="仿宋_GB2312"/>
          <w:sz w:val="32"/>
          <w:szCs w:val="32"/>
        </w:rPr>
        <w:t>阿坝州财政信息网络管理中心</w:t>
      </w:r>
      <w:r>
        <w:rPr>
          <w:rFonts w:hint="eastAsia" w:ascii="仿宋_GB2312" w:eastAsia="仿宋_GB2312"/>
          <w:sz w:val="32"/>
          <w:szCs w:val="32"/>
        </w:rPr>
        <w:t>共有车辆</w:t>
      </w:r>
      <w:r>
        <w:rPr>
          <w:rFonts w:ascii="仿宋_GB2312" w:eastAsia="仿宋_GB2312"/>
          <w:sz w:val="32"/>
          <w:szCs w:val="32"/>
        </w:rPr>
        <w:t>0</w:t>
      </w:r>
      <w:r>
        <w:rPr>
          <w:rFonts w:hint="eastAsia" w:ascii="仿宋_GB2312" w:eastAsia="仿宋_GB2312"/>
          <w:sz w:val="32"/>
          <w:szCs w:val="32"/>
        </w:rPr>
        <w:t>辆。</w:t>
      </w:r>
    </w:p>
    <w:p>
      <w:pPr>
        <w:autoSpaceDE w:val="0"/>
        <w:autoSpaceDN w:val="0"/>
        <w:adjustRightInd w:val="0"/>
        <w:spacing w:line="600" w:lineRule="exact"/>
        <w:ind w:firstLine="643" w:firstLineChars="200"/>
        <w:jc w:val="left"/>
        <w:outlineLvl w:val="2"/>
        <w:rPr>
          <w:rFonts w:ascii="仿宋" w:eastAsia="仿宋"/>
          <w:b/>
          <w:sz w:val="32"/>
          <w:szCs w:val="32"/>
        </w:rPr>
      </w:pPr>
      <w:r>
        <w:rPr>
          <w:rFonts w:hint="eastAsia" w:ascii="仿宋" w:eastAsia="仿宋"/>
          <w:b/>
          <w:sz w:val="32"/>
          <w:szCs w:val="32"/>
        </w:rPr>
        <w:t>（四）预算绩效管理情况</w:t>
      </w:r>
    </w:p>
    <w:p>
      <w:pPr>
        <w:spacing w:line="58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根据预算绩效管理要求，本单位在2021年度预算编制阶段，</w:t>
      </w:r>
      <w:r>
        <w:rPr>
          <w:rFonts w:ascii="仿宋_GB2312" w:eastAsia="仿宋_GB2312" w:cs="仿宋_GB2312"/>
          <w:sz w:val="32"/>
          <w:szCs w:val="32"/>
        </w:rPr>
        <w:t>因单位无项目，未</w:t>
      </w:r>
      <w:r>
        <w:rPr>
          <w:rFonts w:hint="eastAsia" w:ascii="仿宋_GB2312" w:eastAsia="仿宋_GB2312" w:cs="仿宋_GB2312"/>
          <w:sz w:val="32"/>
          <w:szCs w:val="32"/>
        </w:rPr>
        <w:t>对</w:t>
      </w:r>
      <w:r>
        <w:rPr>
          <w:rFonts w:ascii="仿宋_GB2312" w:eastAsia="仿宋_GB2312" w:cs="仿宋_GB2312"/>
          <w:sz w:val="32"/>
          <w:szCs w:val="32"/>
        </w:rPr>
        <w:t>0</w:t>
      </w:r>
      <w:r>
        <w:rPr>
          <w:rFonts w:hint="eastAsia" w:ascii="仿宋_GB2312" w:eastAsia="仿宋_GB2312" w:cs="仿宋_GB2312"/>
          <w:sz w:val="32"/>
          <w:szCs w:val="32"/>
        </w:rPr>
        <w:t>项目项目开展了预算事前绩效评估。</w:t>
      </w:r>
      <w:r>
        <w:rPr>
          <w:rFonts w:ascii="仿宋_GB2312" w:eastAsia="仿宋_GB2312" w:cs="仿宋_GB2312"/>
          <w:sz w:val="32"/>
          <w:szCs w:val="32"/>
        </w:rPr>
        <w:t xml:space="preserve"> </w:t>
      </w:r>
    </w:p>
    <w:p>
      <w:pPr>
        <w:autoSpaceDE w:val="0"/>
        <w:autoSpaceDN w:val="0"/>
        <w:adjustRightInd w:val="0"/>
        <w:spacing w:line="600" w:lineRule="exact"/>
        <w:ind w:firstLine="643" w:firstLineChars="200"/>
        <w:rPr>
          <w:rFonts w:ascii="仿宋" w:eastAsia="仿宋"/>
          <w:b/>
          <w:sz w:val="32"/>
          <w:szCs w:val="32"/>
        </w:rPr>
      </w:pPr>
      <w:r>
        <w:rPr>
          <w:rFonts w:hint="eastAsia" w:ascii="仿宋" w:eastAsia="仿宋"/>
          <w:b/>
          <w:sz w:val="32"/>
          <w:szCs w:val="32"/>
        </w:rPr>
        <w:t>（注：单位</w:t>
      </w:r>
      <w:r>
        <w:rPr>
          <w:rFonts w:hint="eastAsia" w:ascii="仿宋_GB2312" w:eastAsia="仿宋_GB2312" w:cs="仿宋_GB2312"/>
          <w:b/>
          <w:sz w:val="32"/>
          <w:szCs w:val="32"/>
        </w:rPr>
        <w:t>2021年特定目标类部门预算项目绩效目标自评表为本部门2021年部门整体支出绩效评价报告中涉及本单位的附表</w:t>
      </w:r>
      <w:r>
        <w:rPr>
          <w:rFonts w:hint="eastAsia" w:ascii="仿宋" w:eastAsia="仿宋"/>
          <w:b/>
          <w:sz w:val="32"/>
          <w:szCs w:val="32"/>
        </w:rPr>
        <w:t>）</w:t>
      </w:r>
    </w:p>
    <w:p>
      <w:pPr>
        <w:pStyle w:val="2"/>
        <w:spacing w:beforeLines="0"/>
        <w:rPr>
          <w:highlight w:val="yellow"/>
        </w:rPr>
      </w:pPr>
    </w:p>
    <w:p>
      <w:pPr>
        <w:widowControl/>
        <w:jc w:val="left"/>
        <w:rPr>
          <w:rFonts w:ascii="仿宋_GB2312" w:eastAsia="仿宋_GB2312"/>
          <w:b/>
          <w:sz w:val="32"/>
          <w:szCs w:val="32"/>
        </w:rPr>
      </w:pPr>
      <w:r>
        <w:rPr>
          <w:rFonts w:ascii="仿宋_GB2312" w:eastAsia="仿宋_GB2312"/>
          <w:b/>
          <w:sz w:val="32"/>
          <w:szCs w:val="32"/>
        </w:rPr>
        <w:br w:type="page"/>
      </w:r>
    </w:p>
    <w:p>
      <w:pPr>
        <w:numPr>
          <w:ilvl w:val="0"/>
          <w:numId w:val="3"/>
        </w:numPr>
        <w:spacing w:line="600" w:lineRule="exact"/>
        <w:ind w:firstLine="660" w:firstLineChars="150"/>
        <w:jc w:val="center"/>
        <w:outlineLvl w:val="0"/>
        <w:rPr>
          <w:rStyle w:val="17"/>
          <w:rFonts w:ascii="黑体" w:eastAsia="黑体"/>
          <w:b w:val="0"/>
        </w:rPr>
      </w:pPr>
      <w:bookmarkStart w:id="50" w:name="_Toc15396613"/>
      <w:bookmarkStart w:id="51" w:name="_Toc15377225"/>
      <w:r>
        <w:rPr>
          <w:rFonts w:hint="eastAsia" w:ascii="黑体" w:eastAsia="黑体"/>
          <w:sz w:val="44"/>
          <w:szCs w:val="44"/>
        </w:rPr>
        <w:t>名</w:t>
      </w:r>
      <w:r>
        <w:rPr>
          <w:rStyle w:val="17"/>
          <w:rFonts w:hint="eastAsia" w:ascii="黑体" w:eastAsia="黑体"/>
          <w:b w:val="0"/>
        </w:rPr>
        <w:t>词解释</w:t>
      </w:r>
      <w:bookmarkEnd w:id="50"/>
      <w:bookmarkEnd w:id="51"/>
    </w:p>
    <w:p>
      <w:pPr>
        <w:spacing w:line="600" w:lineRule="exact"/>
        <w:jc w:val="left"/>
        <w:rPr>
          <w:rFonts w:ascii="宋体"/>
          <w:b/>
          <w:sz w:val="44"/>
          <w:szCs w:val="44"/>
        </w:rPr>
      </w:pPr>
    </w:p>
    <w:p>
      <w:pPr>
        <w:pStyle w:val="22"/>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pPr>
        <w:pStyle w:val="22"/>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事业收入：指事业单位开展专业业务活动及辅助活动取得的收入。</w:t>
      </w:r>
    </w:p>
    <w:p>
      <w:pPr>
        <w:pStyle w:val="22"/>
        <w:spacing w:line="560" w:lineRule="exact"/>
        <w:ind w:firstLine="640" w:firstLineChars="200"/>
        <w:rPr>
          <w:rFonts w:hint="eastAsia" w:ascii="仿宋_GB2312" w:eastAsia="仿宋_GB2312"/>
          <w:color w:val="auto"/>
          <w:sz w:val="32"/>
          <w:szCs w:val="32"/>
        </w:rPr>
      </w:pPr>
      <w:r>
        <w:rPr>
          <w:rFonts w:ascii="仿宋_GB2312" w:eastAsia="仿宋_GB2312"/>
          <w:color w:val="auto"/>
          <w:sz w:val="32"/>
          <w:szCs w:val="32"/>
        </w:rPr>
        <w:t>3.</w:t>
      </w:r>
      <w:r>
        <w:rPr>
          <w:rFonts w:hint="eastAsia" w:ascii="仿宋_GB2312" w:eastAsia="仿宋_GB2312"/>
          <w:color w:val="auto"/>
          <w:sz w:val="32"/>
          <w:szCs w:val="32"/>
        </w:rPr>
        <w:t>经营收入：指事业单位在专业业务活动及其辅助活动之外开展非独立核算经营活动取得的收入。</w:t>
      </w:r>
    </w:p>
    <w:p>
      <w:pPr>
        <w:pStyle w:val="22"/>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4.</w:t>
      </w:r>
      <w:r>
        <w:rPr>
          <w:rFonts w:hint="eastAsia" w:ascii="仿宋_GB2312" w:eastAsia="仿宋_GB2312"/>
          <w:color w:val="auto"/>
          <w:sz w:val="32"/>
          <w:szCs w:val="32"/>
        </w:rPr>
        <w:t>其他收入：指单位取得的除上述收入以外的各项收入。</w:t>
      </w:r>
    </w:p>
    <w:p>
      <w:pPr>
        <w:pStyle w:val="22"/>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5.</w:t>
      </w:r>
      <w:r>
        <w:rPr>
          <w:rFonts w:hint="eastAsia" w:ascii="仿宋_GB2312" w:eastAsia="仿宋_GB2312"/>
          <w:color w:val="auto"/>
          <w:sz w:val="32"/>
          <w:szCs w:val="32"/>
        </w:rPr>
        <w:t>使用非财政拨款结余：指事业单位使用以前年度积累的非财政拨款结余弥补当年收支差额的金额。</w:t>
      </w:r>
    </w:p>
    <w:p>
      <w:pPr>
        <w:pStyle w:val="22"/>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6.</w:t>
      </w:r>
      <w:r>
        <w:rPr>
          <w:rFonts w:hint="eastAsia" w:ascii="仿宋_GB2312" w:eastAsia="仿宋_GB2312"/>
          <w:color w:val="auto"/>
          <w:sz w:val="32"/>
          <w:szCs w:val="32"/>
        </w:rPr>
        <w:t>年初结转和结余：指以前年度尚未完成、结转到本年按有关规定继续使用的资金。</w:t>
      </w:r>
    </w:p>
    <w:p>
      <w:pPr>
        <w:pStyle w:val="22"/>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7.</w:t>
      </w:r>
      <w:r>
        <w:rPr>
          <w:rFonts w:hint="eastAsia" w:ascii="仿宋_GB2312" w:eastAsia="仿宋_GB2312"/>
          <w:color w:val="auto"/>
          <w:sz w:val="32"/>
          <w:szCs w:val="32"/>
        </w:rPr>
        <w:t>结余分配：指事业单位按照会计制度规定缴纳的所得税、提取的专用结余以及转入非财政拨款结余的金额等。</w:t>
      </w:r>
    </w:p>
    <w:p>
      <w:pPr>
        <w:pStyle w:val="22"/>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8</w:t>
      </w:r>
      <w:r>
        <w:rPr>
          <w:rFonts w:hint="eastAsia" w:ascii="仿宋_GB2312" w:eastAsia="仿宋_GB2312"/>
          <w:color w:val="auto"/>
          <w:sz w:val="32"/>
          <w:szCs w:val="32"/>
        </w:rPr>
        <w:t>、年末结转和结余：指单位按有关规定结转到下年或以后年度继续使用的资金。</w:t>
      </w:r>
    </w:p>
    <w:p>
      <w:pPr>
        <w:pStyle w:val="22"/>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9.</w:t>
      </w:r>
      <w:r>
        <w:rPr>
          <w:rFonts w:hint="eastAsia" w:ascii="仿宋_GB2312" w:eastAsia="仿宋_GB2312"/>
          <w:color w:val="auto"/>
          <w:sz w:val="32"/>
          <w:szCs w:val="32"/>
        </w:rPr>
        <w:t xml:space="preserve"> 一般公共服务（类）201（款）06（项）05：指反映财政部门用于财政国库集中支付收付业务方面的支出。</w:t>
      </w:r>
    </w:p>
    <w:p>
      <w:pPr>
        <w:pStyle w:val="22"/>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12.一般公共服务（类）201（款）06（项）06：指反映财政监察派出机构的专项业务的支出。</w:t>
      </w:r>
    </w:p>
    <w:p>
      <w:pPr>
        <w:pStyle w:val="22"/>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13.一般公共服务（类）201（款）06（项）07：指反映财政部门用于信息化建设方面的支出。</w:t>
      </w:r>
    </w:p>
    <w:p>
      <w:pPr>
        <w:pStyle w:val="22"/>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14.一般公共服务（类）201（款）06（项）08：指反映财政委托评审机构进行财政投资投资评审和委托建设银行等机构代理业务发生的支出。</w:t>
      </w:r>
    </w:p>
    <w:p>
      <w:pPr>
        <w:pStyle w:val="22"/>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15.一般公共服务（类）201（款）06（项）50：指反映事业单位的基本支出，不包括行政单位（包括实行公务员管理的事业单位）后勤服务中心、医务室等附属事业单位。</w:t>
      </w:r>
    </w:p>
    <w:p>
      <w:pPr>
        <w:pStyle w:val="22"/>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16.社会保障和就业（类）208（款）01（项）05：指反映劳动保障监察事务支出。</w:t>
      </w:r>
    </w:p>
    <w:p>
      <w:pPr>
        <w:pStyle w:val="22"/>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17.社会保障和就业（类）208（款）01（项）06：指反映就业和职业技能鉴定管理方面的支出。</w:t>
      </w:r>
    </w:p>
    <w:p>
      <w:pPr>
        <w:pStyle w:val="22"/>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18.住房保障（类）221（款）02（项）01：指反映行政事业单位按人力资源和社会保障部、财政部规定的基本工资和津贴补贴以及规定比例为职工缴纳的住房公积金。</w:t>
      </w:r>
    </w:p>
    <w:p>
      <w:pPr>
        <w:pStyle w:val="22"/>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19.住房保障（类）221（款）02（项）03：指反映按房改政策规定，行政事业单位向符合条件职业（含离退休人员）、军队（含武警）向转役复员离退休人员发放的用于购买住房的补贴。</w:t>
      </w:r>
    </w:p>
    <w:p>
      <w:pPr>
        <w:pStyle w:val="22"/>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20.卫生健康（类）210（款）01（项）01：指反映行政单位（包括实行公务员管理的事业单位）的基本支出。</w:t>
      </w:r>
    </w:p>
    <w:p>
      <w:pPr>
        <w:pStyle w:val="22"/>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21.卫生健康（类）210（款）01（项）02：指反映行政单位（包括实行公务员管理的事业单位）未单独设置项级科目的其他项目支出。</w:t>
      </w:r>
    </w:p>
    <w:p>
      <w:pPr>
        <w:pStyle w:val="22"/>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22.卫生健康（类）210（款）01（项）03：指反映为行政单位（包括实行公务员管理的事业单位）提供后勤服务的各类后勤服务中心、医务室等附属事业单位的支出。其他事业单位的支出，凡单独设置了项级科目的，在单独设置的项级科目中反映。未单设项级科目的，在“其他”项级科目中反映。</w:t>
      </w:r>
    </w:p>
    <w:p>
      <w:pPr>
        <w:pStyle w:val="22"/>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23.卫生健康（类）210（款）01（项）99：指反映上述项目以外其他用于卫生健康管理事务方面的支出。</w:t>
      </w:r>
    </w:p>
    <w:p>
      <w:pPr>
        <w:pStyle w:val="22"/>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24.基本支出：指为保障机构正常运转、完成日常工作任务而发生的人员支出和公用支出。</w:t>
      </w:r>
    </w:p>
    <w:p>
      <w:pPr>
        <w:pStyle w:val="22"/>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25.项目支出：指在基本支出之外为完成特定行政任务和事业发展目标所发生的支出。</w:t>
      </w:r>
    </w:p>
    <w:p>
      <w:pPr>
        <w:pStyle w:val="22"/>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26.经营支出：指事业单位在专业业务活动及其辅助活动之外开展非独立核算经营活动发生的支出。</w:t>
      </w:r>
    </w:p>
    <w:p>
      <w:pPr>
        <w:pStyle w:val="22"/>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27.“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2"/>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28.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2"/>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29.</w:t>
      </w:r>
      <w:r>
        <w:rPr>
          <w:rFonts w:hint="eastAsia" w:ascii="仿宋_GB2312" w:eastAsia="仿宋_GB2312"/>
          <w:color w:val="auto"/>
          <w:sz w:val="32"/>
          <w:szCs w:val="32"/>
        </w:rPr>
        <w:t>经营支出：指事业单位在专业业务活动及其辅助活动之外开展非独立核算经营活动发生的支出。</w:t>
      </w:r>
    </w:p>
    <w:p>
      <w:pPr>
        <w:pStyle w:val="22"/>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30.</w:t>
      </w:r>
      <w:r>
        <w:rPr>
          <w:rFonts w:hint="eastAsia" w:ascii="仿宋_GB2312" w:eastAsia="仿宋_GB2312"/>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2"/>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31.</w:t>
      </w:r>
      <w:r>
        <w:rPr>
          <w:rFonts w:hint="eastAsia" w:ascii="仿宋_GB2312" w:eastAsia="仿宋_GB2312"/>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2"/>
        <w:spacing w:line="560" w:lineRule="exact"/>
        <w:ind w:firstLine="640" w:firstLineChars="200"/>
        <w:rPr>
          <w:rFonts w:ascii="仿宋_GB2312" w:eastAsia="仿宋_GB2312"/>
          <w:color w:val="auto"/>
          <w:sz w:val="32"/>
          <w:szCs w:val="32"/>
        </w:rPr>
      </w:pPr>
    </w:p>
    <w:p>
      <w:pPr>
        <w:pStyle w:val="22"/>
        <w:spacing w:line="560" w:lineRule="exact"/>
        <w:ind w:firstLine="640" w:firstLineChars="200"/>
        <w:rPr>
          <w:rFonts w:ascii="仿宋_GB2312" w:eastAsia="仿宋_GB2312"/>
          <w:color w:val="auto"/>
          <w:sz w:val="32"/>
          <w:szCs w:val="32"/>
        </w:rPr>
      </w:pPr>
      <w:bookmarkStart w:id="52" w:name="_Toc15396614"/>
      <w:bookmarkStart w:id="53" w:name="_Toc15377226"/>
      <w:r>
        <w:rPr>
          <w:rFonts w:ascii="仿宋_GB2312" w:eastAsia="仿宋_GB2312"/>
          <w:color w:val="auto"/>
          <w:sz w:val="32"/>
          <w:szCs w:val="32"/>
        </w:rPr>
        <w:br w:type="page"/>
      </w:r>
    </w:p>
    <w:p>
      <w:pPr>
        <w:spacing w:line="600" w:lineRule="exact"/>
        <w:jc w:val="center"/>
        <w:outlineLvl w:val="0"/>
        <w:rPr>
          <w:rStyle w:val="17"/>
          <w:rFonts w:ascii="黑体" w:eastAsia="黑体"/>
          <w:b w:val="0"/>
        </w:rPr>
      </w:pPr>
      <w:r>
        <w:rPr>
          <w:rFonts w:hint="eastAsia" w:ascii="黑体" w:eastAsia="黑体"/>
          <w:sz w:val="44"/>
          <w:szCs w:val="44"/>
        </w:rPr>
        <w:t>第</w:t>
      </w:r>
      <w:r>
        <w:rPr>
          <w:rStyle w:val="17"/>
          <w:rFonts w:hint="eastAsia" w:ascii="黑体" w:eastAsia="黑体"/>
          <w:b w:val="0"/>
        </w:rPr>
        <w:t>四部分 附件</w:t>
      </w:r>
      <w:bookmarkEnd w:id="52"/>
    </w:p>
    <w:p>
      <w:pPr>
        <w:spacing w:line="572" w:lineRule="exact"/>
        <w:jc w:val="left"/>
        <w:outlineLvl w:val="0"/>
        <w:rPr>
          <w:rFonts w:ascii="仿宋_GB2312" w:eastAsia="仿宋_GB2312" w:cs="仿宋_GB2312"/>
          <w:sz w:val="32"/>
          <w:szCs w:val="32"/>
        </w:rPr>
      </w:pPr>
      <w:r>
        <w:rPr>
          <w:rFonts w:hint="eastAsia" w:ascii="黑体" w:eastAsia="黑体" w:cs="黑体"/>
          <w:sz w:val="32"/>
          <w:szCs w:val="32"/>
        </w:rPr>
        <w:t>附件</w:t>
      </w:r>
    </w:p>
    <w:tbl>
      <w:tblPr>
        <w:tblStyle w:val="13"/>
        <w:tblpPr w:leftFromText="180" w:rightFromText="180" w:vertAnchor="text" w:horzAnchor="page" w:tblpX="1281" w:tblpY="660"/>
        <w:tblOverlap w:val="never"/>
        <w:tblW w:w="9811" w:type="dxa"/>
        <w:tblInd w:w="0" w:type="dxa"/>
        <w:tblLayout w:type="fixed"/>
        <w:tblCellMar>
          <w:top w:w="0" w:type="dxa"/>
          <w:left w:w="108" w:type="dxa"/>
          <w:bottom w:w="0" w:type="dxa"/>
          <w:right w:w="108" w:type="dxa"/>
        </w:tblCellMar>
      </w:tblPr>
      <w:tblGrid>
        <w:gridCol w:w="1976"/>
        <w:gridCol w:w="1142"/>
        <w:gridCol w:w="1635"/>
        <w:gridCol w:w="1189"/>
        <w:gridCol w:w="1224"/>
        <w:gridCol w:w="2409"/>
        <w:gridCol w:w="236"/>
      </w:tblGrid>
      <w:tr>
        <w:tblPrEx>
          <w:tblCellMar>
            <w:top w:w="0" w:type="dxa"/>
            <w:left w:w="108" w:type="dxa"/>
            <w:bottom w:w="0" w:type="dxa"/>
            <w:right w:w="108" w:type="dxa"/>
          </w:tblCellMar>
        </w:tblPrEx>
        <w:trPr>
          <w:trHeight w:val="675" w:hRule="atLeast"/>
        </w:trPr>
        <w:tc>
          <w:tcPr>
            <w:tcW w:w="9577" w:type="dxa"/>
            <w:gridSpan w:val="6"/>
            <w:tcBorders>
              <w:top w:val="nil"/>
              <w:left w:val="nil"/>
              <w:bottom w:val="nil"/>
              <w:right w:val="nil"/>
            </w:tcBorders>
            <w:shd w:val="clear" w:color="auto" w:fill="auto"/>
            <w:noWrap/>
            <w:vAlign w:val="center"/>
          </w:tcPr>
          <w:p>
            <w:pPr>
              <w:widowControl/>
              <w:textAlignment w:val="center"/>
              <w:rPr>
                <w:rFonts w:ascii="宋体" w:cs="宋体"/>
                <w:b/>
                <w:sz w:val="32"/>
                <w:szCs w:val="32"/>
              </w:rPr>
            </w:pPr>
            <w:bookmarkStart w:id="54" w:name="_Toc15396618"/>
            <w:r>
              <w:rPr>
                <w:rFonts w:hint="eastAsia" w:ascii="宋体" w:cs="宋体"/>
                <w:b/>
                <w:sz w:val="32"/>
                <w:szCs w:val="32"/>
              </w:rPr>
              <w:t>2021年100万元以上（含）特定目标类部门预算项目绩效目标自评</w:t>
            </w:r>
          </w:p>
        </w:tc>
        <w:tc>
          <w:tcPr>
            <w:tcW w:w="234" w:type="dxa"/>
            <w:tcBorders>
              <w:top w:val="nil"/>
              <w:left w:val="nil"/>
              <w:bottom w:val="nil"/>
              <w:right w:val="nil"/>
            </w:tcBorders>
            <w:shd w:val="clear" w:color="auto" w:fill="auto"/>
            <w:noWrap/>
            <w:vAlign w:val="center"/>
          </w:tcPr>
          <w:p>
            <w:pPr>
              <w:widowControl/>
              <w:jc w:val="center"/>
              <w:textAlignment w:val="center"/>
              <w:rPr>
                <w:rFonts w:ascii="宋体" w:cs="宋体"/>
                <w:b/>
                <w:kern w:val="0"/>
                <w:sz w:val="32"/>
                <w:szCs w:val="32"/>
              </w:rPr>
            </w:pPr>
          </w:p>
        </w:tc>
      </w:tr>
      <w:tr>
        <w:tblPrEx>
          <w:tblCellMar>
            <w:top w:w="0" w:type="dxa"/>
            <w:left w:w="108" w:type="dxa"/>
            <w:bottom w:w="0" w:type="dxa"/>
            <w:right w:w="108" w:type="dxa"/>
          </w:tblCellMar>
        </w:tblPrEx>
        <w:trPr>
          <w:gridAfter w:val="1"/>
          <w:wAfter w:w="236" w:type="dxa"/>
          <w:trHeight w:val="254" w:hRule="atLeast"/>
        </w:trPr>
        <w:tc>
          <w:tcPr>
            <w:tcW w:w="311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宋体" w:cs="宋体"/>
                <w:sz w:val="24"/>
              </w:rPr>
            </w:pPr>
            <w:r>
              <w:rPr>
                <w:rFonts w:hint="eastAsia" w:ascii="宋体" w:cs="宋体"/>
                <w:kern w:val="0"/>
                <w:sz w:val="24"/>
              </w:rPr>
              <w:t>主管部门及代码</w:t>
            </w:r>
          </w:p>
        </w:tc>
        <w:tc>
          <w:tcPr>
            <w:tcW w:w="282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textAlignment w:val="center"/>
              <w:rPr>
                <w:rFonts w:ascii="宋体" w:cs="宋体"/>
                <w:sz w:val="24"/>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宋体" w:cs="宋体"/>
                <w:sz w:val="24"/>
              </w:rPr>
            </w:pPr>
            <w:r>
              <w:rPr>
                <w:rFonts w:hint="eastAsia" w:ascii="宋体" w:cs="宋体"/>
                <w:kern w:val="0"/>
                <w:sz w:val="24"/>
              </w:rPr>
              <w:t>实施单位</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宋体" w:cs="宋体"/>
                <w:sz w:val="24"/>
              </w:rPr>
            </w:pPr>
          </w:p>
        </w:tc>
      </w:tr>
      <w:tr>
        <w:tblPrEx>
          <w:tblCellMar>
            <w:top w:w="0" w:type="dxa"/>
            <w:left w:w="108" w:type="dxa"/>
            <w:bottom w:w="0" w:type="dxa"/>
            <w:right w:w="108" w:type="dxa"/>
          </w:tblCellMar>
        </w:tblPrEx>
        <w:trPr>
          <w:gridAfter w:val="1"/>
          <w:wAfter w:w="236" w:type="dxa"/>
          <w:trHeight w:val="341" w:hRule="atLeast"/>
        </w:trPr>
        <w:tc>
          <w:tcPr>
            <w:tcW w:w="31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宋体" w:cs="宋体"/>
                <w:sz w:val="24"/>
              </w:rPr>
            </w:pPr>
            <w:r>
              <w:rPr>
                <w:rFonts w:hint="eastAsia" w:ascii="宋体" w:cs="宋体"/>
                <w:kern w:val="0"/>
                <w:sz w:val="24"/>
              </w:rPr>
              <w:t>项目预算</w:t>
            </w:r>
            <w:r>
              <w:rPr>
                <w:rFonts w:hint="eastAsia" w:ascii="宋体" w:cs="宋体"/>
                <w:kern w:val="0"/>
                <w:sz w:val="24"/>
              </w:rPr>
              <w:br w:type="textWrapping"/>
            </w:r>
            <w:r>
              <w:rPr>
                <w:rFonts w:hint="eastAsia" w:ascii="宋体" w:cs="宋体"/>
                <w:kern w:val="0"/>
                <w:sz w:val="24"/>
              </w:rPr>
              <w:t>执行情况</w:t>
            </w:r>
            <w:r>
              <w:rPr>
                <w:rFonts w:hint="eastAsia" w:ascii="宋体" w:cs="宋体"/>
                <w:kern w:val="0"/>
                <w:sz w:val="24"/>
              </w:rPr>
              <w:br w:type="textWrapping"/>
            </w:r>
            <w:r>
              <w:rPr>
                <w:rFonts w:hint="eastAsia" w:ascii="宋体" w:cs="宋体"/>
                <w:kern w:val="0"/>
                <w:sz w:val="24"/>
              </w:rPr>
              <w:t>（万元）</w:t>
            </w: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left"/>
              <w:textAlignment w:val="center"/>
              <w:rPr>
                <w:rFonts w:ascii="宋体" w:cs="宋体"/>
                <w:sz w:val="24"/>
              </w:rPr>
            </w:pPr>
            <w:r>
              <w:rPr>
                <w:rFonts w:hint="eastAsia" w:ascii="宋体" w:cs="宋体"/>
                <w:kern w:val="0"/>
                <w:sz w:val="24"/>
              </w:rPr>
              <w:t xml:space="preserve"> 预算数：</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left"/>
              <w:textAlignment w:val="center"/>
              <w:rPr>
                <w:rFonts w:ascii="宋体" w:cs="宋体"/>
                <w:sz w:val="24"/>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left"/>
              <w:textAlignment w:val="center"/>
              <w:rPr>
                <w:rFonts w:ascii="宋体" w:cs="宋体"/>
                <w:sz w:val="24"/>
              </w:rPr>
            </w:pPr>
            <w:r>
              <w:rPr>
                <w:rFonts w:hint="eastAsia" w:ascii="宋体" w:cs="宋体"/>
                <w:kern w:val="0"/>
                <w:sz w:val="24"/>
              </w:rPr>
              <w:t xml:space="preserve"> 执行数：</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right"/>
              <w:textAlignment w:val="center"/>
              <w:rPr>
                <w:rFonts w:ascii="宋体" w:cs="宋体"/>
                <w:sz w:val="24"/>
              </w:rPr>
            </w:pPr>
          </w:p>
        </w:tc>
      </w:tr>
      <w:tr>
        <w:tblPrEx>
          <w:tblCellMar>
            <w:top w:w="0" w:type="dxa"/>
            <w:left w:w="108" w:type="dxa"/>
            <w:bottom w:w="0" w:type="dxa"/>
            <w:right w:w="108" w:type="dxa"/>
          </w:tblCellMar>
        </w:tblPrEx>
        <w:trPr>
          <w:gridAfter w:val="1"/>
          <w:wAfter w:w="236" w:type="dxa"/>
          <w:trHeight w:val="555" w:hRule="atLeast"/>
        </w:trPr>
        <w:tc>
          <w:tcPr>
            <w:tcW w:w="3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left"/>
              <w:textAlignment w:val="center"/>
              <w:rPr>
                <w:rFonts w:ascii="宋体" w:cs="宋体"/>
                <w:kern w:val="0"/>
                <w:sz w:val="24"/>
              </w:rPr>
            </w:pPr>
            <w:r>
              <w:rPr>
                <w:rFonts w:hint="eastAsia" w:ascii="宋体" w:cs="宋体"/>
                <w:kern w:val="0"/>
                <w:sz w:val="24"/>
              </w:rPr>
              <w:t>其中：</w:t>
            </w:r>
          </w:p>
          <w:p>
            <w:pPr>
              <w:widowControl/>
              <w:spacing w:line="320" w:lineRule="exact"/>
              <w:jc w:val="left"/>
              <w:textAlignment w:val="center"/>
              <w:rPr>
                <w:rFonts w:ascii="宋体" w:cs="宋体"/>
                <w:sz w:val="24"/>
              </w:rPr>
            </w:pPr>
            <w:r>
              <w:rPr>
                <w:rFonts w:hint="eastAsia" w:ascii="宋体" w:cs="宋体"/>
                <w:kern w:val="0"/>
                <w:sz w:val="24"/>
              </w:rPr>
              <w:t>财政拨款</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left"/>
              <w:textAlignment w:val="center"/>
              <w:rPr>
                <w:rFonts w:ascii="宋体" w:cs="宋体"/>
                <w:sz w:val="24"/>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left"/>
              <w:textAlignment w:val="center"/>
              <w:rPr>
                <w:rFonts w:ascii="宋体" w:cs="宋体"/>
                <w:kern w:val="0"/>
                <w:sz w:val="24"/>
              </w:rPr>
            </w:pPr>
            <w:r>
              <w:rPr>
                <w:rFonts w:hint="eastAsia" w:ascii="宋体" w:cs="宋体"/>
                <w:kern w:val="0"/>
                <w:sz w:val="24"/>
              </w:rPr>
              <w:t>其中：</w:t>
            </w:r>
          </w:p>
          <w:p>
            <w:pPr>
              <w:widowControl/>
              <w:spacing w:line="320" w:lineRule="exact"/>
              <w:jc w:val="left"/>
              <w:textAlignment w:val="center"/>
              <w:rPr>
                <w:rFonts w:ascii="宋体" w:cs="宋体"/>
                <w:sz w:val="24"/>
              </w:rPr>
            </w:pPr>
            <w:r>
              <w:rPr>
                <w:rFonts w:hint="eastAsia" w:ascii="宋体" w:cs="宋体"/>
                <w:kern w:val="0"/>
                <w:sz w:val="24"/>
              </w:rPr>
              <w:t>财政拨款</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textAlignment w:val="center"/>
              <w:rPr>
                <w:rFonts w:ascii="宋体" w:cs="宋体"/>
                <w:sz w:val="24"/>
              </w:rPr>
            </w:pPr>
          </w:p>
        </w:tc>
      </w:tr>
      <w:tr>
        <w:tblPrEx>
          <w:tblCellMar>
            <w:top w:w="0" w:type="dxa"/>
            <w:left w:w="108" w:type="dxa"/>
            <w:bottom w:w="0" w:type="dxa"/>
            <w:right w:w="108" w:type="dxa"/>
          </w:tblCellMar>
        </w:tblPrEx>
        <w:trPr>
          <w:gridAfter w:val="1"/>
          <w:wAfter w:w="236" w:type="dxa"/>
          <w:trHeight w:val="341" w:hRule="atLeast"/>
        </w:trPr>
        <w:tc>
          <w:tcPr>
            <w:tcW w:w="3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left"/>
              <w:textAlignment w:val="center"/>
              <w:rPr>
                <w:rFonts w:ascii="宋体" w:cs="宋体"/>
                <w:sz w:val="24"/>
              </w:rPr>
            </w:pPr>
            <w:r>
              <w:rPr>
                <w:rFonts w:hint="eastAsia" w:ascii="宋体" w:cs="宋体"/>
                <w:kern w:val="0"/>
                <w:sz w:val="24"/>
              </w:rPr>
              <w:t>其他资金</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left"/>
              <w:textAlignment w:val="center"/>
              <w:rPr>
                <w:rFonts w:ascii="宋体" w:cs="宋体"/>
                <w:sz w:val="24"/>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left"/>
              <w:textAlignment w:val="center"/>
              <w:rPr>
                <w:rFonts w:ascii="宋体" w:cs="宋体"/>
                <w:sz w:val="24"/>
              </w:rPr>
            </w:pPr>
            <w:r>
              <w:rPr>
                <w:rFonts w:hint="eastAsia" w:ascii="宋体" w:cs="宋体"/>
                <w:kern w:val="0"/>
                <w:sz w:val="24"/>
              </w:rPr>
              <w:t>其他资金</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宋体" w:cs="宋体"/>
                <w:sz w:val="24"/>
              </w:rPr>
            </w:pPr>
          </w:p>
        </w:tc>
      </w:tr>
      <w:tr>
        <w:tblPrEx>
          <w:tblCellMar>
            <w:top w:w="0" w:type="dxa"/>
            <w:left w:w="108" w:type="dxa"/>
            <w:bottom w:w="0" w:type="dxa"/>
            <w:right w:w="108" w:type="dxa"/>
          </w:tblCellMar>
        </w:tblPrEx>
        <w:trPr>
          <w:gridAfter w:val="1"/>
          <w:wAfter w:w="236" w:type="dxa"/>
          <w:trHeight w:val="217" w:hRule="atLeast"/>
        </w:trPr>
        <w:tc>
          <w:tcPr>
            <w:tcW w:w="197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宋体" w:cs="宋体"/>
                <w:kern w:val="0"/>
                <w:sz w:val="24"/>
              </w:rPr>
            </w:pPr>
            <w:r>
              <w:rPr>
                <w:rFonts w:hint="eastAsia" w:ascii="宋体" w:cs="宋体"/>
                <w:kern w:val="0"/>
                <w:sz w:val="24"/>
              </w:rPr>
              <w:t>年度总体目标</w:t>
            </w:r>
          </w:p>
          <w:p>
            <w:pPr>
              <w:widowControl/>
              <w:spacing w:line="320" w:lineRule="exact"/>
              <w:jc w:val="center"/>
              <w:textAlignment w:val="center"/>
              <w:rPr>
                <w:rFonts w:ascii="宋体" w:cs="宋体"/>
                <w:sz w:val="24"/>
              </w:rPr>
            </w:pPr>
            <w:r>
              <w:rPr>
                <w:rFonts w:hint="eastAsia" w:ascii="宋体" w:cs="宋体"/>
                <w:kern w:val="0"/>
                <w:sz w:val="24"/>
              </w:rPr>
              <w:t>完成情况</w:t>
            </w:r>
          </w:p>
        </w:tc>
        <w:tc>
          <w:tcPr>
            <w:tcW w:w="396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宋体" w:cs="宋体"/>
                <w:sz w:val="24"/>
              </w:rPr>
            </w:pPr>
            <w:r>
              <w:rPr>
                <w:rFonts w:hint="eastAsia" w:ascii="宋体" w:cs="宋体"/>
                <w:kern w:val="0"/>
                <w:sz w:val="24"/>
              </w:rPr>
              <w:t>预期目标</w:t>
            </w:r>
          </w:p>
        </w:tc>
        <w:tc>
          <w:tcPr>
            <w:tcW w:w="363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宋体" w:cs="宋体"/>
                <w:sz w:val="24"/>
              </w:rPr>
            </w:pPr>
            <w:r>
              <w:rPr>
                <w:rFonts w:hint="eastAsia" w:ascii="宋体" w:cs="宋体"/>
                <w:kern w:val="0"/>
                <w:sz w:val="24"/>
              </w:rPr>
              <w:t>目标实际完成情况</w:t>
            </w:r>
          </w:p>
        </w:tc>
      </w:tr>
      <w:tr>
        <w:tblPrEx>
          <w:tblCellMar>
            <w:top w:w="0" w:type="dxa"/>
            <w:left w:w="108" w:type="dxa"/>
            <w:bottom w:w="0" w:type="dxa"/>
            <w:right w:w="108" w:type="dxa"/>
          </w:tblCellMar>
        </w:tblPrEx>
        <w:trPr>
          <w:gridAfter w:val="1"/>
          <w:wAfter w:w="236" w:type="dxa"/>
          <w:trHeight w:val="797" w:hRule="atLeast"/>
        </w:trPr>
        <w:tc>
          <w:tcPr>
            <w:tcW w:w="197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tc>
        <w:tc>
          <w:tcPr>
            <w:tcW w:w="3966" w:type="dxa"/>
            <w:gridSpan w:val="3"/>
            <w:tcBorders>
              <w:top w:val="single" w:color="000000" w:sz="4" w:space="0"/>
              <w:left w:val="single" w:color="000000" w:sz="4" w:space="0"/>
              <w:bottom w:val="single" w:color="000000" w:sz="4" w:space="0"/>
              <w:right w:val="single" w:color="000000" w:sz="4" w:space="0"/>
            </w:tcBorders>
            <w:shd w:val="clear" w:color="auto" w:fill="auto"/>
            <w:noWrap/>
          </w:tcPr>
          <w:p>
            <w:pPr>
              <w:widowControl/>
              <w:spacing w:line="320" w:lineRule="exact"/>
              <w:jc w:val="left"/>
              <w:textAlignment w:val="top"/>
              <w:rPr>
                <w:rFonts w:ascii="宋体" w:cs="宋体"/>
                <w:sz w:val="24"/>
              </w:rPr>
            </w:pPr>
          </w:p>
        </w:tc>
        <w:tc>
          <w:tcPr>
            <w:tcW w:w="3634" w:type="dxa"/>
            <w:gridSpan w:val="2"/>
            <w:tcBorders>
              <w:top w:val="single" w:color="000000" w:sz="4" w:space="0"/>
              <w:left w:val="single" w:color="000000" w:sz="4" w:space="0"/>
              <w:bottom w:val="single" w:color="000000" w:sz="4" w:space="0"/>
              <w:right w:val="single" w:color="000000" w:sz="4" w:space="0"/>
            </w:tcBorders>
            <w:shd w:val="clear" w:color="auto" w:fill="auto"/>
            <w:noWrap/>
          </w:tcPr>
          <w:p>
            <w:pPr>
              <w:widowControl/>
              <w:spacing w:line="320" w:lineRule="exact"/>
              <w:jc w:val="left"/>
              <w:textAlignment w:val="top"/>
              <w:rPr>
                <w:rFonts w:ascii="宋体" w:cs="宋体"/>
                <w:sz w:val="24"/>
              </w:rPr>
            </w:pPr>
          </w:p>
        </w:tc>
      </w:tr>
      <w:tr>
        <w:tblPrEx>
          <w:tblCellMar>
            <w:top w:w="0" w:type="dxa"/>
            <w:left w:w="108" w:type="dxa"/>
            <w:bottom w:w="0" w:type="dxa"/>
            <w:right w:w="108" w:type="dxa"/>
          </w:tblCellMar>
        </w:tblPrEx>
        <w:trPr>
          <w:gridAfter w:val="1"/>
          <w:wAfter w:w="236" w:type="dxa"/>
          <w:trHeight w:val="693" w:hRule="atLeast"/>
        </w:trPr>
        <w:tc>
          <w:tcPr>
            <w:tcW w:w="1977" w:type="dxa"/>
            <w:vMerge w:val="restart"/>
            <w:tcBorders>
              <w:top w:val="single" w:color="000000" w:sz="4" w:space="0"/>
              <w:left w:val="single" w:color="000000" w:sz="4" w:space="0"/>
              <w:bottom w:val="nil"/>
              <w:right w:val="single" w:color="000000" w:sz="4" w:space="0"/>
            </w:tcBorders>
            <w:shd w:val="clear" w:color="auto" w:fill="auto"/>
            <w:noWrap/>
            <w:vAlign w:val="center"/>
          </w:tcPr>
          <w:p>
            <w:pPr>
              <w:widowControl/>
              <w:spacing w:line="320" w:lineRule="exact"/>
              <w:jc w:val="center"/>
              <w:textAlignment w:val="center"/>
              <w:rPr>
                <w:rFonts w:ascii="仿宋_GB2312" w:eastAsia="仿宋_GB2312" w:cs="仿宋_GB2312"/>
                <w:sz w:val="28"/>
                <w:szCs w:val="28"/>
              </w:rPr>
            </w:pPr>
            <w:r>
              <w:rPr>
                <w:rFonts w:hint="eastAsia" w:ascii="仿宋_GB2312" w:eastAsia="仿宋_GB2312" w:cs="仿宋_GB2312"/>
                <w:kern w:val="0"/>
                <w:sz w:val="28"/>
                <w:szCs w:val="28"/>
              </w:rPr>
              <w:t>年度绩效指标完成情况</w:t>
            </w:r>
          </w:p>
        </w:tc>
        <w:tc>
          <w:tcPr>
            <w:tcW w:w="1142" w:type="dxa"/>
            <w:tcBorders>
              <w:top w:val="single" w:color="000000" w:sz="4" w:space="0"/>
              <w:left w:val="nil"/>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仿宋_GB2312" w:eastAsia="仿宋_GB2312" w:cs="仿宋_GB2312"/>
                <w:kern w:val="0"/>
                <w:sz w:val="28"/>
                <w:szCs w:val="28"/>
              </w:rPr>
            </w:pPr>
            <w:r>
              <w:rPr>
                <w:rFonts w:hint="eastAsia" w:ascii="仿宋_GB2312" w:eastAsia="仿宋_GB2312" w:cs="仿宋_GB2312"/>
                <w:kern w:val="0"/>
                <w:sz w:val="28"/>
                <w:szCs w:val="28"/>
              </w:rPr>
              <w:t>一级</w:t>
            </w:r>
          </w:p>
          <w:p>
            <w:pPr>
              <w:widowControl/>
              <w:spacing w:line="320" w:lineRule="exact"/>
              <w:jc w:val="center"/>
              <w:textAlignment w:val="center"/>
              <w:rPr>
                <w:rFonts w:ascii="仿宋_GB2312" w:eastAsia="仿宋_GB2312" w:cs="仿宋_GB2312"/>
                <w:sz w:val="28"/>
                <w:szCs w:val="28"/>
              </w:rPr>
            </w:pPr>
            <w:r>
              <w:rPr>
                <w:rFonts w:hint="eastAsia" w:ascii="仿宋_GB2312" w:eastAsia="仿宋_GB2312" w:cs="仿宋_GB2312"/>
                <w:kern w:val="0"/>
                <w:sz w:val="28"/>
                <w:szCs w:val="28"/>
              </w:rPr>
              <w:t>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仿宋_GB2312" w:eastAsia="仿宋_GB2312" w:cs="仿宋_GB2312"/>
                <w:kern w:val="0"/>
                <w:sz w:val="28"/>
                <w:szCs w:val="28"/>
              </w:rPr>
            </w:pPr>
            <w:r>
              <w:rPr>
                <w:rFonts w:hint="eastAsia" w:ascii="仿宋_GB2312" w:eastAsia="仿宋_GB2312" w:cs="仿宋_GB2312"/>
                <w:kern w:val="0"/>
                <w:sz w:val="28"/>
                <w:szCs w:val="28"/>
              </w:rPr>
              <w:t>二级</w:t>
            </w:r>
          </w:p>
          <w:p>
            <w:pPr>
              <w:widowControl/>
              <w:spacing w:line="320" w:lineRule="exact"/>
              <w:jc w:val="center"/>
              <w:textAlignment w:val="center"/>
              <w:rPr>
                <w:rFonts w:ascii="仿宋_GB2312" w:eastAsia="仿宋_GB2312" w:cs="仿宋_GB2312"/>
                <w:sz w:val="28"/>
                <w:szCs w:val="28"/>
              </w:rPr>
            </w:pPr>
            <w:r>
              <w:rPr>
                <w:rFonts w:hint="eastAsia" w:ascii="仿宋_GB2312" w:eastAsia="仿宋_GB2312" w:cs="仿宋_GB2312"/>
                <w:kern w:val="0"/>
                <w:sz w:val="28"/>
                <w:szCs w:val="28"/>
              </w:rPr>
              <w:t>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仿宋_GB2312" w:eastAsia="仿宋_GB2312" w:cs="仿宋_GB2312"/>
                <w:kern w:val="0"/>
                <w:sz w:val="28"/>
                <w:szCs w:val="28"/>
              </w:rPr>
            </w:pPr>
            <w:r>
              <w:rPr>
                <w:rFonts w:hint="eastAsia" w:ascii="仿宋_GB2312" w:eastAsia="仿宋_GB2312" w:cs="仿宋_GB2312"/>
                <w:kern w:val="0"/>
                <w:sz w:val="28"/>
                <w:szCs w:val="28"/>
              </w:rPr>
              <w:t>三级</w:t>
            </w:r>
          </w:p>
          <w:p>
            <w:pPr>
              <w:widowControl/>
              <w:spacing w:line="320" w:lineRule="exact"/>
              <w:jc w:val="center"/>
              <w:textAlignment w:val="center"/>
              <w:rPr>
                <w:rFonts w:ascii="仿宋_GB2312" w:eastAsia="仿宋_GB2312" w:cs="仿宋_GB2312"/>
                <w:sz w:val="28"/>
                <w:szCs w:val="28"/>
              </w:rPr>
            </w:pPr>
            <w:r>
              <w:rPr>
                <w:rFonts w:hint="eastAsia" w:ascii="仿宋_GB2312" w:eastAsia="仿宋_GB2312" w:cs="仿宋_GB2312"/>
                <w:kern w:val="0"/>
                <w:sz w:val="28"/>
                <w:szCs w:val="28"/>
              </w:rPr>
              <w:t>指标</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仿宋_GB2312" w:eastAsia="仿宋_GB2312" w:cs="仿宋_GB2312"/>
                <w:sz w:val="28"/>
                <w:szCs w:val="28"/>
              </w:rPr>
            </w:pPr>
            <w:r>
              <w:rPr>
                <w:rFonts w:hint="eastAsia" w:ascii="仿宋_GB2312" w:eastAsia="仿宋_GB2312" w:cs="仿宋_GB2312"/>
                <w:kern w:val="0"/>
                <w:sz w:val="28"/>
                <w:szCs w:val="28"/>
              </w:rPr>
              <w:t>预期指标值</w:t>
            </w: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仿宋_GB2312" w:eastAsia="仿宋_GB2312" w:cs="仿宋_GB2312"/>
                <w:sz w:val="28"/>
                <w:szCs w:val="28"/>
              </w:rPr>
            </w:pPr>
            <w:r>
              <w:rPr>
                <w:rFonts w:hint="eastAsia" w:ascii="仿宋_GB2312" w:eastAsia="仿宋_GB2312" w:cs="仿宋_GB2312"/>
                <w:kern w:val="0"/>
                <w:sz w:val="28"/>
                <w:szCs w:val="28"/>
              </w:rPr>
              <w:t>实际完成指标值</w:t>
            </w:r>
          </w:p>
        </w:tc>
      </w:tr>
      <w:tr>
        <w:tblPrEx>
          <w:tblCellMar>
            <w:top w:w="0" w:type="dxa"/>
            <w:left w:w="108" w:type="dxa"/>
            <w:bottom w:w="0" w:type="dxa"/>
            <w:right w:w="108" w:type="dxa"/>
          </w:tblCellMar>
        </w:tblPrEx>
        <w:trPr>
          <w:gridAfter w:val="1"/>
          <w:wAfter w:w="236" w:type="dxa"/>
          <w:trHeight w:val="415" w:hRule="atLeast"/>
        </w:trPr>
        <w:tc>
          <w:tcPr>
            <w:tcW w:w="1977" w:type="dxa"/>
            <w:vMerge w:val="continue"/>
            <w:tcBorders>
              <w:top w:val="nil"/>
              <w:left w:val="single" w:color="000000" w:sz="4" w:space="0"/>
              <w:bottom w:val="nil"/>
              <w:right w:val="single" w:color="000000" w:sz="4" w:space="0"/>
            </w:tcBorders>
            <w:shd w:val="clear" w:color="auto" w:fill="auto"/>
            <w:noWrap/>
            <w:vAlign w:val="center"/>
          </w:tcPr>
          <w:p/>
        </w:tc>
        <w:tc>
          <w:tcPr>
            <w:tcW w:w="114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bottom"/>
              <w:rPr>
                <w:rFonts w:ascii="仿宋_GB2312" w:eastAsia="仿宋_GB2312" w:cs="仿宋_GB2312"/>
                <w:kern w:val="0"/>
                <w:sz w:val="28"/>
                <w:szCs w:val="28"/>
              </w:rPr>
            </w:pPr>
            <w:r>
              <w:rPr>
                <w:rFonts w:hint="eastAsia" w:ascii="仿宋_GB2312" w:eastAsia="仿宋_GB2312" w:cs="仿宋_GB2312"/>
                <w:kern w:val="0"/>
                <w:sz w:val="28"/>
                <w:szCs w:val="28"/>
              </w:rPr>
              <w:t>完成</w:t>
            </w:r>
          </w:p>
          <w:p>
            <w:pPr>
              <w:widowControl/>
              <w:spacing w:line="320" w:lineRule="exact"/>
              <w:jc w:val="center"/>
              <w:textAlignment w:val="bottom"/>
              <w:rPr>
                <w:rFonts w:ascii="仿宋_GB2312" w:eastAsia="仿宋_GB2312" w:cs="仿宋_GB2312"/>
                <w:sz w:val="28"/>
                <w:szCs w:val="28"/>
              </w:rPr>
            </w:pPr>
            <w:r>
              <w:rPr>
                <w:rFonts w:hint="eastAsia" w:ascii="仿宋_GB2312" w:eastAsia="仿宋_GB2312" w:cs="仿宋_GB2312"/>
                <w:kern w:val="0"/>
                <w:sz w:val="28"/>
                <w:szCs w:val="28"/>
              </w:rPr>
              <w:t>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r>
              <w:rPr>
                <w:rFonts w:hint="eastAsia" w:ascii="仿宋_GB2312" w:eastAsia="仿宋_GB2312" w:cs="仿宋_GB2312"/>
                <w:kern w:val="0"/>
                <w:sz w:val="28"/>
                <w:szCs w:val="28"/>
              </w:rPr>
              <w:t>数量指标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r>
      <w:tr>
        <w:tblPrEx>
          <w:tblCellMar>
            <w:top w:w="0" w:type="dxa"/>
            <w:left w:w="108" w:type="dxa"/>
            <w:bottom w:w="0" w:type="dxa"/>
            <w:right w:w="108" w:type="dxa"/>
          </w:tblCellMar>
        </w:tblPrEx>
        <w:trPr>
          <w:gridAfter w:val="1"/>
          <w:wAfter w:w="236" w:type="dxa"/>
          <w:trHeight w:val="415" w:hRule="atLeast"/>
        </w:trPr>
        <w:tc>
          <w:tcPr>
            <w:tcW w:w="1977" w:type="dxa"/>
            <w:vMerge w:val="continue"/>
            <w:tcBorders>
              <w:top w:val="nil"/>
              <w:left w:val="single" w:color="000000" w:sz="4" w:space="0"/>
              <w:bottom w:val="nil"/>
              <w:right w:val="single" w:color="000000" w:sz="4" w:space="0"/>
            </w:tcBorders>
            <w:shd w:val="clear" w:color="auto" w:fill="auto"/>
            <w:noWrap/>
            <w:vAlign w:val="center"/>
          </w:tc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bottom"/>
          </w:tcP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r>
              <w:rPr>
                <w:rFonts w:hint="eastAsia" w:ascii="仿宋_GB2312" w:eastAsia="仿宋_GB2312" w:cs="仿宋_GB2312"/>
                <w:kern w:val="0"/>
                <w:sz w:val="28"/>
                <w:szCs w:val="28"/>
              </w:rPr>
              <w:t>质量指标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r>
      <w:tr>
        <w:tblPrEx>
          <w:tblCellMar>
            <w:top w:w="0" w:type="dxa"/>
            <w:left w:w="108" w:type="dxa"/>
            <w:bottom w:w="0" w:type="dxa"/>
            <w:right w:w="108" w:type="dxa"/>
          </w:tblCellMar>
        </w:tblPrEx>
        <w:trPr>
          <w:gridAfter w:val="1"/>
          <w:wAfter w:w="236" w:type="dxa"/>
          <w:trHeight w:val="415" w:hRule="atLeast"/>
        </w:trPr>
        <w:tc>
          <w:tcPr>
            <w:tcW w:w="1977" w:type="dxa"/>
            <w:vMerge w:val="continue"/>
            <w:tcBorders>
              <w:top w:val="nil"/>
              <w:left w:val="single" w:color="000000" w:sz="4" w:space="0"/>
              <w:bottom w:val="nil"/>
              <w:right w:val="single" w:color="000000" w:sz="4" w:space="0"/>
            </w:tcBorders>
            <w:shd w:val="clear" w:color="auto" w:fill="auto"/>
            <w:noWrap/>
            <w:vAlign w:val="center"/>
          </w:tc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bottom"/>
          </w:tcP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r>
              <w:rPr>
                <w:rFonts w:hint="eastAsia" w:ascii="仿宋_GB2312" w:eastAsia="仿宋_GB2312" w:cs="仿宋_GB2312"/>
                <w:kern w:val="0"/>
                <w:sz w:val="28"/>
                <w:szCs w:val="28"/>
              </w:rPr>
              <w:t>时效指标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r>
      <w:tr>
        <w:tblPrEx>
          <w:tblCellMar>
            <w:top w:w="0" w:type="dxa"/>
            <w:left w:w="108" w:type="dxa"/>
            <w:bottom w:w="0" w:type="dxa"/>
            <w:right w:w="108" w:type="dxa"/>
          </w:tblCellMar>
        </w:tblPrEx>
        <w:trPr>
          <w:gridAfter w:val="1"/>
          <w:wAfter w:w="236" w:type="dxa"/>
          <w:trHeight w:val="480" w:hRule="atLeast"/>
        </w:trPr>
        <w:tc>
          <w:tcPr>
            <w:tcW w:w="1977" w:type="dxa"/>
            <w:vMerge w:val="continue"/>
            <w:tcBorders>
              <w:top w:val="nil"/>
              <w:left w:val="single" w:color="000000" w:sz="4" w:space="0"/>
              <w:bottom w:val="nil"/>
              <w:right w:val="single" w:color="000000" w:sz="4" w:space="0"/>
            </w:tcBorders>
            <w:shd w:val="clear" w:color="auto" w:fill="auto"/>
            <w:noWrap/>
            <w:vAlign w:val="center"/>
          </w:tc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bottom"/>
          </w:tcP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r>
              <w:rPr>
                <w:rFonts w:hint="eastAsia" w:ascii="仿宋_GB2312" w:eastAsia="仿宋_GB2312" w:cs="仿宋_GB2312"/>
                <w:kern w:val="0"/>
                <w:sz w:val="28"/>
                <w:szCs w:val="28"/>
              </w:rPr>
              <w:t>成本指标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r>
      <w:tr>
        <w:tblPrEx>
          <w:tblCellMar>
            <w:top w:w="0" w:type="dxa"/>
            <w:left w:w="108" w:type="dxa"/>
            <w:bottom w:w="0" w:type="dxa"/>
            <w:right w:w="108" w:type="dxa"/>
          </w:tblCellMar>
        </w:tblPrEx>
        <w:trPr>
          <w:gridAfter w:val="1"/>
          <w:wAfter w:w="236" w:type="dxa"/>
          <w:trHeight w:val="480" w:hRule="atLeast"/>
        </w:trPr>
        <w:tc>
          <w:tcPr>
            <w:tcW w:w="1977" w:type="dxa"/>
            <w:vMerge w:val="continue"/>
            <w:tcBorders>
              <w:top w:val="nil"/>
              <w:left w:val="single" w:color="000000" w:sz="4" w:space="0"/>
              <w:bottom w:val="nil"/>
              <w:right w:val="single" w:color="000000" w:sz="4" w:space="0"/>
            </w:tcBorders>
            <w:shd w:val="clear" w:color="auto" w:fill="auto"/>
            <w:noWrap/>
            <w:vAlign w:val="center"/>
          </w:tcPr>
          <w:p/>
        </w:tc>
        <w:tc>
          <w:tcPr>
            <w:tcW w:w="114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bottom"/>
              <w:rPr>
                <w:rFonts w:ascii="仿宋_GB2312" w:eastAsia="仿宋_GB2312" w:cs="仿宋_GB2312"/>
                <w:sz w:val="28"/>
                <w:szCs w:val="28"/>
              </w:rPr>
            </w:pPr>
            <w:r>
              <w:rPr>
                <w:rFonts w:hint="eastAsia" w:ascii="仿宋_GB2312" w:eastAsia="仿宋_GB2312" w:cs="仿宋_GB2312"/>
                <w:kern w:val="0"/>
                <w:sz w:val="28"/>
                <w:szCs w:val="28"/>
              </w:rPr>
              <w:t>效益</w:t>
            </w:r>
            <w:r>
              <w:rPr>
                <w:rFonts w:hint="eastAsia" w:ascii="仿宋_GB2312" w:eastAsia="仿宋_GB2312" w:cs="仿宋_GB2312"/>
                <w:kern w:val="0"/>
                <w:sz w:val="28"/>
                <w:szCs w:val="28"/>
              </w:rPr>
              <w:br w:type="textWrapping"/>
            </w:r>
            <w:r>
              <w:rPr>
                <w:rFonts w:hint="eastAsia" w:ascii="仿宋_GB2312" w:eastAsia="仿宋_GB2312" w:cs="仿宋_GB2312"/>
                <w:kern w:val="0"/>
                <w:sz w:val="28"/>
                <w:szCs w:val="28"/>
              </w:rPr>
              <w:t>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r>
              <w:rPr>
                <w:rFonts w:hint="eastAsia" w:ascii="仿宋_GB2312" w:eastAsia="仿宋_GB2312" w:cs="仿宋_GB2312"/>
                <w:kern w:val="0"/>
                <w:sz w:val="28"/>
                <w:szCs w:val="28"/>
              </w:rPr>
              <w:t>经济效益  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r>
      <w:tr>
        <w:tblPrEx>
          <w:tblCellMar>
            <w:top w:w="0" w:type="dxa"/>
            <w:left w:w="108" w:type="dxa"/>
            <w:bottom w:w="0" w:type="dxa"/>
            <w:right w:w="108" w:type="dxa"/>
          </w:tblCellMar>
        </w:tblPrEx>
        <w:trPr>
          <w:gridAfter w:val="1"/>
          <w:wAfter w:w="236" w:type="dxa"/>
          <w:trHeight w:val="480" w:hRule="atLeast"/>
        </w:trPr>
        <w:tc>
          <w:tcPr>
            <w:tcW w:w="1977" w:type="dxa"/>
            <w:vMerge w:val="continue"/>
            <w:tcBorders>
              <w:top w:val="nil"/>
              <w:left w:val="single" w:color="000000" w:sz="4" w:space="0"/>
              <w:bottom w:val="nil"/>
              <w:right w:val="single" w:color="000000" w:sz="4" w:space="0"/>
            </w:tcBorders>
            <w:shd w:val="clear" w:color="auto" w:fill="auto"/>
            <w:noWrap/>
            <w:vAlign w:val="center"/>
          </w:tc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bottom"/>
          </w:tcP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r>
              <w:rPr>
                <w:rFonts w:hint="eastAsia" w:ascii="仿宋_GB2312" w:eastAsia="仿宋_GB2312" w:cs="仿宋_GB2312"/>
                <w:kern w:val="0"/>
                <w:sz w:val="28"/>
                <w:szCs w:val="28"/>
              </w:rPr>
              <w:t>社会效益  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r>
      <w:tr>
        <w:tblPrEx>
          <w:tblCellMar>
            <w:top w:w="0" w:type="dxa"/>
            <w:left w:w="108" w:type="dxa"/>
            <w:bottom w:w="0" w:type="dxa"/>
            <w:right w:w="108" w:type="dxa"/>
          </w:tblCellMar>
        </w:tblPrEx>
        <w:trPr>
          <w:gridAfter w:val="1"/>
          <w:wAfter w:w="236" w:type="dxa"/>
          <w:trHeight w:val="577" w:hRule="atLeast"/>
        </w:trPr>
        <w:tc>
          <w:tcPr>
            <w:tcW w:w="1977" w:type="dxa"/>
            <w:vMerge w:val="continue"/>
            <w:tcBorders>
              <w:top w:val="nil"/>
              <w:left w:val="single" w:color="000000" w:sz="4" w:space="0"/>
              <w:bottom w:val="nil"/>
              <w:right w:val="single" w:color="000000" w:sz="4" w:space="0"/>
            </w:tcBorders>
            <w:shd w:val="clear" w:color="auto" w:fill="auto"/>
            <w:noWrap/>
            <w:vAlign w:val="center"/>
          </w:tc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bottom"/>
          </w:tcP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ind w:left="463" w:leftChars="87" w:hanging="280" w:hangingChars="100"/>
              <w:jc w:val="left"/>
              <w:textAlignment w:val="bottom"/>
              <w:rPr>
                <w:rFonts w:ascii="仿宋_GB2312" w:eastAsia="仿宋_GB2312" w:cs="仿宋_GB2312"/>
                <w:sz w:val="28"/>
                <w:szCs w:val="28"/>
              </w:rPr>
            </w:pPr>
            <w:r>
              <w:rPr>
                <w:rFonts w:hint="eastAsia" w:ascii="仿宋_GB2312" w:eastAsia="仿宋_GB2312" w:cs="仿宋_GB2312"/>
                <w:kern w:val="0"/>
                <w:sz w:val="28"/>
                <w:szCs w:val="28"/>
              </w:rPr>
              <w:t>生态效益  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r>
      <w:tr>
        <w:tblPrEx>
          <w:tblCellMar>
            <w:top w:w="0" w:type="dxa"/>
            <w:left w:w="108" w:type="dxa"/>
            <w:bottom w:w="0" w:type="dxa"/>
            <w:right w:w="108" w:type="dxa"/>
          </w:tblCellMar>
        </w:tblPrEx>
        <w:trPr>
          <w:gridAfter w:val="1"/>
          <w:wAfter w:w="236" w:type="dxa"/>
          <w:trHeight w:val="480" w:hRule="atLeast"/>
        </w:trPr>
        <w:tc>
          <w:tcPr>
            <w:tcW w:w="1977" w:type="dxa"/>
            <w:vMerge w:val="continue"/>
            <w:tcBorders>
              <w:top w:val="nil"/>
              <w:left w:val="single" w:color="000000" w:sz="4" w:space="0"/>
              <w:bottom w:val="nil"/>
              <w:right w:val="single" w:color="000000" w:sz="4" w:space="0"/>
            </w:tcBorders>
            <w:shd w:val="clear" w:color="auto" w:fill="auto"/>
            <w:noWrap/>
            <w:vAlign w:val="center"/>
          </w:tc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bottom"/>
          </w:tcP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r>
              <w:rPr>
                <w:rFonts w:hint="eastAsia" w:ascii="仿宋_GB2312" w:eastAsia="仿宋_GB2312" w:cs="仿宋_GB2312"/>
                <w:kern w:val="0"/>
                <w:sz w:val="28"/>
                <w:szCs w:val="28"/>
              </w:rPr>
              <w:t>可持续影响 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r>
      <w:tr>
        <w:tblPrEx>
          <w:tblCellMar>
            <w:top w:w="0" w:type="dxa"/>
            <w:left w:w="108" w:type="dxa"/>
            <w:bottom w:w="0" w:type="dxa"/>
            <w:right w:w="108" w:type="dxa"/>
          </w:tblCellMar>
        </w:tblPrEx>
        <w:trPr>
          <w:gridAfter w:val="1"/>
          <w:wAfter w:w="236" w:type="dxa"/>
          <w:trHeight w:val="530" w:hRule="atLeast"/>
        </w:trPr>
        <w:tc>
          <w:tcPr>
            <w:tcW w:w="1977" w:type="dxa"/>
            <w:vMerge w:val="continue"/>
            <w:tcBorders>
              <w:top w:val="nil"/>
              <w:left w:val="single" w:color="000000" w:sz="4" w:space="0"/>
              <w:bottom w:val="single" w:color="000000" w:sz="4" w:space="0"/>
              <w:right w:val="single" w:color="000000" w:sz="4" w:space="0"/>
            </w:tcBorders>
            <w:shd w:val="clear" w:color="auto" w:fill="auto"/>
            <w:noWrap/>
            <w:vAlign w:val="center"/>
          </w:tcPr>
          <w:p/>
        </w:tc>
        <w:tc>
          <w:tcPr>
            <w:tcW w:w="114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r>
              <w:rPr>
                <w:rFonts w:hint="eastAsia" w:ascii="仿宋_GB2312" w:eastAsia="仿宋_GB2312" w:cs="仿宋_GB2312"/>
                <w:kern w:val="0"/>
                <w:sz w:val="28"/>
                <w:szCs w:val="28"/>
              </w:rPr>
              <w:t>满意</w:t>
            </w:r>
            <w:r>
              <w:rPr>
                <w:rFonts w:hint="eastAsia" w:ascii="仿宋_GB2312" w:eastAsia="仿宋_GB2312" w:cs="仿宋_GB2312"/>
                <w:kern w:val="0"/>
                <w:sz w:val="28"/>
                <w:szCs w:val="28"/>
              </w:rPr>
              <w:br w:type="textWrapping"/>
            </w:r>
            <w:r>
              <w:rPr>
                <w:rFonts w:hint="eastAsia" w:ascii="仿宋_GB2312" w:eastAsia="仿宋_GB2312" w:cs="仿宋_GB2312"/>
                <w:kern w:val="0"/>
                <w:sz w:val="28"/>
                <w:szCs w:val="28"/>
              </w:rPr>
              <w:t>度指标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kern w:val="0"/>
                <w:sz w:val="28"/>
                <w:szCs w:val="28"/>
              </w:rPr>
            </w:pPr>
            <w:r>
              <w:rPr>
                <w:rFonts w:hint="eastAsia" w:ascii="仿宋_GB2312" w:eastAsia="仿宋_GB2312" w:cs="仿宋_GB2312"/>
                <w:kern w:val="0"/>
                <w:sz w:val="28"/>
                <w:szCs w:val="28"/>
              </w:rPr>
              <w:t>满意度</w:t>
            </w:r>
          </w:p>
          <w:p>
            <w:pPr>
              <w:widowControl/>
              <w:spacing w:line="320" w:lineRule="exact"/>
              <w:jc w:val="center"/>
              <w:textAlignment w:val="bottom"/>
              <w:rPr>
                <w:rFonts w:ascii="仿宋_GB2312" w:eastAsia="仿宋_GB2312" w:cs="仿宋_GB2312"/>
                <w:sz w:val="28"/>
                <w:szCs w:val="28"/>
              </w:rPr>
            </w:pPr>
            <w:r>
              <w:rPr>
                <w:rFonts w:hint="eastAsia" w:ascii="仿宋_GB2312" w:eastAsia="仿宋_GB2312" w:cs="仿宋_GB2312"/>
                <w:kern w:val="0"/>
                <w:sz w:val="28"/>
                <w:szCs w:val="28"/>
              </w:rPr>
              <w:t>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line="320" w:lineRule="exact"/>
              <w:jc w:val="center"/>
              <w:textAlignment w:val="bottom"/>
              <w:rPr>
                <w:rFonts w:ascii="仿宋_GB2312" w:eastAsia="仿宋_GB2312" w:cs="仿宋_GB2312"/>
                <w:sz w:val="28"/>
                <w:szCs w:val="28"/>
              </w:rPr>
            </w:pPr>
          </w:p>
        </w:tc>
      </w:tr>
    </w:tbl>
    <w:p>
      <w:pPr>
        <w:spacing w:line="600" w:lineRule="exact"/>
        <w:jc w:val="center"/>
        <w:outlineLvl w:val="0"/>
        <w:rPr>
          <w:rFonts w:ascii="黑体" w:eastAsia="黑体"/>
          <w:sz w:val="44"/>
          <w:szCs w:val="44"/>
        </w:rPr>
      </w:pPr>
    </w:p>
    <w:p>
      <w:pPr>
        <w:widowControl/>
        <w:adjustRightInd w:val="0"/>
        <w:snapToGrid w:val="0"/>
        <w:spacing w:line="580" w:lineRule="exact"/>
        <w:contextualSpacing/>
        <w:jc w:val="left"/>
      </w:pPr>
      <w:r>
        <w:rPr>
          <w:rFonts w:hint="eastAsia" w:ascii="仿宋_GB2312" w:eastAsia="仿宋_GB2312" w:cs="宋体"/>
          <w:color w:val="000000"/>
          <w:kern w:val="0"/>
          <w:sz w:val="32"/>
          <w:szCs w:val="32"/>
          <w:shd w:val="clear" w:color="auto" w:fill="FFFFFF"/>
        </w:rPr>
        <w:t>（注：有两个及以上100万元以上（含）特定目标类部门预算项目的，需分别开展绩效目标自评并填写附表）</w:t>
      </w:r>
    </w:p>
    <w:p>
      <w:pPr>
        <w:spacing w:line="600" w:lineRule="exact"/>
        <w:jc w:val="center"/>
        <w:outlineLvl w:val="0"/>
        <w:rPr>
          <w:rFonts w:ascii="黑体" w:eastAsia="黑体"/>
          <w:sz w:val="44"/>
          <w:szCs w:val="44"/>
        </w:rPr>
      </w:pPr>
    </w:p>
    <w:p>
      <w:pPr>
        <w:spacing w:line="600" w:lineRule="exact"/>
        <w:jc w:val="center"/>
        <w:outlineLvl w:val="0"/>
        <w:rPr>
          <w:rFonts w:ascii="黑体" w:eastAsia="黑体"/>
          <w:sz w:val="44"/>
          <w:szCs w:val="44"/>
        </w:rPr>
      </w:pPr>
    </w:p>
    <w:p>
      <w:pPr>
        <w:spacing w:line="600" w:lineRule="exact"/>
        <w:jc w:val="center"/>
        <w:outlineLvl w:val="0"/>
        <w:rPr>
          <w:rFonts w:ascii="仿宋" w:eastAsia="仿宋"/>
        </w:rPr>
      </w:pPr>
      <w:r>
        <w:rPr>
          <w:rFonts w:hint="eastAsia" w:ascii="黑体" w:eastAsia="黑体"/>
          <w:sz w:val="44"/>
          <w:szCs w:val="44"/>
        </w:rPr>
        <w:t>第</w:t>
      </w:r>
      <w:r>
        <w:rPr>
          <w:rStyle w:val="17"/>
          <w:rFonts w:hint="eastAsia" w:ascii="黑体" w:eastAsia="黑体"/>
          <w:b w:val="0"/>
        </w:rPr>
        <w:t>五部分 附表</w:t>
      </w:r>
      <w:bookmarkEnd w:id="53"/>
      <w:bookmarkEnd w:id="54"/>
      <w:bookmarkStart w:id="55" w:name="_Toc15396619"/>
    </w:p>
    <w:p>
      <w:pPr>
        <w:pStyle w:val="4"/>
        <w:rPr>
          <w:rFonts w:ascii="仿宋" w:eastAsia="仿宋"/>
        </w:rPr>
      </w:pPr>
      <w:r>
        <w:rPr>
          <w:rFonts w:hint="eastAsia" w:ascii="仿宋" w:eastAsia="仿宋"/>
          <w:b w:val="0"/>
        </w:rPr>
        <w:t>一、收</w:t>
      </w:r>
      <w:r>
        <w:rPr>
          <w:rStyle w:val="18"/>
          <w:rFonts w:hint="eastAsia" w:ascii="仿宋" w:eastAsia="仿宋"/>
          <w:b w:val="0"/>
          <w:bCs w:val="0"/>
        </w:rPr>
        <w:t>入支出决算总表</w:t>
      </w:r>
      <w:bookmarkEnd w:id="55"/>
    </w:p>
    <w:p>
      <w:pPr>
        <w:pStyle w:val="4"/>
        <w:rPr>
          <w:rFonts w:ascii="仿宋" w:eastAsia="仿宋"/>
        </w:rPr>
      </w:pPr>
      <w:bookmarkStart w:id="56" w:name="_Toc15396620"/>
      <w:r>
        <w:rPr>
          <w:rFonts w:hint="eastAsia" w:ascii="仿宋" w:eastAsia="仿宋"/>
          <w:b w:val="0"/>
        </w:rPr>
        <w:t>二、收</w:t>
      </w:r>
      <w:r>
        <w:rPr>
          <w:rStyle w:val="18"/>
          <w:rFonts w:hint="eastAsia" w:ascii="仿宋" w:eastAsia="仿宋"/>
          <w:b w:val="0"/>
          <w:bCs w:val="0"/>
        </w:rPr>
        <w:t>入决算表</w:t>
      </w:r>
      <w:bookmarkEnd w:id="56"/>
    </w:p>
    <w:p>
      <w:pPr>
        <w:pStyle w:val="4"/>
        <w:rPr>
          <w:rFonts w:ascii="仿宋" w:eastAsia="仿宋"/>
        </w:rPr>
      </w:pPr>
      <w:bookmarkStart w:id="57" w:name="_Toc15396621"/>
      <w:r>
        <w:rPr>
          <w:rStyle w:val="18"/>
          <w:rFonts w:hint="eastAsia" w:ascii="仿宋" w:eastAsia="仿宋"/>
          <w:b w:val="0"/>
          <w:bCs w:val="0"/>
        </w:rPr>
        <w:t>三、</w:t>
      </w:r>
      <w:r>
        <w:rPr>
          <w:rFonts w:hint="eastAsia" w:ascii="仿宋" w:eastAsia="仿宋"/>
          <w:b w:val="0"/>
        </w:rPr>
        <w:t>支</w:t>
      </w:r>
      <w:r>
        <w:rPr>
          <w:rStyle w:val="18"/>
          <w:rFonts w:hint="eastAsia" w:ascii="仿宋" w:eastAsia="仿宋"/>
          <w:b w:val="0"/>
          <w:bCs w:val="0"/>
        </w:rPr>
        <w:t>出决算表</w:t>
      </w:r>
      <w:bookmarkEnd w:id="57"/>
    </w:p>
    <w:p>
      <w:pPr>
        <w:pStyle w:val="4"/>
        <w:rPr>
          <w:rFonts w:ascii="仿宋" w:eastAsia="仿宋"/>
          <w:b w:val="0"/>
        </w:rPr>
      </w:pPr>
      <w:bookmarkStart w:id="58" w:name="_Toc15396622"/>
      <w:r>
        <w:rPr>
          <w:rStyle w:val="18"/>
          <w:rFonts w:hint="eastAsia" w:ascii="仿宋" w:eastAsia="仿宋"/>
          <w:b w:val="0"/>
          <w:bCs w:val="0"/>
        </w:rPr>
        <w:t>四、</w:t>
      </w:r>
      <w:r>
        <w:rPr>
          <w:rFonts w:hint="eastAsia" w:ascii="仿宋" w:eastAsia="仿宋"/>
          <w:b w:val="0"/>
        </w:rPr>
        <w:t>财</w:t>
      </w:r>
      <w:r>
        <w:rPr>
          <w:rStyle w:val="18"/>
          <w:rFonts w:hint="eastAsia" w:ascii="仿宋" w:eastAsia="仿宋"/>
          <w:b w:val="0"/>
          <w:bCs w:val="0"/>
        </w:rPr>
        <w:t>政拨款收入支出决算总表</w:t>
      </w:r>
      <w:bookmarkEnd w:id="58"/>
    </w:p>
    <w:p>
      <w:pPr>
        <w:pStyle w:val="4"/>
        <w:rPr>
          <w:rStyle w:val="18"/>
          <w:rFonts w:ascii="仿宋" w:eastAsia="仿宋"/>
          <w:b w:val="0"/>
          <w:bCs w:val="0"/>
        </w:rPr>
      </w:pPr>
      <w:bookmarkStart w:id="59" w:name="_Toc15396623"/>
      <w:r>
        <w:rPr>
          <w:rStyle w:val="18"/>
          <w:rFonts w:hint="eastAsia" w:ascii="仿宋" w:eastAsia="仿宋"/>
          <w:b w:val="0"/>
          <w:bCs w:val="0"/>
        </w:rPr>
        <w:t>五、</w:t>
      </w:r>
      <w:r>
        <w:rPr>
          <w:rFonts w:hint="eastAsia" w:ascii="仿宋" w:eastAsia="仿宋"/>
          <w:b w:val="0"/>
        </w:rPr>
        <w:t>财</w:t>
      </w:r>
      <w:r>
        <w:rPr>
          <w:rStyle w:val="18"/>
          <w:rFonts w:hint="eastAsia" w:ascii="仿宋" w:eastAsia="仿宋"/>
          <w:b w:val="0"/>
          <w:bCs w:val="0"/>
        </w:rPr>
        <w:t>政拨款支出决算明细表</w:t>
      </w:r>
      <w:bookmarkEnd w:id="59"/>
      <w:bookmarkStart w:id="60" w:name="_Toc15396624"/>
    </w:p>
    <w:p>
      <w:pPr>
        <w:pStyle w:val="4"/>
        <w:rPr>
          <w:rFonts w:ascii="仿宋" w:eastAsia="仿宋"/>
        </w:rPr>
      </w:pPr>
      <w:r>
        <w:rPr>
          <w:rStyle w:val="18"/>
          <w:rFonts w:hint="eastAsia" w:ascii="仿宋" w:eastAsia="仿宋"/>
          <w:b w:val="0"/>
          <w:bCs w:val="0"/>
        </w:rPr>
        <w:t>六、</w:t>
      </w:r>
      <w:r>
        <w:rPr>
          <w:rFonts w:hint="eastAsia" w:ascii="仿宋" w:eastAsia="仿宋"/>
          <w:b w:val="0"/>
        </w:rPr>
        <w:t>一</w:t>
      </w:r>
      <w:r>
        <w:rPr>
          <w:rStyle w:val="18"/>
          <w:rFonts w:hint="eastAsia" w:ascii="仿宋" w:eastAsia="仿宋"/>
          <w:b w:val="0"/>
          <w:bCs w:val="0"/>
        </w:rPr>
        <w:t>般公共预算财政拨款支出决算表</w:t>
      </w:r>
      <w:bookmarkEnd w:id="60"/>
    </w:p>
    <w:p>
      <w:pPr>
        <w:pStyle w:val="4"/>
        <w:rPr>
          <w:rFonts w:ascii="仿宋" w:eastAsia="仿宋"/>
        </w:rPr>
      </w:pPr>
      <w:bookmarkStart w:id="61" w:name="_Toc15396625"/>
      <w:r>
        <w:rPr>
          <w:rStyle w:val="18"/>
          <w:rFonts w:hint="eastAsia" w:ascii="仿宋" w:eastAsia="仿宋"/>
          <w:b w:val="0"/>
          <w:bCs w:val="0"/>
        </w:rPr>
        <w:t>七、</w:t>
      </w:r>
      <w:r>
        <w:rPr>
          <w:rFonts w:hint="eastAsia" w:ascii="仿宋" w:eastAsia="仿宋"/>
          <w:b w:val="0"/>
        </w:rPr>
        <w:t>一</w:t>
      </w:r>
      <w:r>
        <w:rPr>
          <w:rStyle w:val="18"/>
          <w:rFonts w:hint="eastAsia" w:ascii="仿宋" w:eastAsia="仿宋"/>
          <w:b w:val="0"/>
          <w:bCs w:val="0"/>
        </w:rPr>
        <w:t>般公共预算财政拨款支出决算明细表</w:t>
      </w:r>
      <w:bookmarkEnd w:id="61"/>
    </w:p>
    <w:p>
      <w:pPr>
        <w:pStyle w:val="4"/>
        <w:rPr>
          <w:rFonts w:ascii="仿宋" w:eastAsia="仿宋"/>
        </w:rPr>
      </w:pPr>
      <w:bookmarkStart w:id="62" w:name="_Toc15396626"/>
      <w:r>
        <w:rPr>
          <w:rStyle w:val="18"/>
          <w:rFonts w:hint="eastAsia" w:ascii="仿宋" w:eastAsia="仿宋"/>
          <w:b w:val="0"/>
          <w:bCs w:val="0"/>
        </w:rPr>
        <w:t>八、</w:t>
      </w:r>
      <w:r>
        <w:rPr>
          <w:rFonts w:hint="eastAsia" w:ascii="仿宋" w:eastAsia="仿宋"/>
          <w:b w:val="0"/>
        </w:rPr>
        <w:t>一</w:t>
      </w:r>
      <w:r>
        <w:rPr>
          <w:rStyle w:val="18"/>
          <w:rFonts w:hint="eastAsia" w:ascii="仿宋" w:eastAsia="仿宋"/>
          <w:b w:val="0"/>
          <w:bCs w:val="0"/>
        </w:rPr>
        <w:t>般公共预算财政拨款基本支出决算表</w:t>
      </w:r>
      <w:bookmarkEnd w:id="62"/>
    </w:p>
    <w:p>
      <w:pPr>
        <w:pStyle w:val="4"/>
        <w:rPr>
          <w:rFonts w:ascii="仿宋" w:eastAsia="仿宋"/>
        </w:rPr>
      </w:pPr>
      <w:bookmarkStart w:id="63" w:name="_Toc15396627"/>
      <w:r>
        <w:rPr>
          <w:rStyle w:val="18"/>
          <w:rFonts w:hint="eastAsia" w:ascii="仿宋" w:eastAsia="仿宋"/>
          <w:b w:val="0"/>
          <w:bCs w:val="0"/>
        </w:rPr>
        <w:t>九、</w:t>
      </w:r>
      <w:r>
        <w:rPr>
          <w:rFonts w:hint="eastAsia" w:ascii="仿宋" w:eastAsia="仿宋"/>
          <w:b w:val="0"/>
        </w:rPr>
        <w:t>一</w:t>
      </w:r>
      <w:r>
        <w:rPr>
          <w:rStyle w:val="18"/>
          <w:rFonts w:hint="eastAsia" w:ascii="仿宋" w:eastAsia="仿宋"/>
          <w:b w:val="0"/>
          <w:bCs w:val="0"/>
        </w:rPr>
        <w:t>般公共预算财政拨款项目支出决算表</w:t>
      </w:r>
      <w:bookmarkEnd w:id="63"/>
    </w:p>
    <w:p>
      <w:pPr>
        <w:pStyle w:val="4"/>
        <w:rPr>
          <w:rFonts w:ascii="仿宋" w:eastAsia="仿宋"/>
        </w:rPr>
      </w:pPr>
      <w:bookmarkStart w:id="64" w:name="_Toc15396628"/>
      <w:r>
        <w:rPr>
          <w:rStyle w:val="18"/>
          <w:rFonts w:hint="eastAsia" w:ascii="仿宋" w:eastAsia="仿宋"/>
          <w:b w:val="0"/>
          <w:bCs w:val="0"/>
        </w:rPr>
        <w:t>十、</w:t>
      </w:r>
      <w:r>
        <w:rPr>
          <w:rFonts w:hint="eastAsia" w:ascii="仿宋" w:eastAsia="仿宋"/>
          <w:b w:val="0"/>
        </w:rPr>
        <w:t>一</w:t>
      </w:r>
      <w:r>
        <w:rPr>
          <w:rStyle w:val="18"/>
          <w:rFonts w:hint="eastAsia" w:ascii="仿宋" w:eastAsia="仿宋"/>
          <w:b w:val="0"/>
          <w:bCs w:val="0"/>
        </w:rPr>
        <w:t>般公共预算财政拨款“三公”经费支出决算表</w:t>
      </w:r>
      <w:bookmarkEnd w:id="64"/>
    </w:p>
    <w:p>
      <w:pPr>
        <w:pStyle w:val="4"/>
        <w:rPr>
          <w:rFonts w:ascii="仿宋" w:eastAsia="仿宋"/>
        </w:rPr>
      </w:pPr>
      <w:bookmarkStart w:id="65" w:name="_Toc15396629"/>
      <w:r>
        <w:rPr>
          <w:rStyle w:val="18"/>
          <w:rFonts w:hint="eastAsia" w:ascii="仿宋" w:eastAsia="仿宋"/>
          <w:b w:val="0"/>
          <w:bCs w:val="0"/>
        </w:rPr>
        <w:t>十一、</w:t>
      </w:r>
      <w:r>
        <w:rPr>
          <w:rFonts w:hint="eastAsia" w:ascii="仿宋" w:eastAsia="仿宋"/>
          <w:b w:val="0"/>
        </w:rPr>
        <w:t>政</w:t>
      </w:r>
      <w:r>
        <w:rPr>
          <w:rStyle w:val="18"/>
          <w:rFonts w:hint="eastAsia" w:ascii="仿宋" w:eastAsia="仿宋"/>
          <w:b w:val="0"/>
          <w:bCs w:val="0"/>
        </w:rPr>
        <w:t>府性基金预算财政拨款收入支出决算表</w:t>
      </w:r>
      <w:bookmarkEnd w:id="65"/>
    </w:p>
    <w:p>
      <w:pPr>
        <w:pStyle w:val="4"/>
        <w:rPr>
          <w:rFonts w:ascii="仿宋" w:eastAsia="仿宋"/>
        </w:rPr>
      </w:pPr>
      <w:bookmarkStart w:id="66" w:name="_Toc15396630"/>
      <w:r>
        <w:rPr>
          <w:rStyle w:val="18"/>
          <w:rFonts w:hint="eastAsia" w:ascii="仿宋" w:eastAsia="仿宋"/>
          <w:b w:val="0"/>
          <w:bCs w:val="0"/>
        </w:rPr>
        <w:t>十二、</w:t>
      </w:r>
      <w:r>
        <w:rPr>
          <w:rFonts w:hint="eastAsia" w:ascii="仿宋" w:eastAsia="仿宋"/>
          <w:b w:val="0"/>
        </w:rPr>
        <w:t>政</w:t>
      </w:r>
      <w:r>
        <w:rPr>
          <w:rStyle w:val="18"/>
          <w:rFonts w:hint="eastAsia" w:ascii="仿宋" w:eastAsia="仿宋"/>
          <w:b w:val="0"/>
          <w:bCs w:val="0"/>
        </w:rPr>
        <w:t>府性基金预算财政拨款“三公”经费支出决算表</w:t>
      </w:r>
      <w:bookmarkEnd w:id="66"/>
    </w:p>
    <w:p>
      <w:pPr>
        <w:pStyle w:val="4"/>
        <w:rPr>
          <w:rStyle w:val="18"/>
          <w:rFonts w:ascii="仿宋" w:eastAsia="仿宋"/>
          <w:b w:val="0"/>
          <w:bCs w:val="0"/>
        </w:rPr>
      </w:pPr>
      <w:bookmarkStart w:id="67" w:name="_Toc15396631"/>
      <w:r>
        <w:rPr>
          <w:rStyle w:val="18"/>
          <w:rFonts w:hint="eastAsia" w:ascii="仿宋" w:eastAsia="仿宋"/>
          <w:b w:val="0"/>
          <w:bCs w:val="0"/>
        </w:rPr>
        <w:t>十三、</w:t>
      </w:r>
      <w:r>
        <w:rPr>
          <w:rFonts w:hint="eastAsia" w:ascii="仿宋" w:eastAsia="仿宋"/>
          <w:b w:val="0"/>
        </w:rPr>
        <w:t>国</w:t>
      </w:r>
      <w:r>
        <w:rPr>
          <w:rStyle w:val="18"/>
          <w:rFonts w:hint="eastAsia" w:ascii="仿宋" w:eastAsia="仿宋"/>
          <w:b w:val="0"/>
          <w:bCs w:val="0"/>
        </w:rPr>
        <w:t>有资本经营预算财政拨款收入支出决算表</w:t>
      </w:r>
      <w:bookmarkEnd w:id="67"/>
    </w:p>
    <w:p>
      <w:pPr>
        <w:rPr>
          <w:rFonts w:eastAsia="仿宋"/>
        </w:rPr>
      </w:pPr>
      <w:r>
        <w:rPr>
          <w:rStyle w:val="18"/>
          <w:rFonts w:hint="eastAsia" w:ascii="仿宋" w:eastAsia="仿宋"/>
          <w:b w:val="0"/>
          <w:bCs w:val="0"/>
        </w:rPr>
        <w:t>十四、国有资本经营预算财政拨款支出决算表</w:t>
      </w:r>
    </w:p>
    <w:sectPr>
      <w:headerReference r:id="rId3" w:type="default"/>
      <w:footerReference r:id="rId4" w:type="default"/>
      <w:pgSz w:w="11906" w:h="16838"/>
      <w:pgMar w:top="1440" w:right="1800" w:bottom="1440" w:left="1800"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Lucida Sans">
    <w:panose1 w:val="020B0602030504020204"/>
    <w:charset w:val="01"/>
    <w:family w:val="auto"/>
    <w:pitch w:val="default"/>
    <w:sig w:usb0="00000003" w:usb1="00000000" w:usb2="00000000" w:usb3="00000000" w:csb0="2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3830453"/>
    </w:sdtPr>
    <w:sdtContent>
      <w:p>
        <w:pPr>
          <w:pStyle w:val="8"/>
          <w:jc w:val="center"/>
        </w:pPr>
        <w:r>
          <w:fldChar w:fldCharType="begin"/>
        </w:r>
        <w:r>
          <w:instrText xml:space="preserve">PAGE   \* MERGEFORMAT</w:instrText>
        </w:r>
        <w:r>
          <w:fldChar w:fldCharType="separate"/>
        </w:r>
        <w:r>
          <w:rPr>
            <w:lang w:val="zh-CN"/>
          </w:rPr>
          <w:t>3</w:t>
        </w:r>
        <w:r>
          <w:fldChar w:fldCharType="end"/>
        </w:r>
      </w:p>
    </w:sdtContent>
  </w:sdt>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pPr>
        <w:ind w:left="0" w:firstLine="0"/>
      </w:pPr>
      <w:rPr>
        <w:rFonts w:hint="eastAsia"/>
      </w:rPr>
    </w:lvl>
  </w:abstractNum>
  <w:abstractNum w:abstractNumId="1">
    <w:nsid w:val="E2FA047D"/>
    <w:multiLevelType w:val="singleLevel"/>
    <w:tmpl w:val="E2FA047D"/>
    <w:lvl w:ilvl="0" w:tentative="0">
      <w:start w:val="3"/>
      <w:numFmt w:val="chineseCounting"/>
      <w:suff w:val="space"/>
      <w:lvlText w:val="第%1部分"/>
      <w:lvlJc w:val="left"/>
      <w:pPr>
        <w:ind w:left="0" w:firstLine="0"/>
      </w:pPr>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5"/>
  <w:bordersDoNotSurroundHeader w:val="1"/>
  <w:bordersDoNotSurroundFooter w:val="1"/>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80D"/>
    <w:rsid w:val="0083280D"/>
    <w:rsid w:val="00AB0515"/>
    <w:rsid w:val="00F20DFD"/>
    <w:rsid w:val="177152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sdException w:unhideWhenUsed="0" w:uiPriority="0" w:semiHidden="0" w:name="toc 2"/>
    <w:lsdException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7"/>
    <w:uiPriority w:val="0"/>
    <w:pPr>
      <w:keepNext/>
      <w:keepLines/>
      <w:spacing w:before="340" w:after="330" w:line="578" w:lineRule="auto"/>
      <w:outlineLvl w:val="0"/>
    </w:pPr>
    <w:rPr>
      <w:b/>
      <w:bCs/>
      <w:kern w:val="44"/>
      <w:sz w:val="44"/>
      <w:szCs w:val="44"/>
    </w:rPr>
  </w:style>
  <w:style w:type="paragraph" w:styleId="4">
    <w:name w:val="heading 2"/>
    <w:basedOn w:val="1"/>
    <w:next w:val="1"/>
    <w:link w:val="18"/>
    <w:uiPriority w:val="0"/>
    <w:pPr>
      <w:keepNext/>
      <w:keepLines/>
      <w:spacing w:before="260" w:after="260" w:line="415" w:lineRule="auto"/>
      <w:outlineLvl w:val="1"/>
    </w:pPr>
    <w:rPr>
      <w:rFonts w:ascii="Cambria" w:hAnsi="Cambria"/>
      <w:b/>
      <w:bCs/>
      <w:sz w:val="32"/>
      <w:szCs w:val="32"/>
    </w:rPr>
  </w:style>
  <w:style w:type="paragraph" w:styleId="5">
    <w:name w:val="heading 3"/>
    <w:basedOn w:val="1"/>
    <w:next w:val="1"/>
    <w:uiPriority w:val="0"/>
    <w:pPr>
      <w:keepNext/>
      <w:keepLines/>
      <w:spacing w:before="260" w:after="260" w:line="415" w:lineRule="auto"/>
      <w:outlineLvl w:val="2"/>
    </w:pPr>
    <w:rPr>
      <w:b/>
      <w:bCs/>
      <w:sz w:val="32"/>
      <w:szCs w:val="32"/>
    </w:rPr>
  </w:style>
  <w:style w:type="character" w:default="1" w:styleId="14">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uiPriority w:val="0"/>
    <w:pPr>
      <w:spacing w:beforeLines="30"/>
    </w:pPr>
    <w:rPr>
      <w:rFonts w:ascii="仿宋_GB2312" w:eastAsia="仿宋_GB2312"/>
      <w:kern w:val="0"/>
      <w:sz w:val="30"/>
    </w:rPr>
  </w:style>
  <w:style w:type="paragraph" w:styleId="6">
    <w:name w:val="toc 3"/>
    <w:basedOn w:val="1"/>
    <w:next w:val="1"/>
    <w:uiPriority w:val="0"/>
    <w:pPr>
      <w:tabs>
        <w:tab w:val="right" w:leader="dot" w:pos="8296"/>
      </w:tabs>
      <w:ind w:left="400" w:leftChars="400"/>
    </w:pPr>
  </w:style>
  <w:style w:type="paragraph" w:styleId="7">
    <w:name w:val="Balloon Text"/>
    <w:basedOn w:val="1"/>
    <w:uiPriority w:val="0"/>
    <w:rPr>
      <w:sz w:val="18"/>
      <w:szCs w:val="18"/>
    </w:rPr>
  </w:style>
  <w:style w:type="paragraph" w:styleId="8">
    <w:name w:val="footer"/>
    <w:basedOn w:val="1"/>
    <w:uiPriority w:val="0"/>
    <w:pPr>
      <w:tabs>
        <w:tab w:val="center" w:pos="4153"/>
        <w:tab w:val="right" w:pos="8306"/>
      </w:tabs>
      <w:snapToGrid w:val="0"/>
      <w:jc w:val="left"/>
    </w:pPr>
    <w:rPr>
      <w:rFonts w:ascii="Calibri" w:hAnsi="Calibri"/>
      <w:kern w:val="0"/>
      <w:sz w:val="18"/>
      <w:szCs w:val="18"/>
    </w:rPr>
  </w:style>
  <w:style w:type="paragraph" w:styleId="9">
    <w:name w:val="header"/>
    <w:basedOn w:val="1"/>
    <w:uiPriority w:val="0"/>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uiPriority w:val="0"/>
    <w:pPr>
      <w:tabs>
        <w:tab w:val="right" w:leader="dot" w:pos="8296"/>
      </w:tabs>
      <w:spacing w:before="93"/>
      <w:jc w:val="center"/>
    </w:pPr>
    <w:rPr>
      <w:rFonts w:ascii="仿宋" w:eastAsia="仿宋"/>
      <w:sz w:val="28"/>
      <w:szCs w:val="28"/>
    </w:rPr>
  </w:style>
  <w:style w:type="paragraph" w:styleId="11">
    <w:name w:val="toc 2"/>
    <w:basedOn w:val="1"/>
    <w:next w:val="1"/>
    <w:uiPriority w:val="0"/>
    <w:pPr>
      <w:tabs>
        <w:tab w:val="right" w:leader="dot" w:pos="8296"/>
      </w:tabs>
      <w:ind w:left="200" w:leftChars="200"/>
    </w:pPr>
  </w:style>
  <w:style w:type="paragraph" w:styleId="12">
    <w:name w:val="Normal (Web)"/>
    <w:basedOn w:val="1"/>
    <w:uiPriority w:val="0"/>
    <w:pPr>
      <w:widowControl/>
      <w:spacing w:before="100" w:beforeAutospacing="1" w:after="100" w:afterAutospacing="1"/>
      <w:jc w:val="left"/>
    </w:pPr>
    <w:rPr>
      <w:rFonts w:ascii="宋体" w:cs="宋体"/>
      <w:kern w:val="0"/>
      <w:sz w:val="24"/>
    </w:rPr>
  </w:style>
  <w:style w:type="character" w:styleId="15">
    <w:name w:val="Strong"/>
    <w:basedOn w:val="14"/>
    <w:uiPriority w:val="0"/>
    <w:rPr>
      <w:b/>
    </w:rPr>
  </w:style>
  <w:style w:type="character" w:styleId="16">
    <w:name w:val="Hyperlink"/>
    <w:basedOn w:val="14"/>
    <w:uiPriority w:val="0"/>
    <w:rPr>
      <w:color w:val="0000FF"/>
      <w:u w:val="single"/>
    </w:rPr>
  </w:style>
  <w:style w:type="character" w:customStyle="1" w:styleId="17">
    <w:name w:val="标题 1 Char"/>
    <w:basedOn w:val="14"/>
    <w:link w:val="3"/>
    <w:uiPriority w:val="0"/>
    <w:rPr>
      <w:rFonts w:ascii="Times New Roman" w:hAnsi="Times New Roman" w:eastAsia="宋体" w:cs="Times New Roman"/>
      <w:b/>
      <w:bCs/>
      <w:kern w:val="44"/>
      <w:sz w:val="44"/>
      <w:szCs w:val="44"/>
      <w:lang w:val="en-US" w:eastAsia="zh-CN" w:bidi="ar-SA"/>
    </w:rPr>
  </w:style>
  <w:style w:type="character" w:customStyle="1" w:styleId="18">
    <w:name w:val="标题 2 Char"/>
    <w:basedOn w:val="14"/>
    <w:link w:val="4"/>
    <w:uiPriority w:val="0"/>
    <w:rPr>
      <w:rFonts w:ascii="Cambria" w:hAnsi="Cambria" w:eastAsia="宋体" w:cs="Times New Roman"/>
      <w:b/>
      <w:bCs/>
      <w:kern w:val="2"/>
      <w:sz w:val="32"/>
      <w:szCs w:val="32"/>
      <w:lang w:val="en-US" w:eastAsia="zh-CN" w:bidi="ar-SA"/>
    </w:rPr>
  </w:style>
  <w:style w:type="character" w:customStyle="1" w:styleId="19">
    <w:name w:val="Header Char"/>
    <w:basedOn w:val="14"/>
    <w:uiPriority w:val="0"/>
    <w:rPr>
      <w:rFonts w:ascii="Times New Roman" w:hAnsi="Times New Roman"/>
      <w:sz w:val="18"/>
      <w:szCs w:val="18"/>
    </w:rPr>
  </w:style>
  <w:style w:type="character" w:customStyle="1" w:styleId="20">
    <w:name w:val="Footer Char"/>
    <w:basedOn w:val="14"/>
    <w:uiPriority w:val="0"/>
    <w:rPr>
      <w:rFonts w:ascii="Times New Roman" w:hAnsi="Times New Roman"/>
      <w:sz w:val="18"/>
      <w:szCs w:val="18"/>
    </w:rPr>
  </w:style>
  <w:style w:type="character" w:customStyle="1" w:styleId="21">
    <w:name w:val="Body Text Char"/>
    <w:basedOn w:val="14"/>
    <w:uiPriority w:val="0"/>
    <w:rPr>
      <w:rFonts w:ascii="Times New Roman" w:hAnsi="Times New Roman"/>
      <w:szCs w:val="24"/>
    </w:rPr>
  </w:style>
  <w:style w:type="paragraph" w:customStyle="1" w:styleId="22">
    <w:name w:val="Defaul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styleId="23">
    <w:name w:val="List Paragraph"/>
    <w:basedOn w:val="1"/>
    <w:uiPriority w:val="0"/>
    <w:pPr>
      <w:ind w:firstLine="200" w:firstLineChars="200"/>
    </w:pPr>
  </w:style>
  <w:style w:type="paragraph" w:customStyle="1" w:styleId="24">
    <w:name w:val="TOC 标题1"/>
    <w:basedOn w:val="3"/>
    <w:next w:val="1"/>
    <w:uiPriority w:val="0"/>
    <w:pPr>
      <w:widowControl/>
      <w:spacing w:before="480" w:after="0" w:line="276" w:lineRule="auto"/>
      <w:jc w:val="left"/>
      <w:outlineLvl w:val="9"/>
    </w:pPr>
    <w:rPr>
      <w:rFonts w:ascii="Cambria" w:hAnsi="Cambria"/>
      <w:color w:val="376092"/>
      <w:kern w:val="0"/>
      <w:sz w:val="28"/>
      <w:szCs w:val="28"/>
    </w:rPr>
  </w:style>
  <w:style w:type="paragraph" w:customStyle="1" w:styleId="25">
    <w:name w:val="TOC 标题2"/>
    <w:basedOn w:val="3"/>
    <w:next w:val="1"/>
    <w:uiPriority w:val="0"/>
    <w:pPr>
      <w:widowControl/>
      <w:spacing w:before="480" w:after="0" w:line="276" w:lineRule="auto"/>
      <w:jc w:val="left"/>
      <w:outlineLvl w:val="9"/>
    </w:pPr>
    <w:rPr>
      <w:rFonts w:ascii="Cambria" w:hAnsi="Cambria"/>
      <w:color w:val="376092"/>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金额</c:v>
                </c:pt>
              </c:strCache>
            </c:strRef>
          </c:tx>
          <c:spPr>
            <a:solidFill>
              <a:srgbClr val="4472C4"/>
            </a:solidFill>
            <a:ln>
              <a:noFill/>
            </a:ln>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'Sheet1'!$A$2:$A$3</c:f>
              <c:strCache>
                <c:ptCount val="2"/>
                <c:pt idx="0">
                  <c:v>2021年收支总计</c:v>
                </c:pt>
                <c:pt idx="1">
                  <c:v>2020年收支总计</c:v>
                </c:pt>
              </c:strCache>
            </c:strRef>
          </c:cat>
          <c:val>
            <c:numRef>
              <c:f>'Sheet1'!$B$2:$B$3</c:f>
              <c:numCache>
                <c:formatCode>General</c:formatCode>
                <c:ptCount val="2"/>
                <c:pt idx="0">
                  <c:v>651.8</c:v>
                </c:pt>
                <c:pt idx="1">
                  <c:v>456.48</c:v>
                </c:pt>
              </c:numCache>
            </c:numRef>
          </c:val>
        </c:ser>
        <c:ser>
          <c:idx val="1"/>
          <c:order val="1"/>
          <c:tx>
            <c:strRef>
              <c:f>'Sheet1'!$A$3</c:f>
              <c:strCache>
                <c:ptCount val="1"/>
                <c:pt idx="0">
                  <c:v>2020年收支总计</c:v>
                </c:pt>
              </c:strCache>
            </c:strRef>
          </c:tx>
          <c:spPr>
            <a:solidFill>
              <a:srgbClr val="ED7D31"/>
            </a:solidFill>
            <a:ln>
              <a:noFill/>
            </a:ln>
          </c:spPr>
          <c:invertIfNegative val="0"/>
          <c:dLbls>
            <c:delete val="1"/>
          </c:dLbls>
          <c:cat>
            <c:strRef>
              <c:f>'Sheet1'!$A$2:$A$3</c:f>
              <c:strCache>
                <c:ptCount val="2"/>
                <c:pt idx="0">
                  <c:v>2021年收支总计</c:v>
                </c:pt>
                <c:pt idx="1">
                  <c:v>2020年收支总计</c:v>
                </c:pt>
              </c:strCache>
            </c:strRef>
          </c:cat>
          <c:val>
            <c:numRef>
              <c:f>{1}</c:f>
              <c:numCache>
                <c:formatCode>General</c:formatCode>
                <c:ptCount val="1"/>
                <c:pt idx="0">
                  <c:v>1</c:v>
                </c:pt>
              </c:numCache>
            </c:numRef>
          </c:val>
        </c:ser>
        <c:ser>
          <c:idx val="2"/>
          <c:order val="2"/>
          <c:spPr>
            <a:solidFill>
              <a:srgbClr val="A5A5A5"/>
            </a:solidFill>
            <a:ln>
              <a:noFill/>
            </a:ln>
          </c:spPr>
          <c:invertIfNegative val="0"/>
          <c:dLbls>
            <c:delete val="1"/>
          </c:dLbls>
          <c:cat>
            <c:strRef>
              <c:f>'Sheet1'!$A$2:$A$3</c:f>
              <c:strCache>
                <c:ptCount val="2"/>
                <c:pt idx="0">
                  <c:v>2021年收支总计</c:v>
                </c:pt>
                <c:pt idx="1">
                  <c:v>2020年收支总计</c:v>
                </c:pt>
              </c:strCache>
            </c:strRef>
          </c:cat>
          <c:val>
            <c:numRef>
              <c:f>{1}</c:f>
              <c:numCache>
                <c:formatCode>General</c:formatCode>
                <c:ptCount val="1"/>
                <c:pt idx="0">
                  <c:v>1</c:v>
                </c:pt>
              </c:numCache>
            </c:numRef>
          </c:val>
        </c:ser>
        <c:dLbls>
          <c:showLegendKey val="0"/>
          <c:showVal val="0"/>
          <c:showCatName val="0"/>
          <c:showSerName val="0"/>
          <c:showPercent val="0"/>
          <c:showBubbleSize val="0"/>
        </c:dLbls>
        <c:gapWidth val="150"/>
        <c:axId val="79717504"/>
        <c:axId val="79719040"/>
      </c:barChart>
      <c:catAx>
        <c:axId val="79717504"/>
        <c:scaling>
          <c:orientation val="minMax"/>
        </c:scaling>
        <c:delete val="0"/>
        <c:axPos val="b"/>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p>
        </c:txPr>
        <c:crossAx val="79719040"/>
        <c:crosses val="autoZero"/>
        <c:auto val="1"/>
        <c:lblAlgn val="ctr"/>
        <c:lblOffset val="100"/>
        <c:noMultiLvlLbl val="0"/>
      </c:catAx>
      <c:valAx>
        <c:axId val="79719040"/>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p>
        </c:txPr>
        <c:crossAx val="79717504"/>
        <c:crossesAt val="1"/>
        <c:crossBetween val="between"/>
      </c:valAx>
      <c:spPr>
        <a:solidFill>
          <a:srgbClr val="FFFFFF"/>
        </a:solidFill>
      </c:spPr>
    </c:plotArea>
    <c:legend>
      <c:legendPos val="r"/>
      <c:legendEntry>
        <c:idx val="1"/>
        <c:delete val="1"/>
      </c:legendEntry>
      <c:legendEntry>
        <c:idx val="2"/>
        <c:delete val="1"/>
      </c:legendEntry>
      <c:layout/>
      <c:overlay val="0"/>
      <c:spPr>
        <a:noFill/>
        <a:ln>
          <a:noFill/>
        </a:ln>
      </c:spPr>
      <c:txPr>
        <a:bodyPr rot="0" spcFirstLastPara="0" vertOverflow="ellipsis" vert="horz" wrap="square"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p>
      </c:txPr>
    </c:legend>
    <c:plotVisOnly val="1"/>
    <c:dispBlanksAs val="gap"/>
    <c:showDLblsOverMax val="0"/>
  </c:chart>
  <c:txPr>
    <a:bodyPr/>
    <a:lstStyle/>
    <a:p>
      <a:pPr>
        <a:defRPr lang="zh-CN" sz="1000" b="0" i="0" u="none" strike="noStrike" baseline="0">
          <a:solidFill>
            <a:srgbClr val="000000"/>
          </a:solidFill>
          <a:latin typeface="Times New Roman" panose="02020603050405020304"/>
          <a:ea typeface="宋体" panose="02010600030101010101" charset="-122"/>
          <a:cs typeface="Lucida Sans" panose="020B0602030504020204"/>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rgbClr val="000000"/>
                </a:solidFill>
                <a:latin typeface="Times New Roman" panose="02020603050405020304"/>
                <a:ea typeface="宋体" panose="02010600030101010101" charset="-122"/>
                <a:cs typeface="Lucida Sans" panose="020B0602030504020204"/>
              </a:defRPr>
            </a:pPr>
            <a:r>
              <a:rPr lang="zh-CN"/>
              <a:t>资金构成</a:t>
            </a:r>
            <a:endParaRPr lang="zh-CN"/>
          </a:p>
        </c:rich>
      </c:tx>
      <c:layout/>
      <c:overlay val="0"/>
      <c:spPr>
        <a:ln>
          <a:noFill/>
        </a:ln>
      </c:spPr>
    </c:title>
    <c:autoTitleDeleted val="0"/>
    <c:plotArea>
      <c:layout/>
      <c:pieChart>
        <c:varyColors val="1"/>
        <c:ser>
          <c:idx val="0"/>
          <c:order val="0"/>
          <c:tx>
            <c:strRef>
              <c:f>'Sheet1 (2)'!$B$1</c:f>
              <c:strCache>
                <c:ptCount val="1"/>
                <c:pt idx="0">
                  <c:v>资金构成</c:v>
                </c:pt>
              </c:strCache>
            </c:strRef>
          </c:tx>
          <c:spPr>
            <a:ln>
              <a:noFill/>
            </a:ln>
          </c:spPr>
          <c:explosion val="0"/>
          <c:dPt>
            <c:idx val="0"/>
            <c:bubble3D val="0"/>
            <c:spPr>
              <a:solidFill>
                <a:srgbClr val="4472C4"/>
              </a:solidFill>
            </c:spPr>
          </c:dPt>
          <c:dLbls>
            <c:delete val="1"/>
          </c:dLbls>
          <c:cat>
            <c:strRef>
              <c:f>'Sheet1 (2)'!$A$2</c:f>
              <c:strCache>
                <c:ptCount val="1"/>
                <c:pt idx="0">
                  <c:v>一般公共预算财政拨款收入</c:v>
                </c:pt>
              </c:strCache>
            </c:strRef>
          </c:cat>
          <c:val>
            <c:numRef>
              <c:f>Sheet1 (2)!$B$2</c:f>
              <c:numCache>
                <c:formatCode>General</c:formatCode>
                <c:ptCount val="1"/>
                <c:pt idx="0">
                  <c:v>8.2</c:v>
                </c:pt>
              </c:numCache>
            </c:numRef>
          </c:val>
        </c:ser>
        <c:dLbls>
          <c:showLegendKey val="0"/>
          <c:showVal val="0"/>
          <c:showCatName val="0"/>
          <c:showSerName val="0"/>
          <c:showPercent val="0"/>
          <c:showBubbleSize val="0"/>
          <c:showLeaderLines val="1"/>
        </c:dLbls>
        <c:firstSliceAng val="0"/>
      </c:pieChart>
      <c:spPr>
        <a:noFill/>
      </c:spPr>
    </c:plotArea>
    <c:legend>
      <c:legendPos val="r"/>
      <c:layout/>
      <c:overlay val="0"/>
      <c:spPr>
        <a:noFill/>
        <a:ln>
          <a:noFill/>
        </a:ln>
      </c:spPr>
      <c:txPr>
        <a:bodyPr rot="0" spcFirstLastPara="0" vertOverflow="ellipsis" vert="horz" wrap="square"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p>
      </c:txPr>
    </c:legend>
    <c:plotVisOnly val="1"/>
    <c:dispBlanksAs val="zero"/>
    <c:showDLblsOverMax val="0"/>
  </c:chart>
  <c:txPr>
    <a:bodyPr/>
    <a:lstStyle/>
    <a:p>
      <a:pPr>
        <a:defRPr lang="zh-CN" sz="1000" b="0" i="0" u="none" strike="noStrike" baseline="0">
          <a:solidFill>
            <a:srgbClr val="000000"/>
          </a:solidFill>
          <a:latin typeface="Times New Roman" panose="02020603050405020304"/>
          <a:ea typeface="宋体" panose="02010600030101010101" charset="-122"/>
          <a:cs typeface="Lucida Sans" panose="020B0602030504020204"/>
        </a:defRPr>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rgbClr val="000000"/>
                </a:solidFill>
                <a:latin typeface="Times New Roman" panose="02020603050405020304"/>
                <a:ea typeface="宋体" panose="02010600030101010101" charset="-122"/>
                <a:cs typeface="Lucida Sans" panose="020B0602030504020204"/>
              </a:defRPr>
            </a:pPr>
            <a:r>
              <a:rPr lang="zh-CN"/>
              <a:t>支出构成</a:t>
            </a:r>
            <a:endParaRPr lang="zh-CN"/>
          </a:p>
        </c:rich>
      </c:tx>
      <c:layout/>
      <c:overlay val="0"/>
      <c:spPr>
        <a:ln>
          <a:noFill/>
        </a:ln>
      </c:spPr>
    </c:title>
    <c:autoTitleDeleted val="0"/>
    <c:plotArea>
      <c:layout/>
      <c:pieChart>
        <c:varyColors val="1"/>
        <c:ser>
          <c:idx val="0"/>
          <c:order val="0"/>
          <c:tx>
            <c:strRef>
              <c:f>'Sheet1 (3)'!$B$1</c:f>
              <c:strCache>
                <c:ptCount val="1"/>
                <c:pt idx="0">
                  <c:v>销售额</c:v>
                </c:pt>
              </c:strCache>
            </c:strRef>
          </c:tx>
          <c:spPr>
            <a:ln>
              <a:noFill/>
            </a:ln>
          </c:spPr>
          <c:explosion val="0"/>
          <c:dPt>
            <c:idx val="0"/>
            <c:bubble3D val="0"/>
            <c:spPr>
              <a:solidFill>
                <a:srgbClr val="4472C4"/>
              </a:solidFill>
            </c:spPr>
          </c:dPt>
          <c:dLbls>
            <c:delete val="1"/>
          </c:dLbls>
          <c:cat>
            <c:strRef>
              <c:f>'Sheet1 (3)'!$A$2</c:f>
              <c:strCache>
                <c:ptCount val="1"/>
                <c:pt idx="0">
                  <c:v>基本支出</c:v>
                </c:pt>
              </c:strCache>
            </c:strRef>
          </c:cat>
          <c:val>
            <c:numRef>
              <c:f>Sheet1 (3)!$B$2</c:f>
              <c:numCache>
                <c:formatCode>General</c:formatCode>
                <c:ptCount val="1"/>
                <c:pt idx="0">
                  <c:v>100</c:v>
                </c:pt>
              </c:numCache>
            </c:numRef>
          </c:val>
        </c:ser>
        <c:dLbls>
          <c:showLegendKey val="0"/>
          <c:showVal val="0"/>
          <c:showCatName val="0"/>
          <c:showSerName val="0"/>
          <c:showPercent val="0"/>
          <c:showBubbleSize val="0"/>
          <c:showLeaderLines val="1"/>
        </c:dLbls>
        <c:firstSliceAng val="0"/>
      </c:pieChart>
      <c:spPr>
        <a:noFill/>
      </c:spPr>
    </c:plotArea>
    <c:legend>
      <c:legendPos val="r"/>
      <c:layout/>
      <c:overlay val="0"/>
      <c:spPr>
        <a:noFill/>
        <a:ln>
          <a:noFill/>
        </a:ln>
      </c:spPr>
      <c:txPr>
        <a:bodyPr rot="0" spcFirstLastPara="0" vertOverflow="ellipsis" vert="horz" wrap="square"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p>
      </c:txPr>
    </c:legend>
    <c:plotVisOnly val="1"/>
    <c:dispBlanksAs val="zero"/>
    <c:showDLblsOverMax val="0"/>
  </c:chart>
  <c:txPr>
    <a:bodyPr/>
    <a:lstStyle/>
    <a:p>
      <a:pPr>
        <a:defRPr lang="zh-CN" sz="1000" b="0" i="0" u="none" strike="noStrike" baseline="0">
          <a:solidFill>
            <a:srgbClr val="000000"/>
          </a:solidFill>
          <a:latin typeface="Times New Roman" panose="02020603050405020304"/>
          <a:ea typeface="宋体" panose="02010600030101010101" charset="-122"/>
          <a:cs typeface="Lucida Sans" panose="020B0602030504020204"/>
        </a:defRPr>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rgbClr val="000000"/>
                </a:solidFill>
                <a:latin typeface="Times New Roman" panose="02020603050405020304"/>
                <a:ea typeface="宋体" panose="02010600030101010101" charset="-122"/>
                <a:cs typeface="Lucida Sans" panose="020B0602030504020204"/>
              </a:defRPr>
            </a:pPr>
            <a:r>
              <a:rPr lang="zh-CN"/>
              <a:t>财政拨款收支变动情况</a:t>
            </a:r>
            <a:endParaRPr lang="zh-CN"/>
          </a:p>
        </c:rich>
      </c:tx>
      <c:layout/>
      <c:overlay val="0"/>
      <c:spPr>
        <a:ln>
          <a:noFill/>
        </a:ln>
      </c:spPr>
    </c:title>
    <c:autoTitleDeleted val="0"/>
    <c:plotArea>
      <c:layout/>
      <c:barChart>
        <c:barDir val="col"/>
        <c:grouping val="clustered"/>
        <c:varyColors val="0"/>
        <c:ser>
          <c:idx val="0"/>
          <c:order val="0"/>
          <c:tx>
            <c:strRef>
              <c:f>'Sheet1 (4)'!$B$1</c:f>
              <c:strCache>
                <c:ptCount val="1"/>
                <c:pt idx="0">
                  <c:v>金额</c:v>
                </c:pt>
              </c:strCache>
            </c:strRef>
          </c:tx>
          <c:spPr>
            <a:solidFill>
              <a:srgbClr val="4472C4"/>
            </a:solidFill>
            <a:ln>
              <a:noFill/>
            </a:ln>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 (4)'!$A$2:$A$3</c:f>
              <c:strCache>
                <c:ptCount val="2"/>
                <c:pt idx="0">
                  <c:v>2021年收支</c:v>
                </c:pt>
                <c:pt idx="1">
                  <c:v>2022年收支</c:v>
                </c:pt>
              </c:strCache>
            </c:strRef>
          </c:cat>
          <c:val>
            <c:numRef>
              <c:f>'Sheet1 (4)'!$B$2:$B$3</c:f>
              <c:numCache>
                <c:formatCode>General</c:formatCode>
                <c:ptCount val="2"/>
                <c:pt idx="0">
                  <c:v>651.8</c:v>
                </c:pt>
                <c:pt idx="1">
                  <c:v>456.48</c:v>
                </c:pt>
              </c:numCache>
            </c:numRef>
          </c:val>
        </c:ser>
        <c:dLbls>
          <c:showLegendKey val="0"/>
          <c:showVal val="1"/>
          <c:showCatName val="0"/>
          <c:showSerName val="0"/>
          <c:showPercent val="0"/>
          <c:showBubbleSize val="0"/>
        </c:dLbls>
        <c:gapWidth val="150"/>
        <c:axId val="81421056"/>
        <c:axId val="81422592"/>
      </c:barChart>
      <c:catAx>
        <c:axId val="81421056"/>
        <c:scaling>
          <c:orientation val="minMax"/>
        </c:scaling>
        <c:delete val="0"/>
        <c:axPos val="b"/>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p>
        </c:txPr>
        <c:crossAx val="81422592"/>
        <c:crosses val="autoZero"/>
        <c:auto val="1"/>
        <c:lblAlgn val="ctr"/>
        <c:lblOffset val="100"/>
        <c:noMultiLvlLbl val="0"/>
      </c:catAx>
      <c:valAx>
        <c:axId val="81422592"/>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p>
        </c:txPr>
        <c:crossAx val="81421056"/>
        <c:crossesAt val="1"/>
        <c:crossBetween val="between"/>
      </c:valAx>
      <c:spPr>
        <a:solidFill>
          <a:srgbClr val="FFFFFF"/>
        </a:solidFill>
      </c:spPr>
    </c:plotArea>
    <c:legend>
      <c:legendPos val="r"/>
      <c:layout/>
      <c:overlay val="0"/>
      <c:spPr>
        <a:noFill/>
        <a:ln>
          <a:noFill/>
        </a:ln>
      </c:spPr>
      <c:txPr>
        <a:bodyPr rot="0" spcFirstLastPara="0" vertOverflow="ellipsis" vert="horz" wrap="square"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p>
      </c:txPr>
    </c:legend>
    <c:plotVisOnly val="1"/>
    <c:dispBlanksAs val="gap"/>
    <c:showDLblsOverMax val="0"/>
  </c:chart>
  <c:txPr>
    <a:bodyPr/>
    <a:lstStyle/>
    <a:p>
      <a:pPr>
        <a:defRPr lang="zh-CN" sz="1000" b="0" i="0" u="none" strike="noStrike" baseline="0">
          <a:solidFill>
            <a:srgbClr val="000000"/>
          </a:solidFill>
          <a:latin typeface="Times New Roman" panose="02020603050405020304"/>
          <a:ea typeface="宋体" panose="02010600030101010101" charset="-122"/>
          <a:cs typeface="Lucida Sans" panose="020B0602030504020204"/>
        </a:defRPr>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rgbClr val="000000"/>
                </a:solidFill>
                <a:latin typeface="Times New Roman" panose="02020603050405020304"/>
                <a:ea typeface="宋体" panose="02010600030101010101" charset="-122"/>
                <a:cs typeface="Lucida Sans" panose="020B0602030504020204"/>
              </a:defRPr>
            </a:pPr>
            <a:r>
              <a:rPr lang="zh-CN"/>
              <a:t>一般公共预算支出</a:t>
            </a:r>
            <a:endParaRPr lang="zh-CN"/>
          </a:p>
        </c:rich>
      </c:tx>
      <c:layout/>
      <c:overlay val="0"/>
      <c:spPr>
        <a:ln>
          <a:noFill/>
        </a:ln>
      </c:spPr>
    </c:title>
    <c:autoTitleDeleted val="0"/>
    <c:plotArea>
      <c:layout/>
      <c:barChart>
        <c:barDir val="col"/>
        <c:grouping val="clustered"/>
        <c:varyColors val="0"/>
        <c:ser>
          <c:idx val="0"/>
          <c:order val="0"/>
          <c:tx>
            <c:strRef>
              <c:f>'Sheet1 (5)'!$B$1</c:f>
              <c:strCache>
                <c:ptCount val="1"/>
                <c:pt idx="0">
                  <c:v>金额</c:v>
                </c:pt>
              </c:strCache>
            </c:strRef>
          </c:tx>
          <c:spPr>
            <a:solidFill>
              <a:srgbClr val="4472C4"/>
            </a:solidFill>
            <a:ln>
              <a:noFill/>
            </a:ln>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 (5)'!$A$2:$A$3</c:f>
              <c:strCache>
                <c:ptCount val="2"/>
                <c:pt idx="0">
                  <c:v>2021年</c:v>
                </c:pt>
                <c:pt idx="1">
                  <c:v>2020年</c:v>
                </c:pt>
              </c:strCache>
            </c:strRef>
          </c:cat>
          <c:val>
            <c:numRef>
              <c:f>'Sheet1 (5)'!$B$2:$B$3</c:f>
              <c:numCache>
                <c:formatCode>General</c:formatCode>
                <c:ptCount val="2"/>
                <c:pt idx="0">
                  <c:v>658.1</c:v>
                </c:pt>
                <c:pt idx="1">
                  <c:v>456.48</c:v>
                </c:pt>
              </c:numCache>
            </c:numRef>
          </c:val>
        </c:ser>
        <c:dLbls>
          <c:showLegendKey val="0"/>
          <c:showVal val="1"/>
          <c:showCatName val="0"/>
          <c:showSerName val="0"/>
          <c:showPercent val="0"/>
          <c:showBubbleSize val="0"/>
        </c:dLbls>
        <c:gapWidth val="150"/>
        <c:axId val="84744448"/>
        <c:axId val="84750336"/>
      </c:barChart>
      <c:catAx>
        <c:axId val="84744448"/>
        <c:scaling>
          <c:orientation val="minMax"/>
        </c:scaling>
        <c:delete val="0"/>
        <c:axPos val="b"/>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p>
        </c:txPr>
        <c:crossAx val="84750336"/>
        <c:crosses val="autoZero"/>
        <c:auto val="1"/>
        <c:lblAlgn val="ctr"/>
        <c:lblOffset val="100"/>
        <c:noMultiLvlLbl val="0"/>
      </c:catAx>
      <c:valAx>
        <c:axId val="84750336"/>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p>
        </c:txPr>
        <c:crossAx val="84744448"/>
        <c:crossesAt val="1"/>
        <c:crossBetween val="between"/>
      </c:valAx>
      <c:spPr>
        <a:solidFill>
          <a:srgbClr val="FFFFFF"/>
        </a:solidFill>
      </c:spPr>
    </c:plotArea>
    <c:legend>
      <c:legendPos val="r"/>
      <c:layout/>
      <c:overlay val="0"/>
      <c:spPr>
        <a:noFill/>
        <a:ln>
          <a:noFill/>
        </a:ln>
      </c:spPr>
      <c:txPr>
        <a:bodyPr rot="0" spcFirstLastPara="0" vertOverflow="ellipsis" vert="horz" wrap="square"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p>
      </c:txPr>
    </c:legend>
    <c:plotVisOnly val="1"/>
    <c:dispBlanksAs val="gap"/>
    <c:showDLblsOverMax val="0"/>
  </c:chart>
  <c:txPr>
    <a:bodyPr/>
    <a:lstStyle/>
    <a:p>
      <a:pPr>
        <a:defRPr lang="zh-CN" sz="1000" b="0" i="0" u="none" strike="noStrike" baseline="0">
          <a:solidFill>
            <a:srgbClr val="000000"/>
          </a:solidFill>
          <a:latin typeface="Times New Roman" panose="02020603050405020304"/>
          <a:ea typeface="宋体" panose="02010600030101010101" charset="-122"/>
          <a:cs typeface="Lucida Sans" panose="020B0602030504020204"/>
        </a:defRPr>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rgbClr val="000000"/>
                </a:solidFill>
                <a:latin typeface="Times New Roman" panose="02020603050405020304"/>
                <a:ea typeface="宋体" panose="02010600030101010101" charset="-122"/>
                <a:cs typeface="Lucida Sans" panose="020B0602030504020204"/>
              </a:defRPr>
            </a:pPr>
            <a:r>
              <a:rPr lang="zh-CN"/>
              <a:t>一般公共预算支出</a:t>
            </a:r>
            <a:endParaRPr lang="zh-CN"/>
          </a:p>
        </c:rich>
      </c:tx>
      <c:layout/>
      <c:overlay val="0"/>
      <c:spPr>
        <a:ln>
          <a:noFill/>
        </a:ln>
      </c:spPr>
    </c:title>
    <c:autoTitleDeleted val="0"/>
    <c:plotArea>
      <c:layout/>
      <c:pieChart>
        <c:varyColors val="1"/>
        <c:ser>
          <c:idx val="0"/>
          <c:order val="0"/>
          <c:tx>
            <c:strRef>
              <c:f>'Sheet1 (6)'!$B$1</c:f>
              <c:strCache>
                <c:ptCount val="1"/>
                <c:pt idx="0">
                  <c:v>一般公共预算支出</c:v>
                </c:pt>
              </c:strCache>
            </c:strRef>
          </c:tx>
          <c:spPr>
            <a:ln>
              <a:noFill/>
            </a:ln>
          </c:spPr>
          <c:explosion val="0"/>
          <c:dPt>
            <c:idx val="0"/>
            <c:bubble3D val="0"/>
            <c:spPr>
              <a:solidFill>
                <a:srgbClr val="4472C4"/>
              </a:solidFill>
            </c:spPr>
          </c:dPt>
          <c:dPt>
            <c:idx val="1"/>
            <c:bubble3D val="0"/>
            <c:spPr>
              <a:solidFill>
                <a:srgbClr val="ED7D31"/>
              </a:solidFill>
            </c:spPr>
          </c:dPt>
          <c:dPt>
            <c:idx val="2"/>
            <c:bubble3D val="0"/>
            <c:spPr>
              <a:solidFill>
                <a:srgbClr val="A5A5A5"/>
              </a:solidFill>
            </c:spPr>
          </c:dPt>
          <c:dPt>
            <c:idx val="3"/>
            <c:bubble3D val="0"/>
            <c:spPr>
              <a:solidFill>
                <a:srgbClr val="FFC000"/>
              </a:solidFill>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p>
            </c:txPr>
            <c:dLblPos val="ct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'Sheet1 (6)'!$A$2:$A$5</c:f>
              <c:strCache>
                <c:ptCount val="4"/>
                <c:pt idx="0">
                  <c:v>一般公共服务类</c:v>
                </c:pt>
                <c:pt idx="1">
                  <c:v>社会和保障就业类</c:v>
                </c:pt>
                <c:pt idx="2">
                  <c:v>卫生健康支出</c:v>
                </c:pt>
                <c:pt idx="3">
                  <c:v>住房保障支出</c:v>
                </c:pt>
              </c:strCache>
            </c:strRef>
          </c:cat>
          <c:val>
            <c:numRef>
              <c:f>'Sheet1 (6)'!$B$2:$B$5</c:f>
              <c:numCache>
                <c:formatCode>0.00%</c:formatCode>
                <c:ptCount val="4"/>
                <c:pt idx="0">
                  <c:v>0.7965</c:v>
                </c:pt>
                <c:pt idx="1">
                  <c:v>0.0201</c:v>
                </c:pt>
                <c:pt idx="2">
                  <c:v>0.0554</c:v>
                </c:pt>
                <c:pt idx="3">
                  <c:v>0.1184</c:v>
                </c:pt>
              </c:numCache>
            </c:numRef>
          </c:val>
        </c:ser>
        <c:dLbls>
          <c:showLegendKey val="0"/>
          <c:showVal val="1"/>
          <c:showCatName val="0"/>
          <c:showSerName val="0"/>
          <c:showPercent val="0"/>
          <c:showBubbleSize val="0"/>
          <c:showLeaderLines val="1"/>
        </c:dLbls>
        <c:firstSliceAng val="0"/>
      </c:pieChart>
      <c:spPr>
        <a:noFill/>
      </c:spPr>
    </c:plotArea>
    <c:legend>
      <c:legendPos val="r"/>
      <c:layout/>
      <c:overlay val="0"/>
      <c:spPr>
        <a:noFill/>
        <a:ln>
          <a:noFill/>
        </a:ln>
      </c:spPr>
      <c:txPr>
        <a:bodyPr rot="0" spcFirstLastPara="0" vertOverflow="ellipsis" vert="horz" wrap="square" anchor="ctr" anchorCtr="1"/>
        <a:lstStyle/>
        <a:p>
          <a:pPr>
            <a:defRPr lang="zh-CN" sz="1000" b="0" i="0" u="none" strike="noStrike" kern="1200" baseline="0">
              <a:solidFill>
                <a:srgbClr val="000000"/>
              </a:solidFill>
              <a:latin typeface="Times New Roman" panose="02020603050405020304"/>
              <a:ea typeface="宋体" panose="02010600030101010101" charset="-122"/>
              <a:cs typeface="Lucida Sans" panose="020B0602030504020204"/>
            </a:defRPr>
          </a:pPr>
        </a:p>
      </c:txPr>
    </c:legend>
    <c:plotVisOnly val="1"/>
    <c:dispBlanksAs val="zero"/>
    <c:showDLblsOverMax val="0"/>
  </c:chart>
  <c:txPr>
    <a:bodyPr/>
    <a:lstStyle/>
    <a:p>
      <a:pPr>
        <a:defRPr lang="zh-CN" sz="1000" b="0" i="0" u="none" strike="noStrike" baseline="0">
          <a:solidFill>
            <a:srgbClr val="000000"/>
          </a:solidFill>
          <a:latin typeface="Times New Roman" panose="02020603050405020304"/>
          <a:ea typeface="宋体" panose="02010600030101010101" charset="-122"/>
          <a:cs typeface="Lucida Sans" panose="020B0602030504020204"/>
        </a:defRPr>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四川省财政厅</Company>
  <Pages>17</Pages>
  <Words>1011</Words>
  <Characters>5764</Characters>
  <Lines>48</Lines>
  <Paragraphs>13</Paragraphs>
  <TotalTime>21</TotalTime>
  <ScaleCrop>false</ScaleCrop>
  <LinksUpToDate>false</LinksUpToDate>
  <CharactersWithSpaces>6762</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2022-12-09T10:31:00Z</dcterms:created>
  <dc:creator>曹颖</dc:creator>
  <cp:lastModifiedBy>FAAH</cp:lastModifiedBy>
  <cp:lastPrinted>2022-08-06T02:23:00Z</cp:lastPrinted>
  <dcterms:modified xsi:type="dcterms:W3CDTF">2023-09-24T09:39:54Z</dcterms:modified>
  <dc:title>四川省***</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13E4732374E0471A824FCF699FEF413A_13</vt:lpwstr>
  </property>
</Properties>
</file>