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rPr>
          <w:rFonts w:cs="Times New Roman"/>
          <w:color w:val="000000"/>
        </w:rPr>
      </w:pPr>
    </w:p>
    <w:p>
      <w:pPr>
        <w:spacing w:line="640" w:lineRule="exact"/>
        <w:jc w:val="center"/>
        <w:outlineLvl w:val="0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t>2024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年阿坝州税收返还和转移支付</w:t>
      </w:r>
    </w:p>
    <w:p>
      <w:pPr>
        <w:spacing w:line="640" w:lineRule="exact"/>
        <w:jc w:val="center"/>
        <w:outlineLvl w:val="0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补助情况的说明</w:t>
      </w:r>
    </w:p>
    <w:p>
      <w:pPr>
        <w:spacing w:line="640" w:lineRule="exact"/>
        <w:ind w:firstLineChars="100" w:firstLine="32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firstLineChars="200" w:firstLine="64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年税收返还和转移支付补助收入预算数为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1293962万元，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较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年年初预算数增加</w:t>
      </w:r>
      <w:r>
        <w:rPr>
          <w:rFonts w:ascii="仿宋_GB2312" w:eastAsia="仿宋_GB2312" w:cs="仿宋_GB2312"/>
          <w:color w:val="000000"/>
          <w:sz w:val="32"/>
          <w:szCs w:val="32"/>
        </w:rPr>
        <w:t>117135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cs="仿宋_GB2312"/>
          <w:color w:val="000000"/>
          <w:sz w:val="32"/>
          <w:szCs w:val="32"/>
        </w:rPr>
        <w:t>10%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。具体情况如下：</w:t>
      </w:r>
    </w:p>
    <w:p>
      <w:pPr>
        <w:pStyle w:val="15"/>
        <w:spacing w:line="640" w:lineRule="exact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一、返还性收入</w:t>
      </w:r>
    </w:p>
    <w:p>
      <w:pPr>
        <w:spacing w:line="640" w:lineRule="exact"/>
        <w:ind w:firstLineChars="150" w:firstLine="480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年返还性收入预算数为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50250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万元，与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年预算数持平。其中：所得税基数返还收入预算数为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3185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万元、成品油税费改革税收返还收入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22100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万元、增值税税收返还收入预算数为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18214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万元、消费税税收返还收入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1049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万元、增值税“五五分享”税收返还收入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6907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万元、其他税收返还收入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-1205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万元，以上项目均与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预算数持平。</w:t>
      </w:r>
    </w:p>
    <w:p>
      <w:pPr>
        <w:spacing w:line="640" w:lineRule="exact"/>
        <w:ind w:left="640"/>
        <w:outlineLvl w:val="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二、一般性转移支付收入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年一般性转移支付收入预算数为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1243712万元，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年增加</w:t>
      </w:r>
      <w:r>
        <w:rPr>
          <w:rFonts w:ascii="仿宋_GB2312" w:eastAsia="仿宋_GB2312" w:cs="仿宋_GB2312"/>
          <w:color w:val="000000"/>
          <w:sz w:val="32"/>
          <w:szCs w:val="32"/>
        </w:rPr>
        <w:t>117135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cs="仿宋_GB2312"/>
          <w:color w:val="000000"/>
          <w:sz w:val="32"/>
          <w:szCs w:val="32"/>
        </w:rPr>
        <w:t>10%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其中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>
      <w:pPr>
        <w:spacing w:line="64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（一）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体制补助收入预算数为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20775万元，比2023年增加3082万元，增长17%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（二）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均衡性转移支付支出预算数为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604337万元，比2023年减少742万元,下降0.1%。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（三）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县级基本财力保障机制奖补资金支出预算数为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83839万元，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年减少</w:t>
      </w:r>
      <w:r>
        <w:rPr>
          <w:rFonts w:ascii="仿宋_GB2312" w:eastAsia="仿宋_GB2312" w:cs="仿宋_GB2312"/>
          <w:color w:val="000000"/>
          <w:sz w:val="32"/>
          <w:szCs w:val="32"/>
        </w:rPr>
        <w:t>2499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，下降2.9%。</w:t>
      </w:r>
    </w:p>
    <w:p>
      <w:pPr>
        <w:spacing w:line="64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（四）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结算补助支出预算数为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77382万元，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年减少</w:t>
      </w:r>
      <w:r>
        <w:rPr>
          <w:rFonts w:ascii="仿宋_GB2312" w:eastAsia="仿宋_GB2312" w:cs="仿宋_GB2312"/>
          <w:color w:val="000000"/>
          <w:sz w:val="32"/>
          <w:szCs w:val="32"/>
        </w:rPr>
        <w:t>12292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，下降13.7%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（五）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固定数额补助收入</w:t>
      </w:r>
      <w:r>
        <w:rPr>
          <w:rFonts w:ascii="仿宋_GB2312" w:eastAsia="仿宋_GB2312" w:cs="仿宋_GB2312"/>
          <w:color w:val="000000"/>
          <w:sz w:val="32"/>
          <w:szCs w:val="32"/>
        </w:rPr>
        <w:t>232058万元，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2023年增加67499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,增长41%。</w:t>
      </w:r>
    </w:p>
    <w:p>
      <w:pPr>
        <w:spacing w:line="64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（六）</w:t>
      </w:r>
      <w: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革命老区、民族地区转移支付收入</w:t>
      </w:r>
      <w:r>
        <w:rPr>
          <w:rFonts w:ascii="仿宋_GB2312" w:eastAsia="仿宋_GB2312" w:cs="仿宋_GB2312"/>
          <w:color w:val="000000"/>
          <w:sz w:val="32"/>
          <w:szCs w:val="32"/>
        </w:rPr>
        <w:t>106685万元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，比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年增加</w:t>
      </w:r>
      <w:r>
        <w:rPr>
          <w:rFonts w:ascii="仿宋_GB2312" w:eastAsia="仿宋_GB2312" w:cs="仿宋_GB2312"/>
          <w:color w:val="000000"/>
          <w:sz w:val="32"/>
          <w:szCs w:val="32"/>
        </w:rPr>
        <w:t>8721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cs="仿宋_GB2312"/>
          <w:color w:val="000000"/>
          <w:sz w:val="32"/>
          <w:szCs w:val="32"/>
        </w:rPr>
        <w:t>8.9%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>
      <w:pPr>
        <w:spacing w:line="64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（七）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企业事业单位划转补助收入</w:t>
      </w:r>
      <w:r>
        <w:rPr>
          <w:rFonts w:ascii="仿宋_GB2312" w:eastAsia="仿宋_GB2312" w:cs="仿宋_GB2312"/>
          <w:color w:val="000000"/>
          <w:sz w:val="32"/>
          <w:szCs w:val="32"/>
        </w:rPr>
        <w:t>35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万元，与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年预算数持平。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（八）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重点生态功能区转移支付补助资金</w:t>
      </w:r>
      <w:r>
        <w:rPr>
          <w:rFonts w:ascii="仿宋_GB2312" w:eastAsia="仿宋_GB2312" w:cs="仿宋_GB2312"/>
          <w:color w:val="000000"/>
          <w:sz w:val="32"/>
          <w:szCs w:val="32"/>
        </w:rPr>
        <w:t>118601万元，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年增加</w:t>
      </w:r>
      <w:r>
        <w:rPr>
          <w:rFonts w:ascii="仿宋_GB2312" w:eastAsia="仿宋_GB2312" w:cs="仿宋_GB2312"/>
          <w:color w:val="000000"/>
          <w:sz w:val="32"/>
          <w:szCs w:val="32"/>
        </w:rPr>
        <w:t>62540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，增长111.6%。</w:t>
      </w:r>
    </w:p>
    <w:p>
      <w:pPr>
        <w:spacing w:line="640" w:lineRule="exact"/>
        <w:ind w:left="640"/>
        <w:outlineLvl w:val="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</w:t>
      </w:r>
      <w:r>
        <w:rPr>
          <w:rFonts w:ascii="黑体" w:eastAsia="黑体" w:cs="黑体"/>
          <w:sz w:val="32"/>
          <w:szCs w:val="32"/>
        </w:rPr>
        <w:t>2024</w:t>
      </w:r>
      <w:r>
        <w:rPr>
          <w:rFonts w:ascii="黑体" w:eastAsia="黑体" w:cs="黑体" w:hint="eastAsia"/>
          <w:sz w:val="32"/>
          <w:szCs w:val="32"/>
        </w:rPr>
        <w:t>年阿坝州转移支付分地区预算数</w:t>
      </w:r>
    </w:p>
    <w:p>
      <w:pPr>
        <w:spacing w:line="64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ascii="仿宋_GB2312" w:eastAsia="仿宋_GB2312" w:cs="仿宋_GB2312" w:hint="eastAsia"/>
          <w:sz w:val="32"/>
          <w:szCs w:val="32"/>
        </w:rPr>
        <w:t>年转移支付补助分地区预算数为</w:t>
      </w:r>
      <w:r>
        <w:rPr>
          <w:rFonts w:ascii="仿宋_GB2312" w:eastAsia="仿宋_GB2312" w:cs="仿宋_GB2312"/>
          <w:sz w:val="32"/>
          <w:szCs w:val="32"/>
        </w:rPr>
        <w:t>1293962</w:t>
      </w:r>
      <w:r>
        <w:rPr>
          <w:rFonts w:ascii="仿宋_GB2312" w:eastAsia="仿宋_GB2312" w:cs="仿宋_GB2312" w:hint="eastAsia"/>
          <w:sz w:val="32"/>
          <w:szCs w:val="32"/>
        </w:rPr>
        <w:t>万元，其中：本级转移支付收入预算数为</w:t>
      </w:r>
      <w:r>
        <w:rPr>
          <w:rFonts w:ascii="仿宋_GB2312" w:eastAsia="仿宋_GB2312" w:cs="仿宋_GB2312"/>
          <w:sz w:val="32"/>
          <w:szCs w:val="32"/>
        </w:rPr>
        <w:t>218392</w:t>
      </w:r>
      <w:r>
        <w:rPr>
          <w:rFonts w:ascii="仿宋_GB2312" w:eastAsia="仿宋_GB2312" w:cs="仿宋_GB2312" w:hint="eastAsia"/>
          <w:sz w:val="32"/>
          <w:szCs w:val="32"/>
        </w:rPr>
        <w:t>万元，县（市）转移支付收入合计</w:t>
      </w:r>
      <w:r>
        <w:rPr>
          <w:rFonts w:ascii="仿宋_GB2312" w:eastAsia="仿宋_GB2312" w:cs="仿宋_GB2312"/>
          <w:color w:val="000000"/>
          <w:sz w:val="32"/>
          <w:szCs w:val="32"/>
        </w:rPr>
        <w:t>1075570</w:t>
      </w:r>
      <w:r>
        <w:rPr>
          <w:rFonts w:ascii="仿宋_GB2312" w:eastAsia="仿宋_GB2312" w:cs="仿宋_GB2312" w:hint="eastAsia"/>
          <w:sz w:val="32"/>
          <w:szCs w:val="32"/>
        </w:rPr>
        <w:t>万元。其中，汶川县：</w:t>
      </w:r>
      <w:r>
        <w:rPr>
          <w:rFonts w:ascii="仿宋_GB2312" w:eastAsia="仿宋_GB2312" w:cs="仿宋_GB2312"/>
          <w:sz w:val="32"/>
          <w:szCs w:val="32"/>
        </w:rPr>
        <w:t>83797</w:t>
      </w:r>
      <w:r>
        <w:rPr>
          <w:rFonts w:ascii="仿宋_GB2312" w:eastAsia="仿宋_GB2312" w:cs="仿宋_GB2312" w:hint="eastAsia"/>
          <w:sz w:val="32"/>
          <w:szCs w:val="32"/>
        </w:rPr>
        <w:t>万元、理县：</w:t>
      </w:r>
      <w:r>
        <w:rPr>
          <w:rFonts w:ascii="仿宋_GB2312" w:eastAsia="仿宋_GB2312" w:cs="仿宋_GB2312"/>
          <w:sz w:val="32"/>
          <w:szCs w:val="32"/>
        </w:rPr>
        <w:t>63970</w:t>
      </w:r>
      <w:r>
        <w:rPr>
          <w:rFonts w:ascii="仿宋_GB2312" w:eastAsia="仿宋_GB2312" w:cs="仿宋_GB2312" w:hint="eastAsia"/>
          <w:sz w:val="32"/>
          <w:szCs w:val="32"/>
        </w:rPr>
        <w:t>万元；茂县：</w:t>
      </w:r>
      <w:r>
        <w:rPr>
          <w:rFonts w:ascii="仿宋_GB2312" w:eastAsia="仿宋_GB2312" w:cs="仿宋_GB2312"/>
          <w:sz w:val="32"/>
          <w:szCs w:val="32"/>
        </w:rPr>
        <w:t>91213</w:t>
      </w:r>
      <w:r>
        <w:rPr>
          <w:rFonts w:ascii="仿宋_GB2312" w:eastAsia="仿宋_GB2312" w:cs="仿宋_GB2312" w:hint="eastAsia"/>
          <w:sz w:val="32"/>
          <w:szCs w:val="32"/>
        </w:rPr>
        <w:t>万元；松潘县：</w:t>
      </w:r>
      <w:r>
        <w:rPr>
          <w:rFonts w:ascii="仿宋_GB2312" w:eastAsia="仿宋_GB2312" w:cs="仿宋_GB2312"/>
          <w:sz w:val="32"/>
          <w:szCs w:val="32"/>
        </w:rPr>
        <w:t>93403</w:t>
      </w:r>
      <w:r>
        <w:rPr>
          <w:rFonts w:ascii="仿宋_GB2312" w:eastAsia="仿宋_GB2312" w:cs="仿宋_GB2312" w:hint="eastAsia"/>
          <w:sz w:val="32"/>
          <w:szCs w:val="32"/>
        </w:rPr>
        <w:t>万元；九寨沟县：</w:t>
      </w:r>
      <w:r>
        <w:rPr>
          <w:rFonts w:ascii="仿宋_GB2312" w:eastAsia="仿宋_GB2312" w:cs="仿宋_GB2312"/>
          <w:sz w:val="32"/>
          <w:szCs w:val="32"/>
        </w:rPr>
        <w:t>75550</w:t>
      </w:r>
      <w:r>
        <w:rPr>
          <w:rFonts w:ascii="仿宋_GB2312" w:eastAsia="仿宋_GB2312" w:cs="仿宋_GB2312" w:hint="eastAsia"/>
          <w:sz w:val="32"/>
          <w:szCs w:val="32"/>
        </w:rPr>
        <w:t>万元；金川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县</w:t>
      </w:r>
      <w:r>
        <w:rPr>
          <w:rFonts w:ascii="仿宋_GB2312" w:eastAsia="仿宋_GB2312" w:cs="仿宋_GB2312"/>
          <w:sz w:val="32"/>
          <w:szCs w:val="32"/>
        </w:rPr>
        <w:t>80641</w:t>
      </w:r>
      <w:r>
        <w:rPr>
          <w:rFonts w:ascii="仿宋_GB2312" w:eastAsia="仿宋_GB2312" w:cs="仿宋_GB2312" w:hint="eastAsia"/>
          <w:sz w:val="32"/>
          <w:szCs w:val="32"/>
        </w:rPr>
        <w:t>万元；小金县：</w:t>
      </w:r>
      <w:r>
        <w:rPr>
          <w:rFonts w:ascii="仿宋_GB2312" w:eastAsia="仿宋_GB2312" w:cs="仿宋_GB2312"/>
          <w:sz w:val="32"/>
          <w:szCs w:val="32"/>
        </w:rPr>
        <w:t>78608</w:t>
      </w:r>
      <w:r>
        <w:rPr>
          <w:rFonts w:ascii="仿宋_GB2312" w:eastAsia="仿宋_GB2312" w:cs="仿宋_GB2312" w:hint="eastAsia"/>
          <w:sz w:val="32"/>
          <w:szCs w:val="32"/>
        </w:rPr>
        <w:t>万元；黑水县：</w:t>
      </w:r>
      <w:r>
        <w:rPr>
          <w:rFonts w:ascii="仿宋_GB2312" w:eastAsia="仿宋_GB2312" w:cs="仿宋_GB2312"/>
          <w:sz w:val="32"/>
          <w:szCs w:val="32"/>
        </w:rPr>
        <w:t>73145</w:t>
      </w:r>
      <w:r>
        <w:rPr>
          <w:rFonts w:ascii="仿宋_GB2312" w:eastAsia="仿宋_GB2312" w:cs="仿宋_GB2312" w:hint="eastAsia"/>
          <w:sz w:val="32"/>
          <w:szCs w:val="32"/>
        </w:rPr>
        <w:t>万元；马尔康市：</w:t>
      </w:r>
      <w:r>
        <w:rPr>
          <w:rFonts w:ascii="仿宋_GB2312" w:eastAsia="仿宋_GB2312" w:cs="仿宋_GB2312"/>
          <w:sz w:val="32"/>
          <w:szCs w:val="32"/>
        </w:rPr>
        <w:t>69709</w:t>
      </w:r>
      <w:r>
        <w:rPr>
          <w:rFonts w:ascii="仿宋_GB2312" w:eastAsia="仿宋_GB2312" w:cs="仿宋_GB2312" w:hint="eastAsia"/>
          <w:sz w:val="32"/>
          <w:szCs w:val="32"/>
        </w:rPr>
        <w:t>万元；壤塘县：</w:t>
      </w:r>
      <w:r>
        <w:rPr>
          <w:rFonts w:ascii="仿宋_GB2312" w:eastAsia="仿宋_GB2312" w:cs="仿宋_GB2312"/>
          <w:sz w:val="32"/>
          <w:szCs w:val="32"/>
        </w:rPr>
        <w:t>80711</w:t>
      </w:r>
      <w:r>
        <w:rPr>
          <w:rFonts w:ascii="仿宋_GB2312" w:eastAsia="仿宋_GB2312" w:cs="仿宋_GB2312" w:hint="eastAsia"/>
          <w:sz w:val="32"/>
          <w:szCs w:val="32"/>
        </w:rPr>
        <w:t>万元；阿坝县：</w:t>
      </w:r>
      <w:r>
        <w:rPr>
          <w:rFonts w:ascii="仿宋_GB2312" w:eastAsia="仿宋_GB2312" w:cs="仿宋_GB2312"/>
          <w:sz w:val="32"/>
          <w:szCs w:val="32"/>
        </w:rPr>
        <w:t>104150</w:t>
      </w:r>
      <w:r>
        <w:rPr>
          <w:rFonts w:ascii="仿宋_GB2312" w:eastAsia="仿宋_GB2312" w:cs="仿宋_GB2312" w:hint="eastAsia"/>
          <w:sz w:val="32"/>
          <w:szCs w:val="32"/>
        </w:rPr>
        <w:t>万元；若尔盖县</w:t>
      </w:r>
      <w:r>
        <w:rPr>
          <w:rFonts w:ascii="仿宋_GB2312" w:eastAsia="仿宋_GB2312" w:cs="仿宋_GB2312"/>
          <w:sz w:val="32"/>
          <w:szCs w:val="32"/>
        </w:rPr>
        <w:t>104604</w:t>
      </w:r>
      <w:r>
        <w:rPr>
          <w:rFonts w:ascii="仿宋_GB2312" w:eastAsia="仿宋_GB2312" w:cs="仿宋_GB2312" w:hint="eastAsia"/>
          <w:sz w:val="32"/>
          <w:szCs w:val="32"/>
        </w:rPr>
        <w:t>万元；红原县</w:t>
      </w:r>
      <w:r>
        <w:rPr>
          <w:rFonts w:ascii="仿宋_GB2312" w:eastAsia="仿宋_GB2312" w:cs="仿宋_GB2312"/>
          <w:sz w:val="32"/>
          <w:szCs w:val="32"/>
        </w:rPr>
        <w:t>74011</w:t>
      </w:r>
      <w:r>
        <w:rPr>
          <w:rFonts w:ascii="仿宋_GB2312" w:eastAsia="仿宋_GB2312" w:cs="仿宋_GB2312" w:hint="eastAsia"/>
          <w:sz w:val="32"/>
          <w:szCs w:val="32"/>
        </w:rPr>
        <w:t>万元；卧龙：</w:t>
      </w:r>
      <w:r>
        <w:rPr>
          <w:rFonts w:ascii="仿宋_GB2312" w:eastAsia="仿宋_GB2312" w:cs="仿宋_GB2312"/>
          <w:sz w:val="32"/>
          <w:szCs w:val="32"/>
        </w:rPr>
        <w:t>2058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cs="Times New Roman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List Paragraph"/>
    <w:basedOn w:val="0"/>
    <w:pPr>
      <w:ind w:firstLineChars="200" w:firstLine="20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Document Map"/>
    <w:basedOn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1573</TotalTime>
  <Application>Yozo_Office27021597764231179</Application>
  <Pages>2</Pages>
  <Words>698</Words>
  <Characters>955</Characters>
  <Lines>42</Lines>
  <Paragraphs>17</Paragraphs>
  <CharactersWithSpaces>978</CharactersWithSpaces>
  <Company>CDE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唐丹</dc:creator>
  <cp:lastModifiedBy>Administrator</cp:lastModifiedBy>
  <cp:revision>10</cp:revision>
  <cp:lastPrinted>2021-01-18T12:47:00Z</cp:lastPrinted>
  <dcterms:created xsi:type="dcterms:W3CDTF">2022-01-07T08:05:00Z</dcterms:created>
  <dcterms:modified xsi:type="dcterms:W3CDTF">2024-02-02T01:57:19Z</dcterms:modified>
</cp:coreProperties>
</file>