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bidi w:val="0"/>
        <w:adjustRightInd/>
        <w:snapToGrid w:val="0"/>
        <w:spacing w:line="578" w:lineRule="exact"/>
        <w:ind w:left="0"/>
        <w:jc w:val="both"/>
        <w:textAlignment w:val="auto"/>
        <w:rPr>
          <w:rFonts w:ascii="Times New Roman" w:hAnsi="Times New Roman" w:eastAsia="方正小标宋简体" w:cs="Times New Roman"/>
          <w:sz w:val="44"/>
          <w:szCs w:val="44"/>
        </w:rPr>
      </w:pPr>
    </w:p>
    <w:p>
      <w:pPr>
        <w:pStyle w:val="6"/>
        <w:keepNext w:val="0"/>
        <w:keepLines w:val="0"/>
        <w:pageBreakBefore w:val="0"/>
        <w:widowControl w:val="0"/>
        <w:kinsoku/>
        <w:wordWrap/>
        <w:overflowPunct/>
        <w:topLinePunct w:val="0"/>
        <w:autoSpaceDE/>
        <w:bidi w:val="0"/>
        <w:adjustRightInd/>
        <w:snapToGrid w:val="0"/>
        <w:spacing w:line="578" w:lineRule="exact"/>
        <w:ind w:left="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阿坝藏族羌族自治州</w:t>
      </w:r>
    </w:p>
    <w:p>
      <w:pPr>
        <w:keepNext w:val="0"/>
        <w:keepLines w:val="0"/>
        <w:pageBreakBefore w:val="0"/>
        <w:widowControl w:val="0"/>
        <w:kinsoku/>
        <w:wordWrap/>
        <w:overflowPunct/>
        <w:topLinePunct w:val="0"/>
        <w:autoSpaceDE/>
        <w:bidi w:val="0"/>
        <w:adjustRightInd/>
        <w:spacing w:line="578" w:lineRule="exact"/>
        <w:ind w:left="0"/>
        <w:jc w:val="center"/>
        <w:textAlignment w:val="auto"/>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ascii="Times New Roman" w:hAnsi="Times New Roman" w:eastAsia="方正小标宋简体" w:cs="Times New Roman"/>
          <w:sz w:val="44"/>
          <w:szCs w:val="44"/>
          <w:lang w:val="en-US" w:eastAsia="zh-CN"/>
        </w:rPr>
        <w:t>4</w:t>
      </w:r>
      <w:r>
        <w:rPr>
          <w:rFonts w:ascii="Times New Roman" w:hAnsi="Times New Roman" w:eastAsia="方正小标宋简体" w:cs="Times New Roman"/>
          <w:sz w:val="44"/>
          <w:szCs w:val="44"/>
        </w:rPr>
        <w:t>年财政预算执行情况和202</w:t>
      </w:r>
      <w:r>
        <w:rPr>
          <w:rFonts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年财政预算草案的报告</w:t>
      </w:r>
      <w:r>
        <w:rPr>
          <w:rFonts w:ascii="Times New Roman" w:hAnsi="Times New Roman" w:eastAsia="方正小标宋简体" w:cs="Times New Roman"/>
          <w:sz w:val="44"/>
          <w:szCs w:val="44"/>
          <w:lang w:eastAsia="zh-CN"/>
        </w:rPr>
        <w:t>（书面）</w:t>
      </w:r>
    </w:p>
    <w:p>
      <w:pPr>
        <w:keepNext w:val="0"/>
        <w:keepLines w:val="0"/>
        <w:pageBreakBefore w:val="0"/>
        <w:widowControl w:val="0"/>
        <w:kinsoku/>
        <w:wordWrap/>
        <w:overflowPunct/>
        <w:topLinePunct w:val="0"/>
        <w:autoSpaceDE/>
        <w:bidi w:val="0"/>
        <w:adjustRightInd/>
        <w:spacing w:line="578" w:lineRule="exact"/>
        <w:ind w:left="0"/>
        <w:jc w:val="center"/>
        <w:textAlignment w:val="auto"/>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202</w:t>
      </w:r>
      <w:r>
        <w:rPr>
          <w:rFonts w:ascii="Times New Roman" w:hAnsi="Times New Roman" w:eastAsia="楷体_GB2312" w:cs="Times New Roman"/>
          <w:b/>
          <w:bCs/>
          <w:sz w:val="28"/>
          <w:szCs w:val="28"/>
          <w:lang w:val="en-US" w:eastAsia="zh-CN"/>
        </w:rPr>
        <w:t>5</w:t>
      </w:r>
      <w:r>
        <w:rPr>
          <w:rFonts w:ascii="Times New Roman" w:hAnsi="Times New Roman" w:eastAsia="楷体_GB2312" w:cs="Times New Roman"/>
          <w:b/>
          <w:bCs/>
          <w:sz w:val="28"/>
          <w:szCs w:val="28"/>
        </w:rPr>
        <w:t>年1月14日</w:t>
      </w:r>
    </w:p>
    <w:p>
      <w:pPr>
        <w:keepNext w:val="0"/>
        <w:keepLines w:val="0"/>
        <w:pageBreakBefore w:val="0"/>
        <w:widowControl w:val="0"/>
        <w:kinsoku/>
        <w:wordWrap/>
        <w:overflowPunct/>
        <w:topLinePunct w:val="0"/>
        <w:autoSpaceDE/>
        <w:bidi w:val="0"/>
        <w:adjustRightInd/>
        <w:spacing w:line="578" w:lineRule="exact"/>
        <w:ind w:left="0"/>
        <w:jc w:val="center"/>
        <w:textAlignment w:val="auto"/>
        <w:rPr>
          <w:rFonts w:ascii="Times New Roman" w:hAnsi="Times New Roman" w:eastAsia="仿宋_GB2312" w:cs="Times New Roman"/>
          <w:b/>
          <w:bCs/>
          <w:sz w:val="28"/>
          <w:szCs w:val="28"/>
        </w:rPr>
      </w:pPr>
      <w:r>
        <w:rPr>
          <w:rFonts w:ascii="Times New Roman" w:hAnsi="Times New Roman" w:eastAsia="楷体_GB2312" w:cs="Times New Roman"/>
          <w:b/>
          <w:bCs/>
          <w:sz w:val="28"/>
          <w:szCs w:val="28"/>
        </w:rPr>
        <w:t>在阿坝藏族羌族自治州第十三届人民代表大会第</w:t>
      </w:r>
      <w:r>
        <w:rPr>
          <w:rFonts w:ascii="Times New Roman" w:hAnsi="Times New Roman" w:eastAsia="楷体_GB2312" w:cs="Times New Roman"/>
          <w:b/>
          <w:bCs/>
          <w:sz w:val="28"/>
          <w:szCs w:val="28"/>
          <w:lang w:eastAsia="zh-CN"/>
        </w:rPr>
        <w:t>四</w:t>
      </w:r>
      <w:r>
        <w:rPr>
          <w:rFonts w:ascii="Times New Roman" w:hAnsi="Times New Roman" w:eastAsia="楷体_GB2312" w:cs="Times New Roman"/>
          <w:b/>
          <w:bCs/>
          <w:sz w:val="28"/>
          <w:szCs w:val="28"/>
        </w:rPr>
        <w:t>次会议上</w:t>
      </w:r>
    </w:p>
    <w:p>
      <w:pPr>
        <w:keepNext w:val="0"/>
        <w:keepLines w:val="0"/>
        <w:pageBreakBefore w:val="0"/>
        <w:widowControl w:val="0"/>
        <w:kinsoku/>
        <w:wordWrap/>
        <w:overflowPunct/>
        <w:topLinePunct w:val="0"/>
        <w:autoSpaceDE/>
        <w:bidi w:val="0"/>
        <w:adjustRightInd/>
        <w:spacing w:line="578" w:lineRule="exact"/>
        <w:ind w:left="0"/>
        <w:jc w:val="center"/>
        <w:textAlignment w:val="auto"/>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阿坝州财政局</w:t>
      </w:r>
    </w:p>
    <w:p>
      <w:pPr>
        <w:keepNext w:val="0"/>
        <w:keepLines w:val="0"/>
        <w:pageBreakBefore w:val="0"/>
        <w:widowControl w:val="0"/>
        <w:kinsoku/>
        <w:wordWrap/>
        <w:overflowPunct/>
        <w:topLinePunct w:val="0"/>
        <w:autoSpaceDE/>
        <w:bidi w:val="0"/>
        <w:adjustRightInd/>
        <w:spacing w:line="578" w:lineRule="exact"/>
        <w:ind w:left="0"/>
        <w:jc w:val="both"/>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bidi w:val="0"/>
        <w:adjustRightInd/>
        <w:spacing w:line="578" w:lineRule="exact"/>
        <w:ind w:left="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各位代表：</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受州人民政府委托</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现将阿坝州202</w:t>
      </w:r>
      <w:r>
        <w:rPr>
          <w:rFonts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年财政预算执行情况和202</w:t>
      </w:r>
      <w:r>
        <w:rPr>
          <w:rFonts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年财政预算草案提请州十三届人大</w:t>
      </w:r>
      <w:r>
        <w:rPr>
          <w:rFonts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次会议审议，并请州政协委员和其他列席人员提出意见。</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黑体" w:cs="Times New Roman"/>
          <w:sz w:val="32"/>
          <w:szCs w:val="32"/>
          <w:lang w:val="en-US" w:eastAsia="zh-CN"/>
        </w:rPr>
      </w:pPr>
      <w:r>
        <w:rPr>
          <w:rFonts w:ascii="Times New Roman" w:hAnsi="Times New Roman" w:eastAsia="黑体" w:cs="Times New Roman"/>
          <w:sz w:val="32"/>
          <w:szCs w:val="32"/>
        </w:rPr>
        <w:t>一、202</w:t>
      </w:r>
      <w:r>
        <w:rPr>
          <w:rFonts w:ascii="Times New Roman" w:hAnsi="Times New Roman" w:eastAsia="黑体" w:cs="Times New Roman"/>
          <w:sz w:val="32"/>
          <w:szCs w:val="32"/>
          <w:lang w:val="en-US" w:eastAsia="zh-CN"/>
        </w:rPr>
        <w:t>4</w:t>
      </w:r>
      <w:r>
        <w:rPr>
          <w:rFonts w:ascii="Times New Roman" w:hAnsi="Times New Roman" w:eastAsia="黑体" w:cs="Times New Roman"/>
          <w:sz w:val="32"/>
          <w:szCs w:val="32"/>
        </w:rPr>
        <w:t>年预算执行情况</w:t>
      </w:r>
    </w:p>
    <w:p>
      <w:pPr>
        <w:keepNext w:val="0"/>
        <w:keepLines w:val="0"/>
        <w:pageBreakBefore w:val="0"/>
        <w:widowControl w:val="0"/>
        <w:kinsoku/>
        <w:wordWrap/>
        <w:topLinePunct w:val="0"/>
        <w:bidi w:val="0"/>
        <w:adjustRightInd/>
        <w:spacing w:line="578"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2024年是实现“十四五”规划目标任务的关键一年</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面对外部压力加大、内部困难增多的复杂严峻形势，全州财政部门始终坚持以习近平新时代中国特色社会主义思想为指导，深入贯彻党的二十大和二十届二中、三中全会精神，紧密围绕习近平总书记对四川、对阿坝工作系列重要指示，积极响应党中央国务院、省委省政府、州委决策部署，坚持统筹发展与安全，努力克服各种不利因素影响，奋力推动建设民族地区高质量发展阿坝典范。全年财政预算执行平稳有序，较好地完成了州十三届人大三次会议确定的目标任务。</w:t>
      </w:r>
    </w:p>
    <w:p>
      <w:pPr>
        <w:keepNext w:val="0"/>
        <w:keepLines w:val="0"/>
        <w:pageBreakBefore w:val="0"/>
        <w:widowControl w:val="0"/>
        <w:kinsoku/>
        <w:wordWrap/>
        <w:topLinePunct w:val="0"/>
        <w:bidi w:val="0"/>
        <w:adjustRightInd/>
        <w:spacing w:line="578" w:lineRule="exact"/>
        <w:ind w:firstLine="642" w:firstLineChars="200"/>
        <w:jc w:val="both"/>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（一）全州预算预计执行情况</w:t>
      </w:r>
    </w:p>
    <w:p>
      <w:pPr>
        <w:spacing w:line="576" w:lineRule="exact"/>
        <w:ind w:firstLine="642" w:firstLineChars="200"/>
        <w:rPr>
          <w:rFonts w:ascii="Times New Roman" w:hAnsi="Times New Roman" w:eastAsia="楷体_GB2312" w:cs="Times New Roman"/>
          <w:b/>
          <w:bCs/>
          <w:sz w:val="32"/>
          <w:szCs w:val="32"/>
          <w:highlight w:val="none"/>
        </w:rPr>
      </w:pPr>
      <w:r>
        <w:rPr>
          <w:rFonts w:ascii="Times New Roman" w:hAnsi="Times New Roman" w:eastAsia="仿宋_GB2312" w:cs="Times New Roman"/>
          <w:b/>
          <w:bCs/>
          <w:sz w:val="32"/>
          <w:szCs w:val="32"/>
          <w:highlight w:val="none"/>
        </w:rPr>
        <w:t>一般公共预算。</w:t>
      </w:r>
      <w:r>
        <w:rPr>
          <w:rFonts w:ascii="Times New Roman" w:hAnsi="Times New Roman" w:eastAsia="仿宋_GB2312" w:cs="Times New Roman"/>
          <w:sz w:val="32"/>
          <w:szCs w:val="32"/>
          <w:highlight w:val="none"/>
        </w:rPr>
        <w:t>202</w:t>
      </w:r>
      <w:r>
        <w:rPr>
          <w:rFonts w:ascii="Times New Roman" w:hAnsi="Times New Roman" w:eastAsia="仿宋_GB2312" w:cs="Times New Roman"/>
          <w:sz w:val="32"/>
          <w:szCs w:val="32"/>
          <w:highlight w:val="none"/>
          <w:lang w:val="en-GB"/>
        </w:rPr>
        <w:t>4</w:t>
      </w:r>
      <w:r>
        <w:rPr>
          <w:rFonts w:ascii="Times New Roman" w:hAnsi="Times New Roman" w:eastAsia="仿宋_GB2312" w:cs="Times New Roman"/>
          <w:sz w:val="32"/>
          <w:szCs w:val="32"/>
          <w:highlight w:val="none"/>
        </w:rPr>
        <w:t>年，全州一般公共预算收入完成</w:t>
      </w:r>
      <w:r>
        <w:rPr>
          <w:rFonts w:ascii="Times New Roman" w:hAnsi="Times New Roman" w:eastAsia="仿宋_GB2312" w:cs="Times New Roman"/>
          <w:sz w:val="32"/>
          <w:szCs w:val="32"/>
          <w:highlight w:val="none"/>
          <w:lang w:val="en-GB"/>
        </w:rPr>
        <w:t>4</w:t>
      </w:r>
      <w:r>
        <w:rPr>
          <w:rFonts w:hint="eastAsia" w:ascii="Times New Roman" w:hAnsi="Times New Roman" w:eastAsia="仿宋_GB2312" w:cs="Times New Roman"/>
          <w:sz w:val="32"/>
          <w:szCs w:val="32"/>
          <w:highlight w:val="none"/>
          <w:lang w:val="en-GB"/>
        </w:rPr>
        <w:t>3.</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亿元，完成预算的</w:t>
      </w:r>
      <w:r>
        <w:rPr>
          <w:rFonts w:hint="eastAsia" w:ascii="Times New Roman" w:hAnsi="Times New Roman" w:eastAsia="仿宋_GB2312" w:cs="Times New Roman"/>
          <w:sz w:val="32"/>
          <w:szCs w:val="32"/>
          <w:highlight w:val="none"/>
          <w:lang w:val="en-US" w:eastAsia="zh-CN"/>
        </w:rPr>
        <w:t>107.8</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剔除矿业权一次性收入因素后同口径增长</w:t>
      </w:r>
      <w:r>
        <w:rPr>
          <w:rFonts w:hint="eastAsia" w:ascii="Times New Roman" w:hAnsi="Times New Roman" w:eastAsia="仿宋_GB2312" w:cs="Times New Roman"/>
          <w:sz w:val="32"/>
          <w:szCs w:val="32"/>
          <w:highlight w:val="none"/>
          <w:lang w:val="en-US" w:eastAsia="zh-CN"/>
        </w:rPr>
        <w:t>15.4</w:t>
      </w:r>
      <w:r>
        <w:rPr>
          <w:rFonts w:hint="eastAsia" w:ascii="Times New Roman" w:hAnsi="Times New Roman" w:eastAsia="仿宋_GB2312" w:cs="Times New Roman"/>
          <w:sz w:val="32"/>
          <w:szCs w:val="32"/>
          <w:highlight w:val="none"/>
        </w:rPr>
        <w:t>%（同比下降30.5</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其中</w:t>
      </w:r>
      <w:r>
        <w:rPr>
          <w:rFonts w:ascii="Times New Roman" w:hAnsi="Times New Roman" w:eastAsia="仿宋_GB2312" w:cs="Times New Roman"/>
          <w:sz w:val="32"/>
          <w:szCs w:val="32"/>
          <w:highlight w:val="none"/>
        </w:rPr>
        <w:t>税收收入完成</w:t>
      </w:r>
      <w:r>
        <w:rPr>
          <w:rFonts w:hint="eastAsia" w:ascii="Times New Roman" w:hAnsi="Times New Roman" w:eastAsia="仿宋_GB2312" w:cs="Times New Roman"/>
          <w:sz w:val="32"/>
          <w:szCs w:val="32"/>
          <w:highlight w:val="none"/>
        </w:rPr>
        <w:t>25.4</w:t>
      </w:r>
      <w:r>
        <w:rPr>
          <w:rFonts w:ascii="Times New Roman" w:hAnsi="Times New Roman" w:eastAsia="仿宋_GB2312" w:cs="Times New Roman"/>
          <w:sz w:val="32"/>
          <w:szCs w:val="32"/>
          <w:highlight w:val="none"/>
        </w:rPr>
        <w:t>亿元</w:t>
      </w:r>
      <w:r>
        <w:rPr>
          <w:rFonts w:hint="eastAsia" w:ascii="Times New Roman" w:hAnsi="Times New Roman" w:eastAsia="仿宋_GB2312" w:cs="Times New Roman"/>
          <w:sz w:val="32"/>
          <w:szCs w:val="32"/>
          <w:highlight w:val="none"/>
        </w:rPr>
        <w:t>，税占比上升17.2个百分点</w:t>
      </w:r>
      <w:r>
        <w:rPr>
          <w:rFonts w:hint="eastAsia" w:ascii="Times New Roman" w:hAnsi="Times New Roman" w:eastAsia="仿宋_GB2312" w:cs="Times New Roman"/>
          <w:sz w:val="32"/>
          <w:szCs w:val="32"/>
          <w:highlight w:val="none"/>
          <w:lang w:eastAsia="zh-CN"/>
        </w:rPr>
        <w:t>，达到</w:t>
      </w:r>
      <w:r>
        <w:rPr>
          <w:rFonts w:hint="eastAsia" w:ascii="Times New Roman" w:hAnsi="Times New Roman" w:eastAsia="仿宋_GB2312" w:cs="Times New Roman"/>
          <w:sz w:val="32"/>
          <w:szCs w:val="32"/>
          <w:highlight w:val="none"/>
        </w:rPr>
        <w:t>58.2%；13县（市）收入规模均突破亿元大关！</w:t>
      </w:r>
      <w:r>
        <w:rPr>
          <w:rFonts w:ascii="Times New Roman" w:hAnsi="Times New Roman" w:eastAsia="仿宋_GB2312" w:cs="Times New Roman"/>
          <w:sz w:val="32"/>
          <w:szCs w:val="32"/>
          <w:highlight w:val="none"/>
        </w:rPr>
        <w:t>加上转移性收入、上年结转收入、调入资金、动用预算稳定调节基金、地方政府一般债务收入等</w:t>
      </w:r>
      <w:r>
        <w:rPr>
          <w:rFonts w:hint="eastAsia" w:ascii="Times New Roman" w:hAnsi="Times New Roman" w:eastAsia="仿宋_GB2312" w:cs="Times New Roman"/>
          <w:sz w:val="32"/>
          <w:szCs w:val="32"/>
          <w:highlight w:val="none"/>
        </w:rPr>
        <w:t>366.7</w:t>
      </w:r>
      <w:r>
        <w:rPr>
          <w:rFonts w:ascii="Times New Roman" w:hAnsi="Times New Roman" w:eastAsia="仿宋_GB2312" w:cs="Times New Roman"/>
          <w:sz w:val="32"/>
          <w:szCs w:val="32"/>
          <w:highlight w:val="none"/>
        </w:rPr>
        <w:t>亿元，收入总量</w:t>
      </w:r>
      <w:r>
        <w:rPr>
          <w:rFonts w:hint="eastAsia" w:ascii="Times New Roman" w:hAnsi="Times New Roman" w:eastAsia="仿宋_GB2312" w:cs="Times New Roman"/>
          <w:sz w:val="32"/>
          <w:szCs w:val="32"/>
          <w:highlight w:val="none"/>
        </w:rPr>
        <w:t>达到410.4</w:t>
      </w:r>
      <w:r>
        <w:rPr>
          <w:rFonts w:ascii="Times New Roman" w:hAnsi="Times New Roman" w:eastAsia="仿宋_GB2312" w:cs="Times New Roman"/>
          <w:sz w:val="32"/>
          <w:szCs w:val="32"/>
          <w:highlight w:val="none"/>
        </w:rPr>
        <w:t>亿元</w:t>
      </w:r>
      <w:r>
        <w:rPr>
          <w:rFonts w:hint="eastAsia" w:ascii="Times New Roman" w:hAnsi="Times New Roman" w:eastAsia="仿宋_GB2312" w:cs="Times New Roman"/>
          <w:sz w:val="32"/>
          <w:szCs w:val="32"/>
          <w:highlight w:val="none"/>
        </w:rPr>
        <w:t>，迈上“400亿”新台阶</w:t>
      </w:r>
      <w:r>
        <w:rPr>
          <w:rFonts w:ascii="Times New Roman" w:hAnsi="Times New Roman" w:eastAsia="仿宋_GB2312" w:cs="Times New Roman"/>
          <w:sz w:val="32"/>
          <w:szCs w:val="32"/>
          <w:highlight w:val="none"/>
        </w:rPr>
        <w:t>。全州一般公共预算支出完成</w:t>
      </w:r>
      <w:r>
        <w:rPr>
          <w:rFonts w:hint="eastAsia" w:ascii="Times New Roman" w:hAnsi="Times New Roman" w:eastAsia="仿宋_GB2312" w:cs="Times New Roman"/>
          <w:sz w:val="32"/>
          <w:szCs w:val="32"/>
          <w:highlight w:val="none"/>
        </w:rPr>
        <w:t>368.3</w:t>
      </w:r>
      <w:r>
        <w:rPr>
          <w:rFonts w:ascii="Times New Roman" w:hAnsi="Times New Roman" w:eastAsia="仿宋_GB2312" w:cs="Times New Roman"/>
          <w:sz w:val="32"/>
          <w:szCs w:val="32"/>
          <w:highlight w:val="none"/>
        </w:rPr>
        <w:t>亿元，完成调整预算的</w:t>
      </w:r>
      <w:r>
        <w:rPr>
          <w:rFonts w:hint="eastAsia" w:ascii="Times New Roman" w:hAnsi="Times New Roman" w:eastAsia="仿宋_GB2312" w:cs="Times New Roman"/>
          <w:sz w:val="32"/>
          <w:szCs w:val="32"/>
          <w:highlight w:val="none"/>
        </w:rPr>
        <w:t>92.6</w:t>
      </w:r>
      <w:r>
        <w:rPr>
          <w:rFonts w:ascii="Times New Roman" w:hAnsi="Times New Roman" w:eastAsia="仿宋_GB2312" w:cs="Times New Roman"/>
          <w:sz w:val="32"/>
          <w:szCs w:val="32"/>
          <w:highlight w:val="none"/>
        </w:rPr>
        <w:t>%，增长</w:t>
      </w:r>
      <w:r>
        <w:rPr>
          <w:rFonts w:hint="eastAsia"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，支出总量</w:t>
      </w:r>
      <w:r>
        <w:rPr>
          <w:rFonts w:ascii="Times New Roman" w:hAnsi="Times New Roman" w:eastAsia="仿宋_GB2312" w:cs="Times New Roman"/>
          <w:sz w:val="32"/>
          <w:szCs w:val="32"/>
          <w:highlight w:val="none"/>
        </w:rPr>
        <w:t>创历年新高</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加上上解支出、补充预算稳定调节基金、债务还本等</w:t>
      </w:r>
      <w:r>
        <w:rPr>
          <w:rFonts w:hint="eastAsia" w:ascii="Times New Roman" w:hAnsi="Times New Roman" w:eastAsia="仿宋_GB2312" w:cs="Times New Roman"/>
          <w:sz w:val="32"/>
          <w:szCs w:val="32"/>
          <w:highlight w:val="none"/>
        </w:rPr>
        <w:t>12.6</w:t>
      </w:r>
      <w:r>
        <w:rPr>
          <w:rFonts w:ascii="Times New Roman" w:hAnsi="Times New Roman" w:eastAsia="仿宋_GB2312" w:cs="Times New Roman"/>
          <w:sz w:val="32"/>
          <w:szCs w:val="32"/>
          <w:highlight w:val="none"/>
        </w:rPr>
        <w:t>亿元，支出总量为</w:t>
      </w:r>
      <w:r>
        <w:rPr>
          <w:rFonts w:hint="eastAsia" w:ascii="Times New Roman" w:hAnsi="Times New Roman" w:eastAsia="仿宋_GB2312" w:cs="Times New Roman"/>
          <w:sz w:val="32"/>
          <w:szCs w:val="32"/>
          <w:highlight w:val="none"/>
        </w:rPr>
        <w:t>380.9</w:t>
      </w:r>
      <w:r>
        <w:rPr>
          <w:rFonts w:ascii="Times New Roman" w:hAnsi="Times New Roman" w:eastAsia="仿宋_GB2312" w:cs="Times New Roman"/>
          <w:sz w:val="32"/>
          <w:szCs w:val="32"/>
          <w:highlight w:val="none"/>
        </w:rPr>
        <w:t>亿元。全州一般公共预算收支平衡，因项目跨年实施需要，结转下年继续使用</w:t>
      </w:r>
      <w:r>
        <w:rPr>
          <w:rFonts w:hint="eastAsia" w:ascii="Times New Roman" w:hAnsi="Times New Roman" w:eastAsia="仿宋_GB2312" w:cs="Times New Roman"/>
          <w:sz w:val="32"/>
          <w:szCs w:val="32"/>
          <w:highlight w:val="none"/>
        </w:rPr>
        <w:t>29.5</w:t>
      </w:r>
      <w:r>
        <w:rPr>
          <w:rFonts w:ascii="Times New Roman" w:hAnsi="Times New Roman" w:eastAsia="仿宋_GB2312" w:cs="Times New Roman"/>
          <w:sz w:val="32"/>
          <w:szCs w:val="32"/>
          <w:highlight w:val="none"/>
        </w:rPr>
        <w:t>亿元。</w:t>
      </w:r>
    </w:p>
    <w:p>
      <w:pPr>
        <w:keepNext w:val="0"/>
        <w:keepLines w:val="0"/>
        <w:pageBreakBefore w:val="0"/>
        <w:widowControl w:val="0"/>
        <w:kinsoku/>
        <w:wordWrap/>
        <w:topLinePunct w:val="0"/>
        <w:bidi w:val="0"/>
        <w:adjustRightInd/>
        <w:spacing w:line="578" w:lineRule="exact"/>
        <w:ind w:firstLine="642" w:firstLineChars="20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bCs/>
          <w:sz w:val="32"/>
          <w:szCs w:val="32"/>
        </w:rPr>
        <w:t>政府性基金预算。</w:t>
      </w:r>
      <w:r>
        <w:rPr>
          <w:rFonts w:ascii="Times New Roman" w:hAnsi="Times New Roman" w:eastAsia="仿宋_GB2312" w:cs="Times New Roman"/>
          <w:b w:val="0"/>
          <w:bCs w:val="0"/>
          <w:sz w:val="32"/>
          <w:szCs w:val="32"/>
        </w:rPr>
        <w:t>2024年，全州政府性基金预算收入完成11.4亿元，完成预算的106.6%，增长86.9%。加上级转移收入、债务转贷收入、上年结转收入、调入资金等16.3亿元，收入总量为27.7亿元。全州政府性基金预算支出16.1亿元，完成预算的484.5%，增长27%。加上债务还本、调出资金7.5亿元，支出总计23.6亿元。全州政府性基金收支平衡，年终结余4.1亿元。</w:t>
      </w:r>
    </w:p>
    <w:p>
      <w:pPr>
        <w:keepNext w:val="0"/>
        <w:keepLines w:val="0"/>
        <w:pageBreakBefore w:val="0"/>
        <w:widowControl w:val="0"/>
        <w:kinsoku/>
        <w:wordWrap/>
        <w:topLinePunct w:val="0"/>
        <w:bidi w:val="0"/>
        <w:adjustRightInd/>
        <w:spacing w:line="578" w:lineRule="exact"/>
        <w:ind w:firstLine="642" w:firstLineChars="20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bCs/>
          <w:sz w:val="32"/>
          <w:szCs w:val="32"/>
        </w:rPr>
        <w:t>国有资本经营预算。</w:t>
      </w:r>
      <w:r>
        <w:rPr>
          <w:rFonts w:ascii="Times New Roman" w:hAnsi="Times New Roman" w:eastAsia="仿宋_GB2312" w:cs="Times New Roman"/>
          <w:b w:val="0"/>
          <w:bCs w:val="0"/>
          <w:sz w:val="32"/>
          <w:szCs w:val="32"/>
        </w:rPr>
        <w:t>2024年，全州国有资本经营预算收入完成1.83亿元，完成预算的91%，增长345 %。加上结转收入368万元，收入总计1.86亿元。全州国有资本经营预算支出完成1.7</w:t>
      </w:r>
      <w:r>
        <w:rPr>
          <w:rFonts w:hint="eastAsia" w:ascii="Times New Roman" w:hAnsi="Times New Roman" w:eastAsia="仿宋_GB2312" w:cs="Times New Roman"/>
          <w:b w:val="0"/>
          <w:bCs w:val="0"/>
          <w:sz w:val="32"/>
          <w:szCs w:val="32"/>
          <w:lang w:val="en-US" w:eastAsia="zh-CN"/>
        </w:rPr>
        <w:t>8</w:t>
      </w:r>
      <w:r>
        <w:rPr>
          <w:rFonts w:ascii="Times New Roman" w:hAnsi="Times New Roman" w:eastAsia="仿宋_GB2312" w:cs="Times New Roman"/>
          <w:b w:val="0"/>
          <w:bCs w:val="0"/>
          <w:sz w:val="32"/>
          <w:szCs w:val="32"/>
        </w:rPr>
        <w:t>亿元，完成预算的89%，增长174 %。全州国有资本经营预算收支平衡，年终结余761万元。</w:t>
      </w:r>
    </w:p>
    <w:p>
      <w:pPr>
        <w:keepNext w:val="0"/>
        <w:keepLines w:val="0"/>
        <w:pageBreakBefore w:val="0"/>
        <w:widowControl w:val="0"/>
        <w:kinsoku/>
        <w:wordWrap/>
        <w:topLinePunct w:val="0"/>
        <w:bidi w:val="0"/>
        <w:adjustRightInd/>
        <w:spacing w:line="578" w:lineRule="exact"/>
        <w:ind w:firstLine="642" w:firstLineChars="20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bCs/>
          <w:sz w:val="32"/>
          <w:szCs w:val="32"/>
        </w:rPr>
        <w:t>社会保险基金预算。</w:t>
      </w:r>
      <w:r>
        <w:rPr>
          <w:rFonts w:ascii="Times New Roman" w:hAnsi="Times New Roman" w:eastAsia="仿宋_GB2312" w:cs="Times New Roman"/>
          <w:b w:val="0"/>
          <w:bCs w:val="0"/>
          <w:sz w:val="32"/>
          <w:szCs w:val="32"/>
        </w:rPr>
        <w:t>2024年，全州社会保险基金预算收入完成3.6亿元，完成预算的128%，同口径增长27.9%。加上上年结余8.8亿元，收入总计12.4亿元。全州社会保险基金预算支出完成2亿元，完成预算的110.6%，同口径增长19.5%。全州社会保险基金预算收支平衡，年终结余10.4亿元，其中：当年收支结余1.6亿元。</w:t>
      </w:r>
    </w:p>
    <w:p>
      <w:pPr>
        <w:keepNext w:val="0"/>
        <w:keepLines w:val="0"/>
        <w:pageBreakBefore w:val="0"/>
        <w:widowControl w:val="0"/>
        <w:kinsoku/>
        <w:wordWrap/>
        <w:topLinePunct w:val="0"/>
        <w:bidi w:val="0"/>
        <w:adjustRightInd/>
        <w:spacing w:line="578" w:lineRule="exact"/>
        <w:ind w:firstLine="642" w:firstLineChars="200"/>
        <w:jc w:val="both"/>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（二）州级预算执行情况</w:t>
      </w:r>
    </w:p>
    <w:p>
      <w:pPr>
        <w:spacing w:line="576" w:lineRule="exact"/>
        <w:ind w:firstLine="642"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一般公共预算。</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年，州级一般公共预算收入</w:t>
      </w:r>
      <w:r>
        <w:rPr>
          <w:rFonts w:hint="eastAsia" w:ascii="Times New Roman" w:hAnsi="Times New Roman" w:eastAsia="仿宋_GB2312" w:cs="Times New Roman"/>
          <w:sz w:val="32"/>
          <w:szCs w:val="32"/>
          <w:highlight w:val="none"/>
        </w:rPr>
        <w:t>15.2</w:t>
      </w:r>
      <w:r>
        <w:rPr>
          <w:rFonts w:ascii="Times New Roman" w:hAnsi="Times New Roman" w:eastAsia="仿宋_GB2312" w:cs="Times New Roman"/>
          <w:sz w:val="32"/>
          <w:szCs w:val="32"/>
          <w:highlight w:val="none"/>
        </w:rPr>
        <w:t>亿元，完成预算的</w:t>
      </w:r>
      <w:r>
        <w:rPr>
          <w:rFonts w:hint="eastAsia" w:ascii="Times New Roman" w:hAnsi="Times New Roman" w:eastAsia="仿宋_GB2312" w:cs="Times New Roman"/>
          <w:sz w:val="32"/>
          <w:szCs w:val="32"/>
          <w:highlight w:val="none"/>
        </w:rPr>
        <w:t>101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同口径增长11.4%，</w:t>
      </w:r>
      <w:r>
        <w:rPr>
          <w:rFonts w:ascii="Times New Roman" w:hAnsi="Times New Roman" w:eastAsia="仿宋_GB2312" w:cs="Times New Roman"/>
          <w:sz w:val="32"/>
          <w:szCs w:val="32"/>
          <w:highlight w:val="none"/>
        </w:rPr>
        <w:t>其中税收收入完成</w:t>
      </w:r>
      <w:r>
        <w:rPr>
          <w:rFonts w:hint="eastAsia" w:ascii="Times New Roman" w:hAnsi="Times New Roman" w:eastAsia="仿宋_GB2312" w:cs="Times New Roman"/>
          <w:sz w:val="32"/>
          <w:szCs w:val="32"/>
          <w:highlight w:val="none"/>
        </w:rPr>
        <w:t>9.6</w:t>
      </w:r>
      <w:r>
        <w:rPr>
          <w:rFonts w:ascii="Times New Roman" w:hAnsi="Times New Roman" w:eastAsia="仿宋_GB2312" w:cs="Times New Roman"/>
          <w:sz w:val="32"/>
          <w:szCs w:val="32"/>
          <w:highlight w:val="none"/>
        </w:rPr>
        <w:t>亿元，</w:t>
      </w:r>
      <w:r>
        <w:rPr>
          <w:rFonts w:hint="eastAsia" w:ascii="Times New Roman" w:hAnsi="Times New Roman" w:eastAsia="仿宋_GB2312" w:cs="Times New Roman"/>
          <w:sz w:val="32"/>
          <w:szCs w:val="32"/>
          <w:highlight w:val="none"/>
        </w:rPr>
        <w:t>税占比达63.5%</w:t>
      </w:r>
      <w:r>
        <w:rPr>
          <w:rFonts w:ascii="Times New Roman" w:hAnsi="Times New Roman" w:eastAsia="仿宋_GB2312" w:cs="Times New Roman"/>
          <w:sz w:val="32"/>
          <w:szCs w:val="32"/>
          <w:highlight w:val="none"/>
        </w:rPr>
        <w:t>。加上转移性收入、下级上解收入、接受其他地区援助收入、上年结转收入、调入资金、动用预算稳定调节基金、地方政府一般债务收入等</w:t>
      </w:r>
      <w:r>
        <w:rPr>
          <w:rFonts w:hint="eastAsia" w:ascii="Times New Roman" w:hAnsi="Times New Roman" w:eastAsia="仿宋_GB2312" w:cs="Times New Roman"/>
          <w:sz w:val="32"/>
          <w:szCs w:val="32"/>
          <w:highlight w:val="none"/>
        </w:rPr>
        <w:t>344.8</w:t>
      </w:r>
      <w:r>
        <w:rPr>
          <w:rFonts w:ascii="Times New Roman" w:hAnsi="Times New Roman" w:eastAsia="仿宋_GB2312" w:cs="Times New Roman"/>
          <w:sz w:val="32"/>
          <w:szCs w:val="32"/>
          <w:highlight w:val="none"/>
        </w:rPr>
        <w:t>亿元，收入总量为</w:t>
      </w:r>
      <w:r>
        <w:rPr>
          <w:rFonts w:hint="eastAsia" w:ascii="Times New Roman" w:hAnsi="Times New Roman" w:eastAsia="仿宋_GB2312" w:cs="Times New Roman"/>
          <w:sz w:val="32"/>
          <w:szCs w:val="32"/>
          <w:highlight w:val="none"/>
        </w:rPr>
        <w:t>360</w:t>
      </w:r>
      <w:r>
        <w:rPr>
          <w:rFonts w:ascii="Times New Roman" w:hAnsi="Times New Roman" w:eastAsia="仿宋_GB2312" w:cs="Times New Roman"/>
          <w:sz w:val="32"/>
          <w:szCs w:val="32"/>
          <w:highlight w:val="none"/>
        </w:rPr>
        <w:t>亿元。州级一般公共预算支出完成</w:t>
      </w:r>
      <w:r>
        <w:rPr>
          <w:rFonts w:hint="eastAsia" w:ascii="Times New Roman" w:hAnsi="Times New Roman" w:eastAsia="仿宋_GB2312" w:cs="Times New Roman"/>
          <w:sz w:val="32"/>
          <w:szCs w:val="32"/>
          <w:highlight w:val="none"/>
        </w:rPr>
        <w:t>81</w:t>
      </w:r>
      <w:r>
        <w:rPr>
          <w:rFonts w:ascii="Times New Roman" w:hAnsi="Times New Roman" w:eastAsia="仿宋_GB2312" w:cs="Times New Roman"/>
          <w:sz w:val="32"/>
          <w:szCs w:val="32"/>
          <w:highlight w:val="none"/>
        </w:rPr>
        <w:t>亿元，完成调整预算的</w:t>
      </w:r>
      <w:r>
        <w:rPr>
          <w:rFonts w:hint="eastAsia" w:ascii="Times New Roman" w:hAnsi="Times New Roman" w:eastAsia="仿宋_GB2312" w:cs="Times New Roman"/>
          <w:sz w:val="32"/>
          <w:szCs w:val="32"/>
          <w:highlight w:val="none"/>
        </w:rPr>
        <w:t>94.6</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增长2.4</w:t>
      </w:r>
      <w:r>
        <w:rPr>
          <w:rFonts w:ascii="Times New Roman" w:hAnsi="Times New Roman" w:eastAsia="仿宋_GB2312" w:cs="Times New Roman"/>
          <w:sz w:val="32"/>
          <w:szCs w:val="32"/>
          <w:highlight w:val="none"/>
        </w:rPr>
        <w:t>%。加上上解支出、税收返还和转移性支出、补充预算稳定调节基金、债务还本等</w:t>
      </w:r>
      <w:r>
        <w:rPr>
          <w:rFonts w:hint="eastAsia" w:ascii="Times New Roman" w:hAnsi="Times New Roman" w:eastAsia="仿宋_GB2312" w:cs="Times New Roman"/>
          <w:sz w:val="32"/>
          <w:szCs w:val="32"/>
          <w:highlight w:val="none"/>
        </w:rPr>
        <w:t>274.5</w:t>
      </w:r>
      <w:r>
        <w:rPr>
          <w:rFonts w:ascii="Times New Roman" w:hAnsi="Times New Roman" w:eastAsia="仿宋_GB2312" w:cs="Times New Roman"/>
          <w:sz w:val="32"/>
          <w:szCs w:val="32"/>
          <w:highlight w:val="none"/>
        </w:rPr>
        <w:t>亿元，支出总量为</w:t>
      </w:r>
      <w:r>
        <w:rPr>
          <w:rFonts w:hint="eastAsia" w:ascii="Times New Roman" w:hAnsi="Times New Roman" w:eastAsia="仿宋_GB2312" w:cs="Times New Roman"/>
          <w:sz w:val="32"/>
          <w:szCs w:val="32"/>
          <w:highlight w:val="none"/>
        </w:rPr>
        <w:t>355.5</w:t>
      </w:r>
      <w:r>
        <w:rPr>
          <w:rFonts w:ascii="Times New Roman" w:hAnsi="Times New Roman" w:eastAsia="仿宋_GB2312" w:cs="Times New Roman"/>
          <w:sz w:val="32"/>
          <w:szCs w:val="32"/>
          <w:highlight w:val="none"/>
        </w:rPr>
        <w:t>亿元。州级一般公共预算收支平衡，因项目跨年实施需要，结转下年继续使用</w:t>
      </w:r>
      <w:r>
        <w:rPr>
          <w:rFonts w:hint="eastAsia" w:ascii="Times New Roman" w:hAnsi="Times New Roman" w:eastAsia="仿宋_GB2312" w:cs="Times New Roman"/>
          <w:sz w:val="32"/>
          <w:szCs w:val="32"/>
          <w:highlight w:val="none"/>
        </w:rPr>
        <w:t>4.5</w:t>
      </w:r>
      <w:r>
        <w:rPr>
          <w:rFonts w:ascii="Times New Roman" w:hAnsi="Times New Roman" w:eastAsia="仿宋_GB2312" w:cs="Times New Roman"/>
          <w:sz w:val="32"/>
          <w:szCs w:val="32"/>
          <w:highlight w:val="none"/>
        </w:rPr>
        <w:t>亿元。</w:t>
      </w:r>
    </w:p>
    <w:p>
      <w:pPr>
        <w:keepNext w:val="0"/>
        <w:keepLines w:val="0"/>
        <w:pageBreakBefore w:val="0"/>
        <w:widowControl w:val="0"/>
        <w:kinsoku/>
        <w:wordWrap/>
        <w:topLinePunct w:val="0"/>
        <w:bidi w:val="0"/>
        <w:adjustRightInd/>
        <w:spacing w:line="578" w:lineRule="exact"/>
        <w:ind w:firstLine="642" w:firstLineChars="20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bCs/>
          <w:sz w:val="32"/>
          <w:szCs w:val="32"/>
        </w:rPr>
        <w:t>政府性基金预算。</w:t>
      </w:r>
      <w:r>
        <w:rPr>
          <w:rFonts w:ascii="Times New Roman" w:hAnsi="Times New Roman" w:eastAsia="仿宋_GB2312" w:cs="Times New Roman"/>
          <w:b w:val="0"/>
          <w:bCs w:val="0"/>
          <w:sz w:val="32"/>
          <w:szCs w:val="32"/>
        </w:rPr>
        <w:t>2024年，州级政府性基金预算收入完成9.1亿元，完成预算的108.8%，增长19.1%。加上级转移收入、债务转贷收入、上年结转收入等13.8亿元，收入总量为22.9亿元。州级政府性基金预算支出3.5亿元，完成预算的264.7%，增长91.5%。加上补助下级支出、调出资金18.6亿元，支出总计22.1亿元。州级政府性基金收支平衡，年终结余0.8亿元。</w:t>
      </w:r>
    </w:p>
    <w:p>
      <w:pPr>
        <w:keepNext w:val="0"/>
        <w:keepLines w:val="0"/>
        <w:pageBreakBefore w:val="0"/>
        <w:widowControl w:val="0"/>
        <w:kinsoku/>
        <w:wordWrap/>
        <w:topLinePunct w:val="0"/>
        <w:bidi w:val="0"/>
        <w:adjustRightInd/>
        <w:spacing w:line="578" w:lineRule="exact"/>
        <w:ind w:firstLine="642" w:firstLineChars="20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bCs/>
          <w:sz w:val="32"/>
          <w:szCs w:val="32"/>
        </w:rPr>
        <w:t>国有资本经营预算。</w:t>
      </w:r>
      <w:r>
        <w:rPr>
          <w:rFonts w:ascii="Times New Roman" w:hAnsi="Times New Roman" w:eastAsia="仿宋_GB2312" w:cs="Times New Roman"/>
          <w:b w:val="0"/>
          <w:bCs w:val="0"/>
          <w:sz w:val="32"/>
          <w:szCs w:val="32"/>
        </w:rPr>
        <w:t>2024年，州级国有资本经营预算收入完成1.19亿元，完成预算的242%，增长833 %。加上结转收入363万元，收入总计1.23亿元。州级国有资本经营预算支出完成1.15亿元，完成预算的219%，增长232%。州级国有资本经营预算收支平衡，年终结余757万元。</w:t>
      </w:r>
    </w:p>
    <w:p>
      <w:pPr>
        <w:keepNext w:val="0"/>
        <w:keepLines w:val="0"/>
        <w:pageBreakBefore w:val="0"/>
        <w:widowControl w:val="0"/>
        <w:kinsoku/>
        <w:wordWrap/>
        <w:topLinePunct w:val="0"/>
        <w:bidi w:val="0"/>
        <w:adjustRightInd/>
        <w:spacing w:line="578" w:lineRule="exact"/>
        <w:ind w:firstLine="642" w:firstLineChars="20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bCs/>
          <w:sz w:val="32"/>
          <w:szCs w:val="32"/>
        </w:rPr>
        <w:t>社会保险基金预算。</w:t>
      </w:r>
      <w:r>
        <w:rPr>
          <w:rFonts w:ascii="Times New Roman" w:hAnsi="Times New Roman" w:eastAsia="仿宋_GB2312" w:cs="Times New Roman"/>
          <w:b w:val="0"/>
          <w:bCs w:val="0"/>
          <w:sz w:val="32"/>
          <w:szCs w:val="32"/>
        </w:rPr>
        <w:t>县（市）社会保险基金全部由上级统筹， 州级社会保险基金预算与全州一致。</w:t>
      </w:r>
    </w:p>
    <w:p>
      <w:pPr>
        <w:keepNext w:val="0"/>
        <w:keepLines w:val="0"/>
        <w:pageBreakBefore w:val="0"/>
        <w:widowControl w:val="0"/>
        <w:kinsoku/>
        <w:wordWrap/>
        <w:topLinePunct w:val="0"/>
        <w:bidi w:val="0"/>
        <w:adjustRightInd/>
        <w:spacing w:line="578" w:lineRule="exact"/>
        <w:ind w:firstLine="640" w:firstLineChars="20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以上财政预算执行情况均为2024年快报数据，在完成决算及决算审查汇总并与省财政办理结算后会有变化，届时向州人大常委会报告。</w:t>
      </w:r>
    </w:p>
    <w:p>
      <w:pPr>
        <w:keepNext w:val="0"/>
        <w:keepLines w:val="0"/>
        <w:pageBreakBefore w:val="0"/>
        <w:widowControl w:val="0"/>
        <w:kinsoku/>
        <w:wordWrap/>
        <w:topLinePunct w:val="0"/>
        <w:bidi w:val="0"/>
        <w:adjustRightInd/>
        <w:spacing w:line="578" w:lineRule="exact"/>
        <w:ind w:firstLine="642" w:firstLineChars="200"/>
        <w:jc w:val="both"/>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（三）地方政府债务情况</w:t>
      </w:r>
    </w:p>
    <w:p>
      <w:pPr>
        <w:keepNext w:val="0"/>
        <w:keepLines w:val="0"/>
        <w:pageBreakBefore w:val="0"/>
        <w:widowControl w:val="0"/>
        <w:kinsoku/>
        <w:wordWrap/>
        <w:topLinePunct w:val="0"/>
        <w:bidi w:val="0"/>
        <w:adjustRightInd/>
        <w:spacing w:line="578" w:lineRule="exact"/>
        <w:ind w:firstLine="640" w:firstLineChars="200"/>
        <w:jc w:val="both"/>
        <w:textAlignment w:val="auto"/>
        <w:rPr>
          <w:rFonts w:ascii="Times New Roman" w:hAnsi="Times New Roman" w:eastAsia="仿宋_GB2312" w:cs="Times New Roman"/>
          <w:bCs w:val="0"/>
          <w:sz w:val="32"/>
          <w:szCs w:val="32"/>
        </w:rPr>
      </w:pPr>
      <w:r>
        <w:rPr>
          <w:rFonts w:ascii="Times New Roman" w:hAnsi="Times New Roman" w:eastAsia="仿宋_GB2312" w:cs="Times New Roman"/>
          <w:color w:val="auto"/>
          <w:sz w:val="32"/>
          <w:szCs w:val="32"/>
        </w:rPr>
        <w:t>2023年末，全州地方政府债务余额150.2亿元。2024年发行新增债券20.5亿元、再融资债券5.3亿元，偿还到期政府债券6.1亿元后，债务余额为169.9亿元，较2023年末增加19.7亿元，控制在省政府核定的债务限额</w:t>
      </w:r>
      <w:r>
        <w:rPr>
          <w:rFonts w:hint="eastAsia" w:ascii="Times New Roman" w:hAnsi="Times New Roman" w:eastAsia="仿宋_GB2312" w:cs="Times New Roman"/>
          <w:color w:val="auto"/>
          <w:sz w:val="32"/>
          <w:szCs w:val="32"/>
          <w:lang w:val="en-US" w:eastAsia="zh-CN"/>
        </w:rPr>
        <w:t>178.2</w:t>
      </w:r>
      <w:r>
        <w:rPr>
          <w:rFonts w:ascii="Times New Roman" w:hAnsi="Times New Roman" w:eastAsia="仿宋_GB2312" w:cs="Times New Roman"/>
          <w:color w:val="auto"/>
          <w:sz w:val="32"/>
          <w:szCs w:val="32"/>
        </w:rPr>
        <w:t>亿元内，债务风险总体可控。分类型看：全州一般债务限额</w:t>
      </w:r>
      <w:r>
        <w:rPr>
          <w:rFonts w:hint="eastAsia" w:ascii="Times New Roman" w:hAnsi="Times New Roman" w:eastAsia="仿宋_GB2312" w:cs="Times New Roman"/>
          <w:color w:val="auto"/>
          <w:sz w:val="32"/>
          <w:szCs w:val="32"/>
          <w:lang w:val="en-US" w:eastAsia="zh-CN"/>
        </w:rPr>
        <w:t>99.9</w:t>
      </w:r>
      <w:r>
        <w:rPr>
          <w:rFonts w:ascii="Times New Roman" w:hAnsi="Times New Roman" w:eastAsia="仿宋_GB2312" w:cs="Times New Roman"/>
          <w:color w:val="auto"/>
          <w:sz w:val="32"/>
          <w:szCs w:val="32"/>
        </w:rPr>
        <w:t>亿元，余额92亿元；专项债务限额78.3亿元，余额77.9亿元。分级次看：州本级政府债务限额</w:t>
      </w:r>
      <w:r>
        <w:rPr>
          <w:rFonts w:hint="eastAsia" w:ascii="Times New Roman" w:hAnsi="Times New Roman" w:eastAsia="仿宋_GB2312" w:cs="Times New Roman"/>
          <w:color w:val="auto"/>
          <w:sz w:val="32"/>
          <w:szCs w:val="32"/>
          <w:lang w:val="en-US" w:eastAsia="zh-CN"/>
        </w:rPr>
        <w:t>73.8</w:t>
      </w:r>
      <w:r>
        <w:rPr>
          <w:rFonts w:ascii="Times New Roman" w:hAnsi="Times New Roman" w:eastAsia="仿宋_GB2312" w:cs="Times New Roman"/>
          <w:color w:val="auto"/>
          <w:sz w:val="32"/>
          <w:szCs w:val="32"/>
        </w:rPr>
        <w:t>亿元，余额69.6亿元，其中：一般债务32.3亿元、专项债务37.3亿元；县（市）政府债务限额</w:t>
      </w:r>
      <w:r>
        <w:rPr>
          <w:rFonts w:hint="eastAsia" w:ascii="Times New Roman" w:hAnsi="Times New Roman" w:eastAsia="仿宋_GB2312" w:cs="Times New Roman"/>
          <w:color w:val="auto"/>
          <w:sz w:val="32"/>
          <w:szCs w:val="32"/>
          <w:lang w:val="en-US" w:eastAsia="zh-CN"/>
        </w:rPr>
        <w:t>104.4</w:t>
      </w:r>
      <w:r>
        <w:rPr>
          <w:rFonts w:ascii="Times New Roman" w:hAnsi="Times New Roman" w:eastAsia="仿宋_GB2312" w:cs="Times New Roman"/>
          <w:color w:val="auto"/>
          <w:sz w:val="32"/>
          <w:szCs w:val="32"/>
        </w:rPr>
        <w:t>亿元，余额100.3亿元，其中：一般债务59.7亿元、专项债务40.6亿元。</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黑体" w:cs="Times New Roman"/>
          <w:bCs w:val="0"/>
          <w:sz w:val="32"/>
          <w:szCs w:val="32"/>
        </w:rPr>
      </w:pPr>
      <w:r>
        <w:rPr>
          <w:rFonts w:ascii="Times New Roman" w:hAnsi="Times New Roman" w:eastAsia="黑体" w:cs="Times New Roman"/>
          <w:bCs w:val="0"/>
          <w:sz w:val="32"/>
          <w:szCs w:val="32"/>
        </w:rPr>
        <w:t>二、202</w:t>
      </w:r>
      <w:r>
        <w:rPr>
          <w:rFonts w:ascii="Times New Roman" w:hAnsi="Times New Roman" w:eastAsia="黑体" w:cs="Times New Roman"/>
          <w:bCs w:val="0"/>
          <w:sz w:val="32"/>
          <w:szCs w:val="32"/>
          <w:lang w:val="en-US" w:eastAsia="zh-CN"/>
        </w:rPr>
        <w:t>4</w:t>
      </w:r>
      <w:r>
        <w:rPr>
          <w:rFonts w:ascii="Times New Roman" w:hAnsi="Times New Roman" w:eastAsia="黑体" w:cs="Times New Roman"/>
          <w:bCs w:val="0"/>
          <w:sz w:val="32"/>
          <w:szCs w:val="32"/>
        </w:rPr>
        <w:t>年落实州人大预算决议和重点财政工作等情况</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2024年，面对复杂多变的经济发展环境、财政收支矛盾日益加剧，财政运行面临巨大压力等不利情况，全州财政部门认真执行州十三届人大三次会议及其常委会各项决议，牢固树立过紧日子思想，千方百计增财力、坚定不移促发展、积极有为惠民生、全力以赴保安全、扎实有效推改革，为奋力建设民族地区高质量发展阿坝典范提供坚强财政保障。</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楷体_GB2312" w:cs="Times New Roman"/>
          <w:b/>
          <w:bCs w:val="0"/>
          <w:sz w:val="32"/>
          <w:szCs w:val="32"/>
          <w:lang w:val="en-US" w:eastAsia="zh-CN"/>
        </w:rPr>
      </w:pPr>
      <w:r>
        <w:rPr>
          <w:rFonts w:ascii="Times New Roman" w:hAnsi="Times New Roman" w:eastAsia="仿宋_GB2312" w:cs="Times New Roman"/>
          <w:b w:val="0"/>
          <w:bCs/>
          <w:sz w:val="32"/>
          <w:szCs w:val="32"/>
          <w:lang w:val="en-US" w:eastAsia="zh-CN"/>
        </w:rPr>
        <w:t xml:space="preserve"> </w:t>
      </w:r>
      <w:r>
        <w:rPr>
          <w:rFonts w:ascii="Times New Roman" w:hAnsi="Times New Roman" w:eastAsia="楷体_GB2312" w:cs="Times New Roman"/>
          <w:b/>
          <w:bCs w:val="0"/>
          <w:sz w:val="32"/>
          <w:szCs w:val="32"/>
          <w:lang w:val="en-US" w:eastAsia="zh-CN"/>
        </w:rPr>
        <w:t>（一）开源节流，着力保障财政平稳运行</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一是多方开源促增收。</w:t>
      </w:r>
      <w:r>
        <w:rPr>
          <w:rFonts w:ascii="Times New Roman" w:hAnsi="Times New Roman" w:eastAsia="仿宋_GB2312" w:cs="Times New Roman"/>
          <w:b w:val="0"/>
          <w:bCs/>
          <w:sz w:val="32"/>
          <w:szCs w:val="32"/>
          <w:lang w:val="en-US" w:eastAsia="zh-CN"/>
        </w:rPr>
        <w:t>持续优化开源方式，多向发力聚财生财。完善税收征管机制，确保各项税收收入及时、足额入库，有效管理非税收入，实现收入目标稳步增长。积极对上争取，获得</w:t>
      </w:r>
      <w:r>
        <w:rPr>
          <w:rFonts w:ascii="Times New Roman" w:hAnsi="Times New Roman" w:eastAsia="仿宋_GB2312" w:cs="Times New Roman"/>
          <w:b w:val="0"/>
          <w:bCs/>
          <w:sz w:val="32"/>
          <w:szCs w:val="32"/>
          <w:highlight w:val="none"/>
          <w:lang w:val="en-US" w:eastAsia="zh-CN"/>
        </w:rPr>
        <w:t>上级转移支付资金307.3亿元，同比增加19.8亿元，增长7%。</w:t>
      </w:r>
      <w:r>
        <w:rPr>
          <w:rFonts w:ascii="Times New Roman" w:hAnsi="Times New Roman" w:eastAsia="仿宋_GB2312" w:cs="Times New Roman"/>
          <w:b w:val="0"/>
          <w:bCs/>
          <w:sz w:val="32"/>
          <w:szCs w:val="32"/>
          <w:lang w:val="en-US" w:eastAsia="zh-CN"/>
        </w:rPr>
        <w:t>编写《阿坝州对上争取工作指南》，详细阐述95项转移支付资金分配方法，提高部门向上争取工作的针对性和实效性。争取新增地方政府债券额度20.5亿元，较上年增长5亿元，创历史新高，有力保障了我州重大项目建设和民生领域资金需求。</w:t>
      </w:r>
    </w:p>
    <w:p>
      <w:pPr>
        <w:keepNext w:val="0"/>
        <w:keepLines w:val="0"/>
        <w:pageBreakBefore w:val="0"/>
        <w:widowControl w:val="0"/>
        <w:kinsoku/>
        <w:wordWrap/>
        <w:overflowPunct w:val="0"/>
        <w:topLinePunct w:val="0"/>
        <w:autoSpaceDE w:val="0"/>
        <w:autoSpaceDN w:val="0"/>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二是精打细算压支出。</w:t>
      </w:r>
      <w:r>
        <w:rPr>
          <w:rFonts w:ascii="Times New Roman" w:hAnsi="Times New Roman" w:eastAsia="仿宋_GB2312" w:cs="Times New Roman"/>
          <w:b w:val="0"/>
          <w:bCs/>
          <w:sz w:val="32"/>
          <w:szCs w:val="32"/>
          <w:lang w:val="en-US" w:eastAsia="zh-CN"/>
        </w:rPr>
        <w:t>坚决落实“过紧日子”要求，把有限的资金用在刀刃上。牵头出台《进一步强化厉行节约坚持过紧日子的若干举措》，压减2024年州直部门一般性支出5437万元。严格实施零基预算编制，优先保障重点领域且实施条件成熟的项目，压减2024年州本级可暂缓实施、不再开展或任务量减少的临时性项目支出1.1亿元。狠抓财政评审改革，2024年，州本级审核财政评审项目203项，送审规模30.1亿元，节约财政资金2.7亿元，审减率9%，较2023年高1.3个百分点。</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val="0"/>
          <w:bCs/>
          <w:sz w:val="32"/>
          <w:szCs w:val="32"/>
          <w:lang w:val="en-US" w:eastAsia="zh-CN"/>
        </w:rPr>
      </w:pPr>
      <w:r>
        <w:rPr>
          <w:rFonts w:ascii="Times New Roman" w:hAnsi="Times New Roman" w:eastAsia="楷体_GB2312" w:cs="Times New Roman"/>
          <w:b/>
          <w:bCs w:val="0"/>
          <w:sz w:val="32"/>
          <w:szCs w:val="32"/>
          <w:lang w:val="en-US" w:eastAsia="zh-CN"/>
        </w:rPr>
        <w:t>（二）加强统筹，着力促进经济稳步回升向好</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一是推动区域协调均衡发展。</w:t>
      </w:r>
      <w:r>
        <w:rPr>
          <w:rFonts w:ascii="Times New Roman" w:hAnsi="Times New Roman" w:eastAsia="仿宋_GB2312" w:cs="Times New Roman"/>
          <w:b w:val="0"/>
          <w:bCs/>
          <w:sz w:val="32"/>
          <w:szCs w:val="32"/>
          <w:lang w:val="en-US" w:eastAsia="zh-CN"/>
        </w:rPr>
        <w:t>筹措资金3.2亿元，全面落实《以高质量发展为核心推动经济回升向好若干政策措施》七个方面21项政策，着力激发经济增长动能。筹措资金2亿元，兜底保障阿坝县、若尔盖县深化专项整治推动高质量发展清单“必保项目”。在省级补助资金基础上，筹措资金1.4亿元，支持欠发达县基础设施补短板、培育特色优势产业和提升基本公共服务，着力支持黑水县、阿坝县、红原县农业产业“三品一标”项目建设。</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bCs w:val="0"/>
          <w:sz w:val="32"/>
          <w:szCs w:val="32"/>
          <w:lang w:val="en-US" w:eastAsia="zh-CN"/>
        </w:rPr>
      </w:pPr>
      <w:r>
        <w:rPr>
          <w:rFonts w:ascii="Times New Roman" w:hAnsi="Times New Roman" w:eastAsia="仿宋_GB2312" w:cs="Times New Roman"/>
          <w:b/>
          <w:bCs w:val="0"/>
          <w:sz w:val="32"/>
          <w:szCs w:val="32"/>
          <w:lang w:val="en-US" w:eastAsia="zh-CN"/>
        </w:rPr>
        <w:t>二是推动“消费马车”多拉快跑。</w:t>
      </w:r>
      <w:r>
        <w:rPr>
          <w:rFonts w:ascii="Times New Roman" w:hAnsi="Times New Roman" w:eastAsia="仿宋_GB2312" w:cs="Times New Roman"/>
          <w:b w:val="0"/>
          <w:bCs/>
          <w:sz w:val="32"/>
          <w:szCs w:val="32"/>
          <w:lang w:val="en-US" w:eastAsia="zh-CN"/>
        </w:rPr>
        <w:t>投入资金4000万元，聚焦文旅、家电、住宿餐饮、批发零售、农特产品和汽车等行业发放消费券，开展促消费活动，带动消费2.3亿元。投入资金5326万元，进一步支持大规模设备更新和消费品以旧换新，最大程度把政策红利转化为经济发展实效。实施消费信贷财政贴息，激发居民消费热情。对符合条件的购房消费者给予一次性购房补贴，助力房地产市场回暖。鼓励旅行社来州入境游过夜，并给予一次性奖励，招揽更多游客来州旅游，带动相关产业共同发展。</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三是帮助企业减负担增动能。</w:t>
      </w:r>
      <w:r>
        <w:rPr>
          <w:rFonts w:ascii="Times New Roman" w:hAnsi="Times New Roman" w:eastAsia="仿宋_GB2312" w:cs="Times New Roman"/>
          <w:b w:val="0"/>
          <w:bCs/>
          <w:sz w:val="32"/>
          <w:szCs w:val="32"/>
          <w:highlight w:val="none"/>
          <w:lang w:val="en-US" w:eastAsia="zh-CN"/>
        </w:rPr>
        <w:t>投入资金8600万元，</w:t>
      </w:r>
      <w:r>
        <w:rPr>
          <w:rFonts w:ascii="Times New Roman" w:hAnsi="Times New Roman" w:eastAsia="仿宋_GB2312" w:cs="Times New Roman"/>
          <w:b w:val="0"/>
          <w:bCs/>
          <w:sz w:val="32"/>
          <w:szCs w:val="32"/>
          <w:lang w:val="en-US" w:eastAsia="zh-CN"/>
        </w:rPr>
        <w:t>从激发消费活力、助力企业降本增效、助力企业转型升级三大方面促进企业发展。发放企业招工成本补贴，鼓励企业参加推荐活动，给</w:t>
      </w:r>
      <w:r>
        <w:rPr>
          <w:rFonts w:hint="eastAsia" w:ascii="Times New Roman" w:hAnsi="Times New Roman" w:eastAsia="仿宋_GB2312" w:cs="Times New Roman"/>
          <w:b w:val="0"/>
          <w:bCs/>
          <w:sz w:val="32"/>
          <w:szCs w:val="32"/>
          <w:lang w:val="en-US" w:eastAsia="zh-CN"/>
        </w:rPr>
        <w:t>予</w:t>
      </w:r>
      <w:r>
        <w:rPr>
          <w:rFonts w:ascii="Times New Roman" w:hAnsi="Times New Roman" w:eastAsia="仿宋_GB2312" w:cs="Times New Roman"/>
          <w:b w:val="0"/>
          <w:bCs/>
          <w:sz w:val="32"/>
          <w:szCs w:val="32"/>
          <w:lang w:val="en-US" w:eastAsia="zh-CN"/>
        </w:rPr>
        <w:t>费用补贴，设立稳增长应急转贷资金池，实施贷款贴息，帮助企业降低成本，减轻负担，实现更好发展。</w:t>
      </w:r>
      <w:r>
        <w:rPr>
          <w:rFonts w:ascii="Times New Roman" w:hAnsi="Times New Roman" w:eastAsia="仿宋_GB2312" w:cs="Times New Roman"/>
          <w:b w:val="0"/>
          <w:bCs/>
          <w:sz w:val="32"/>
          <w:szCs w:val="32"/>
          <w:highlight w:val="none"/>
          <w:lang w:val="en-US" w:eastAsia="zh-CN"/>
        </w:rPr>
        <w:t>以激励促转型发展，</w:t>
      </w:r>
      <w:r>
        <w:rPr>
          <w:rFonts w:ascii="Times New Roman" w:hAnsi="Times New Roman" w:eastAsia="仿宋_GB2312" w:cs="Times New Roman"/>
          <w:b w:val="0"/>
          <w:bCs/>
          <w:sz w:val="32"/>
          <w:szCs w:val="32"/>
          <w:lang w:val="en-US" w:eastAsia="zh-CN"/>
        </w:rPr>
        <w:t>落实工业和技改项目投资激励政策</w:t>
      </w:r>
      <w:r>
        <w:rPr>
          <w:rFonts w:ascii="Times New Roman" w:hAnsi="Times New Roman" w:eastAsia="仿宋_GB2312" w:cs="Times New Roman"/>
          <w:b w:val="0"/>
          <w:bCs/>
          <w:sz w:val="32"/>
          <w:szCs w:val="32"/>
          <w:highlight w:val="none"/>
          <w:lang w:val="en-US" w:eastAsia="zh-CN"/>
        </w:rPr>
        <w:t>，</w:t>
      </w:r>
      <w:r>
        <w:rPr>
          <w:rFonts w:ascii="Times New Roman" w:hAnsi="Times New Roman" w:eastAsia="仿宋_GB2312" w:cs="Times New Roman"/>
          <w:b w:val="0"/>
          <w:bCs/>
          <w:sz w:val="32"/>
          <w:szCs w:val="32"/>
          <w:lang w:val="en-US" w:eastAsia="zh-CN"/>
        </w:rPr>
        <w:t>工业、建筑业和服务业企业生产经营增长激励政策，积极兑现工业企业良好开局奖励，重点对新开工和竣工项目、加大生产、发电企业售电量增加等给予奖励，进一步提振企业信心，推动企业转型升级。</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bCs w:val="0"/>
          <w:sz w:val="32"/>
          <w:szCs w:val="32"/>
          <w:lang w:val="en-US" w:eastAsia="zh-CN"/>
        </w:rPr>
      </w:pPr>
      <w:r>
        <w:rPr>
          <w:rFonts w:ascii="Times New Roman" w:hAnsi="Times New Roman" w:eastAsia="楷体_GB2312" w:cs="Times New Roman"/>
          <w:b/>
          <w:bCs w:val="0"/>
          <w:sz w:val="32"/>
          <w:szCs w:val="32"/>
          <w:lang w:val="en-US" w:eastAsia="zh-CN"/>
        </w:rPr>
        <w:t>（三）财政赋能，着力推动生态文明建设</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一是助推长江黄河上游重要生态屏障建设。</w:t>
      </w:r>
      <w:r>
        <w:rPr>
          <w:rFonts w:ascii="Times New Roman" w:hAnsi="Times New Roman" w:eastAsia="仿宋_GB2312" w:cs="Times New Roman"/>
          <w:b w:val="0"/>
          <w:bCs/>
          <w:sz w:val="32"/>
          <w:szCs w:val="32"/>
          <w:lang w:val="en-US" w:eastAsia="zh-CN"/>
        </w:rPr>
        <w:t>投入资金4000万元，支持若尔盖国家公园创建，完成湿地恢复12万亩、沙化土地治理27万亩、人工种草35万亩、草原改良146万亩、鼠虫害防治735万亩。若尔盖山水工程已累计完成投资39.2亿元，实现资金支付33.6亿元，完成生态修复总面积23.2万公顷，稳步推动草原湿地生态功能恢复，助力建成“若尔盖山水工程”样板典范。立足生态资源禀赋，成功争取将阿坝、若尔盖两县纳入省级生态补偿范围，每年将增加生态效益补偿资金1200万元。</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二是全面提升我州防灾减灾救灾能力。</w:t>
      </w:r>
      <w:r>
        <w:rPr>
          <w:rFonts w:ascii="Times New Roman" w:hAnsi="Times New Roman" w:eastAsia="仿宋_GB2312" w:cs="Times New Roman"/>
          <w:b w:val="0"/>
          <w:bCs/>
          <w:sz w:val="32"/>
          <w:szCs w:val="32"/>
          <w:lang w:val="en-US" w:eastAsia="zh-CN"/>
        </w:rPr>
        <w:t>成功争取到2023年第三批增发国债项目30个，资金8.7亿元，占全省国债资金总量的12.4%，资金争取数额位居全省第二位。重点支持地质灾害防治领域，涉及避险搬迁3633户、地灾综合治理144处、自动化监测797处，最大限度保障人民群众生命财产安全。</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三是推动“应绿尽绿”，夯实绿色发展基底。</w:t>
      </w:r>
      <w:r>
        <w:rPr>
          <w:rFonts w:ascii="Times New Roman" w:hAnsi="Times New Roman" w:eastAsia="仿宋_GB2312" w:cs="Times New Roman"/>
          <w:b w:val="0"/>
          <w:bCs/>
          <w:sz w:val="32"/>
          <w:szCs w:val="32"/>
          <w:lang w:val="en-US" w:eastAsia="zh-CN"/>
        </w:rPr>
        <w:t>投入资金6.7亿元，完成营造林28.7万亩，续建补植苗木485万株，义务植树165万株、人工种草23万亩、湿地修复2.9万亩，全州国省干线公路用地红线范围适宜区域绿化美化380公里。深入开发林地资源，推动实现森林向“粮库”“油库”转变，成功争取将“汶川县高山林下特色种植示范建设项目”入选全省第二批“天府森林粮库”示范建设项目名单，将获得1000万元补助资金，助推汶川县打造高山林下特色种植基地示范样板，引领全州高原森林粮库建设。</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bCs w:val="0"/>
          <w:sz w:val="32"/>
          <w:szCs w:val="32"/>
          <w:lang w:val="en-US" w:eastAsia="zh-CN"/>
        </w:rPr>
      </w:pPr>
      <w:r>
        <w:rPr>
          <w:rFonts w:ascii="Times New Roman" w:hAnsi="Times New Roman" w:eastAsia="楷体_GB2312" w:cs="Times New Roman"/>
          <w:b/>
          <w:bCs w:val="0"/>
          <w:sz w:val="32"/>
          <w:szCs w:val="32"/>
          <w:lang w:val="en-US" w:eastAsia="zh-CN"/>
        </w:rPr>
        <w:t>（四）聚力增效，着力推动乡村全面振兴</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一是提高乡村振兴资金使用效益。</w:t>
      </w:r>
      <w:r>
        <w:rPr>
          <w:rFonts w:ascii="Times New Roman" w:hAnsi="Times New Roman" w:eastAsia="仿宋_GB2312" w:cs="Times New Roman"/>
          <w:b w:val="0"/>
          <w:bCs/>
          <w:sz w:val="32"/>
          <w:szCs w:val="32"/>
          <w:lang w:val="en-US" w:eastAsia="zh-CN"/>
        </w:rPr>
        <w:t>坚持农业农村优先发展，在全面推进乡村振兴中不断彰显财政新担当、贡献财政新力量。投入衔接资金17亿元，支农惠农资金7.9亿元，支持农业基础设施建设、农村人居环境整治、农村产业融合发展，进一步改善农村生产生活条件、提升农村公共服务水平。建立阿坝州衔接资金领域项目绩效指标库，改变衔接资金“重分配、轻管理”“重投入、轻绩效”的现状，进一步推动项目规范有序实施，提高衔接资金使用效益。</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二是加大农牧业产业发展支持力度。</w:t>
      </w:r>
      <w:r>
        <w:rPr>
          <w:rFonts w:ascii="Times New Roman" w:hAnsi="Times New Roman" w:eastAsia="仿宋_GB2312" w:cs="Times New Roman"/>
          <w:b w:val="0"/>
          <w:bCs/>
          <w:sz w:val="32"/>
          <w:szCs w:val="32"/>
          <w:lang w:val="en-US" w:eastAsia="zh-CN"/>
        </w:rPr>
        <w:t>首次争取省级财政农产品加工专项资金590万元，支持金川县特色雪梨产品、黑水县藏香猪产业精深加工以及马尔康市嘉绒火塘牦牛肉干非遗传承基地建设。统筹资金8000万元，对红原牦牛产业加工园、阿坝高原特色农产品加工园等五个重点发展园区，马尔康特色农产品加工园等三个重点培育园区分别给予1000万元产业发展资金，强化园区的基础设施和配套设施建设，进一步提升特色农产品加工产业园的辐射带动能力。统筹资金6000万元，支持农业生产“三品一标”基地建设，扶持和培育一批具有阿坝高原特色的优质粮油、畜产品、特色果蔬、中药材等品种。投入资金2200万元，激励省、州星级现代农业园区提质增效，发挥先进示范引领作用。</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三是加强农村基础设施建设。</w:t>
      </w:r>
      <w:r>
        <w:rPr>
          <w:rFonts w:ascii="Times New Roman" w:hAnsi="Times New Roman" w:eastAsia="仿宋_GB2312" w:cs="Times New Roman"/>
          <w:b w:val="0"/>
          <w:bCs/>
          <w:sz w:val="32"/>
          <w:szCs w:val="32"/>
          <w:lang w:val="en-US" w:eastAsia="zh-CN"/>
        </w:rPr>
        <w:t>统筹资金5.8亿元，深入实施“百村引领、千村提升”工程，支持全州59个宜居宜业和美乡村年度建设任务村提升乡村治理水平、改善农村人居环境。统筹资金2347万元，为全州5149户农户厕所进行改造。统筹资金1507万元，对全州212处农村饮水工程进行水质提升，惠及122个乡（镇）、337个村。进一步保障农牧民健康、提高农牧民生活环境舒适度、打造农村新面貌。</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bCs w:val="0"/>
          <w:sz w:val="32"/>
          <w:szCs w:val="32"/>
          <w:lang w:val="en-US" w:eastAsia="zh-CN"/>
        </w:rPr>
      </w:pPr>
      <w:r>
        <w:rPr>
          <w:rFonts w:ascii="Times New Roman" w:hAnsi="Times New Roman" w:eastAsia="楷体_GB2312" w:cs="Times New Roman"/>
          <w:b/>
          <w:bCs w:val="0"/>
          <w:sz w:val="32"/>
          <w:szCs w:val="32"/>
          <w:lang w:val="en-US" w:eastAsia="zh-CN"/>
        </w:rPr>
        <w:t>（五）多措并举，着力推进民生福祉建设</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lang w:val="en-US" w:eastAsia="zh-CN"/>
        </w:rPr>
        <w:t>集中财力着力解决群众需求最迫切的民生保障问题，确保民生支出与经济发展相协调、与财力状况相匹配，民生投入235.8亿元，占财政支出的70%以上</w:t>
      </w:r>
      <w:r>
        <w:rPr>
          <w:rFonts w:ascii="Times New Roman" w:hAnsi="Times New Roman" w:eastAsia="仿宋_GB2312" w:cs="Times New Roman"/>
          <w:b w:val="0"/>
          <w:bCs/>
          <w:sz w:val="32"/>
          <w:szCs w:val="32"/>
          <w:lang w:val="en-US" w:eastAsia="zh-CN"/>
        </w:rPr>
        <w:t>。统筹资金7.4亿元，用于支持全州“十大民生实事”。</w:t>
      </w:r>
      <w:r>
        <w:rPr>
          <w:rFonts w:ascii="Times New Roman" w:hAnsi="Times New Roman" w:eastAsia="仿宋_GB2312" w:cs="Times New Roman"/>
          <w:kern w:val="0"/>
          <w:sz w:val="32"/>
          <w:szCs w:val="32"/>
          <w:lang w:val="en-US" w:eastAsia="zh-CN"/>
        </w:rPr>
        <w:t>实现了“小财政”保障“大民生”，人民群众获得感、幸福感、安全感更加充实、更有保障、更可持续。</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kern w:val="0"/>
          <w:sz w:val="32"/>
          <w:szCs w:val="32"/>
          <w:lang w:val="en-US" w:eastAsia="zh-CN"/>
        </w:rPr>
      </w:pPr>
      <w:r>
        <w:rPr>
          <w:rFonts w:ascii="Times New Roman" w:hAnsi="Times New Roman" w:eastAsia="仿宋_GB2312" w:cs="Times New Roman"/>
          <w:b/>
          <w:bCs/>
          <w:kern w:val="0"/>
          <w:sz w:val="32"/>
          <w:szCs w:val="32"/>
          <w:lang w:val="en-US" w:eastAsia="zh-CN"/>
        </w:rPr>
        <w:t>一是全力办好阿坝人民满意的教育。</w:t>
      </w:r>
      <w:r>
        <w:rPr>
          <w:rFonts w:ascii="Times New Roman" w:hAnsi="Times New Roman" w:eastAsia="仿宋_GB2312" w:cs="Times New Roman"/>
          <w:kern w:val="0"/>
          <w:sz w:val="32"/>
          <w:szCs w:val="32"/>
          <w:lang w:val="en-US" w:eastAsia="zh-CN"/>
        </w:rPr>
        <w:t>投入资金9.8亿元，继续实施教育资助政策，全州补助覆盖面达到50%。筹集资金2.1亿元，以落实待遇、兑现激励为着力点，全面落实教师绩效工资提标、提高连续任教奖励、开展教育工作先进激励等优待政策。筹集资金4500万元，引进优秀教师和管理团队，支持建设25个优质示范校联体、10所义务教育共同体领航学校，逐步缩小校际间教育资源和教学质量的差距。统筹资金3.3亿元，支持改善6个重点县办学条件，着力解决安置学生后顾之忧，支持开展职业技能培训和研学活动。投入资金1000万元，建立农牧民和困难职工家庭优秀学生激励基金。全面贯彻党的教育方针，提出全州层面整体推进6条措施，州属学校试点探索8条举措，为全州教育十条措施出台提供了有力支撑，助力建设民族地区教育高质量发展示范州。</w:t>
      </w:r>
    </w:p>
    <w:p>
      <w:pPr>
        <w:keepNext w:val="0"/>
        <w:keepLines w:val="0"/>
        <w:pageBreakBefore w:val="0"/>
        <w:widowControl w:val="0"/>
        <w:kinsoku/>
        <w:wordWrap/>
        <w:overflowPunct w:val="0"/>
        <w:topLinePunct w:val="0"/>
        <w:autoSpaceDE w:val="0"/>
        <w:autoSpaceDN w:val="0"/>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highlight w:val="none"/>
          <w:lang w:val="en-US" w:eastAsia="zh-CN"/>
        </w:rPr>
      </w:pPr>
      <w:r>
        <w:rPr>
          <w:rFonts w:ascii="Times New Roman" w:hAnsi="Times New Roman" w:eastAsia="仿宋_GB2312" w:cs="Times New Roman"/>
          <w:b/>
          <w:bCs w:val="0"/>
          <w:sz w:val="32"/>
          <w:szCs w:val="32"/>
          <w:lang w:val="en-US" w:eastAsia="zh-CN"/>
        </w:rPr>
        <w:t>二是着力提升全州医疗综合服务能力水平。</w:t>
      </w:r>
      <w:r>
        <w:rPr>
          <w:rFonts w:ascii="Times New Roman" w:hAnsi="Times New Roman" w:eastAsia="仿宋_GB2312" w:cs="Times New Roman"/>
          <w:b w:val="0"/>
          <w:bCs/>
          <w:sz w:val="32"/>
          <w:szCs w:val="32"/>
          <w:lang w:val="en-US" w:eastAsia="zh-CN"/>
        </w:rPr>
        <w:t>投入资金7.9亿元，着力解决群众看病就医急难愁盼问题，稳步推动“健康阿坝”建设。州级财政统筹432万元用于激励阿坝州医疗卫生工作贡献突出院长（书记）、医疗卫生重点专科建设优秀学科带头人、人民满意医务工作者、人民满意村医共262人。</w:t>
      </w:r>
      <w:r>
        <w:rPr>
          <w:rFonts w:ascii="Times New Roman" w:hAnsi="Times New Roman" w:eastAsia="仿宋_GB2312" w:cs="Times New Roman"/>
          <w:b w:val="0"/>
          <w:bCs/>
          <w:sz w:val="32"/>
          <w:szCs w:val="32"/>
          <w:highlight w:val="none"/>
          <w:lang w:val="en-US" w:eastAsia="zh-CN"/>
        </w:rPr>
        <w:t>投入</w:t>
      </w:r>
      <w:r>
        <w:rPr>
          <w:rFonts w:ascii="Times New Roman" w:hAnsi="Times New Roman" w:eastAsia="仿宋_GB2312" w:cs="Times New Roman"/>
          <w:b w:val="0"/>
          <w:bCs/>
          <w:sz w:val="32"/>
          <w:szCs w:val="32"/>
          <w:lang w:val="en-US" w:eastAsia="zh-CN"/>
        </w:rPr>
        <w:t>资金</w:t>
      </w:r>
      <w:r>
        <w:rPr>
          <w:rFonts w:ascii="Times New Roman" w:hAnsi="Times New Roman" w:eastAsia="仿宋_GB2312" w:cs="Times New Roman"/>
          <w:b w:val="0"/>
          <w:bCs/>
          <w:sz w:val="32"/>
          <w:szCs w:val="32"/>
          <w:highlight w:val="none"/>
          <w:lang w:val="en-US" w:eastAsia="zh-CN"/>
        </w:rPr>
        <w:t>1.2亿元，积极推进重点专科建设、公立医院综合改革。投入</w:t>
      </w:r>
      <w:r>
        <w:rPr>
          <w:rFonts w:ascii="Times New Roman" w:hAnsi="Times New Roman" w:eastAsia="仿宋_GB2312" w:cs="Times New Roman"/>
          <w:b w:val="0"/>
          <w:bCs/>
          <w:sz w:val="32"/>
          <w:szCs w:val="32"/>
          <w:lang w:val="en-US" w:eastAsia="zh-CN"/>
        </w:rPr>
        <w:t>资金</w:t>
      </w:r>
      <w:r>
        <w:rPr>
          <w:rFonts w:ascii="Times New Roman" w:hAnsi="Times New Roman" w:eastAsia="仿宋_GB2312" w:cs="Times New Roman"/>
          <w:b w:val="0"/>
          <w:bCs/>
          <w:sz w:val="32"/>
          <w:szCs w:val="32"/>
          <w:highlight w:val="none"/>
          <w:lang w:val="en-US" w:eastAsia="zh-CN"/>
        </w:rPr>
        <w:t>6010万元，支持阿坝州传染病医院（汶川院区）建设项目。</w:t>
      </w:r>
      <w:r>
        <w:rPr>
          <w:rFonts w:ascii="Times New Roman" w:hAnsi="Times New Roman" w:eastAsia="仿宋_GB2312" w:cs="Times New Roman"/>
          <w:b w:val="0"/>
          <w:bCs/>
          <w:sz w:val="32"/>
          <w:szCs w:val="32"/>
          <w:lang w:val="en-US" w:eastAsia="zh-CN"/>
        </w:rPr>
        <w:t>投入资金1473.4万元，保障群众基本用药、减轻患者用药负担，缓解“看病贵”问题。</w:t>
      </w:r>
      <w:r>
        <w:rPr>
          <w:rFonts w:ascii="Times New Roman" w:hAnsi="Times New Roman" w:eastAsia="仿宋_GB2312" w:cs="Times New Roman"/>
          <w:b w:val="0"/>
          <w:bCs/>
          <w:sz w:val="32"/>
          <w:szCs w:val="32"/>
          <w:highlight w:val="none"/>
          <w:lang w:val="en-US" w:eastAsia="zh-CN"/>
        </w:rPr>
        <w:t>尽最大努力让广大干部群众有病能看上、健康有保障。</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三是千方百计稳定和扩大就业。</w:t>
      </w:r>
      <w:r>
        <w:rPr>
          <w:rFonts w:ascii="Times New Roman" w:hAnsi="Times New Roman" w:eastAsia="仿宋_GB2312" w:cs="Times New Roman"/>
          <w:b w:val="0"/>
          <w:bCs/>
          <w:sz w:val="32"/>
          <w:szCs w:val="32"/>
          <w:lang w:val="en-US" w:eastAsia="zh-CN"/>
        </w:rPr>
        <w:t>投入就业创业财政补助资金1.1亿元，支持重点群体就业，全州城镇新增就业7928人，失业人员再就业741人，动态消除零就业家庭。州级财政统筹资金1000万元，建立阿坝州农牧民家庭和困难职工子女就业创业帮扶基金，帮助我州困难大中专毕业生实现稳定就业。</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highlight w:val="none"/>
          <w:lang w:val="en-US" w:eastAsia="zh-CN"/>
        </w:rPr>
      </w:pPr>
      <w:r>
        <w:rPr>
          <w:rFonts w:ascii="Times New Roman" w:hAnsi="Times New Roman" w:eastAsia="仿宋_GB2312" w:cs="Times New Roman"/>
          <w:b/>
          <w:bCs w:val="0"/>
          <w:sz w:val="32"/>
          <w:szCs w:val="32"/>
          <w:highlight w:val="none"/>
          <w:lang w:val="en-US" w:eastAsia="zh-CN"/>
        </w:rPr>
        <w:t>四是持续提高社会保障水平。</w:t>
      </w:r>
      <w:r>
        <w:rPr>
          <w:rFonts w:ascii="Times New Roman" w:hAnsi="Times New Roman" w:eastAsia="仿宋_GB2312" w:cs="Times New Roman"/>
          <w:b w:val="0"/>
          <w:bCs/>
          <w:sz w:val="32"/>
          <w:szCs w:val="32"/>
          <w:highlight w:val="none"/>
          <w:lang w:val="en-US" w:eastAsia="zh-CN"/>
        </w:rPr>
        <w:t>投入</w:t>
      </w:r>
      <w:r>
        <w:rPr>
          <w:rFonts w:ascii="Times New Roman" w:hAnsi="Times New Roman" w:eastAsia="仿宋_GB2312" w:cs="Times New Roman"/>
          <w:b w:val="0"/>
          <w:bCs/>
          <w:sz w:val="32"/>
          <w:szCs w:val="32"/>
          <w:lang w:val="en-US" w:eastAsia="zh-CN"/>
        </w:rPr>
        <w:t>资金</w:t>
      </w:r>
      <w:r>
        <w:rPr>
          <w:rFonts w:ascii="Times New Roman" w:hAnsi="Times New Roman" w:eastAsia="仿宋_GB2312" w:cs="Times New Roman"/>
          <w:b w:val="0"/>
          <w:bCs/>
          <w:sz w:val="32"/>
          <w:szCs w:val="32"/>
          <w:highlight w:val="none"/>
          <w:lang w:val="en-US" w:eastAsia="zh-CN"/>
        </w:rPr>
        <w:t>28.2亿元，持续做好社会保障兜底扩面，健全社会救助、社会福利、养老服务等制度。不断提升养老服务质量，投入资金128万元用于困难老人家庭适老化改造，惠及1.3万名困难老年人。投入资金290万元在若尔盖建设养老服务综合体与示范性老年人助餐服务网络，老年人多层次、多样化的服务需求进一步得到满足。稳步推进低保提标，最低生活保障标准城镇提高48元/人/月、农村提高55元/人/月，特困人员基本生活标准低限城镇提高63元/人/月、农村提高61元/人/月，孤儿基本生活最低养育标准低限提高150元/人/月。</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bCs w:val="0"/>
          <w:sz w:val="32"/>
          <w:szCs w:val="32"/>
          <w:highlight w:val="none"/>
          <w:lang w:val="en-US" w:eastAsia="zh-CN"/>
        </w:rPr>
      </w:pPr>
      <w:r>
        <w:rPr>
          <w:rFonts w:ascii="Times New Roman" w:hAnsi="Times New Roman" w:eastAsia="仿宋_GB2312" w:cs="Times New Roman"/>
          <w:b/>
          <w:bCs w:val="0"/>
          <w:sz w:val="32"/>
          <w:szCs w:val="32"/>
          <w:highlight w:val="none"/>
          <w:lang w:val="en-US" w:eastAsia="zh-CN"/>
        </w:rPr>
        <w:t>五是促进文化体育旅游繁荣发展。</w:t>
      </w:r>
      <w:r>
        <w:rPr>
          <w:rFonts w:ascii="Times New Roman" w:hAnsi="Times New Roman" w:eastAsia="仿宋_GB2312" w:cs="Times New Roman"/>
          <w:b w:val="0"/>
          <w:bCs/>
          <w:sz w:val="32"/>
          <w:szCs w:val="32"/>
          <w:highlight w:val="none"/>
          <w:lang w:val="en-US" w:eastAsia="zh-CN"/>
        </w:rPr>
        <w:t>投入</w:t>
      </w:r>
      <w:r>
        <w:rPr>
          <w:rFonts w:ascii="Times New Roman" w:hAnsi="Times New Roman" w:eastAsia="仿宋_GB2312" w:cs="Times New Roman"/>
          <w:b w:val="0"/>
          <w:bCs/>
          <w:sz w:val="32"/>
          <w:szCs w:val="32"/>
          <w:lang w:val="en-US" w:eastAsia="zh-CN"/>
        </w:rPr>
        <w:t>资金</w:t>
      </w:r>
      <w:r>
        <w:rPr>
          <w:rFonts w:ascii="Times New Roman" w:hAnsi="Times New Roman" w:eastAsia="仿宋_GB2312" w:cs="Times New Roman"/>
          <w:b w:val="0"/>
          <w:bCs/>
          <w:sz w:val="32"/>
          <w:szCs w:val="32"/>
          <w:highlight w:val="none"/>
          <w:lang w:val="en-US" w:eastAsia="zh-CN"/>
        </w:rPr>
        <w:t>4.9亿元，深化旅游营销，支持旅游项目建设，助力建成国际生态文化旅游目的地，全力推动阿坝旅游高质量发展。投入</w:t>
      </w:r>
      <w:r>
        <w:rPr>
          <w:rFonts w:ascii="Times New Roman" w:hAnsi="Times New Roman" w:eastAsia="仿宋_GB2312" w:cs="Times New Roman"/>
          <w:b w:val="0"/>
          <w:bCs/>
          <w:sz w:val="32"/>
          <w:szCs w:val="32"/>
          <w:lang w:val="en-US" w:eastAsia="zh-CN"/>
        </w:rPr>
        <w:t>资金</w:t>
      </w:r>
      <w:r>
        <w:rPr>
          <w:rFonts w:ascii="Times New Roman" w:hAnsi="Times New Roman" w:eastAsia="仿宋_GB2312" w:cs="Times New Roman"/>
          <w:b w:val="0"/>
          <w:bCs/>
          <w:sz w:val="32"/>
          <w:szCs w:val="32"/>
          <w:highlight w:val="none"/>
          <w:lang w:val="en-US" w:eastAsia="zh-CN"/>
        </w:rPr>
        <w:t>4838万元用于公共文化服务体系建设，推动基本公共文化服务均等化。继续支持博物馆、图书馆、美术馆、文化馆、体育馆等免费（低收费）开放，提高公共文化服务保障能力。支持体育事业发展，推进全民健身工程建设、大型体育场馆免费（低收费）开放。推进“体育+旅游”深度融合，支持全州“景BA”篮球比赛和“景BA”走进贵州“村BA”等活动开展。投入</w:t>
      </w:r>
      <w:r>
        <w:rPr>
          <w:rFonts w:ascii="Times New Roman" w:hAnsi="Times New Roman" w:eastAsia="仿宋_GB2312" w:cs="Times New Roman"/>
          <w:b w:val="0"/>
          <w:bCs/>
          <w:sz w:val="32"/>
          <w:szCs w:val="32"/>
          <w:lang w:val="en-US" w:eastAsia="zh-CN"/>
        </w:rPr>
        <w:t>资金</w:t>
      </w:r>
      <w:r>
        <w:rPr>
          <w:rFonts w:ascii="Times New Roman" w:hAnsi="Times New Roman" w:eastAsia="仿宋_GB2312" w:cs="Times New Roman"/>
          <w:b w:val="0"/>
          <w:bCs/>
          <w:sz w:val="32"/>
          <w:szCs w:val="32"/>
          <w:highlight w:val="none"/>
          <w:lang w:val="en-US" w:eastAsia="zh-CN"/>
        </w:rPr>
        <w:t>2210万元，推动优秀文化传承，加大非遗保护、文物保护力度，鼓励支持非遗传承人更好传承手艺，不断增强优秀传统文化的生命力和影响力。</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bCs w:val="0"/>
          <w:sz w:val="32"/>
          <w:szCs w:val="32"/>
          <w:lang w:val="en-US" w:eastAsia="zh-CN"/>
        </w:rPr>
      </w:pPr>
      <w:r>
        <w:rPr>
          <w:rFonts w:ascii="Times New Roman" w:hAnsi="Times New Roman" w:eastAsia="楷体_GB2312" w:cs="Times New Roman"/>
          <w:b/>
          <w:bCs w:val="0"/>
          <w:sz w:val="32"/>
          <w:szCs w:val="32"/>
          <w:lang w:val="en-US" w:eastAsia="zh-CN"/>
        </w:rPr>
        <w:t>（六）深化改革，着力增强财政治理能力</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一是打好财政评审“铁算盘”。</w:t>
      </w:r>
      <w:r>
        <w:rPr>
          <w:rFonts w:ascii="Times New Roman" w:hAnsi="Times New Roman" w:eastAsia="仿宋_GB2312" w:cs="Times New Roman"/>
          <w:b w:val="0"/>
          <w:bCs/>
          <w:sz w:val="32"/>
          <w:szCs w:val="32"/>
          <w:lang w:val="en-US" w:eastAsia="zh-CN"/>
        </w:rPr>
        <w:t>健全“先评审后预算、先评审后招标、先评审后支付”的项目资金管理机制，深化评审管理改革。首次采用“评审+评估”双轮驱动预算绩效管理模式，在预算批复前，对50万元以上的项目全覆盖开展部门预算评审与事前绩效评估，对所有州级部门2025年部门预算中84个重点项目进行评审评估，涉及金额1.37亿，审定资金8715万元，审减资金5000万元，综合审减率36.4%，单个项目审减率最高达73%</w:t>
      </w:r>
      <w:r>
        <w:rPr>
          <w:rFonts w:hint="eastAsia" w:ascii="Times New Roman" w:hAnsi="Times New Roman" w:eastAsia="仿宋_GB2312" w:cs="Times New Roman"/>
          <w:b w:val="0"/>
          <w:bCs/>
          <w:sz w:val="32"/>
          <w:szCs w:val="32"/>
          <w:lang w:val="en-US" w:eastAsia="zh-CN"/>
        </w:rPr>
        <w:t>，</w:t>
      </w:r>
      <w:r>
        <w:rPr>
          <w:rFonts w:ascii="Times New Roman" w:hAnsi="Times New Roman" w:eastAsia="仿宋_GB2312" w:cs="Times New Roman"/>
          <w:b w:val="0"/>
          <w:bCs/>
          <w:sz w:val="32"/>
          <w:szCs w:val="32"/>
          <w:lang w:val="en-US" w:eastAsia="zh-CN"/>
        </w:rPr>
        <w:t>其中6个项目建议不予支持，切实把有限的财政资金用到紧要处、“刀刃”上。首次在编制可研报告阶段，对四川长征干部学院阿坝雪山草地分院松潘校区、汶川校区建设项目进行审查，提出优化设计方案意见，节约财政资金1406万元，从源头上规范建设单位的管理行为，最大限度控制工程造价。稳步构建支出标准体系，在制定《办公用房维修改造项目装饰装修工程预算评审指南》基础上，先后出台了文旅活动、会议会展、视频制作宣传和工程建设项目二类费用等4项评审标准，财政评审节支增效成果不断凸显。我州财政评审改革经验作为典范在“四川改革动态”刊登，送省委主要领导阅览，并在全省财政系统内作经验交流，获得了一致好评。</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highlight w:val="none"/>
          <w:lang w:val="en-US" w:eastAsia="zh-CN"/>
        </w:rPr>
      </w:pPr>
      <w:r>
        <w:rPr>
          <w:rFonts w:ascii="Times New Roman" w:hAnsi="Times New Roman" w:eastAsia="仿宋_GB2312" w:cs="Times New Roman"/>
          <w:b/>
          <w:bCs w:val="0"/>
          <w:sz w:val="32"/>
          <w:szCs w:val="32"/>
          <w:lang w:val="en-US" w:eastAsia="zh-CN"/>
        </w:rPr>
        <w:t>二是深入实施预算绩效管理。</w:t>
      </w:r>
      <w:r>
        <w:rPr>
          <w:rFonts w:ascii="Times New Roman" w:hAnsi="Times New Roman" w:eastAsia="仿宋_GB2312" w:cs="Times New Roman"/>
          <w:b w:val="0"/>
          <w:bCs/>
          <w:sz w:val="32"/>
          <w:szCs w:val="32"/>
          <w:lang w:val="en-US" w:eastAsia="zh-CN"/>
        </w:rPr>
        <w:t>健全和完善预算编制有目标、预算执行有监控、预算完成有评价、评价结果有反馈、反馈结果有应用的全链条机制。重点逗硬绩效结果应用，强化部门绩效理念，对15个资金执行落后、绩效目标指标执行偏差、执行不力的项目进行收回，涉及资金1.4亿元。完善政府采购预算绩效体系，印发《阿坝州政府采购预算绩效管理暂行办法》，扩大预算绩效范围，强化事中监控，</w:t>
      </w:r>
      <w:r>
        <w:rPr>
          <w:rFonts w:ascii="Times New Roman" w:hAnsi="Times New Roman" w:eastAsia="仿宋_GB2312" w:cs="Times New Roman"/>
          <w:b w:val="0"/>
          <w:bCs/>
          <w:sz w:val="32"/>
          <w:szCs w:val="32"/>
          <w:highlight w:val="none"/>
          <w:lang w:val="en-US" w:eastAsia="zh-CN"/>
        </w:rPr>
        <w:t>2024年，全州政府采购执行预算39.8亿元，实际采购金额37.5亿元，节约资金2.3亿元，资金节约率5.8%。</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sz w:val="32"/>
          <w:szCs w:val="32"/>
          <w:lang w:val="en-US" w:eastAsia="zh-CN"/>
        </w:rPr>
      </w:pPr>
      <w:r>
        <w:rPr>
          <w:rFonts w:ascii="Times New Roman" w:hAnsi="Times New Roman" w:eastAsia="仿宋_GB2312" w:cs="Times New Roman"/>
          <w:b/>
          <w:bCs w:val="0"/>
          <w:sz w:val="32"/>
          <w:szCs w:val="32"/>
          <w:lang w:val="en-US" w:eastAsia="zh-CN"/>
        </w:rPr>
        <w:t>三是持续加强财政监督管理。</w:t>
      </w:r>
      <w:r>
        <w:rPr>
          <w:rFonts w:ascii="Times New Roman" w:hAnsi="Times New Roman" w:eastAsia="仿宋_GB2312" w:cs="Times New Roman"/>
          <w:b w:val="0"/>
          <w:bCs/>
          <w:sz w:val="32"/>
          <w:szCs w:val="32"/>
          <w:lang w:val="en-US" w:eastAsia="zh-CN"/>
        </w:rPr>
        <w:t>贯彻落实加强财会监督工作要求，开展财会监督专项行动部署会，组织全州财会监督专题讲座，</w:t>
      </w:r>
      <w:r>
        <w:rPr>
          <w:rFonts w:ascii="Times New Roman" w:hAnsi="Times New Roman" w:eastAsia="仿宋_GB2312" w:cs="Times New Roman"/>
          <w:b w:val="0"/>
          <w:bCs/>
          <w:sz w:val="32"/>
          <w:szCs w:val="32"/>
          <w:highlight w:val="none"/>
          <w:lang w:val="en-US" w:eastAsia="zh-CN"/>
        </w:rPr>
        <w:t>进一步严肃财经纪律。</w:t>
      </w:r>
      <w:r>
        <w:rPr>
          <w:rFonts w:ascii="Times New Roman" w:hAnsi="Times New Roman" w:eastAsia="仿宋_GB2312" w:cs="Times New Roman"/>
          <w:b w:val="0"/>
          <w:bCs/>
          <w:sz w:val="32"/>
          <w:szCs w:val="32"/>
          <w:lang w:val="en-US" w:eastAsia="zh-CN"/>
        </w:rPr>
        <w:t>开展高标准农田建设资金和招商引资领域自查，发现问题2个，已完成整改。扎实开展预决算公开检查、民生领域政策落实情况检查、会计监督检查、全州政府采购领域突出问题专项整治行动、代理记账行业违法违规行为专项整治工作等专项监督检查，促进财会监督与其他各类监督贯通协调，形成监督合力。同时加强财政自身内控内审建设，自觉接受纪检监察、巡视巡察、审计监督，落实整改要求并保持常态长效，财政资金管理使用更加规范、廉洁、安全、有效。</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kern w:val="0"/>
          <w:sz w:val="32"/>
          <w:szCs w:val="32"/>
          <w:lang w:val="en-US" w:eastAsia="zh-CN"/>
        </w:rPr>
      </w:pPr>
      <w:r>
        <w:rPr>
          <w:rFonts w:ascii="Times New Roman" w:hAnsi="Times New Roman" w:eastAsia="仿宋_GB2312" w:cs="Times New Roman"/>
          <w:b/>
          <w:bCs/>
          <w:kern w:val="0"/>
          <w:sz w:val="32"/>
          <w:szCs w:val="32"/>
          <w:lang w:val="en-US" w:eastAsia="zh-CN"/>
        </w:rPr>
        <w:t>四是严格防范财政金融风险。</w:t>
      </w:r>
      <w:r>
        <w:rPr>
          <w:rFonts w:ascii="Times New Roman" w:hAnsi="Times New Roman" w:eastAsia="仿宋_GB2312" w:cs="Times New Roman"/>
          <w:kern w:val="0"/>
          <w:sz w:val="32"/>
          <w:szCs w:val="32"/>
          <w:lang w:val="en-US" w:eastAsia="zh-CN"/>
        </w:rPr>
        <w:t>坚持“三保”优先序列，严格落实“三保”保障范围和标准，加大财力争取和下沉力度，坚决兜牢兜实“三保”支出底线，未发生“三保”支出风险事件。有效防范化解政府债务风险，全州地方政府债务余额170亿元，2024年预计全州法定债务率42%，政府债务风险安全可控。加强国库库款统筹管理，制定《阿坝州财政局国库资金调度内部管理办法》，科学实施资金调度，从严加强库款监管，调拨县（市）库款263.1亿元，有力保障了重大资金需求，全州库款保障水平高于正常水平线。</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lang w:val="en-US" w:eastAsia="zh-CN"/>
        </w:rPr>
        <w:t>各位代表，这些成绩的取得，是州委正确领导的结果，也是全州各级各部门共同努力的结果。我们衷心感谢广大干部群众、社会各界对阿坝财政工作的关心支持和各位人大代表、政协委员的帮助指导。同时，我们也清醒地看到，前进中仍然存在一些困难和挑战：财政收入稳定增长面临较大压力，区域间财力不够均衡，财政紧平衡状态难以在短期内缓解；全过程预算绩效管理仍需加强，资金使用效益尚未充分发挥；财政资源统筹力度有待提升，财政资金使用的规范性、安全性、有效性仍需进一步提高。对此，财政部门一定加强调查研究，采取有效可行措施，努力加以解决。</w:t>
      </w:r>
    </w:p>
    <w:p>
      <w:pPr>
        <w:keepNext w:val="0"/>
        <w:keepLines w:val="0"/>
        <w:pageBreakBefore w:val="0"/>
        <w:widowControl w:val="0"/>
        <w:kinsoku/>
        <w:wordWrap/>
        <w:overflowPunct/>
        <w:topLinePunct w:val="0"/>
        <w:autoSpaceDE/>
        <w:autoSpaceDN w:val="0"/>
        <w:bidi w:val="0"/>
        <w:adjustRightInd/>
        <w:snapToGrid/>
        <w:spacing w:line="578" w:lineRule="exact"/>
        <w:ind w:left="0" w:right="136" w:rightChars="65"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三、202</w:t>
      </w:r>
      <w:r>
        <w:rPr>
          <w:rFonts w:ascii="Times New Roman" w:hAnsi="Times New Roman" w:eastAsia="黑体" w:cs="Times New Roman"/>
          <w:sz w:val="32"/>
          <w:szCs w:val="32"/>
          <w:lang w:val="en-US" w:eastAsia="zh-CN"/>
        </w:rPr>
        <w:t>5</w:t>
      </w:r>
      <w:r>
        <w:rPr>
          <w:rFonts w:ascii="Times New Roman" w:hAnsi="Times New Roman" w:eastAsia="黑体" w:cs="Times New Roman"/>
          <w:sz w:val="32"/>
          <w:szCs w:val="32"/>
        </w:rPr>
        <w:t>年财政预算草案</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2025年，预算编制指导思想：</w:t>
      </w:r>
      <w:r>
        <w:rPr>
          <w:rFonts w:ascii="Times New Roman" w:hAnsi="Times New Roman" w:eastAsia="仿宋_GB2312" w:cs="Times New Roman"/>
          <w:b w:val="0"/>
          <w:bCs/>
          <w:kern w:val="0"/>
          <w:sz w:val="32"/>
          <w:szCs w:val="32"/>
        </w:rPr>
        <w:t>坚持以习近平新时代中国特色社会主义思想为指导，全面贯彻落实党的二十大、二十届二中、三中全会和中央经济工作会议精神，坚持稳中求进工作总基调，完整、准确、全面贯彻新发展理念，积极服务和融入新发展格局，锚定建设民族地区高质量发展阿坝典范总目标，遵循“六个示范引领”发展路径，以“十个关键支撑”为总抓手，进一步全面深化改革，更好统筹发展和安全，落实更加积极有为的宏观政策，防范化解重点领域风险和外部冲击，稳定预期、激发活力，推动经济持续回升向好，不断提高人民生活水平，保持社会和谐稳定，高质量完成“十四五”规划目标任务，为实现“十五五”良好开局打牢基础。</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2025年，预算编制遵循的原则：</w:t>
      </w:r>
      <w:r>
        <w:rPr>
          <w:rFonts w:ascii="Times New Roman" w:hAnsi="Times New Roman" w:eastAsia="仿宋_GB2312" w:cs="Times New Roman"/>
          <w:b w:val="0"/>
          <w:bCs/>
          <w:kern w:val="0"/>
          <w:sz w:val="32"/>
          <w:szCs w:val="32"/>
        </w:rPr>
        <w:t>一是收入安排科学合理。坚持实事求是、科学预测，合理编制收入预算，确保财政收入增长与经济发展态势基本一致，与经济社会发展水平总体适应。二是支出安排突出重点。严格落实过紧日子要求，全力服务州委中心工作。完善财政资源统筹机制，强化重大战略任务财力保障；加强跨领域、跨部门资金整合协调，充分发挥协同效应；坚持集中安排资金，聚焦支持重大项目，坚决避免“撒胡椒面”。三是预算管理严格规范。坚守预算法定原则，严格预算约束；强化绩效管理激励约束，落实绩效评价（评估）结果应用；严肃财经纪律，严防财政资金“跑冒滴漏”。四是风险防范严守底线。加强财政运行风险整体评估、系统监测、管理联动。落实重大项目、重大政策财政承受能力评估，强化地方政府债务管理，兜牢兜实“三保”底线，确保财政平稳可持续运行。</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bCs w:val="0"/>
          <w:kern w:val="0"/>
          <w:sz w:val="32"/>
          <w:szCs w:val="32"/>
        </w:rPr>
      </w:pPr>
      <w:r>
        <w:rPr>
          <w:rFonts w:ascii="Times New Roman" w:hAnsi="Times New Roman" w:eastAsia="楷体_GB2312" w:cs="Times New Roman"/>
          <w:b/>
          <w:bCs w:val="0"/>
          <w:kern w:val="0"/>
          <w:sz w:val="32"/>
          <w:szCs w:val="32"/>
        </w:rPr>
        <w:t>（一）全州预算草案</w:t>
      </w:r>
    </w:p>
    <w:p>
      <w:pPr>
        <w:spacing w:line="576" w:lineRule="exact"/>
        <w:ind w:firstLine="64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b/>
          <w:bCs/>
          <w:kern w:val="0"/>
          <w:sz w:val="32"/>
          <w:szCs w:val="32"/>
          <w:highlight w:val="none"/>
        </w:rPr>
        <w:t>一般公共预算。</w:t>
      </w: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rPr>
        <w:t>5</w:t>
      </w:r>
      <w:r>
        <w:rPr>
          <w:rFonts w:ascii="Times New Roman" w:hAnsi="Times New Roman" w:eastAsia="仿宋_GB2312" w:cs="Times New Roman"/>
          <w:kern w:val="0"/>
          <w:sz w:val="32"/>
          <w:szCs w:val="32"/>
          <w:highlight w:val="none"/>
        </w:rPr>
        <w:t>年，全州一般公共预算收入预期</w:t>
      </w:r>
      <w:r>
        <w:rPr>
          <w:rFonts w:hint="eastAsia" w:ascii="Times New Roman" w:hAnsi="Times New Roman" w:eastAsia="仿宋_GB2312" w:cs="Times New Roman"/>
          <w:kern w:val="0"/>
          <w:sz w:val="32"/>
          <w:szCs w:val="32"/>
          <w:highlight w:val="none"/>
        </w:rPr>
        <w:t>46.2</w:t>
      </w:r>
      <w:r>
        <w:rPr>
          <w:rFonts w:ascii="Times New Roman" w:hAnsi="Times New Roman" w:eastAsia="仿宋_GB2312" w:cs="Times New Roman"/>
          <w:kern w:val="0"/>
          <w:sz w:val="32"/>
          <w:szCs w:val="32"/>
          <w:highlight w:val="none"/>
        </w:rPr>
        <w:t>亿元，同</w:t>
      </w:r>
      <w:r>
        <w:rPr>
          <w:rFonts w:hint="eastAsia" w:ascii="Times New Roman" w:hAnsi="Times New Roman" w:eastAsia="仿宋_GB2312" w:cs="Times New Roman"/>
          <w:kern w:val="0"/>
          <w:sz w:val="32"/>
          <w:szCs w:val="32"/>
          <w:highlight w:val="none"/>
        </w:rPr>
        <w:t>比</w:t>
      </w:r>
      <w:r>
        <w:rPr>
          <w:rFonts w:ascii="Times New Roman" w:hAnsi="Times New Roman" w:eastAsia="仿宋_GB2312" w:cs="Times New Roman"/>
          <w:kern w:val="0"/>
          <w:sz w:val="32"/>
          <w:szCs w:val="32"/>
          <w:highlight w:val="none"/>
        </w:rPr>
        <w:t>增长</w:t>
      </w:r>
      <w:r>
        <w:rPr>
          <w:rFonts w:hint="eastAsia" w:ascii="Times New Roman" w:hAnsi="Times New Roman" w:eastAsia="仿宋_GB2312" w:cs="Times New Roman"/>
          <w:kern w:val="0"/>
          <w:sz w:val="32"/>
          <w:szCs w:val="32"/>
          <w:highlight w:val="none"/>
        </w:rPr>
        <w:t>5.5</w:t>
      </w:r>
      <w:r>
        <w:rPr>
          <w:rFonts w:ascii="Times New Roman" w:hAnsi="Times New Roman" w:eastAsia="仿宋_GB2312" w:cs="Times New Roman"/>
          <w:kern w:val="0"/>
          <w:sz w:val="32"/>
          <w:szCs w:val="32"/>
          <w:highlight w:val="none"/>
        </w:rPr>
        <w:t>%。加上转移性收入、上年结转收入、动用预算稳定调节基金、调入资金等</w:t>
      </w:r>
      <w:r>
        <w:rPr>
          <w:rFonts w:hint="eastAsia" w:ascii="Times New Roman" w:hAnsi="Times New Roman" w:eastAsia="仿宋_GB2312" w:cs="Times New Roman"/>
          <w:kern w:val="0"/>
          <w:sz w:val="32"/>
          <w:szCs w:val="32"/>
          <w:highlight w:val="none"/>
        </w:rPr>
        <w:t>161.3</w:t>
      </w:r>
      <w:r>
        <w:rPr>
          <w:rFonts w:ascii="Times New Roman" w:hAnsi="Times New Roman" w:eastAsia="仿宋_GB2312" w:cs="Times New Roman"/>
          <w:kern w:val="0"/>
          <w:sz w:val="32"/>
          <w:szCs w:val="32"/>
          <w:highlight w:val="none"/>
        </w:rPr>
        <w:t>亿元，收入总量为</w:t>
      </w:r>
      <w:r>
        <w:rPr>
          <w:rFonts w:hint="eastAsia" w:ascii="Times New Roman" w:hAnsi="Times New Roman" w:eastAsia="仿宋_GB2312" w:cs="Times New Roman"/>
          <w:kern w:val="0"/>
          <w:sz w:val="32"/>
          <w:szCs w:val="32"/>
          <w:highlight w:val="none"/>
        </w:rPr>
        <w:t>207.5</w:t>
      </w:r>
      <w:r>
        <w:rPr>
          <w:rFonts w:ascii="Times New Roman" w:hAnsi="Times New Roman" w:eastAsia="仿宋_GB2312" w:cs="Times New Roman"/>
          <w:kern w:val="0"/>
          <w:sz w:val="32"/>
          <w:szCs w:val="32"/>
          <w:highlight w:val="none"/>
        </w:rPr>
        <w:t>亿元。全州一般公共预算支出</w:t>
      </w:r>
      <w:r>
        <w:rPr>
          <w:rFonts w:hint="eastAsia" w:ascii="Times New Roman" w:hAnsi="Times New Roman" w:eastAsia="仿宋_GB2312" w:cs="Times New Roman"/>
          <w:kern w:val="0"/>
          <w:sz w:val="32"/>
          <w:szCs w:val="32"/>
          <w:highlight w:val="none"/>
        </w:rPr>
        <w:t>202.1</w:t>
      </w:r>
      <w:r>
        <w:rPr>
          <w:rFonts w:ascii="Times New Roman" w:hAnsi="Times New Roman" w:eastAsia="仿宋_GB2312" w:cs="Times New Roman"/>
          <w:kern w:val="0"/>
          <w:sz w:val="32"/>
          <w:szCs w:val="32"/>
          <w:highlight w:val="none"/>
        </w:rPr>
        <w:t>亿元，加上上解上级支出、地方政府一般债务还本支出等</w:t>
      </w:r>
      <w:r>
        <w:rPr>
          <w:rFonts w:hint="eastAsia" w:ascii="Times New Roman" w:hAnsi="Times New Roman" w:eastAsia="仿宋_GB2312" w:cs="Times New Roman"/>
          <w:kern w:val="0"/>
          <w:sz w:val="32"/>
          <w:szCs w:val="32"/>
          <w:highlight w:val="none"/>
        </w:rPr>
        <w:t>5.4</w:t>
      </w:r>
      <w:r>
        <w:rPr>
          <w:rFonts w:ascii="Times New Roman" w:hAnsi="Times New Roman" w:eastAsia="仿宋_GB2312" w:cs="Times New Roman"/>
          <w:kern w:val="0"/>
          <w:sz w:val="32"/>
          <w:szCs w:val="32"/>
          <w:highlight w:val="none"/>
        </w:rPr>
        <w:t>亿元，支出总量为</w:t>
      </w:r>
      <w:r>
        <w:rPr>
          <w:rFonts w:hint="eastAsia" w:ascii="Times New Roman" w:hAnsi="Times New Roman" w:eastAsia="仿宋_GB2312" w:cs="Times New Roman"/>
          <w:kern w:val="0"/>
          <w:sz w:val="32"/>
          <w:szCs w:val="32"/>
          <w:highlight w:val="none"/>
        </w:rPr>
        <w:t>207.5</w:t>
      </w:r>
      <w:r>
        <w:rPr>
          <w:rFonts w:ascii="Times New Roman" w:hAnsi="Times New Roman" w:eastAsia="仿宋_GB2312" w:cs="Times New Roman"/>
          <w:kern w:val="0"/>
          <w:sz w:val="32"/>
          <w:szCs w:val="32"/>
          <w:highlight w:val="none"/>
        </w:rPr>
        <w:t>亿元。全州一般公共预算收支平衡。</w:t>
      </w:r>
    </w:p>
    <w:p>
      <w:pPr>
        <w:spacing w:line="576" w:lineRule="exact"/>
        <w:ind w:firstLine="64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b/>
          <w:bCs/>
          <w:kern w:val="0"/>
          <w:sz w:val="32"/>
          <w:szCs w:val="32"/>
          <w:highlight w:val="none"/>
        </w:rPr>
        <w:t>政府性基金预算。</w:t>
      </w: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rPr>
        <w:t>5</w:t>
      </w:r>
      <w:r>
        <w:rPr>
          <w:rFonts w:ascii="Times New Roman" w:hAnsi="Times New Roman" w:eastAsia="仿宋_GB2312" w:cs="Times New Roman"/>
          <w:kern w:val="0"/>
          <w:sz w:val="32"/>
          <w:szCs w:val="32"/>
          <w:highlight w:val="none"/>
        </w:rPr>
        <w:t>年，全州政府性基金预算收入预期</w:t>
      </w:r>
      <w:r>
        <w:rPr>
          <w:rFonts w:hint="eastAsia" w:ascii="Times New Roman" w:hAnsi="Times New Roman" w:eastAsia="仿宋_GB2312" w:cs="Times New Roman"/>
          <w:kern w:val="0"/>
          <w:sz w:val="32"/>
          <w:szCs w:val="32"/>
          <w:highlight w:val="none"/>
        </w:rPr>
        <w:t>11.6</w:t>
      </w:r>
      <w:r>
        <w:rPr>
          <w:rFonts w:ascii="Times New Roman" w:hAnsi="Times New Roman" w:eastAsia="仿宋_GB2312" w:cs="Times New Roman"/>
          <w:kern w:val="0"/>
          <w:sz w:val="32"/>
          <w:szCs w:val="32"/>
          <w:highlight w:val="none"/>
        </w:rPr>
        <w:t>亿元。加上上年结余等转移性收入</w:t>
      </w:r>
      <w:r>
        <w:rPr>
          <w:rFonts w:hint="eastAsia" w:ascii="Times New Roman" w:hAnsi="Times New Roman" w:eastAsia="仿宋_GB2312" w:cs="Times New Roman"/>
          <w:kern w:val="0"/>
          <w:sz w:val="32"/>
          <w:szCs w:val="32"/>
          <w:highlight w:val="none"/>
        </w:rPr>
        <w:t>4.5</w:t>
      </w:r>
      <w:r>
        <w:rPr>
          <w:rFonts w:ascii="Times New Roman" w:hAnsi="Times New Roman" w:eastAsia="仿宋_GB2312" w:cs="Times New Roman"/>
          <w:kern w:val="0"/>
          <w:sz w:val="32"/>
          <w:szCs w:val="32"/>
          <w:highlight w:val="none"/>
        </w:rPr>
        <w:t>亿元，收入总量为</w:t>
      </w:r>
      <w:r>
        <w:rPr>
          <w:rFonts w:hint="eastAsia" w:ascii="Times New Roman" w:hAnsi="Times New Roman" w:eastAsia="仿宋_GB2312" w:cs="Times New Roman"/>
          <w:kern w:val="0"/>
          <w:sz w:val="32"/>
          <w:szCs w:val="32"/>
          <w:highlight w:val="none"/>
        </w:rPr>
        <w:t>16.1</w:t>
      </w:r>
      <w:r>
        <w:rPr>
          <w:rFonts w:ascii="Times New Roman" w:hAnsi="Times New Roman" w:eastAsia="仿宋_GB2312" w:cs="Times New Roman"/>
          <w:kern w:val="0"/>
          <w:sz w:val="32"/>
          <w:szCs w:val="32"/>
          <w:highlight w:val="none"/>
        </w:rPr>
        <w:t>亿元。全州政府性基金预算支出</w:t>
      </w:r>
      <w:r>
        <w:rPr>
          <w:rFonts w:hint="eastAsia" w:ascii="Times New Roman" w:hAnsi="Times New Roman" w:eastAsia="仿宋_GB2312" w:cs="Times New Roman"/>
          <w:kern w:val="0"/>
          <w:sz w:val="32"/>
          <w:szCs w:val="32"/>
          <w:highlight w:val="none"/>
        </w:rPr>
        <w:t>4.1</w:t>
      </w:r>
      <w:r>
        <w:rPr>
          <w:rFonts w:ascii="Times New Roman" w:hAnsi="Times New Roman" w:eastAsia="仿宋_GB2312" w:cs="Times New Roman"/>
          <w:kern w:val="0"/>
          <w:sz w:val="32"/>
          <w:szCs w:val="32"/>
          <w:highlight w:val="none"/>
        </w:rPr>
        <w:t>亿元，加上调出资金、地方政府专项债务还本支出、结转下年支出</w:t>
      </w:r>
      <w:r>
        <w:rPr>
          <w:rFonts w:hint="eastAsia" w:ascii="Times New Roman" w:hAnsi="Times New Roman" w:eastAsia="仿宋_GB2312" w:cs="Times New Roman"/>
          <w:kern w:val="0"/>
          <w:sz w:val="32"/>
          <w:szCs w:val="32"/>
          <w:highlight w:val="none"/>
        </w:rPr>
        <w:t>等12</w:t>
      </w:r>
      <w:r>
        <w:rPr>
          <w:rFonts w:ascii="Times New Roman" w:hAnsi="Times New Roman" w:eastAsia="仿宋_GB2312" w:cs="Times New Roman"/>
          <w:kern w:val="0"/>
          <w:sz w:val="32"/>
          <w:szCs w:val="32"/>
          <w:highlight w:val="none"/>
        </w:rPr>
        <w:t>亿元，支出总量为</w:t>
      </w:r>
      <w:r>
        <w:rPr>
          <w:rFonts w:hint="eastAsia" w:ascii="Times New Roman" w:hAnsi="Times New Roman" w:eastAsia="仿宋_GB2312" w:cs="Times New Roman"/>
          <w:kern w:val="0"/>
          <w:sz w:val="32"/>
          <w:szCs w:val="32"/>
          <w:highlight w:val="none"/>
        </w:rPr>
        <w:t>16.1</w:t>
      </w:r>
      <w:r>
        <w:rPr>
          <w:rFonts w:ascii="Times New Roman" w:hAnsi="Times New Roman" w:eastAsia="仿宋_GB2312" w:cs="Times New Roman"/>
          <w:kern w:val="0"/>
          <w:sz w:val="32"/>
          <w:szCs w:val="32"/>
          <w:highlight w:val="none"/>
        </w:rPr>
        <w:t>亿元。全州政府性基金预算收支平衡。</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国有资本经营预算。</w:t>
      </w:r>
      <w:r>
        <w:rPr>
          <w:rFonts w:ascii="Times New Roman" w:hAnsi="Times New Roman" w:eastAsia="仿宋_GB2312" w:cs="Times New Roman"/>
          <w:b w:val="0"/>
          <w:bCs/>
          <w:kern w:val="0"/>
          <w:sz w:val="32"/>
          <w:szCs w:val="32"/>
        </w:rPr>
        <w:t>2025年，全州国有资本经营预算收入预期1.97亿元，加上上年结转收入761万元，收入总量为2.04亿元。全州国有资本经营预算支出200万元，加上调入一般公共预算2.02亿元，支出总量为2.04亿元。全州国有资本经营预算收支平衡。</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社会保险基金预算。</w:t>
      </w:r>
      <w:r>
        <w:rPr>
          <w:rFonts w:ascii="Times New Roman" w:hAnsi="Times New Roman" w:eastAsia="仿宋_GB2312" w:cs="Times New Roman"/>
          <w:b w:val="0"/>
          <w:bCs/>
          <w:kern w:val="0"/>
          <w:sz w:val="32"/>
          <w:szCs w:val="32"/>
        </w:rPr>
        <w:t>2025年，全州社会保险基金预算收入预期3.5亿元，加上上年结余等转移性收入10.4亿元，收入总量为13.9亿元。社会保险基金支出安排2.3亿元。收入总量减去支出总量后，年终结余11.6亿元。</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bCs w:val="0"/>
          <w:kern w:val="0"/>
          <w:sz w:val="32"/>
          <w:szCs w:val="32"/>
        </w:rPr>
      </w:pPr>
      <w:r>
        <w:rPr>
          <w:rFonts w:ascii="Times New Roman" w:hAnsi="Times New Roman" w:eastAsia="楷体_GB2312" w:cs="Times New Roman"/>
          <w:b/>
          <w:bCs w:val="0"/>
          <w:kern w:val="0"/>
          <w:sz w:val="32"/>
          <w:szCs w:val="32"/>
        </w:rPr>
        <w:t>（二）州级预算草案</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highlight w:val="none"/>
        </w:rPr>
      </w:pPr>
      <w:r>
        <w:rPr>
          <w:rFonts w:ascii="Times New Roman" w:hAnsi="Times New Roman" w:eastAsia="仿宋_GB2312" w:cs="Times New Roman"/>
          <w:b/>
          <w:bCs w:val="0"/>
          <w:kern w:val="0"/>
          <w:sz w:val="32"/>
          <w:szCs w:val="32"/>
          <w:highlight w:val="none"/>
        </w:rPr>
        <w:t>一般公共预算。</w:t>
      </w:r>
      <w:r>
        <w:rPr>
          <w:rFonts w:ascii="Times New Roman" w:hAnsi="Times New Roman" w:eastAsia="仿宋_GB2312" w:cs="Times New Roman"/>
          <w:b w:val="0"/>
          <w:bCs/>
          <w:kern w:val="0"/>
          <w:sz w:val="32"/>
          <w:szCs w:val="32"/>
          <w:highlight w:val="none"/>
        </w:rPr>
        <w:t>2025年，州级一般公共预算收入预期16.8亿元，同比增长10.6%。加上转移性收入、下级上解收入、上年结转收入、动用预算稳定调节基金、调入资金等</w:t>
      </w:r>
      <w:r>
        <w:rPr>
          <w:rFonts w:hint="eastAsia" w:ascii="Times New Roman" w:hAnsi="Times New Roman" w:eastAsia="仿宋_GB2312" w:cs="Times New Roman"/>
          <w:kern w:val="0"/>
          <w:sz w:val="32"/>
          <w:szCs w:val="32"/>
          <w:highlight w:val="none"/>
        </w:rPr>
        <w:t>153.4</w:t>
      </w:r>
      <w:r>
        <w:rPr>
          <w:rFonts w:ascii="Times New Roman" w:hAnsi="Times New Roman" w:eastAsia="仿宋_GB2312" w:cs="Times New Roman"/>
          <w:b w:val="0"/>
          <w:bCs/>
          <w:kern w:val="0"/>
          <w:sz w:val="32"/>
          <w:szCs w:val="32"/>
          <w:highlight w:val="none"/>
        </w:rPr>
        <w:t>亿元，收入总量为</w:t>
      </w:r>
      <w:r>
        <w:rPr>
          <w:rFonts w:hint="eastAsia" w:ascii="Times New Roman" w:hAnsi="Times New Roman" w:eastAsia="仿宋_GB2312" w:cs="Times New Roman"/>
          <w:kern w:val="0"/>
          <w:sz w:val="32"/>
          <w:szCs w:val="32"/>
          <w:highlight w:val="none"/>
        </w:rPr>
        <w:t>170.2</w:t>
      </w:r>
      <w:r>
        <w:rPr>
          <w:rFonts w:ascii="Times New Roman" w:hAnsi="Times New Roman" w:eastAsia="仿宋_GB2312" w:cs="Times New Roman"/>
          <w:b w:val="0"/>
          <w:bCs/>
          <w:kern w:val="0"/>
          <w:sz w:val="32"/>
          <w:szCs w:val="32"/>
          <w:highlight w:val="none"/>
        </w:rPr>
        <w:t>亿元。州级一般公共预算支出55.5亿元，加上转移性支出、上解上级支出、地方政府一般债务还本支出等114亿元，支出总量为</w:t>
      </w:r>
      <w:r>
        <w:rPr>
          <w:rFonts w:hint="eastAsia" w:ascii="Times New Roman" w:hAnsi="Times New Roman" w:eastAsia="仿宋_GB2312" w:cs="Times New Roman"/>
          <w:kern w:val="0"/>
          <w:sz w:val="32"/>
          <w:szCs w:val="32"/>
          <w:highlight w:val="none"/>
        </w:rPr>
        <w:t>170.2</w:t>
      </w:r>
      <w:r>
        <w:rPr>
          <w:rFonts w:ascii="Times New Roman" w:hAnsi="Times New Roman" w:eastAsia="仿宋_GB2312" w:cs="Times New Roman"/>
          <w:b w:val="0"/>
          <w:bCs/>
          <w:kern w:val="0"/>
          <w:sz w:val="32"/>
          <w:szCs w:val="32"/>
          <w:highlight w:val="none"/>
        </w:rPr>
        <w:t>亿元。州级一般公共预算收支平衡。</w:t>
      </w:r>
    </w:p>
    <w:p>
      <w:pPr>
        <w:spacing w:line="576" w:lineRule="exact"/>
        <w:ind w:firstLine="64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b/>
          <w:bCs/>
          <w:kern w:val="0"/>
          <w:sz w:val="32"/>
          <w:szCs w:val="32"/>
          <w:highlight w:val="none"/>
        </w:rPr>
        <w:t>政府性基金预算。</w:t>
      </w: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rPr>
        <w:t>5</w:t>
      </w:r>
      <w:r>
        <w:rPr>
          <w:rFonts w:ascii="Times New Roman" w:hAnsi="Times New Roman" w:eastAsia="仿宋_GB2312" w:cs="Times New Roman"/>
          <w:kern w:val="0"/>
          <w:sz w:val="32"/>
          <w:szCs w:val="32"/>
          <w:highlight w:val="none"/>
        </w:rPr>
        <w:t>年，州级政府性基金预算收入预期</w:t>
      </w:r>
      <w:r>
        <w:rPr>
          <w:rFonts w:hint="eastAsia" w:ascii="Times New Roman" w:hAnsi="Times New Roman" w:eastAsia="仿宋_GB2312" w:cs="Times New Roman"/>
          <w:kern w:val="0"/>
          <w:sz w:val="32"/>
          <w:szCs w:val="32"/>
          <w:highlight w:val="none"/>
        </w:rPr>
        <w:t>9.5</w:t>
      </w:r>
      <w:r>
        <w:rPr>
          <w:rFonts w:ascii="Times New Roman" w:hAnsi="Times New Roman" w:eastAsia="仿宋_GB2312" w:cs="Times New Roman"/>
          <w:kern w:val="0"/>
          <w:sz w:val="32"/>
          <w:szCs w:val="32"/>
          <w:highlight w:val="none"/>
        </w:rPr>
        <w:t>亿元，加上上年结余0.</w:t>
      </w:r>
      <w:r>
        <w:rPr>
          <w:rFonts w:hint="eastAsia" w:ascii="Times New Roman" w:hAnsi="Times New Roman" w:eastAsia="仿宋_GB2312" w:cs="Times New Roman"/>
          <w:kern w:val="0"/>
          <w:sz w:val="32"/>
          <w:szCs w:val="32"/>
          <w:highlight w:val="none"/>
        </w:rPr>
        <w:t>8</w:t>
      </w:r>
      <w:r>
        <w:rPr>
          <w:rFonts w:ascii="Times New Roman" w:hAnsi="Times New Roman" w:eastAsia="仿宋_GB2312" w:cs="Times New Roman"/>
          <w:kern w:val="0"/>
          <w:sz w:val="32"/>
          <w:szCs w:val="32"/>
          <w:highlight w:val="none"/>
        </w:rPr>
        <w:t>亿元，收入总量为</w:t>
      </w:r>
      <w:r>
        <w:rPr>
          <w:rFonts w:hint="eastAsia" w:ascii="Times New Roman" w:hAnsi="Times New Roman" w:eastAsia="仿宋_GB2312" w:cs="Times New Roman"/>
          <w:kern w:val="0"/>
          <w:sz w:val="32"/>
          <w:szCs w:val="32"/>
          <w:highlight w:val="none"/>
        </w:rPr>
        <w:t>10.3</w:t>
      </w:r>
      <w:r>
        <w:rPr>
          <w:rFonts w:ascii="Times New Roman" w:hAnsi="Times New Roman" w:eastAsia="仿宋_GB2312" w:cs="Times New Roman"/>
          <w:kern w:val="0"/>
          <w:sz w:val="32"/>
          <w:szCs w:val="32"/>
          <w:highlight w:val="none"/>
        </w:rPr>
        <w:t>亿元。州级政府性基金预算支出1.3亿元，加上调出资金、结转下年支出</w:t>
      </w:r>
      <w:r>
        <w:rPr>
          <w:rFonts w:hint="eastAsia" w:ascii="Times New Roman" w:hAnsi="Times New Roman" w:eastAsia="仿宋_GB2312" w:cs="Times New Roman"/>
          <w:kern w:val="0"/>
          <w:sz w:val="32"/>
          <w:szCs w:val="32"/>
          <w:highlight w:val="none"/>
        </w:rPr>
        <w:t>等9亿</w:t>
      </w:r>
      <w:r>
        <w:rPr>
          <w:rFonts w:ascii="Times New Roman" w:hAnsi="Times New Roman" w:eastAsia="仿宋_GB2312" w:cs="Times New Roman"/>
          <w:kern w:val="0"/>
          <w:sz w:val="32"/>
          <w:szCs w:val="32"/>
          <w:highlight w:val="none"/>
        </w:rPr>
        <w:t>元，支出总量为</w:t>
      </w:r>
      <w:r>
        <w:rPr>
          <w:rFonts w:hint="eastAsia" w:ascii="Times New Roman" w:hAnsi="Times New Roman" w:eastAsia="仿宋_GB2312" w:cs="Times New Roman"/>
          <w:kern w:val="0"/>
          <w:sz w:val="32"/>
          <w:szCs w:val="32"/>
          <w:highlight w:val="none"/>
        </w:rPr>
        <w:t>10.3</w:t>
      </w:r>
      <w:r>
        <w:rPr>
          <w:rFonts w:ascii="Times New Roman" w:hAnsi="Times New Roman" w:eastAsia="仿宋_GB2312" w:cs="Times New Roman"/>
          <w:kern w:val="0"/>
          <w:sz w:val="32"/>
          <w:szCs w:val="32"/>
          <w:highlight w:val="none"/>
        </w:rPr>
        <w:t>亿元。州级政府性基金预算收支平衡。</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国有资本经营预算。</w:t>
      </w:r>
      <w:r>
        <w:rPr>
          <w:rFonts w:ascii="Times New Roman" w:hAnsi="Times New Roman" w:eastAsia="仿宋_GB2312" w:cs="Times New Roman"/>
          <w:b w:val="0"/>
          <w:bCs/>
          <w:kern w:val="0"/>
          <w:sz w:val="32"/>
          <w:szCs w:val="32"/>
        </w:rPr>
        <w:t>2025年，州级国有资本经营预算收入预期1.33亿元。加上上年结转收入757万元，收入总量为1.41亿元。州级支出180万元，加上转移性支出、调入一般公共预算等1.39亿元，支出总量为1.41亿元。州级国有资本经营预算收支平衡。</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社会保险基金预算。</w:t>
      </w:r>
      <w:r>
        <w:rPr>
          <w:rFonts w:ascii="Times New Roman" w:hAnsi="Times New Roman" w:eastAsia="仿宋_GB2312" w:cs="Times New Roman"/>
          <w:b w:val="0"/>
          <w:bCs/>
          <w:kern w:val="0"/>
          <w:sz w:val="32"/>
          <w:szCs w:val="32"/>
        </w:rPr>
        <w:t>县（市）社会保险基金全部由上级统筹，州级社会保险基金预算与全州一致。</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bCs w:val="0"/>
          <w:kern w:val="0"/>
          <w:sz w:val="32"/>
          <w:szCs w:val="32"/>
        </w:rPr>
      </w:pPr>
      <w:r>
        <w:rPr>
          <w:rFonts w:ascii="Times New Roman" w:hAnsi="Times New Roman" w:eastAsia="楷体_GB2312" w:cs="Times New Roman"/>
          <w:b/>
          <w:bCs w:val="0"/>
          <w:kern w:val="0"/>
          <w:sz w:val="32"/>
          <w:szCs w:val="32"/>
        </w:rPr>
        <w:t>（三）2025年预算安排重点</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bCs w:val="0"/>
          <w:kern w:val="0"/>
          <w:sz w:val="32"/>
          <w:szCs w:val="32"/>
        </w:rPr>
      </w:pPr>
      <w:r>
        <w:rPr>
          <w:rFonts w:ascii="Times New Roman" w:hAnsi="Times New Roman" w:eastAsia="仿宋_GB2312" w:cs="Times New Roman"/>
          <w:b/>
          <w:bCs w:val="0"/>
          <w:kern w:val="0"/>
          <w:sz w:val="32"/>
          <w:szCs w:val="32"/>
        </w:rPr>
        <w:t>1.支持构筑生态屏障，打通“两山”转化通道。</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一是强化生态保护与修复。</w:t>
      </w:r>
      <w:r>
        <w:rPr>
          <w:rFonts w:ascii="Times New Roman" w:hAnsi="Times New Roman" w:eastAsia="仿宋_GB2312" w:cs="Times New Roman"/>
          <w:b w:val="0"/>
          <w:bCs/>
          <w:kern w:val="0"/>
          <w:sz w:val="32"/>
          <w:szCs w:val="32"/>
        </w:rPr>
        <w:t>安排资金1.3亿元，加大生态系统保护力度，实施山水林田湖草沙一体化保护和修复工程，提升生态系统质量和稳定性。主要用于：林业、草原、湿地保护和修复、野生动植物保护和补偿资金，促进生态环境保护和可持续发展；安排生态环境保护督察专项资金，支持做好生态环境保护工作的监督检查；安排污染防治攻坚战专项资金，支持开展固体废物检查和排污许可证执行情况督导检查、监督考核；全力保障环境执法应急监测相关工作经费，确保环保法规得到有效执行。</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二是促进绿色产业融合发展。</w:t>
      </w:r>
      <w:r>
        <w:rPr>
          <w:rFonts w:ascii="Times New Roman" w:hAnsi="Times New Roman" w:eastAsia="仿宋_GB2312" w:cs="Times New Roman"/>
          <w:b w:val="0"/>
          <w:bCs/>
          <w:kern w:val="0"/>
          <w:sz w:val="32"/>
          <w:szCs w:val="32"/>
        </w:rPr>
        <w:t>安排资金4.5亿元，支持发展生态旅游、绿色农业、清洁能源等绿色产业，将生态优势转化为经济优势，实现生态效益与经济效益的双赢。主要用于：旅游发展专项资金，助力国际生态文化旅游目的地和九寨沟—黄龙世界级旅游景区建设；支持人工种草面积、提升饲草储备能力以及提高牦牛出栏等补贴措施，全面推动绿色产业发展。</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bCs w:val="0"/>
          <w:kern w:val="0"/>
          <w:sz w:val="32"/>
          <w:szCs w:val="32"/>
        </w:rPr>
      </w:pPr>
      <w:r>
        <w:rPr>
          <w:rFonts w:ascii="Times New Roman" w:hAnsi="Times New Roman" w:eastAsia="仿宋_GB2312" w:cs="Times New Roman"/>
          <w:b/>
          <w:bCs w:val="0"/>
          <w:kern w:val="0"/>
          <w:sz w:val="32"/>
          <w:szCs w:val="32"/>
        </w:rPr>
        <w:t>2.支持壮大实体经济，加快构建现代化产业体系。</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一是支持产业结构调整升级。</w:t>
      </w:r>
      <w:r>
        <w:rPr>
          <w:rFonts w:ascii="Times New Roman" w:hAnsi="Times New Roman" w:eastAsia="仿宋_GB2312" w:cs="Times New Roman"/>
          <w:b w:val="0"/>
          <w:bCs/>
          <w:kern w:val="0"/>
          <w:sz w:val="32"/>
          <w:szCs w:val="32"/>
        </w:rPr>
        <w:t>安排资金1.4亿元，通过政策引导、技术创新和市场机制，促进传统产业转型升级，培育新兴产业，优化产业结构布局，为实体经济注入新活力。主要用于：支持建筑业高质量发展及房地产市场平稳健康发展、发放消费券，进一步扩大内需；推动新型工业化发展，支持工业园区建设培育，促进产业转型升级，优化产业布局；支持道地中药材科技产业发展、林草产业经营技术研究与示范，为林草产业的转型升级提供有力支撑。</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二是激发服务业创新发展活力。</w:t>
      </w:r>
      <w:r>
        <w:rPr>
          <w:rFonts w:ascii="Times New Roman" w:hAnsi="Times New Roman" w:eastAsia="仿宋_GB2312" w:cs="Times New Roman"/>
          <w:b w:val="0"/>
          <w:bCs/>
          <w:kern w:val="0"/>
          <w:sz w:val="32"/>
          <w:szCs w:val="32"/>
        </w:rPr>
        <w:t>安排资金1.2亿元，支持推动服务业与其他产业的深度融合，助力提高经济发展的质效。主要用于：助力安全生产，着力强化安全生产预警、救援体系、监管执法能力及安全社区建设提升；支持人才培养与引进，开展行业培训；支持州级储备粮油仓库维修、农资价格及储备补贴，服务业电商发展及市场秩序维护等。</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三是加强交通基础设施建设。</w:t>
      </w:r>
      <w:r>
        <w:rPr>
          <w:rFonts w:ascii="Times New Roman" w:hAnsi="Times New Roman" w:eastAsia="仿宋_GB2312" w:cs="Times New Roman"/>
          <w:b w:val="0"/>
          <w:bCs/>
          <w:kern w:val="0"/>
          <w:sz w:val="32"/>
          <w:szCs w:val="32"/>
        </w:rPr>
        <w:t>安排资金5.2亿元，优化交通网络布局、提升交通服务水平等措施，打造高效、便捷、安全的综合交通体系，为实体经济发展提供有力的交通保障和支撑。主要用于：支持农村公路路面养护和路基维修、桥涵养护、交通安全设施维护；支持辖区内公路路线规划及探测、路基工程、公路改造升级、交通行业安全检查、打非治违扫黑除恶及运输市场综合整治、高速公路专班高效运转等。</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bCs w:val="0"/>
          <w:kern w:val="0"/>
          <w:sz w:val="32"/>
          <w:szCs w:val="32"/>
        </w:rPr>
      </w:pPr>
      <w:r>
        <w:rPr>
          <w:rFonts w:ascii="Times New Roman" w:hAnsi="Times New Roman" w:eastAsia="仿宋_GB2312" w:cs="Times New Roman"/>
          <w:b/>
          <w:bCs w:val="0"/>
          <w:kern w:val="0"/>
          <w:sz w:val="32"/>
          <w:szCs w:val="32"/>
        </w:rPr>
        <w:t>3.支持乡村全面振兴，推动城乡融合协调发展。</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一是强化乡村产业振兴。</w:t>
      </w:r>
      <w:r>
        <w:rPr>
          <w:rFonts w:ascii="Times New Roman" w:hAnsi="Times New Roman" w:eastAsia="仿宋_GB2312" w:cs="Times New Roman"/>
          <w:b w:val="0"/>
          <w:bCs/>
          <w:kern w:val="0"/>
          <w:sz w:val="32"/>
          <w:szCs w:val="32"/>
        </w:rPr>
        <w:t>安排资金4.6亿元，推动农业产业转型升级，发展现代农业、特色种植养殖、乡村旅游、农村电商等多元化产业形态。主要用于：支持</w:t>
      </w:r>
      <w:r>
        <w:rPr>
          <w:rFonts w:hint="eastAsia" w:ascii="Times New Roman" w:hAnsi="Times New Roman" w:eastAsia="仿宋_GB2312" w:cs="Times New Roman"/>
          <w:b w:val="0"/>
          <w:bCs/>
          <w:kern w:val="0"/>
          <w:sz w:val="32"/>
          <w:szCs w:val="32"/>
          <w:lang w:eastAsia="zh-CN"/>
        </w:rPr>
        <w:t>巩固拓展脱贫攻坚成果同乡村振兴有效衔接</w:t>
      </w:r>
      <w:r>
        <w:rPr>
          <w:rFonts w:ascii="Times New Roman" w:hAnsi="Times New Roman" w:eastAsia="仿宋_GB2312" w:cs="Times New Roman"/>
          <w:b w:val="0"/>
          <w:bCs/>
          <w:kern w:val="0"/>
          <w:sz w:val="32"/>
          <w:szCs w:val="32"/>
        </w:rPr>
        <w:t>，支持现代农牧业高质量发展，提高农牧业生产效率和产品质量；支持争创省级星级农业园区，提升园区综合竞争力；扶持村集体经济、支持参加四川农博会，增强村集体经济实力，拓展市场渠道；支持农业产业化项目银行贷款财政贴息，鼓励更多社会资本投入农业领域；支持农业生产“三品一标”提升、农产品质量安全检测，加强品牌培育和保护，做强地区农业品牌。</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二是支持改善乡镇基础设施。</w:t>
      </w:r>
      <w:r>
        <w:rPr>
          <w:rFonts w:ascii="Times New Roman" w:hAnsi="Times New Roman" w:eastAsia="仿宋_GB2312" w:cs="Times New Roman"/>
          <w:b w:val="0"/>
          <w:bCs/>
          <w:kern w:val="0"/>
          <w:sz w:val="32"/>
          <w:szCs w:val="32"/>
        </w:rPr>
        <w:t>安排资金1.1亿元，支持全面提升乡镇基础设施水平，提升乡村居民生活品质，缩小城乡基础设施差距，促进城乡基本公共服务均等化。主要用于：支持开展州级河湖健康评价、编制重要河流“一河一策”报告，促进水资源合理利用和可持续发展；支持高标准农田建设，夯实国家粮食安全基础；支持深化城乡环境综合治理，巩固提升城乡生产环境、生态环境和人居环境。</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bCs w:val="0"/>
          <w:kern w:val="0"/>
          <w:sz w:val="32"/>
          <w:szCs w:val="32"/>
        </w:rPr>
      </w:pPr>
      <w:r>
        <w:rPr>
          <w:rFonts w:ascii="Times New Roman" w:hAnsi="Times New Roman" w:eastAsia="仿宋_GB2312" w:cs="Times New Roman"/>
          <w:b/>
          <w:bCs w:val="0"/>
          <w:kern w:val="0"/>
          <w:sz w:val="32"/>
          <w:szCs w:val="32"/>
        </w:rPr>
        <w:t>4.支持增进民生福祉，守住兜牢民生底线。</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一是提升教育质量促进公平。</w:t>
      </w:r>
      <w:r>
        <w:rPr>
          <w:rFonts w:ascii="Times New Roman" w:hAnsi="Times New Roman" w:eastAsia="仿宋_GB2312" w:cs="Times New Roman"/>
          <w:b w:val="0"/>
          <w:bCs/>
          <w:kern w:val="0"/>
          <w:sz w:val="32"/>
          <w:szCs w:val="32"/>
        </w:rPr>
        <w:t>安排资金3.8亿元，推动教育资源均衡配置，加大重点地区教育的投入，缩小城乡、区域、校际间的教育差距。主要用于：支持中小学教育信息化和校园改造建设；支持推进十五年免费教育，全面落实学前“一免一补”、义教“三免两补”、普通高中“两免一助”等惠民政策；支持高考综合改革，进一步提高普通高中经费补助水平。</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二是进一步完善社会保障体系。</w:t>
      </w:r>
      <w:r>
        <w:rPr>
          <w:rFonts w:ascii="Times New Roman" w:hAnsi="Times New Roman" w:eastAsia="仿宋_GB2312" w:cs="Times New Roman"/>
          <w:b w:val="0"/>
          <w:bCs/>
          <w:kern w:val="0"/>
          <w:sz w:val="32"/>
          <w:szCs w:val="32"/>
        </w:rPr>
        <w:t>安排资金6.6亿元，健全覆盖全民、统筹城乡、公平统一、安全规范、可持续的多层次保障体系。主要用于：落实养老服务体系建设、高龄津贴等财政保障责任，完善残疾人社会保障制度和关爱服务体系；提高城乡居民最低生活保障标准，健全社会救助、社会福利、优抚安置制度；安排城乡居民基本养老保险和基本医疗保险等政府补助；安排州属林业企业离退人员统筹外费用，确保相关人员生活困难补助和社保费用及时到位。</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三是强化公共卫生体系。</w:t>
      </w:r>
      <w:r>
        <w:rPr>
          <w:rFonts w:ascii="Times New Roman" w:hAnsi="Times New Roman" w:eastAsia="仿宋_GB2312" w:cs="Times New Roman"/>
          <w:b w:val="0"/>
          <w:bCs/>
          <w:kern w:val="0"/>
          <w:sz w:val="32"/>
          <w:szCs w:val="32"/>
        </w:rPr>
        <w:t>安排资金8.1亿元，加大对医疗卫生事业的投入力度，提高应对突发公共卫生事件的能力，推动建立更加公平、高效、可持续的医疗卫生制度。主要用于：强化公共卫生服务投入，支持城乡居民住院分娩，开展艾滋病防治、妇女两癌筛查，筑牢公共卫生安全防线；安排卫生改革专项资金，支持公立医院建设，促进医疗机构提档升级，打造高水平临床重点专科；安排计划生育奖励扶助、公立医院取消药品加成、城乡医疗救助等补助资金，提高人民健康福祉。</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bCs w:val="0"/>
          <w:kern w:val="0"/>
          <w:sz w:val="32"/>
          <w:szCs w:val="32"/>
        </w:rPr>
      </w:pPr>
      <w:r>
        <w:rPr>
          <w:rFonts w:ascii="Times New Roman" w:hAnsi="Times New Roman" w:eastAsia="仿宋_GB2312" w:cs="Times New Roman"/>
          <w:b/>
          <w:bCs w:val="0"/>
          <w:kern w:val="0"/>
          <w:sz w:val="32"/>
          <w:szCs w:val="32"/>
        </w:rPr>
        <w:t>5.支持推进基层治理，筑牢社会和谐稳定基础。</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一是支持提高公共安全治理水平。</w:t>
      </w:r>
      <w:r>
        <w:rPr>
          <w:rFonts w:ascii="Times New Roman" w:hAnsi="Times New Roman" w:eastAsia="仿宋_GB2312" w:cs="Times New Roman"/>
          <w:b w:val="0"/>
          <w:bCs/>
          <w:kern w:val="0"/>
          <w:sz w:val="32"/>
          <w:szCs w:val="32"/>
        </w:rPr>
        <w:t>安排资金4.6亿元，加强社会治安综合治理，强化公共安全体系和应急管理体系建设，提高应对突发事件的能力和水平。主要用于：特警基地基础设施维修改造、交管大数据业务技术用房建设、应急密码通信系统升级换装，全面增强公共安全保障能力和提升依法治州水平；开展自然灾害救助、强化应急物资采购，支持消防应急基础设施建设，保障应对突发事件的能力；支持道路交通管理业务工作，推动城市交通发展、保障交通安全。</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bCs w:val="0"/>
          <w:kern w:val="0"/>
          <w:sz w:val="32"/>
          <w:szCs w:val="32"/>
        </w:rPr>
        <w:t>二是支持公共管理服务提升。</w:t>
      </w:r>
      <w:r>
        <w:rPr>
          <w:rFonts w:ascii="Times New Roman" w:hAnsi="Times New Roman" w:eastAsia="仿宋_GB2312" w:cs="Times New Roman"/>
          <w:b w:val="0"/>
          <w:bCs/>
          <w:kern w:val="0"/>
          <w:sz w:val="32"/>
          <w:szCs w:val="32"/>
        </w:rPr>
        <w:t>安排资金5.9亿元，保障党政机构有效地履行职责，提供优质的公共服务。主要用于：信息化建设集中统筹、电子政务网络运维、智慧政务大厅建设，推动政务系统的数字化升级，打造智能化、便捷化的政务服务环境。强化人才发展及干部培训，提升干部队伍的专业素养与治理能力。开展纪检监察办案、财政投资评审，支持审计监督，加强党风廉政建设和反腐败斗争。支持全国经济普查、民族团结进步创建、质量与安全抽检，加强社会治理与公共服务治理。</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仿宋_GB2312" w:cs="Times New Roman"/>
          <w:b w:val="0"/>
          <w:bCs/>
          <w:kern w:val="0"/>
          <w:sz w:val="32"/>
          <w:szCs w:val="32"/>
        </w:rPr>
      </w:pPr>
      <w:r>
        <w:rPr>
          <w:rFonts w:ascii="Times New Roman" w:hAnsi="Times New Roman" w:eastAsia="仿宋_GB2312" w:cs="Times New Roman"/>
          <w:b w:val="0"/>
          <w:bCs/>
          <w:kern w:val="0"/>
          <w:sz w:val="32"/>
          <w:szCs w:val="32"/>
        </w:rPr>
        <w:t>以上全州一般公共预算、政府性基金预算、社会保险基金预算和国有资本经营预算为汇编数，待各县（市）预算编制完成并经同级人代会批准后，再汇总报州人大常委会备案。州本级财政预算草案、附表及州本级2025年部门预算、项目资金绩效目标已全部提交大会，请予审查。</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 xml:space="preserve">四、2025年财政改革与管理工作   </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2025年是全面贯彻党的二十届三中全会精神开局之年，是“十四五”规划的收官之年，也是落实省委十二届六次全会、州委十二届五次全会，中央经济工作会议的关键之年。全州财政部门将坚持以习近平新时代中国特色社会主义思想为指导，坚持稳中求进、以进促稳，守正创新、先立后破，发挥财政作为国家治理的基础和重要支柱作用，全力支持“1610”系统部署，加强资源统筹，优化支出结构，着力提升政策效能和资金效益，为奋力建设民族地区高质量发展阿坝典范提供坚实财政支撑。</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val="0"/>
          <w:bCs w:val="0"/>
          <w:color w:val="auto"/>
          <w:sz w:val="32"/>
          <w:szCs w:val="32"/>
          <w:highlight w:val="none"/>
          <w:lang w:val="en-US" w:eastAsia="zh-CN"/>
        </w:rPr>
      </w:pPr>
      <w:r>
        <w:rPr>
          <w:rFonts w:ascii="Times New Roman" w:hAnsi="Times New Roman" w:eastAsia="楷体_GB2312" w:cs="Times New Roman"/>
          <w:b/>
          <w:bCs/>
          <w:color w:val="auto"/>
          <w:sz w:val="32"/>
          <w:szCs w:val="32"/>
          <w:highlight w:val="none"/>
          <w:lang w:val="en-US" w:eastAsia="zh-CN"/>
        </w:rPr>
        <w:t>（一）坚持以财辅政，纵深推进全面从严治党</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仿宋_GB2312" w:cs="Times New Roman"/>
          <w:b w:val="0"/>
          <w:bCs w:val="0"/>
          <w:color w:val="auto"/>
          <w:sz w:val="32"/>
          <w:szCs w:val="32"/>
          <w:highlight w:val="none"/>
          <w:lang w:val="en-US" w:eastAsia="zh-CN"/>
        </w:rPr>
      </w:pPr>
      <w:r>
        <w:rPr>
          <w:rFonts w:ascii="Times New Roman" w:hAnsi="Times New Roman" w:eastAsia="仿宋_GB2312" w:cs="Times New Roman"/>
          <w:b w:val="0"/>
          <w:bCs w:val="0"/>
          <w:color w:val="auto"/>
          <w:sz w:val="32"/>
          <w:szCs w:val="32"/>
          <w:highlight w:val="none"/>
          <w:lang w:val="en-US" w:eastAsia="zh-CN"/>
        </w:rPr>
        <w:t>始终把廉政建设摆在财政工作更加突出的位置，以高度政治自觉、思想自觉和行动自觉落实廉政工作部署。落实全面从严治党政治责任，坚定不移推进党风廉政建设，始终把纪律和规矩挺在前面，持之以恒正风肃纪，营造风清气正的良好政治生态。注重源头管理，通过财政评审、预算绩效等财政管理工具压缩可贪腐的空间。做好自身廉政建设，加强对政府采购等关键岗位的内控建设与廉政教育，防止违纪违规问题发生。严格落实中央八项规定精神，持续整治形式主义、官僚主义顽瘴痼疾，巩固深化基层减负成效。建设忠诚干净担当的高素质财政干部队伍，为高质量完成“十四五”规划目标任务，实现“十五五”良好开局提供有力保障。</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bCs/>
          <w:color w:val="auto"/>
          <w:sz w:val="32"/>
          <w:szCs w:val="32"/>
          <w:highlight w:val="none"/>
          <w:lang w:val="en-US" w:eastAsia="zh-CN"/>
        </w:rPr>
      </w:pPr>
      <w:r>
        <w:rPr>
          <w:rFonts w:ascii="Times New Roman" w:hAnsi="Times New Roman" w:eastAsia="楷体_GB2312" w:cs="Times New Roman"/>
          <w:b/>
          <w:bCs/>
          <w:color w:val="auto"/>
          <w:sz w:val="32"/>
          <w:szCs w:val="32"/>
          <w:highlight w:val="none"/>
          <w:lang w:val="en-US" w:eastAsia="zh-CN"/>
        </w:rPr>
        <w:t>（二）加强统筹调控，集中财力办大事</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优化营商环境，支持工业园区发展，培育优质税源，完善财源体系，夯实增收基础。依法加强收入征缴，做到涵养税源、依法征收、应收尽收，抓大不放小，颗粒归仓。加强财政资源统筹，挖掘国有资产资源潜力，盘活闲置资产，推进清洁能源、矿产资源开发，提升资源长期收益。加大四本预算统筹力度，加大转移支付资金争取力度，合理争取专项债券额度。将非财政</w:t>
      </w:r>
      <w:r>
        <w:rPr>
          <w:rFonts w:hint="eastAsia" w:ascii="Times New Roman" w:hAnsi="Times New Roman" w:eastAsia="仿宋_GB2312" w:cs="Times New Roman"/>
          <w:color w:val="auto"/>
          <w:sz w:val="32"/>
          <w:szCs w:val="32"/>
          <w:highlight w:val="none"/>
          <w:lang w:val="en-US" w:eastAsia="zh-CN"/>
        </w:rPr>
        <w:t>拨款</w:t>
      </w:r>
      <w:bookmarkStart w:id="0" w:name="_GoBack"/>
      <w:bookmarkEnd w:id="0"/>
      <w:r>
        <w:rPr>
          <w:rFonts w:ascii="Times New Roman" w:hAnsi="Times New Roman" w:eastAsia="仿宋_GB2312" w:cs="Times New Roman"/>
          <w:color w:val="auto"/>
          <w:sz w:val="32"/>
          <w:szCs w:val="32"/>
          <w:highlight w:val="none"/>
          <w:lang w:val="en-US" w:eastAsia="zh-CN"/>
        </w:rPr>
        <w:t>、存量资金与预算安排相衔接，聚集到一个“大盘子</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lang w:val="en-US" w:eastAsia="zh-CN"/>
        </w:rPr>
        <w:t>统筹安排。确保财政收入与经济发展同步增长，把更多真金白银投入到高质量发展和民生事业上来。</w:t>
      </w:r>
      <w:r>
        <w:rPr>
          <w:rFonts w:ascii="Times New Roman" w:hAnsi="Times New Roman" w:eastAsia="仿宋_GB2312" w:cs="Times New Roman"/>
          <w:b w:val="0"/>
          <w:bCs w:val="0"/>
          <w:color w:val="auto"/>
          <w:sz w:val="32"/>
          <w:szCs w:val="32"/>
          <w:highlight w:val="none"/>
          <w:lang w:val="en-US" w:eastAsia="zh-CN"/>
        </w:rPr>
        <w:t>增强政治自觉，发挥财政担当，坚定为“1610”系统部署在阿坝落地落实、见底见效做好财政保障。</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bCs/>
          <w:color w:val="auto"/>
          <w:sz w:val="32"/>
          <w:szCs w:val="32"/>
          <w:highlight w:val="none"/>
          <w:lang w:val="en-US" w:eastAsia="zh-CN"/>
        </w:rPr>
      </w:pPr>
      <w:r>
        <w:rPr>
          <w:rFonts w:ascii="Times New Roman" w:hAnsi="Times New Roman" w:eastAsia="楷体_GB2312" w:cs="Times New Roman"/>
          <w:b/>
          <w:bCs/>
          <w:color w:val="auto"/>
          <w:sz w:val="32"/>
          <w:szCs w:val="32"/>
          <w:highlight w:val="none"/>
          <w:lang w:val="en-US" w:eastAsia="zh-CN"/>
        </w:rPr>
        <w:t>（三）保障资金投入，为群众幸福生活持续“加码”</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坚持新增财力优先用于民生保障，扎实办好年度民生实事，兜住、兜准、兜牢民生底线，织密扎牢社会保障网。保障好阿坝州教育高质量发展“十条措施”，加强学校基础设施建设，为学生创造更舒适的就学环境。推动川甘青结合部区域医疗高地建设，优化布局，建强龙头医院发展。深入实施就业优先政策，支持大中专毕业生就业促进“十条措施”，用好农牧民家庭和困难职工子女就业创业帮扶基金，全力以赴做好重点群体就业工作。完善和落实社会保险制度，继续实施安居工程，改善城镇老旧小区居民的居住条件与生活环境，有力提升人民群众获得感和幸福感。</w:t>
      </w:r>
    </w:p>
    <w:p>
      <w:pPr>
        <w:keepNext w:val="0"/>
        <w:keepLines w:val="0"/>
        <w:pageBreakBefore w:val="0"/>
        <w:widowControl w:val="0"/>
        <w:kinsoku/>
        <w:wordWrap/>
        <w:overflowPunct/>
        <w:topLinePunct w:val="0"/>
        <w:autoSpaceDE/>
        <w:autoSpaceDN/>
        <w:bidi w:val="0"/>
        <w:adjustRightInd/>
        <w:snapToGrid/>
        <w:spacing w:line="578" w:lineRule="exact"/>
        <w:ind w:left="0" w:firstLine="642" w:firstLineChars="200"/>
        <w:jc w:val="both"/>
        <w:textAlignment w:val="auto"/>
        <w:rPr>
          <w:rFonts w:ascii="Times New Roman" w:hAnsi="Times New Roman" w:eastAsia="楷体_GB2312" w:cs="Times New Roman"/>
          <w:b/>
          <w:bCs/>
          <w:color w:val="auto"/>
          <w:sz w:val="32"/>
          <w:szCs w:val="32"/>
          <w:highlight w:val="none"/>
          <w:lang w:val="en-US" w:eastAsia="zh-CN"/>
        </w:rPr>
      </w:pPr>
      <w:r>
        <w:rPr>
          <w:rFonts w:ascii="Times New Roman" w:hAnsi="Times New Roman" w:eastAsia="楷体_GB2312" w:cs="Times New Roman"/>
          <w:b/>
          <w:bCs/>
          <w:color w:val="auto"/>
          <w:sz w:val="32"/>
          <w:szCs w:val="32"/>
          <w:highlight w:val="none"/>
          <w:lang w:val="en-US" w:eastAsia="zh-CN"/>
        </w:rPr>
        <w:t>（四）强化管理改革，切实提高财政资金使用效益</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color w:val="auto"/>
          <w:sz w:val="32"/>
          <w:szCs w:val="32"/>
          <w:highlight w:val="none"/>
          <w:lang w:val="en-US" w:eastAsia="zh-CN"/>
        </w:rPr>
        <w:t>主动适应财政收入低速增长、过紧日子、收支紧平衡的新常态。把紧预算关口，加强预算执行监控，严控一般性支出，继续压缩论坛、展会、培训等活动支出，不该开支、不必开支的，一律不开支。强化全方位、全过程、全覆盖的预算绩效管理体系，抓实目标编审、促进管理前移、扩面研究指标模板、拓展标准范围、深化绩效与预算分配挂钩机制、强化结果应用。推动支出标准应用，充分发挥定额标准对预算编制的基础性作用，继续谋划新的支出标准，逐步规范各类财政预算支出。持续加大重点项目财政预算评审力度，依托科学化、精细化管理手段助力项目及时高效落地。全面深化财会监督，聚焦重点，强化协调联动，守好财政安全运行的底线。</w:t>
      </w:r>
    </w:p>
    <w:p>
      <w:pPr>
        <w:pStyle w:val="6"/>
        <w:keepNext w:val="0"/>
        <w:keepLines w:val="0"/>
        <w:pageBreakBefore w:val="0"/>
        <w:widowControl w:val="0"/>
        <w:kinsoku/>
        <w:wordWrap/>
        <w:overflowPunct/>
        <w:topLinePunct w:val="0"/>
        <w:autoSpaceDE/>
        <w:bidi w:val="0"/>
        <w:adjustRightInd/>
        <w:snapToGrid w:val="0"/>
        <w:spacing w:line="578" w:lineRule="exact"/>
        <w:ind w:left="0" w:firstLine="640" w:firstLineChars="200"/>
        <w:jc w:val="both"/>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rPr>
        <w:t>各位代表，路虽远、行则将至，事虽难、做则必成！我们将更加紧密地团结在以习近平同志为核心的党中央周围，矢志不渝沿着习近平总书记指引的方向奋勇前进，在</w:t>
      </w:r>
      <w:r>
        <w:rPr>
          <w:rFonts w:ascii="Times New Roman" w:hAnsi="Times New Roman" w:eastAsia="仿宋_GB2312" w:cs="Times New Roman"/>
          <w:kern w:val="0"/>
          <w:sz w:val="32"/>
          <w:szCs w:val="32"/>
          <w:lang w:eastAsia="zh-CN"/>
        </w:rPr>
        <w:t>州</w:t>
      </w:r>
      <w:r>
        <w:rPr>
          <w:rFonts w:ascii="Times New Roman" w:hAnsi="Times New Roman" w:eastAsia="仿宋_GB2312" w:cs="Times New Roman"/>
          <w:kern w:val="0"/>
          <w:sz w:val="32"/>
          <w:szCs w:val="32"/>
        </w:rPr>
        <w:t>委的领导下，在</w:t>
      </w:r>
      <w:r>
        <w:rPr>
          <w:rFonts w:ascii="Times New Roman" w:hAnsi="Times New Roman" w:eastAsia="仿宋_GB2312" w:cs="Times New Roman"/>
          <w:kern w:val="0"/>
          <w:sz w:val="32"/>
          <w:szCs w:val="32"/>
          <w:lang w:eastAsia="zh-CN"/>
        </w:rPr>
        <w:t>州</w:t>
      </w:r>
      <w:r>
        <w:rPr>
          <w:rFonts w:ascii="Times New Roman" w:hAnsi="Times New Roman" w:eastAsia="仿宋_GB2312" w:cs="Times New Roman"/>
          <w:kern w:val="0"/>
          <w:sz w:val="32"/>
          <w:szCs w:val="32"/>
        </w:rPr>
        <w:t>人大、</w:t>
      </w:r>
      <w:r>
        <w:rPr>
          <w:rFonts w:ascii="Times New Roman" w:hAnsi="Times New Roman" w:eastAsia="仿宋_GB2312" w:cs="Times New Roman"/>
          <w:kern w:val="0"/>
          <w:sz w:val="32"/>
          <w:szCs w:val="32"/>
          <w:lang w:eastAsia="zh-CN"/>
        </w:rPr>
        <w:t>州</w:t>
      </w:r>
      <w:r>
        <w:rPr>
          <w:rFonts w:ascii="Times New Roman" w:hAnsi="Times New Roman" w:eastAsia="仿宋_GB2312" w:cs="Times New Roman"/>
          <w:kern w:val="0"/>
          <w:sz w:val="32"/>
          <w:szCs w:val="32"/>
        </w:rPr>
        <w:t>政协的监督指导下，坚定信心、团结奋斗、苦干实干、奋勇向前，扎实做好财政各项工作，全力完成年度目标任务，</w:t>
      </w:r>
      <w:r>
        <w:rPr>
          <w:rFonts w:ascii="Times New Roman" w:hAnsi="Times New Roman" w:eastAsia="仿宋_GB2312" w:cs="Times New Roman"/>
          <w:kern w:val="0"/>
          <w:sz w:val="32"/>
          <w:szCs w:val="32"/>
          <w:lang w:val="en-US" w:eastAsia="zh-CN" w:bidi="ar-SA"/>
        </w:rPr>
        <w:t>奋力建设民族地区高质量发展阿坝典范</w:t>
      </w:r>
      <w:r>
        <w:rPr>
          <w:rFonts w:ascii="Times New Roman" w:hAnsi="Times New Roman" w:eastAsia="仿宋_GB2312" w:cs="Times New Roman"/>
          <w:kern w:val="0"/>
          <w:sz w:val="32"/>
          <w:szCs w:val="32"/>
        </w:rPr>
        <w:t>！</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90805" distR="9080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500" cy="230251"/>
                      </a:xfrm>
                      <a:prstGeom prst="rect">
                        <a:avLst/>
                      </a:prstGeom>
                      <a:noFill/>
                      <a:ln w="6350" cap="flat" cmpd="sng">
                        <a:noFill/>
                        <a:prstDash val="solid"/>
                        <a:round/>
                      </a:ln>
                    </wps:spPr>
                    <wps:txbx>
                      <w:txbxContent>
                        <w:p>
                          <w:pPr>
                            <w:pStyle w:val="7"/>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1</w:t>
                          </w:r>
                          <w:r>
                            <w:rPr>
                              <w:rFonts w:hint="eastAsia" w:asci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M9ueqfWAAAAAwEAAA8A&#10;AAAAAAAAAQAgAAAAOAAAAGRycy9kb3ducmV2LnhtbFBLAQIUABQAAAAIAIdO4kA8HgOpAwIAAPQD&#10;AAAOAAAAAAAAAAEAIAAAADsBAABkcnMvZTJvRG9jLnhtbFBLBQYAAAAABgAGAFkBAACwBQAAAAA=&#10;">
              <v:fill on="f" focussize="0,0"/>
              <v:stroke on="f" weight="0.5pt" joinstyle="round"/>
              <v:imagedata o:title=""/>
              <o:lock v:ext="edit" aspectratio="f"/>
              <v:textbox inset="0mm,0mm,0mm,0mm" style="mso-fit-shape-to-text:t;">
                <w:txbxContent>
                  <w:p>
                    <w:pPr>
                      <w:pStyle w:val="7"/>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1</w:t>
                    </w:r>
                    <w:r>
                      <w:rPr>
                        <w:rFonts w:hint="eastAsia" w:ascii="仿宋_GB2312" w:eastAsia="仿宋_GB2312" w:cs="仿宋_GB2312"/>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FF7F777"/>
    <w:rsid w:val="7F7D52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uiPriority w:val="0"/>
    <w:pPr>
      <w:spacing w:after="120"/>
      <w:ind w:left="200" w:leftChars="200"/>
    </w:pPr>
  </w:style>
  <w:style w:type="paragraph" w:styleId="6">
    <w:name w:val="Plain Text"/>
    <w:basedOn w:val="1"/>
    <w:qFormat/>
    <w:uiPriority w:val="0"/>
    <w:rPr>
      <w:rFonts w:ascii="仿宋_GB2312" w:eastAsia="仿宋_GB2312" w:cs="Times New Roman"/>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Body Text First Indent 2"/>
    <w:basedOn w:val="5"/>
    <w:uiPriority w:val="0"/>
    <w:pPr>
      <w:spacing w:after="0"/>
      <w:ind w:left="0" w:leftChars="0" w:firstLine="200" w:firstLineChars="200"/>
    </w:pPr>
    <w:rPr>
      <w:rFonts w:ascii="仿宋_GB2312" w:hAnsi="仿宋_GB2312"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24</Pages>
  <Words>12940</Words>
  <Characters>13778</Characters>
  <Lines>521</Lines>
  <Paragraphs>95</Paragraphs>
  <TotalTime>2</TotalTime>
  <ScaleCrop>false</ScaleCrop>
  <LinksUpToDate>false</LinksUpToDate>
  <CharactersWithSpaces>13786</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2024-01-06T20:49:00Z</dcterms:created>
  <dc:creator>user</dc:creator>
  <cp:lastModifiedBy>user</cp:lastModifiedBy>
  <cp:lastPrinted>2025-01-09T17:50:00Z</cp:lastPrinted>
  <dcterms:modified xsi:type="dcterms:W3CDTF">2025-04-09T10:41:52Z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5FAE806B6A06356BC8208165F38FEEAF</vt:lpwstr>
  </property>
</Properties>
</file>