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jc w:val="center"/>
        <w:textAlignment w:val="auto"/>
        <w:rPr>
          <w:rFonts w:hint="eastAsia" w:ascii="方正小标宋简体" w:hAnsi="方正小标宋简体" w:eastAsia="方正小标宋简体" w:cs="方正小标宋简体"/>
          <w:b w:val="0"/>
          <w:bCs w:val="0"/>
          <w:sz w:val="44"/>
          <w:szCs w:val="44"/>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2024年预算绩效管理</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jc w:val="center"/>
        <w:textAlignment w:val="auto"/>
        <w:rPr>
          <w:rFonts w:hint="eastAsia" w:ascii="方正小标宋简体" w:hAnsi="方正小标宋简体" w:eastAsia="方正小标宋简体" w:cs="方正小标宋简体"/>
          <w:b w:val="0"/>
          <w:bCs w:val="0"/>
          <w:sz w:val="44"/>
          <w:szCs w:val="44"/>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工作总结及2025年工作计划</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both"/>
        <w:textAlignment w:val="auto"/>
        <w:rPr>
          <w:rFonts w:hint="eastAsia" w:hAnsi="仿宋_GB2312" w:cs="仿宋_GB2312"/>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both"/>
        <w:textAlignment w:val="auto"/>
        <w:rPr>
          <w:rFonts w:hint="eastAsia" w:hAnsi="仿宋_GB2312" w:cs="仿宋_GB2312"/>
          <w:sz w:val="32"/>
          <w:szCs w:val="32"/>
          <w:u w:val="none"/>
          <w:lang w:eastAsia="zh-CN"/>
        </w:rPr>
      </w:pPr>
      <w:r>
        <w:rPr>
          <w:rFonts w:hint="eastAsia" w:hAnsi="仿宋_GB2312" w:cs="仿宋_GB2312"/>
          <w:sz w:val="32"/>
          <w:szCs w:val="32"/>
          <w:u w:val="none"/>
          <w:lang w:eastAsia="zh-CN"/>
        </w:rPr>
        <w:t>财政监督与绩效管理科在局党组的正确领导下和上级主管部门的指导下，按照省财政厅和我局202</w:t>
      </w:r>
      <w:r>
        <w:rPr>
          <w:rFonts w:hint="eastAsia" w:hAnsi="仿宋_GB2312" w:cs="仿宋_GB2312"/>
          <w:sz w:val="32"/>
          <w:szCs w:val="32"/>
          <w:u w:val="none"/>
          <w:lang w:val="en-US" w:eastAsia="zh-CN"/>
        </w:rPr>
        <w:t>4</w:t>
      </w:r>
      <w:r>
        <w:rPr>
          <w:rFonts w:hint="eastAsia" w:hAnsi="仿宋_GB2312" w:cs="仿宋_GB2312"/>
          <w:sz w:val="32"/>
          <w:szCs w:val="32"/>
          <w:u w:val="none"/>
          <w:lang w:eastAsia="zh-CN"/>
        </w:rPr>
        <w:t>年的工作部署，秉持为民、务实、清廉、开拓创新的原则，认真履行财政监督与绩效管理职责，积极组织开展预算绩效管理工作，现将202</w:t>
      </w:r>
      <w:r>
        <w:rPr>
          <w:rFonts w:hint="eastAsia" w:hAnsi="仿宋_GB2312" w:cs="仿宋_GB2312"/>
          <w:sz w:val="32"/>
          <w:szCs w:val="32"/>
          <w:u w:val="none"/>
          <w:lang w:val="en-US" w:eastAsia="zh-CN"/>
        </w:rPr>
        <w:t>4</w:t>
      </w:r>
      <w:r>
        <w:rPr>
          <w:rFonts w:hint="eastAsia" w:hAnsi="仿宋_GB2312" w:cs="仿宋_GB2312"/>
          <w:sz w:val="32"/>
          <w:szCs w:val="32"/>
          <w:u w:val="none"/>
          <w:lang w:eastAsia="zh-CN"/>
        </w:rPr>
        <w:t>年相关工作开展情况汇报如下。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eastAsia="楷体_GB2312" w:cs="宋体"/>
          <w:b/>
          <w:bCs/>
          <w:sz w:val="32"/>
          <w:szCs w:val="32"/>
          <w:u w:val="none"/>
          <w:lang w:eastAsia="zh-CN"/>
        </w:rPr>
      </w:pPr>
      <w:r>
        <w:rPr>
          <w:rFonts w:hint="eastAsia" w:ascii="黑体" w:hAnsi="黑体" w:eastAsia="黑体" w:cs="黑体"/>
          <w:sz w:val="32"/>
          <w:szCs w:val="32"/>
          <w:u w:val="none"/>
          <w:lang w:val="en-US" w:eastAsia="zh-CN"/>
        </w:rPr>
        <w:t>一、2024年</w:t>
      </w:r>
      <w:r>
        <w:rPr>
          <w:rFonts w:hint="eastAsia" w:ascii="黑体" w:hAnsi="黑体" w:eastAsia="黑体" w:cs="黑体"/>
          <w:sz w:val="32"/>
          <w:szCs w:val="32"/>
          <w:u w:val="none"/>
          <w:lang w:eastAsia="zh-CN"/>
        </w:rPr>
        <w:t>工作开展情况</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textAlignment w:val="auto"/>
        <w:rPr>
          <w:rFonts w:hint="eastAsia" w:ascii="楷体_GB2312" w:eastAsia="楷体_GB2312" w:cs="宋体"/>
          <w:b/>
          <w:bCs/>
          <w:sz w:val="32"/>
          <w:szCs w:val="32"/>
          <w:u w:val="none"/>
        </w:rPr>
      </w:pPr>
      <w:r>
        <w:rPr>
          <w:rFonts w:hint="eastAsia" w:ascii="楷体_GB2312" w:eastAsia="楷体_GB2312" w:cs="宋体"/>
          <w:b/>
          <w:bCs/>
          <w:sz w:val="32"/>
          <w:szCs w:val="32"/>
          <w:u w:val="none"/>
          <w:lang w:eastAsia="zh-CN"/>
        </w:rPr>
        <w:t>（一）</w:t>
      </w:r>
      <w:r>
        <w:rPr>
          <w:rFonts w:hint="eastAsia" w:ascii="楷体_GB2312" w:eastAsia="楷体_GB2312" w:cs="宋体"/>
          <w:b/>
          <w:bCs/>
          <w:sz w:val="32"/>
          <w:szCs w:val="32"/>
          <w:u w:val="none"/>
        </w:rPr>
        <w:t>强化绩效目标,突出质量引领</w:t>
      </w:r>
      <w:r>
        <w:rPr>
          <w:rFonts w:hint="eastAsia" w:ascii="楷体_GB2312" w:eastAsia="楷体_GB2312" w:cs="宋体"/>
          <w:b/>
          <w:bCs/>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2312" w:eastAsia="CESI仿宋-GB2312" w:cs="Times New Roman"/>
          <w:sz w:val="32"/>
          <w:szCs w:val="32"/>
        </w:rPr>
      </w:pPr>
      <w:r>
        <w:rPr>
          <w:rFonts w:hint="eastAsia" w:ascii="CESI仿宋-GB2312" w:eastAsia="CESI仿宋-GB2312" w:cs="Times New Roman"/>
          <w:sz w:val="32"/>
          <w:szCs w:val="32"/>
          <w:u w:val="none"/>
        </w:rPr>
        <w:t>紧紧抓住绩效目标设置这个“牛鼻子”，</w:t>
      </w:r>
      <w:bookmarkStart w:id="0" w:name="_GoBack"/>
      <w:bookmarkEnd w:id="0"/>
      <w:r>
        <w:rPr>
          <w:rFonts w:hint="eastAsia" w:ascii="CESI仿宋-GB2312" w:eastAsia="CESI仿宋-GB2312" w:cs="Times New Roman"/>
          <w:sz w:val="32"/>
          <w:szCs w:val="32"/>
          <w:u w:val="none"/>
        </w:rPr>
        <w:t>遵循“谁申请资金，谁设置目标”的原则，预算部门在编制202</w:t>
      </w:r>
      <w:r>
        <w:rPr>
          <w:rFonts w:ascii="CESI仿宋-GB2312" w:eastAsia="CESI仿宋-GB2312" w:cs="Times New Roman"/>
          <w:sz w:val="32"/>
          <w:szCs w:val="32"/>
          <w:u w:val="none"/>
        </w:rPr>
        <w:t>4</w:t>
      </w:r>
      <w:r>
        <w:rPr>
          <w:rFonts w:hint="eastAsia" w:ascii="CESI仿宋-GB2312" w:eastAsia="CESI仿宋-GB2312" w:cs="Times New Roman"/>
          <w:sz w:val="32"/>
          <w:szCs w:val="32"/>
          <w:u w:val="none"/>
        </w:rPr>
        <w:t>年度预算和申报项目时，</w:t>
      </w:r>
      <w:r>
        <w:rPr>
          <w:rFonts w:hint="eastAsia" w:ascii="仿宋_GB2312" w:eastAsia="仿宋_GB2312" w:cs="仿宋_GB2312"/>
          <w:bCs/>
          <w:sz w:val="32"/>
          <w:szCs w:val="32"/>
          <w:u w:val="none"/>
        </w:rPr>
        <w:t>强化前端管控，提高绩效目标编制质量，确保规范完整、细化量化、科学合理并与预算安排相匹配</w:t>
      </w:r>
      <w:r>
        <w:rPr>
          <w:rFonts w:hint="eastAsia" w:cs="仿宋_GB2312"/>
          <w:bCs/>
          <w:sz w:val="32"/>
          <w:szCs w:val="32"/>
          <w:u w:val="none"/>
          <w:lang w:eastAsia="zh-CN"/>
        </w:rPr>
        <w:t>，</w:t>
      </w:r>
      <w:r>
        <w:rPr>
          <w:rFonts w:hint="eastAsia" w:ascii="CESI仿宋-GB2312" w:eastAsia="CESI仿宋-GB2312" w:cs="Times New Roman"/>
          <w:sz w:val="32"/>
          <w:szCs w:val="32"/>
          <w:u w:val="none"/>
        </w:rPr>
        <w:t>实现与预算资金“编审同步、上会同步、批复同步、公开同步”四同步</w:t>
      </w:r>
      <w:r>
        <w:rPr>
          <w:rFonts w:hint="eastAsia" w:ascii="CESI仿宋-GB2312" w:eastAsia="CESI仿宋-GB2312" w:cs="Times New Roman"/>
          <w:sz w:val="32"/>
          <w:szCs w:val="32"/>
          <w:u w:val="none"/>
          <w:lang w:eastAsia="zh-CN"/>
        </w:rPr>
        <w:t>。</w:t>
      </w:r>
      <w:r>
        <w:rPr>
          <w:rFonts w:hint="eastAsia" w:ascii="CESI仿宋-GB2312" w:eastAsia="CESI仿宋-GB2312" w:cs="Times New Roman"/>
          <w:sz w:val="32"/>
          <w:szCs w:val="32"/>
          <w:u w:val="none"/>
        </w:rPr>
        <w:t xml:space="preserve">对州级部门组织开展了预算绩效目标第二轮会审工作，并制定了《修改完善州级部门2024年预算绩效目标实施方案》以分组式“点对点”的方式对州级部门97个部门整体绩效目标、1122个项目绩效目标进行“面对面”现场指导 </w:t>
      </w:r>
      <w:r>
        <w:rPr>
          <w:rFonts w:hint="eastAsia" w:ascii="CESI仿宋-GB2312" w:eastAsia="CESI仿宋-GB2312" w:cs="Times New Roman"/>
          <w:sz w:val="32"/>
          <w:szCs w:val="32"/>
          <w:u w:val="none"/>
          <w:lang w:eastAsia="zh-CN"/>
        </w:rPr>
        <w:t>。</w:t>
      </w:r>
      <w:r>
        <w:rPr>
          <w:rFonts w:hint="eastAsia" w:ascii="CESI仿宋-GB2312" w:eastAsia="CESI仿宋-GB2312" w:cs="Times New Roman"/>
          <w:sz w:val="32"/>
          <w:szCs w:val="32"/>
          <w:u w:val="none"/>
        </w:rPr>
        <w:t xml:space="preserve"> </w:t>
      </w:r>
      <w:r>
        <w:rPr>
          <w:rFonts w:hint="eastAsia" w:cs="Times New Roman"/>
          <w:sz w:val="32"/>
          <w:szCs w:val="32"/>
          <w:u w:val="none"/>
          <w:lang w:eastAsia="zh-CN"/>
        </w:rPr>
        <w:t>经过“点对点”指导目标修改工作后，组织专家对目标再次审核，并对修改情况形成专报报送州委州政府。</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textAlignment w:val="auto"/>
        <w:rPr>
          <w:rFonts w:ascii="楷体_GB2312" w:eastAsia="楷体_GB2312" w:cs="宋体"/>
          <w:b/>
          <w:bCs/>
          <w:sz w:val="32"/>
          <w:szCs w:val="32"/>
          <w:u w:val="none"/>
        </w:rPr>
      </w:pPr>
      <w:r>
        <w:rPr>
          <w:rFonts w:hint="eastAsia" w:ascii="楷体_GB2312" w:eastAsia="楷体_GB2312" w:cs="宋体"/>
          <w:b/>
          <w:bCs/>
          <w:sz w:val="32"/>
          <w:szCs w:val="32"/>
          <w:u w:val="none"/>
          <w:lang w:eastAsia="zh-CN"/>
        </w:rPr>
        <w:t>（二）</w:t>
      </w:r>
      <w:r>
        <w:rPr>
          <w:rFonts w:hint="eastAsia" w:ascii="楷体_GB2312" w:eastAsia="楷体_GB2312" w:cs="宋体"/>
          <w:b/>
          <w:bCs/>
          <w:sz w:val="32"/>
          <w:szCs w:val="32"/>
          <w:u w:val="none"/>
        </w:rPr>
        <w:t>强化流程融合，做实事前评估</w:t>
      </w:r>
      <w:r>
        <w:rPr>
          <w:rFonts w:hint="eastAsia" w:ascii="楷体_GB2312" w:eastAsia="楷体_GB2312" w:cs="宋体"/>
          <w:b/>
          <w:bCs/>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cs="宋体"/>
          <w:b/>
          <w:bCs/>
          <w:sz w:val="32"/>
          <w:szCs w:val="32"/>
          <w:u w:val="none"/>
        </w:rPr>
      </w:pPr>
      <w:r>
        <w:rPr>
          <w:rFonts w:hint="eastAsia" w:ascii="CESI仿宋-GB2312" w:eastAsia="CESI仿宋-GB2312" w:cs="Times New Roman"/>
          <w:sz w:val="32"/>
          <w:szCs w:val="32"/>
          <w:u w:val="none"/>
        </w:rPr>
        <w:t>实行“二上二下”评估模式，实现事前绩效评估和预算编制有机衔接。</w:t>
      </w:r>
      <w:r>
        <w:rPr>
          <w:rFonts w:hint="eastAsia" w:ascii="CESI仿宋-GB2312" w:eastAsia="CESI仿宋-GB2312" w:cs="Times New Roman"/>
          <w:sz w:val="32"/>
          <w:szCs w:val="32"/>
          <w:u w:val="none"/>
          <w:lang w:eastAsia="zh-CN"/>
        </w:rPr>
        <w:t>要求</w:t>
      </w:r>
      <w:r>
        <w:rPr>
          <w:rFonts w:hint="eastAsia" w:ascii="CESI仿宋-GB2312" w:eastAsia="CESI仿宋-GB2312" w:cs="Times New Roman"/>
          <w:sz w:val="32"/>
          <w:szCs w:val="32"/>
          <w:u w:val="none"/>
        </w:rPr>
        <w:t>各部门</w:t>
      </w:r>
      <w:r>
        <w:rPr>
          <w:rFonts w:hint="eastAsia" w:ascii="CESI仿宋-GB2312" w:eastAsia="CESI仿宋-GB2312" w:cs="Times New Roman"/>
          <w:sz w:val="32"/>
          <w:szCs w:val="32"/>
          <w:u w:val="none"/>
          <w:lang w:eastAsia="zh-CN"/>
        </w:rPr>
        <w:t>对</w:t>
      </w:r>
      <w:r>
        <w:rPr>
          <w:rFonts w:hint="eastAsia" w:ascii="CESI仿宋-GB2312" w:eastAsia="CESI仿宋-GB2312" w:cs="Times New Roman"/>
          <w:sz w:val="32"/>
          <w:szCs w:val="32"/>
          <w:u w:val="none"/>
        </w:rPr>
        <w:t>重点论证项目立项必要性、投入经济性、绩效目标合理性、实施方案可行性、筹资合规性等方面内容，注重客观</w:t>
      </w:r>
      <w:r>
        <w:rPr>
          <w:rFonts w:hint="eastAsia" w:ascii="CESI仿宋-GB2312" w:eastAsia="CESI仿宋-GB2312" w:cs="Times New Roman"/>
          <w:sz w:val="32"/>
          <w:szCs w:val="32"/>
          <w:u w:val="none"/>
          <w:lang w:eastAsia="zh-CN"/>
        </w:rPr>
        <w:t>、</w:t>
      </w:r>
      <w:r>
        <w:rPr>
          <w:rFonts w:hint="eastAsia" w:ascii="CESI仿宋-GB2312" w:eastAsia="CESI仿宋-GB2312" w:cs="Times New Roman"/>
          <w:sz w:val="32"/>
          <w:szCs w:val="32"/>
          <w:u w:val="none"/>
        </w:rPr>
        <w:t>准确反映对预算安排</w:t>
      </w:r>
      <w:r>
        <w:rPr>
          <w:rFonts w:hint="eastAsia" w:ascii="CESI仿宋-GB2312" w:eastAsia="CESI仿宋-GB2312" w:cs="Times New Roman"/>
          <w:sz w:val="32"/>
          <w:szCs w:val="32"/>
          <w:u w:val="none"/>
          <w:lang w:eastAsia="zh-CN"/>
        </w:rPr>
        <w:t>进行</w:t>
      </w:r>
      <w:r>
        <w:rPr>
          <w:rFonts w:hint="eastAsia" w:ascii="CESI仿宋-GB2312" w:eastAsia="CESI仿宋-GB2312" w:cs="Times New Roman"/>
          <w:sz w:val="32"/>
          <w:szCs w:val="32"/>
          <w:u w:val="none"/>
        </w:rPr>
        <w:t>自行评估工作</w:t>
      </w:r>
      <w:r>
        <w:rPr>
          <w:rFonts w:hint="eastAsia" w:ascii="CESI仿宋-GB2312" w:eastAsia="CESI仿宋-GB2312" w:cs="Times New Roman"/>
          <w:sz w:val="32"/>
          <w:szCs w:val="32"/>
          <w:u w:val="none"/>
          <w:lang w:eastAsia="zh-CN"/>
        </w:rPr>
        <w:t>，我们联合评审中心</w:t>
      </w:r>
      <w:r>
        <w:rPr>
          <w:rFonts w:hint="eastAsia" w:ascii="CESI仿宋-GB2312" w:eastAsia="CESI仿宋-GB2312" w:cs="Times New Roman"/>
          <w:sz w:val="32"/>
          <w:szCs w:val="32"/>
          <w:u w:val="none"/>
        </w:rPr>
        <w:t>重点对教育、道路交通和文化旅游卫生健康等领域的</w:t>
      </w:r>
      <w:r>
        <w:rPr>
          <w:rFonts w:hint="eastAsia" w:ascii="CESI仿宋-GB2312" w:eastAsia="CESI仿宋-GB2312" w:cs="Times New Roman"/>
          <w:sz w:val="32"/>
          <w:szCs w:val="32"/>
          <w:u w:val="none"/>
          <w:lang w:val="en-US" w:eastAsia="zh-CN"/>
        </w:rPr>
        <w:t>14</w:t>
      </w:r>
      <w:r>
        <w:rPr>
          <w:rFonts w:hint="eastAsia" w:ascii="CESI仿宋-GB2312" w:eastAsia="CESI仿宋-GB2312" w:cs="Times New Roman"/>
          <w:sz w:val="32"/>
          <w:szCs w:val="32"/>
          <w:u w:val="none"/>
        </w:rPr>
        <w:t>个专项预算项目开展重点事前绩效评估工作,涉及资金</w:t>
      </w:r>
      <w:r>
        <w:rPr>
          <w:rFonts w:hint="eastAsia" w:ascii="CESI仿宋-GB2312" w:eastAsia="CESI仿宋-GB2312" w:cs="Times New Roman"/>
          <w:sz w:val="32"/>
          <w:szCs w:val="32"/>
          <w:u w:val="none"/>
          <w:lang w:val="en-US" w:eastAsia="zh-CN"/>
        </w:rPr>
        <w:t>4763.41万</w:t>
      </w:r>
      <w:r>
        <w:rPr>
          <w:rFonts w:hint="eastAsia" w:ascii="CESI仿宋-GB2312" w:eastAsia="CESI仿宋-GB2312" w:cs="Times New Roman"/>
          <w:sz w:val="32"/>
          <w:szCs w:val="32"/>
          <w:u w:val="none"/>
        </w:rPr>
        <w:t>元，经专家审议，建议财政调减项目</w:t>
      </w:r>
      <w:r>
        <w:rPr>
          <w:rFonts w:hint="eastAsia" w:ascii="CESI仿宋-GB2312" w:eastAsia="CESI仿宋-GB2312" w:cs="Times New Roman"/>
          <w:sz w:val="32"/>
          <w:szCs w:val="32"/>
          <w:u w:val="none"/>
          <w:lang w:val="en-US" w:eastAsia="zh-CN"/>
        </w:rPr>
        <w:t>11</w:t>
      </w:r>
      <w:r>
        <w:rPr>
          <w:rFonts w:hint="eastAsia" w:ascii="CESI仿宋-GB2312" w:eastAsia="CESI仿宋-GB2312" w:cs="Times New Roman"/>
          <w:sz w:val="32"/>
          <w:szCs w:val="32"/>
          <w:u w:val="none"/>
        </w:rPr>
        <w:t>个，涉及审减资金</w:t>
      </w:r>
      <w:r>
        <w:rPr>
          <w:rFonts w:hint="eastAsia" w:ascii="CESI仿宋-GB2312" w:eastAsia="CESI仿宋-GB2312" w:cs="Times New Roman"/>
          <w:sz w:val="32"/>
          <w:szCs w:val="32"/>
          <w:u w:val="none"/>
          <w:lang w:val="en-US" w:eastAsia="zh-CN"/>
        </w:rPr>
        <w:t>1141.13</w:t>
      </w:r>
      <w:r>
        <w:rPr>
          <w:rFonts w:hint="eastAsia" w:ascii="CESI仿宋-GB2312" w:eastAsia="CESI仿宋-GB2312" w:cs="Times New Roman"/>
          <w:sz w:val="32"/>
          <w:szCs w:val="32"/>
          <w:u w:val="none"/>
        </w:rPr>
        <w:t>万元。</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textAlignment w:val="auto"/>
        <w:rPr>
          <w:rFonts w:hint="eastAsia" w:ascii="楷体_GB2312" w:eastAsia="楷体_GB2312" w:cs="宋体"/>
          <w:b/>
          <w:bCs/>
          <w:sz w:val="32"/>
          <w:szCs w:val="32"/>
          <w:u w:val="none"/>
        </w:rPr>
      </w:pPr>
      <w:r>
        <w:rPr>
          <w:rFonts w:hint="eastAsia" w:ascii="楷体_GB2312" w:eastAsia="楷体_GB2312" w:cs="宋体"/>
          <w:b/>
          <w:bCs/>
          <w:sz w:val="32"/>
          <w:szCs w:val="32"/>
          <w:u w:val="none"/>
          <w:lang w:eastAsia="zh-CN"/>
        </w:rPr>
        <w:t>（三）</w:t>
      </w:r>
      <w:r>
        <w:rPr>
          <w:rFonts w:hint="eastAsia" w:ascii="楷体_GB2312" w:eastAsia="楷体_GB2312" w:cs="宋体"/>
          <w:b/>
          <w:bCs/>
          <w:sz w:val="32"/>
          <w:szCs w:val="32"/>
          <w:u w:val="none"/>
        </w:rPr>
        <w:t>强化问题导向，</w:t>
      </w:r>
      <w:r>
        <w:rPr>
          <w:rFonts w:hint="eastAsia" w:ascii="楷体_GB2312" w:eastAsia="楷体_GB2312" w:cs="宋体"/>
          <w:b/>
          <w:bCs/>
          <w:sz w:val="32"/>
          <w:szCs w:val="32"/>
          <w:u w:val="none"/>
          <w:lang w:eastAsia="zh-CN"/>
        </w:rPr>
        <w:t>深化运行监控。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olor w:val="333333"/>
          <w:kern w:val="0"/>
          <w:sz w:val="32"/>
          <w:szCs w:val="32"/>
          <w:u w:val="none"/>
          <w:shd w:val="clear" w:color="auto" w:fill="FFFFFF"/>
        </w:rPr>
      </w:pPr>
      <w:r>
        <w:rPr>
          <w:rFonts w:hint="eastAsia" w:cs="CESI仿宋-GB2312"/>
          <w:sz w:val="32"/>
          <w:szCs w:val="32"/>
          <w:u w:val="none"/>
          <w:lang w:val="en-US" w:eastAsia="zh-CN" w:bidi="ar-SA"/>
        </w:rPr>
        <w:t>围绕预算执行进度和绩效目标实现程度两个方面主动出击，组织开展预算绩效管理运行“双监控”，及时纠偏纠错，防止资金沉淀闲置</w:t>
      </w:r>
      <w:r>
        <w:rPr>
          <w:rFonts w:hint="eastAsia" w:ascii="仿宋_GB2312" w:eastAsia="仿宋_GB2312" w:cs="CESI仿宋-GB2312"/>
          <w:sz w:val="32"/>
          <w:szCs w:val="32"/>
          <w:u w:val="none"/>
          <w:lang w:val="en-US" w:eastAsia="zh-CN" w:bidi="ar-SA"/>
        </w:rPr>
        <w:t>。</w:t>
      </w:r>
      <w:r>
        <w:rPr>
          <w:rFonts w:hint="eastAsia" w:ascii="仿宋_GB2312" w:eastAsia="仿宋_GB2312"/>
          <w:sz w:val="32"/>
          <w:szCs w:val="32"/>
          <w:u w:val="none"/>
        </w:rPr>
        <w:t>2024年组织全州387个部门（单位）开展监控对象全覆盖、监控频率全时段自行监控。并聚焦农业、教育、交通、生态环保等重点领域，选取16个项目开展绩效运行重点监控，涉及资金9551.52万元，1-9月项目资金执行数为3,439.83万元，执行率为36.01%。</w:t>
      </w:r>
      <w:r>
        <w:rPr>
          <w:rFonts w:hint="eastAsia" w:ascii="仿宋_GB2312" w:eastAsia="仿宋_GB2312" w:cs="仿宋_GB2312"/>
          <w:bCs/>
          <w:sz w:val="32"/>
          <w:szCs w:val="32"/>
          <w:u w:val="none"/>
        </w:rPr>
        <w:t>对15个偏离目标、执行不力的项目下达处置，</w:t>
      </w:r>
      <w:r>
        <w:rPr>
          <w:rFonts w:hint="eastAsia" w:ascii="仿宋_GB2312" w:hAnsi="Times New Roman" w:eastAsia="仿宋_GB2312"/>
          <w:color w:val="333333"/>
          <w:kern w:val="0"/>
          <w:sz w:val="32"/>
          <w:szCs w:val="32"/>
          <w:u w:val="none"/>
          <w:shd w:val="clear" w:color="auto" w:fill="FFFFFF"/>
        </w:rPr>
        <w:t>指导部门（单位）</w:t>
      </w:r>
      <w:r>
        <w:rPr>
          <w:rFonts w:hint="eastAsia" w:ascii="Times New Roman" w:hAnsi="Times New Roman" w:eastAsia="仿宋_GB2312"/>
          <w:snapToGrid w:val="0"/>
          <w:color w:val="000000"/>
          <w:kern w:val="0"/>
          <w:sz w:val="32"/>
          <w:szCs w:val="32"/>
          <w:u w:val="none"/>
        </w:rPr>
        <w:t>深入分析导致资金支付缓慢的具体原因，评估项目目标、成本和质量等方面的合理性和必要性，</w:t>
      </w:r>
      <w:r>
        <w:rPr>
          <w:rFonts w:hint="eastAsia" w:ascii="仿宋_GB2312" w:eastAsia="仿宋_GB2312" w:cs="仿宋_GB2312"/>
          <w:bCs/>
          <w:sz w:val="32"/>
          <w:szCs w:val="32"/>
          <w:u w:val="none"/>
        </w:rPr>
        <w:t>及时纠偏纠错。</w:t>
      </w:r>
      <w:r>
        <w:rPr>
          <w:rFonts w:hint="eastAsia" w:ascii="仿宋_GB2312" w:hAnsi="Times New Roman" w:eastAsia="仿宋_GB2312"/>
          <w:color w:val="333333"/>
          <w:kern w:val="0"/>
          <w:sz w:val="32"/>
          <w:szCs w:val="32"/>
          <w:u w:val="none"/>
          <w:shd w:val="clear" w:color="auto" w:fill="FFFFFF"/>
        </w:rPr>
        <w:t>切实将绩效监控结果与当年预算安排挂钩，截至目前，已收回财政资金1.35亿元。</w:t>
      </w:r>
    </w:p>
    <w:p>
      <w:pPr>
        <w:pStyle w:val="6"/>
        <w:keepNext w:val="0"/>
        <w:keepLines w:val="0"/>
        <w:pageBreakBefore w:val="0"/>
        <w:widowControl w:val="0"/>
        <w:kinsoku/>
        <w:wordWrap/>
        <w:overflowPunct/>
        <w:topLinePunct w:val="0"/>
        <w:autoSpaceDE/>
        <w:autoSpaceDN/>
        <w:bidi w:val="0"/>
        <w:adjustRightInd/>
        <w:snapToGrid/>
        <w:spacing w:line="560" w:lineRule="exact"/>
        <w:ind w:firstLine="666" w:firstLineChars="200"/>
        <w:textAlignment w:val="auto"/>
        <w:rPr>
          <w:rFonts w:hint="eastAsia" w:ascii="楷体_GB2312" w:hAnsi="楷体_GB2312" w:eastAsia="楷体_GB2312" w:cs="楷体_GB2312"/>
          <w:b/>
          <w:bCs/>
          <w:spacing w:val="6"/>
          <w:kern w:val="2"/>
          <w:sz w:val="32"/>
          <w:szCs w:val="36"/>
          <w:highlight w:val="none"/>
          <w:u w:val="none"/>
          <w:lang w:val="en-US" w:eastAsia="zh-CN" w:bidi="ar-SA"/>
          <w14:ligatures w14:val="standardContextual"/>
        </w:rPr>
      </w:pPr>
      <w:r>
        <w:rPr>
          <w:rFonts w:hint="eastAsia" w:ascii="楷体_GB2312" w:hAnsi="楷体_GB2312" w:eastAsia="楷体_GB2312" w:cs="楷体_GB2312"/>
          <w:b/>
          <w:bCs/>
          <w:spacing w:val="6"/>
          <w:kern w:val="2"/>
          <w:sz w:val="32"/>
          <w:szCs w:val="36"/>
          <w:highlight w:val="none"/>
          <w:u w:val="none"/>
          <w:lang w:val="en-US" w:eastAsia="zh-CN" w:bidi="ar-SA"/>
          <w14:ligatures w14:val="standardContextual"/>
        </w:rPr>
        <w:t>（四）建设绩效指标和标准体系。</w:t>
      </w:r>
    </w:p>
    <w:p>
      <w:pPr>
        <w:pStyle w:val="6"/>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Arial" w:hAnsi="Arial" w:eastAsia="楷体" w:cstheme="minorBidi"/>
          <w:b/>
          <w:kern w:val="2"/>
          <w:sz w:val="32"/>
          <w:szCs w:val="21"/>
          <w:highlight w:val="none"/>
          <w:u w:val="none"/>
          <w:lang w:val="en-US" w:eastAsia="zh-CN"/>
        </w:rPr>
      </w:pPr>
      <w:r>
        <w:rPr>
          <w:rFonts w:hint="eastAsia" w:ascii="Times New Roman" w:hAnsi="Times New Roman" w:eastAsia="仿宋_GB2312" w:cs="Times New Roman"/>
          <w:spacing w:val="6"/>
          <w:kern w:val="2"/>
          <w:sz w:val="32"/>
          <w:szCs w:val="36"/>
          <w:highlight w:val="none"/>
          <w:u w:val="none"/>
          <w:lang w:val="en-US" w:eastAsia="zh-CN" w:bidi="ar-SA"/>
          <w14:ligatures w14:val="standardContextual"/>
        </w:rPr>
        <w:t>为项目支出的经济性、效率性、效益性和公平性进行客观、公正的测量，为项目支出分析和评判提供基础，推动预算绩效目标设置规范统一、科学合理、细化量化、可比可测。阿坝州财政局本次选</w:t>
      </w:r>
      <w:r>
        <w:rPr>
          <w:rFonts w:hint="default" w:ascii="Times New Roman" w:hAnsi="Times New Roman" w:eastAsia="仿宋_GB2312" w:cs="Times New Roman"/>
          <w:spacing w:val="6"/>
          <w:kern w:val="2"/>
          <w:sz w:val="32"/>
          <w:szCs w:val="36"/>
          <w:highlight w:val="none"/>
          <w:u w:val="none"/>
          <w:lang w:val="en-US" w:eastAsia="zh-CN" w:bidi="ar-SA"/>
          <w14:ligatures w14:val="standardContextual"/>
        </w:rPr>
        <w:t>取州教育局、</w:t>
      </w:r>
      <w:r>
        <w:rPr>
          <w:rFonts w:hint="eastAsia" w:ascii="Times New Roman" w:hAnsi="Times New Roman" w:eastAsia="仿宋_GB2312" w:cs="Times New Roman"/>
          <w:spacing w:val="6"/>
          <w:kern w:val="2"/>
          <w:sz w:val="32"/>
          <w:szCs w:val="36"/>
          <w:highlight w:val="none"/>
          <w:u w:val="none"/>
          <w:lang w:val="en-US" w:eastAsia="zh-CN" w:bidi="ar-SA"/>
          <w14:ligatures w14:val="standardContextual"/>
        </w:rPr>
        <w:t>农业农村局</w:t>
      </w:r>
      <w:r>
        <w:rPr>
          <w:rFonts w:hint="default" w:ascii="Times New Roman" w:hAnsi="Times New Roman" w:eastAsia="仿宋_GB2312" w:cs="Times New Roman"/>
          <w:spacing w:val="6"/>
          <w:kern w:val="2"/>
          <w:sz w:val="32"/>
          <w:szCs w:val="36"/>
          <w:highlight w:val="none"/>
          <w:u w:val="none"/>
          <w:lang w:val="en-US" w:eastAsia="zh-CN" w:bidi="ar-SA"/>
          <w14:ligatures w14:val="standardContextual"/>
        </w:rPr>
        <w:t>、</w:t>
      </w:r>
      <w:r>
        <w:rPr>
          <w:rFonts w:hint="eastAsia" w:ascii="Times New Roman" w:hAnsi="Times New Roman" w:eastAsia="仿宋_GB2312" w:cs="Times New Roman"/>
          <w:spacing w:val="6"/>
          <w:kern w:val="2"/>
          <w:sz w:val="32"/>
          <w:szCs w:val="36"/>
          <w:highlight w:val="none"/>
          <w:u w:val="none"/>
          <w:lang w:val="en-US" w:eastAsia="zh-CN" w:bidi="ar-SA"/>
          <w14:ligatures w14:val="standardContextual"/>
        </w:rPr>
        <w:t>生态环境局</w:t>
      </w:r>
      <w:r>
        <w:rPr>
          <w:rFonts w:hint="default" w:ascii="Times New Roman" w:hAnsi="Times New Roman" w:eastAsia="仿宋_GB2312" w:cs="Times New Roman"/>
          <w:spacing w:val="6"/>
          <w:kern w:val="2"/>
          <w:sz w:val="32"/>
          <w:szCs w:val="36"/>
          <w:highlight w:val="none"/>
          <w:u w:val="none"/>
          <w:lang w:val="en-US" w:eastAsia="zh-CN" w:bidi="ar-SA"/>
          <w14:ligatures w14:val="standardContextual"/>
        </w:rPr>
        <w:t>、</w:t>
      </w:r>
      <w:r>
        <w:rPr>
          <w:rFonts w:hint="eastAsia" w:ascii="Times New Roman" w:hAnsi="Times New Roman" w:eastAsia="仿宋_GB2312" w:cs="Times New Roman"/>
          <w:spacing w:val="6"/>
          <w:kern w:val="2"/>
          <w:sz w:val="32"/>
          <w:szCs w:val="36"/>
          <w:highlight w:val="none"/>
          <w:u w:val="none"/>
          <w:lang w:val="en-US" w:eastAsia="zh-CN" w:bidi="ar-SA"/>
          <w14:ligatures w14:val="standardContextual"/>
        </w:rPr>
        <w:t>州城乡建设住房局和</w:t>
      </w:r>
      <w:r>
        <w:rPr>
          <w:rFonts w:hint="default" w:ascii="Times New Roman" w:hAnsi="Times New Roman" w:eastAsia="仿宋_GB2312" w:cs="Times New Roman"/>
          <w:spacing w:val="6"/>
          <w:kern w:val="2"/>
          <w:sz w:val="32"/>
          <w:szCs w:val="36"/>
          <w:highlight w:val="none"/>
          <w:u w:val="none"/>
          <w:lang w:val="en-US" w:eastAsia="zh-CN" w:bidi="ar-SA"/>
          <w14:ligatures w14:val="standardContextual"/>
        </w:rPr>
        <w:t>州卫生健康委</w:t>
      </w:r>
      <w:r>
        <w:rPr>
          <w:rFonts w:hint="eastAsia" w:ascii="Times New Roman" w:hAnsi="Times New Roman" w:eastAsia="仿宋_GB2312" w:cs="Times New Roman"/>
          <w:spacing w:val="6"/>
          <w:kern w:val="2"/>
          <w:sz w:val="32"/>
          <w:szCs w:val="36"/>
          <w:highlight w:val="none"/>
          <w:u w:val="none"/>
          <w:lang w:val="en-US" w:eastAsia="zh-CN" w:bidi="ar-SA"/>
          <w14:ligatures w14:val="standardContextual"/>
        </w:rPr>
        <w:t>5</w:t>
      </w:r>
      <w:r>
        <w:rPr>
          <w:rFonts w:hint="default" w:ascii="Times New Roman" w:hAnsi="Times New Roman" w:eastAsia="仿宋_GB2312" w:cs="Times New Roman"/>
          <w:spacing w:val="6"/>
          <w:kern w:val="2"/>
          <w:sz w:val="32"/>
          <w:szCs w:val="36"/>
          <w:highlight w:val="none"/>
          <w:u w:val="none"/>
          <w:lang w:val="en-US" w:eastAsia="zh-CN" w:bidi="ar-SA"/>
          <w14:ligatures w14:val="standardContextual"/>
        </w:rPr>
        <w:t>个</w:t>
      </w:r>
      <w:r>
        <w:rPr>
          <w:rFonts w:hint="eastAsia" w:ascii="Times New Roman" w:hAnsi="Times New Roman" w:eastAsia="仿宋_GB2312" w:cs="Times New Roman"/>
          <w:spacing w:val="6"/>
          <w:kern w:val="2"/>
          <w:sz w:val="32"/>
          <w:szCs w:val="36"/>
          <w:highlight w:val="none"/>
          <w:u w:val="none"/>
          <w:lang w:val="en-US" w:eastAsia="zh-CN" w:bidi="ar-SA"/>
          <w14:ligatures w14:val="standardContextual"/>
        </w:rPr>
        <w:t>行业</w:t>
      </w:r>
      <w:r>
        <w:rPr>
          <w:rFonts w:hint="default" w:ascii="Times New Roman" w:hAnsi="Times New Roman" w:eastAsia="仿宋_GB2312" w:cs="Times New Roman"/>
          <w:spacing w:val="6"/>
          <w:kern w:val="2"/>
          <w:sz w:val="32"/>
          <w:szCs w:val="36"/>
          <w:highlight w:val="none"/>
          <w:u w:val="none"/>
          <w:lang w:val="en-US" w:eastAsia="zh-CN" w:bidi="ar-SA"/>
          <w14:ligatures w14:val="standardContextual"/>
        </w:rPr>
        <w:t>部门</w:t>
      </w:r>
      <w:r>
        <w:rPr>
          <w:rFonts w:hint="eastAsia" w:ascii="Times New Roman" w:hAnsi="Times New Roman" w:eastAsia="仿宋_GB2312" w:cs="Times New Roman"/>
          <w:spacing w:val="6"/>
          <w:kern w:val="2"/>
          <w:sz w:val="32"/>
          <w:szCs w:val="36"/>
          <w:highlight w:val="none"/>
          <w:u w:val="none"/>
          <w:lang w:val="en-US" w:eastAsia="zh-CN" w:bidi="ar-SA"/>
          <w14:ligatures w14:val="standardContextual"/>
        </w:rPr>
        <w:t>和专项会议类、业务培训类、基建工程类、维修改造类、信息系统建设运维类和新闻宣传类6类</w:t>
      </w:r>
      <w:r>
        <w:rPr>
          <w:rFonts w:hint="default" w:ascii="Times New Roman" w:hAnsi="Times New Roman" w:eastAsia="仿宋_GB2312" w:cs="Times New Roman"/>
          <w:spacing w:val="6"/>
          <w:kern w:val="2"/>
          <w:sz w:val="32"/>
          <w:szCs w:val="36"/>
          <w:highlight w:val="none"/>
          <w:u w:val="none"/>
          <w:lang w:val="en-US" w:eastAsia="zh-CN" w:bidi="ar-SA"/>
          <w14:ligatures w14:val="standardContextual"/>
        </w:rPr>
        <w:t>共</w:t>
      </w:r>
      <w:r>
        <w:rPr>
          <w:rFonts w:hint="eastAsia" w:ascii="Times New Roman" w:hAnsi="Times New Roman" w:eastAsia="仿宋_GB2312" w:cs="Times New Roman"/>
          <w:spacing w:val="6"/>
          <w:kern w:val="2"/>
          <w:sz w:val="32"/>
          <w:szCs w:val="36"/>
          <w:highlight w:val="none"/>
          <w:u w:val="none"/>
          <w:lang w:val="en-US" w:eastAsia="zh-CN" w:bidi="ar-SA"/>
          <w14:ligatures w14:val="standardContextual"/>
        </w:rPr>
        <w:t>性项目建立绩效指标和标准体系。</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z w:val="32"/>
          <w:szCs w:val="32"/>
          <w:u w:val="none"/>
          <w:lang w:eastAsia="zh-CN"/>
        </w:rPr>
      </w:pPr>
      <w:r>
        <w:rPr>
          <w:rFonts w:hint="eastAsia" w:ascii="楷体_GB2312" w:hAnsi="楷体_GB2312" w:eastAsia="楷体_GB2312" w:cs="楷体_GB2312"/>
          <w:b/>
          <w:bCs/>
          <w:sz w:val="32"/>
          <w:szCs w:val="32"/>
          <w:u w:val="none"/>
          <w:lang w:eastAsia="zh-CN"/>
        </w:rPr>
        <w:t>（五）对绩效整改情况进行“回头看”。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cs="CESI仿宋-GB2312"/>
          <w:sz w:val="32"/>
          <w:szCs w:val="32"/>
          <w:u w:val="none"/>
          <w:lang w:eastAsia="zh-CN" w:bidi="ar-SA"/>
        </w:rPr>
        <w:t>在要求部门在预算一体化上传</w:t>
      </w:r>
      <w:r>
        <w:rPr>
          <w:rFonts w:hint="eastAsia" w:ascii="仿宋_GB2312" w:eastAsia="仿宋_GB2312" w:cs="CESI仿宋-GB2312"/>
          <w:sz w:val="32"/>
          <w:szCs w:val="32"/>
          <w:u w:val="none"/>
          <w:lang w:bidi="ar-SA"/>
        </w:rPr>
        <w:t>2023年重点绩效评价发现问题</w:t>
      </w:r>
      <w:r>
        <w:rPr>
          <w:rFonts w:hint="eastAsia" w:cs="CESI仿宋-GB2312"/>
          <w:sz w:val="32"/>
          <w:szCs w:val="32"/>
          <w:u w:val="none"/>
          <w:lang w:eastAsia="zh-CN" w:bidi="ar-SA"/>
        </w:rPr>
        <w:t>整改佐证资料，对在整改情况进行核实，并对山水林田</w:t>
      </w:r>
      <w:r>
        <w:rPr>
          <w:rFonts w:hint="eastAsia" w:ascii="仿宋_GB2312" w:eastAsia="仿宋_GB2312" w:cs="CESI仿宋-GB2312"/>
          <w:sz w:val="32"/>
          <w:szCs w:val="32"/>
          <w:u w:val="none"/>
          <w:lang w:bidi="ar-SA"/>
        </w:rPr>
        <w:t>绩效评价发现问题</w:t>
      </w:r>
      <w:r>
        <w:rPr>
          <w:rFonts w:hint="eastAsia" w:cs="CESI仿宋-GB2312"/>
          <w:sz w:val="32"/>
          <w:szCs w:val="32"/>
          <w:u w:val="none"/>
          <w:lang w:eastAsia="zh-CN" w:bidi="ar-SA"/>
        </w:rPr>
        <w:t>整改情况进行实地核查。并</w:t>
      </w:r>
      <w:r>
        <w:rPr>
          <w:rFonts w:hint="eastAsia" w:ascii="仿宋_GB2312" w:eastAsia="仿宋_GB2312"/>
          <w:sz w:val="32"/>
          <w:szCs w:val="32"/>
          <w:u w:val="none"/>
          <w:lang w:val="en-US" w:eastAsia="zh-CN"/>
        </w:rPr>
        <w:t>根据《四川省财政厅关于报送2023年度省级财政重点绩效评价发现问题整改资料的通知》</w:t>
      </w:r>
      <w:r>
        <w:rPr>
          <w:rFonts w:hint="eastAsia"/>
          <w:sz w:val="32"/>
          <w:szCs w:val="32"/>
          <w:u w:val="none"/>
          <w:lang w:val="en-US" w:eastAsia="zh-CN"/>
        </w:rPr>
        <w:t>，</w:t>
      </w:r>
      <w:r>
        <w:rPr>
          <w:rFonts w:hint="eastAsia" w:ascii="仿宋_GB2312" w:eastAsia="仿宋_GB2312"/>
          <w:sz w:val="32"/>
          <w:szCs w:val="32"/>
          <w:u w:val="none"/>
          <w:lang w:val="en-US" w:eastAsia="zh-CN"/>
        </w:rPr>
        <w:t>对</w:t>
      </w:r>
      <w:r>
        <w:rPr>
          <w:rFonts w:hint="eastAsia"/>
          <w:sz w:val="32"/>
          <w:szCs w:val="32"/>
          <w:u w:val="none"/>
          <w:lang w:val="en-US" w:eastAsia="zh-CN"/>
        </w:rPr>
        <w:t>3个点位</w:t>
      </w:r>
      <w:r>
        <w:rPr>
          <w:rFonts w:hint="eastAsia" w:ascii="仿宋_GB2312" w:eastAsia="仿宋_GB2312"/>
          <w:sz w:val="32"/>
          <w:szCs w:val="32"/>
          <w:u w:val="none"/>
          <w:lang w:val="en-US" w:eastAsia="zh-CN"/>
        </w:rPr>
        <w:t>2023年度省级财政重点绩效评价发现问题整改情况进行复</w:t>
      </w:r>
      <w:r>
        <w:rPr>
          <w:rFonts w:hint="eastAsia"/>
          <w:sz w:val="32"/>
          <w:szCs w:val="32"/>
          <w:u w:val="none"/>
          <w:lang w:val="en-US" w:eastAsia="zh-CN"/>
        </w:rPr>
        <w:t>核，</w:t>
      </w:r>
      <w:r>
        <w:rPr>
          <w:rFonts w:hint="eastAsia" w:ascii="仿宋_GB2312" w:hAnsi="仿宋_GB2312" w:eastAsia="仿宋_GB2312" w:cs="仿宋_GB2312"/>
          <w:sz w:val="32"/>
          <w:szCs w:val="32"/>
          <w:u w:val="none"/>
          <w:lang w:val="en-US" w:eastAsia="zh-CN"/>
        </w:rPr>
        <w:t>严格按照文件要求整理整改资料</w:t>
      </w:r>
      <w:r>
        <w:rPr>
          <w:rFonts w:hint="eastAsia" w:hAnsi="仿宋_GB2312" w:cs="仿宋_GB2312"/>
          <w:sz w:val="32"/>
          <w:szCs w:val="32"/>
          <w:u w:val="none"/>
          <w:lang w:val="en-US" w:eastAsia="zh-CN"/>
        </w:rPr>
        <w:t>。</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textAlignment w:val="auto"/>
        <w:rPr>
          <w:rFonts w:hint="eastAsia" w:ascii="楷体_GB2312" w:eastAsia="楷体_GB2312" w:cs="宋体"/>
          <w:b/>
          <w:bCs/>
          <w:sz w:val="32"/>
          <w:szCs w:val="32"/>
          <w:u w:val="none"/>
        </w:rPr>
      </w:pPr>
      <w:r>
        <w:rPr>
          <w:rFonts w:hint="eastAsia" w:ascii="楷体_GB2312" w:eastAsia="楷体_GB2312" w:cs="宋体"/>
          <w:b/>
          <w:bCs/>
          <w:sz w:val="32"/>
          <w:szCs w:val="32"/>
          <w:u w:val="none"/>
          <w:lang w:eastAsia="zh-CN"/>
        </w:rPr>
        <w:t>（六）强化工作重点</w:t>
      </w:r>
      <w:r>
        <w:rPr>
          <w:rFonts w:hint="eastAsia" w:ascii="楷体_GB2312" w:eastAsia="楷体_GB2312" w:cs="宋体"/>
          <w:b/>
          <w:bCs/>
          <w:sz w:val="32"/>
          <w:szCs w:val="32"/>
          <w:u w:val="none"/>
        </w:rPr>
        <w:t>，</w:t>
      </w:r>
      <w:r>
        <w:rPr>
          <w:rFonts w:hint="eastAsia" w:ascii="楷体_GB2312" w:eastAsia="楷体_GB2312" w:cs="宋体"/>
          <w:b/>
          <w:bCs/>
          <w:sz w:val="32"/>
          <w:szCs w:val="32"/>
          <w:u w:val="none"/>
          <w:lang w:eastAsia="zh-CN"/>
        </w:rPr>
        <w:t>提高</w:t>
      </w:r>
      <w:r>
        <w:rPr>
          <w:rFonts w:hint="eastAsia" w:ascii="楷体_GB2312" w:eastAsia="楷体_GB2312" w:cs="宋体"/>
          <w:b/>
          <w:bCs/>
          <w:sz w:val="32"/>
          <w:szCs w:val="32"/>
          <w:u w:val="none"/>
        </w:rPr>
        <w:t>评价</w:t>
      </w:r>
      <w:r>
        <w:rPr>
          <w:rFonts w:hint="eastAsia" w:ascii="楷体_GB2312" w:eastAsia="楷体_GB2312" w:cs="宋体"/>
          <w:b/>
          <w:bCs/>
          <w:sz w:val="32"/>
          <w:szCs w:val="32"/>
          <w:u w:val="none"/>
          <w:lang w:eastAsia="zh-CN"/>
        </w:rPr>
        <w:t>质量。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宋体"/>
          <w:bCs/>
          <w:sz w:val="32"/>
          <w:szCs w:val="32"/>
          <w:u w:val="none"/>
        </w:rPr>
      </w:pPr>
      <w:r>
        <w:rPr>
          <w:rFonts w:hint="eastAsia" w:ascii="CESI仿宋-GB2312" w:eastAsia="CESI仿宋-GB2312"/>
          <w:sz w:val="32"/>
          <w:szCs w:val="32"/>
          <w:u w:val="none"/>
        </w:rPr>
        <w:t>202</w:t>
      </w:r>
      <w:r>
        <w:rPr>
          <w:rFonts w:hint="eastAsia" w:ascii="CESI仿宋-GB2312" w:eastAsia="CESI仿宋-GB2312"/>
          <w:sz w:val="32"/>
          <w:szCs w:val="32"/>
          <w:u w:val="none"/>
          <w:lang w:val="en-US" w:eastAsia="zh-CN"/>
        </w:rPr>
        <w:t>4</w:t>
      </w:r>
      <w:r>
        <w:rPr>
          <w:rFonts w:hint="eastAsia" w:ascii="CESI仿宋-GB2312" w:eastAsia="CESI仿宋-GB2312"/>
          <w:sz w:val="32"/>
          <w:szCs w:val="32"/>
          <w:u w:val="none"/>
        </w:rPr>
        <w:t>年，</w:t>
      </w:r>
      <w:r>
        <w:rPr>
          <w:rFonts w:hint="eastAsia" w:ascii="仿宋_GB2312" w:eastAsia="仿宋_GB2312" w:cs="宋体"/>
          <w:bCs/>
          <w:sz w:val="32"/>
          <w:szCs w:val="32"/>
          <w:u w:val="none"/>
        </w:rPr>
        <w:t>紧紧围绕我州高质量发展“1610”系统部署，聚焦民族团结、民生改善、生态文明、乡村振兴、城乡环境等重点领域，印发《阿坝州财政局关于开展2024年财政重点绩效评价工作的通知》，选取55个专项项目、15个政策性项目和23个州级部门整体支出开展本年度重点绩效评价，涉及财政资金62.60亿元，其中：</w:t>
      </w:r>
      <w:r>
        <w:rPr>
          <w:rFonts w:hint="eastAsia" w:ascii="仿宋_GB2312" w:eastAsia="仿宋_GB2312"/>
          <w:sz w:val="32"/>
          <w:szCs w:val="32"/>
          <w:u w:val="none"/>
        </w:rPr>
        <w:t>评价部门整体资金量13.98亿</w:t>
      </w:r>
      <w:r>
        <w:rPr>
          <w:rFonts w:hint="eastAsia" w:ascii="仿宋_GB2312" w:eastAsia="仿宋_GB2312" w:cs="宋体"/>
          <w:bCs/>
          <w:sz w:val="32"/>
          <w:szCs w:val="32"/>
          <w:u w:val="none"/>
        </w:rPr>
        <w:t>元</w:t>
      </w:r>
      <w:r>
        <w:rPr>
          <w:rFonts w:hint="eastAsia" w:ascii="仿宋_GB2312" w:eastAsia="仿宋_GB2312"/>
          <w:sz w:val="32"/>
          <w:szCs w:val="32"/>
          <w:u w:val="none"/>
        </w:rPr>
        <w:t>，</w:t>
      </w:r>
      <w:r>
        <w:rPr>
          <w:rFonts w:hint="eastAsia" w:ascii="仿宋_GB2312" w:eastAsia="仿宋_GB2312" w:cs="宋体"/>
          <w:bCs/>
          <w:sz w:val="32"/>
          <w:szCs w:val="32"/>
          <w:u w:val="none"/>
        </w:rPr>
        <w:t>绩效评价最高得分89.12分，最低得分71分，</w:t>
      </w:r>
      <w:r>
        <w:rPr>
          <w:rFonts w:hint="eastAsia"/>
          <w:sz w:val="32"/>
          <w:szCs w:val="32"/>
          <w:u w:val="none"/>
          <w:lang w:eastAsia="zh-CN"/>
        </w:rPr>
        <w:t>发现问题</w:t>
      </w:r>
      <w:r>
        <w:rPr>
          <w:rFonts w:hint="eastAsia" w:ascii="仿宋_GB2312" w:eastAsia="仿宋_GB2312" w:cs="宋体"/>
          <w:bCs/>
          <w:sz w:val="32"/>
          <w:szCs w:val="32"/>
          <w:u w:val="none"/>
        </w:rPr>
        <w:t>共计146条</w:t>
      </w:r>
      <w:r>
        <w:rPr>
          <w:rFonts w:hint="eastAsia" w:cs="宋体"/>
          <w:bCs/>
          <w:sz w:val="32"/>
          <w:szCs w:val="32"/>
          <w:u w:val="none"/>
          <w:lang w:eastAsia="zh-CN"/>
        </w:rPr>
        <w:t>。</w:t>
      </w:r>
      <w:r>
        <w:rPr>
          <w:rFonts w:hint="eastAsia" w:ascii="仿宋_GB2312" w:eastAsia="仿宋_GB2312" w:cs="宋体"/>
          <w:bCs/>
          <w:sz w:val="32"/>
          <w:szCs w:val="32"/>
          <w:u w:val="none"/>
        </w:rPr>
        <w:t>评价项目资金量19.87亿元，评价政策性项目资金</w:t>
      </w:r>
      <w:r>
        <w:rPr>
          <w:rFonts w:hint="eastAsia" w:ascii="仿宋_GB2312" w:eastAsia="仿宋_GB2312"/>
          <w:sz w:val="32"/>
          <w:szCs w:val="32"/>
          <w:u w:val="none"/>
        </w:rPr>
        <w:t>量</w:t>
      </w:r>
      <w:r>
        <w:rPr>
          <w:rFonts w:hint="eastAsia" w:ascii="仿宋_GB2312" w:eastAsia="仿宋_GB2312" w:cs="宋体"/>
          <w:bCs/>
          <w:sz w:val="32"/>
          <w:szCs w:val="32"/>
          <w:u w:val="none"/>
        </w:rPr>
        <w:t>28.75亿元</w:t>
      </w:r>
      <w:r>
        <w:rPr>
          <w:rFonts w:hint="eastAsia" w:ascii="仿宋_GB2312" w:eastAsia="仿宋_GB2312"/>
          <w:sz w:val="32"/>
          <w:szCs w:val="32"/>
          <w:u w:val="none"/>
        </w:rPr>
        <w:t>，</w:t>
      </w:r>
      <w:r>
        <w:rPr>
          <w:rFonts w:hint="eastAsia" w:ascii="仿宋_GB2312" w:eastAsia="仿宋_GB2312" w:cs="宋体"/>
          <w:bCs/>
          <w:sz w:val="32"/>
          <w:szCs w:val="32"/>
          <w:u w:val="none"/>
        </w:rPr>
        <w:t>最高得分96.</w:t>
      </w:r>
      <w:r>
        <w:rPr>
          <w:rFonts w:hint="eastAsia" w:ascii="仿宋_GB2312" w:eastAsia="仿宋_GB2312" w:cs="宋体"/>
          <w:bCs/>
          <w:sz w:val="32"/>
          <w:szCs w:val="32"/>
          <w:u w:val="none"/>
          <w:lang w:val="en-US" w:eastAsia="zh-CN"/>
        </w:rPr>
        <w:t>96</w:t>
      </w:r>
      <w:r>
        <w:rPr>
          <w:rFonts w:hint="eastAsia" w:ascii="仿宋_GB2312" w:eastAsia="仿宋_GB2312" w:cs="宋体"/>
          <w:bCs/>
          <w:sz w:val="32"/>
          <w:szCs w:val="32"/>
          <w:u w:val="none"/>
        </w:rPr>
        <w:t>分，最低得分</w:t>
      </w:r>
      <w:r>
        <w:rPr>
          <w:rFonts w:hint="eastAsia" w:cs="宋体"/>
          <w:bCs/>
          <w:sz w:val="32"/>
          <w:szCs w:val="32"/>
          <w:u w:val="none"/>
          <w:lang w:val="en-US" w:eastAsia="zh-CN"/>
        </w:rPr>
        <w:t>68.75</w:t>
      </w:r>
      <w:r>
        <w:rPr>
          <w:rFonts w:hint="eastAsia" w:ascii="仿宋_GB2312" w:eastAsia="仿宋_GB2312" w:cs="宋体"/>
          <w:bCs/>
          <w:sz w:val="32"/>
          <w:szCs w:val="32"/>
          <w:u w:val="none"/>
        </w:rPr>
        <w:t>分，发现问题共计580条</w:t>
      </w:r>
      <w:r>
        <w:rPr>
          <w:rFonts w:hint="eastAsia" w:cs="宋体"/>
          <w:bCs/>
          <w:sz w:val="32"/>
          <w:szCs w:val="32"/>
          <w:u w:val="none"/>
          <w:lang w:eastAsia="zh-CN"/>
        </w:rPr>
        <w:t>。</w:t>
      </w:r>
      <w:r>
        <w:rPr>
          <w:rFonts w:hint="eastAsia" w:ascii="仿宋_GB2312" w:eastAsia="仿宋_GB2312"/>
          <w:sz w:val="32"/>
          <w:szCs w:val="32"/>
          <w:u w:val="none"/>
        </w:rPr>
        <w:t>重点评价范围从一般公共预算延伸至政府性基金预算、国有资本经营预算、社会保险基金预算，内容涵盖行政事业性国有资产、政府采购和政府购买服务项目等。</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b/>
          <w:bCs/>
          <w:u w:val="none"/>
          <w:lang w:val="en-US" w:eastAsia="zh-CN"/>
        </w:rPr>
      </w:pPr>
      <w:r>
        <w:rPr>
          <w:rFonts w:hint="eastAsia" w:ascii="楷体_GB2312" w:hAnsi="楷体_GB2312" w:eastAsia="楷体_GB2312" w:cs="楷体_GB2312"/>
          <w:b/>
          <w:bCs/>
          <w:u w:val="none"/>
          <w:lang w:val="en-US" w:eastAsia="zh-CN"/>
        </w:rPr>
        <w:t>（七）加强培训，提升能力建设。</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pPr>
      <w:r>
        <w:rPr>
          <w:rFonts w:hint="eastAsia"/>
          <w:b/>
          <w:bCs/>
          <w:u w:val="none"/>
          <w:lang w:val="en-US" w:eastAsia="zh-CN"/>
        </w:rPr>
        <w:t>一是开展预算绩效管理暨财务会计专业能力提升培训。</w:t>
      </w:r>
      <w:r>
        <w:rPr>
          <w:rFonts w:hint="eastAsia"/>
          <w:u w:val="none"/>
          <w:lang w:val="en-US" w:eastAsia="zh-CN"/>
        </w:rPr>
        <w:t>为进一步提升预算绩效管理和财会监督工作质效，持续深化“花钱必问效，无效必问责”理念，强化财政队伍建设，阿坝州财政局联合税务局开展预算绩效管理暨财务会计专业能力提升培训，全州 13 县（市）财政干部、税务系统和州级行政事业单位财会人员等 250 余人参加培训。</w:t>
      </w:r>
      <w:r>
        <w:rPr>
          <w:rFonts w:hint="eastAsia"/>
          <w:b/>
          <w:bCs/>
          <w:u w:val="none"/>
          <w:lang w:val="en-US" w:eastAsia="zh-CN"/>
        </w:rPr>
        <w:t>二是开展</w:t>
      </w:r>
      <w:r>
        <w:rPr>
          <w:rFonts w:hint="eastAsia" w:ascii="仿宋_GB2312" w:eastAsia="仿宋_GB2312"/>
          <w:b/>
          <w:bCs/>
          <w:sz w:val="32"/>
          <w:szCs w:val="32"/>
          <w:u w:val="none"/>
        </w:rPr>
        <w:t>“三管三必须”培训会</w:t>
      </w:r>
      <w:r>
        <w:rPr>
          <w:rFonts w:hint="eastAsia"/>
          <w:b/>
          <w:bCs/>
          <w:sz w:val="32"/>
          <w:szCs w:val="32"/>
          <w:u w:val="none"/>
          <w:lang w:eastAsia="zh-CN"/>
        </w:rPr>
        <w:t>。</w:t>
      </w:r>
      <w:r>
        <w:rPr>
          <w:rFonts w:hint="eastAsia"/>
          <w:b w:val="0"/>
          <w:bCs w:val="0"/>
          <w:sz w:val="32"/>
          <w:szCs w:val="32"/>
          <w:u w:val="none"/>
          <w:lang w:eastAsia="zh-CN"/>
        </w:rPr>
        <w:t>为</w:t>
      </w:r>
      <w:r>
        <w:rPr>
          <w:rFonts w:hint="eastAsia" w:ascii="仿宋_GB2312" w:eastAsia="仿宋_GB2312"/>
          <w:sz w:val="32"/>
          <w:szCs w:val="32"/>
          <w:u w:val="none"/>
        </w:rPr>
        <w:t>强化“管资金必须管绩效和监督、管项目必须管绩效和监督、管政策必须管绩效和监督”责任意识，邀请了省财政厅绩效处处长卢军任、监督处副处长王潇到我州召开财政监督绩效“三管三必须”培训会，全州财政系统及州、县两级28个专项资金主管部门443人参加。</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z w:val="32"/>
          <w:szCs w:val="32"/>
          <w:u w:val="none"/>
          <w:lang w:eastAsia="zh-CN"/>
        </w:rPr>
      </w:pPr>
      <w:r>
        <w:rPr>
          <w:rFonts w:hint="eastAsia" w:ascii="楷体_GB2312" w:hAnsi="楷体_GB2312" w:eastAsia="楷体_GB2312" w:cs="楷体_GB2312"/>
          <w:b/>
          <w:bCs/>
          <w:sz w:val="32"/>
          <w:szCs w:val="32"/>
          <w:u w:val="none"/>
          <w:lang w:eastAsia="zh-CN"/>
        </w:rPr>
        <w:t>（八</w:t>
      </w:r>
      <w:r>
        <w:rPr>
          <w:rFonts w:hint="eastAsia" w:ascii="楷体_GB2312" w:hAnsi="楷体_GB2312" w:eastAsia="楷体_GB2312" w:cs="楷体_GB2312"/>
          <w:b/>
          <w:bCs/>
          <w:sz w:val="32"/>
          <w:szCs w:val="32"/>
          <w:u w:val="none"/>
          <w:lang w:val="en-US" w:eastAsia="zh-CN"/>
        </w:rPr>
        <w:t>)扩大</w:t>
      </w:r>
      <w:r>
        <w:rPr>
          <w:rFonts w:hint="eastAsia" w:ascii="楷体_GB2312" w:hAnsi="楷体_GB2312" w:eastAsia="楷体_GB2312" w:cs="楷体_GB2312"/>
          <w:b/>
          <w:bCs/>
          <w:sz w:val="32"/>
          <w:szCs w:val="32"/>
          <w:u w:val="none"/>
          <w:lang w:eastAsia="zh-CN"/>
        </w:rPr>
        <w:t>宣传，提高思想认识。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sz w:val="32"/>
          <w:szCs w:val="32"/>
          <w:u w:val="none"/>
          <w:lang w:val="en-US" w:eastAsia="zh-CN"/>
        </w:rPr>
      </w:pPr>
      <w:r>
        <w:rPr>
          <w:rFonts w:hint="eastAsia"/>
          <w:b/>
          <w:bCs/>
          <w:sz w:val="32"/>
          <w:szCs w:val="32"/>
          <w:u w:val="none"/>
          <w:lang w:eastAsia="zh-CN"/>
        </w:rPr>
        <w:t>一是加大</w:t>
      </w:r>
      <w:r>
        <w:rPr>
          <w:rFonts w:hint="eastAsia" w:ascii="仿宋_GB2312" w:eastAsia="仿宋_GB2312"/>
          <w:b/>
          <w:bCs/>
          <w:sz w:val="32"/>
          <w:szCs w:val="32"/>
          <w:u w:val="none"/>
        </w:rPr>
        <w:t>“三管三必须”</w:t>
      </w:r>
      <w:r>
        <w:rPr>
          <w:rFonts w:hint="eastAsia"/>
          <w:b/>
          <w:bCs/>
          <w:sz w:val="32"/>
          <w:szCs w:val="32"/>
          <w:u w:val="none"/>
          <w:lang w:eastAsia="zh-CN"/>
        </w:rPr>
        <w:t>宣传力度。</w:t>
      </w:r>
      <w:r>
        <w:rPr>
          <w:rFonts w:hint="eastAsia"/>
          <w:b w:val="0"/>
          <w:bCs w:val="0"/>
          <w:sz w:val="32"/>
          <w:szCs w:val="32"/>
          <w:u w:val="none"/>
          <w:lang w:eastAsia="zh-CN"/>
        </w:rPr>
        <w:t>采用“线上</w:t>
      </w:r>
      <w:r>
        <w:rPr>
          <w:rFonts w:hint="eastAsia"/>
          <w:b w:val="0"/>
          <w:bCs w:val="0"/>
          <w:sz w:val="32"/>
          <w:szCs w:val="32"/>
          <w:u w:val="none"/>
          <w:lang w:val="en-US" w:eastAsia="zh-CN"/>
        </w:rPr>
        <w:t>+线下”模式宣传，线上通过在</w:t>
      </w:r>
      <w:r>
        <w:rPr>
          <w:rFonts w:hint="eastAsia"/>
          <w:sz w:val="32"/>
          <w:szCs w:val="32"/>
          <w:u w:val="none"/>
          <w:lang w:eastAsia="zh-CN"/>
        </w:rPr>
        <w:t>阿坝日报刊登</w:t>
      </w:r>
      <w:r>
        <w:rPr>
          <w:rFonts w:hint="eastAsia" w:ascii="仿宋_GB2312" w:eastAsia="仿宋_GB2312"/>
          <w:sz w:val="32"/>
          <w:szCs w:val="32"/>
          <w:u w:val="none"/>
        </w:rPr>
        <w:t>“管资金必须管绩效和监督、管项目必须管绩效和监督、管政策必须管绩效和监督”</w:t>
      </w:r>
      <w:r>
        <w:rPr>
          <w:rFonts w:hint="eastAsia"/>
          <w:sz w:val="32"/>
          <w:szCs w:val="32"/>
          <w:u w:val="none"/>
          <w:lang w:eastAsia="zh-CN"/>
        </w:rPr>
        <w:t>进行宣传；将</w:t>
      </w:r>
      <w:r>
        <w:rPr>
          <w:rFonts w:hint="eastAsia" w:ascii="仿宋_GB2312" w:eastAsia="仿宋_GB2312"/>
          <w:sz w:val="32"/>
          <w:szCs w:val="32"/>
          <w:u w:val="none"/>
        </w:rPr>
        <w:t>“三管三必须”</w:t>
      </w:r>
      <w:r>
        <w:rPr>
          <w:rFonts w:hint="eastAsia"/>
          <w:sz w:val="32"/>
          <w:szCs w:val="32"/>
          <w:u w:val="none"/>
          <w:lang w:eastAsia="zh-CN"/>
        </w:rPr>
        <w:t>培训会在阿坝新闻联播进行报道宣传。线下通过打印标牌贴在财政过道进行宣传。</w:t>
      </w:r>
      <w:r>
        <w:rPr>
          <w:rFonts w:hint="eastAsia"/>
          <w:b/>
          <w:bCs/>
          <w:sz w:val="32"/>
          <w:szCs w:val="32"/>
          <w:u w:val="none"/>
          <w:lang w:eastAsia="zh-CN"/>
        </w:rPr>
        <w:t>二是通过财政</w:t>
      </w:r>
      <w:r>
        <w:rPr>
          <w:rFonts w:hint="eastAsia"/>
          <w:b/>
          <w:bCs/>
          <w:sz w:val="32"/>
          <w:szCs w:val="32"/>
          <w:u w:val="none"/>
          <w:lang w:val="en-US" w:eastAsia="zh-CN"/>
        </w:rPr>
        <w:t>LED宣传栏宣传绩效政策。</w:t>
      </w:r>
      <w:r>
        <w:rPr>
          <w:rFonts w:hint="eastAsia"/>
          <w:sz w:val="32"/>
          <w:szCs w:val="32"/>
          <w:u w:val="none"/>
          <w:lang w:val="en-US" w:eastAsia="zh-CN"/>
        </w:rPr>
        <w:t>在</w:t>
      </w:r>
      <w:r>
        <w:rPr>
          <w:rFonts w:hint="eastAsia"/>
          <w:sz w:val="32"/>
          <w:szCs w:val="32"/>
          <w:u w:val="none"/>
          <w:lang w:eastAsia="zh-CN"/>
        </w:rPr>
        <w:t>财政门口</w:t>
      </w:r>
      <w:r>
        <w:rPr>
          <w:rFonts w:hint="eastAsia"/>
          <w:sz w:val="32"/>
          <w:szCs w:val="32"/>
          <w:u w:val="none"/>
          <w:lang w:val="en-US" w:eastAsia="zh-CN"/>
        </w:rPr>
        <w:t>LED宣传栏滚动播放《中共四川省委 四川省人民政府关于全面实施预算绩效管理的实施意见》、《推进财政绩效监督“三管三必须”落实见效实施办法》等文件。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二、2025年工作计划</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pPr>
      <w:r>
        <w:rPr>
          <w:rFonts w:hint="eastAsia" w:cs="Times New Roman"/>
          <w:b/>
          <w:bCs/>
          <w:sz w:val="32"/>
          <w:szCs w:val="32"/>
          <w:u w:val="none"/>
          <w:lang w:val="en-US" w:eastAsia="zh-CN"/>
        </w:rPr>
        <w:t>一是</w:t>
      </w:r>
      <w:r>
        <w:rPr>
          <w:rFonts w:hint="default" w:cs="Times New Roman"/>
          <w:b/>
          <w:bCs/>
          <w:sz w:val="32"/>
          <w:szCs w:val="32"/>
          <w:u w:val="none"/>
          <w:lang w:val="en-US" w:eastAsia="zh-CN"/>
        </w:rPr>
        <w:t>强化绩效目标</w:t>
      </w:r>
      <w:r>
        <w:rPr>
          <w:rFonts w:hint="eastAsia" w:cs="Times New Roman"/>
          <w:b/>
          <w:bCs/>
          <w:sz w:val="32"/>
          <w:szCs w:val="32"/>
          <w:u w:val="none"/>
          <w:lang w:val="en-US" w:eastAsia="zh-CN"/>
        </w:rPr>
        <w:t>管理</w:t>
      </w:r>
      <w:r>
        <w:rPr>
          <w:rFonts w:hint="default" w:cs="Times New Roman"/>
          <w:b/>
          <w:bCs/>
          <w:sz w:val="32"/>
          <w:szCs w:val="32"/>
          <w:u w:val="none"/>
          <w:lang w:val="en-US" w:eastAsia="zh-CN"/>
        </w:rPr>
        <w:t>。</w:t>
      </w:r>
      <w:r>
        <w:rPr>
          <w:rFonts w:hint="default" w:cs="Times New Roman"/>
          <w:sz w:val="32"/>
          <w:szCs w:val="32"/>
          <w:u w:val="none"/>
          <w:lang w:val="en-US" w:eastAsia="zh-CN"/>
        </w:rPr>
        <w:t>组织开展绩效目标质量会审，完善绩效目标会审标准，进一步提高绩效目标编制质量。</w:t>
      </w:r>
      <w:r>
        <w:rPr>
          <w:rFonts w:hint="eastAsia" w:cs="Times New Roman"/>
          <w:b/>
          <w:bCs/>
          <w:sz w:val="32"/>
          <w:szCs w:val="32"/>
          <w:u w:val="none"/>
          <w:lang w:val="en-US" w:eastAsia="zh-CN"/>
        </w:rPr>
        <w:t>二是</w:t>
      </w:r>
      <w:r>
        <w:rPr>
          <w:rFonts w:hint="default" w:cs="Times New Roman"/>
          <w:b/>
          <w:bCs/>
          <w:sz w:val="32"/>
          <w:szCs w:val="32"/>
          <w:u w:val="none"/>
          <w:lang w:val="en-US" w:eastAsia="zh-CN"/>
        </w:rPr>
        <w:t>深入实施事前绩效评估。</w:t>
      </w:r>
      <w:r>
        <w:rPr>
          <w:rFonts w:hint="default" w:cs="Times New Roman"/>
          <w:sz w:val="32"/>
          <w:szCs w:val="32"/>
          <w:u w:val="none"/>
          <w:lang w:val="en-US" w:eastAsia="zh-CN"/>
        </w:rPr>
        <w:t>抓细抓实绩效评估工作，进一步规范预算执行阶段绩效评估和预算评审的统筹实施。</w:t>
      </w:r>
      <w:r>
        <w:rPr>
          <w:rFonts w:hint="eastAsia" w:cs="Times New Roman"/>
          <w:b/>
          <w:bCs/>
          <w:sz w:val="32"/>
          <w:szCs w:val="32"/>
          <w:u w:val="none"/>
          <w:lang w:val="en-US" w:eastAsia="zh-CN"/>
        </w:rPr>
        <w:t>三是</w:t>
      </w:r>
      <w:r>
        <w:rPr>
          <w:rFonts w:hint="default" w:cs="Times New Roman"/>
          <w:b/>
          <w:bCs/>
          <w:sz w:val="32"/>
          <w:szCs w:val="32"/>
          <w:u w:val="none"/>
          <w:lang w:val="en-US" w:eastAsia="zh-CN"/>
        </w:rPr>
        <w:t>深化事中绩效运行监控。</w:t>
      </w:r>
      <w:r>
        <w:rPr>
          <w:rFonts w:hint="default" w:cs="Times New Roman"/>
          <w:sz w:val="32"/>
          <w:szCs w:val="32"/>
          <w:u w:val="none"/>
          <w:lang w:val="en-US" w:eastAsia="zh-CN"/>
        </w:rPr>
        <w:t>督促州级部门高质量实施全覆盖全时段绩效运行“双监控”，将绩效实现情况与预期目标进行比较，强化研判分析，及时纠偏纠错。</w:t>
      </w:r>
      <w:r>
        <w:rPr>
          <w:rFonts w:hint="eastAsia" w:cs="Times New Roman"/>
          <w:b/>
          <w:bCs/>
          <w:sz w:val="32"/>
          <w:szCs w:val="32"/>
          <w:u w:val="none"/>
          <w:lang w:val="en-US" w:eastAsia="zh-CN"/>
        </w:rPr>
        <w:t>四是</w:t>
      </w:r>
      <w:r>
        <w:rPr>
          <w:rFonts w:hint="default" w:cs="Times New Roman"/>
          <w:b/>
          <w:bCs/>
          <w:sz w:val="32"/>
          <w:szCs w:val="32"/>
          <w:u w:val="none"/>
          <w:lang w:val="en-US" w:eastAsia="zh-CN"/>
        </w:rPr>
        <w:t>提升重点绩效评价质量。</w:t>
      </w:r>
      <w:r>
        <w:rPr>
          <w:rFonts w:hint="default" w:cs="Times New Roman"/>
          <w:sz w:val="32"/>
          <w:szCs w:val="32"/>
          <w:u w:val="none"/>
          <w:lang w:val="en-US" w:eastAsia="zh-CN"/>
        </w:rPr>
        <w:t>加强财政重点绩效评价，更加关注州委、州政府重大决策部署贯彻落实情况，更加关注项目和资金管理制度建立健全情况。</w:t>
      </w:r>
      <w:r>
        <w:rPr>
          <w:rFonts w:hint="eastAsia" w:cs="Times New Roman"/>
          <w:b/>
          <w:bCs/>
          <w:sz w:val="32"/>
          <w:szCs w:val="32"/>
          <w:u w:val="none"/>
          <w:lang w:val="en-US" w:eastAsia="zh-CN"/>
        </w:rPr>
        <w:t>五是</w:t>
      </w:r>
      <w:r>
        <w:rPr>
          <w:rFonts w:hint="default" w:cs="Times New Roman"/>
          <w:b/>
          <w:bCs/>
          <w:sz w:val="32"/>
          <w:szCs w:val="32"/>
          <w:u w:val="none"/>
          <w:lang w:val="en-US" w:eastAsia="zh-CN"/>
        </w:rPr>
        <w:t>开展202</w:t>
      </w:r>
      <w:r>
        <w:rPr>
          <w:rFonts w:hint="eastAsia" w:cs="Times New Roman"/>
          <w:b/>
          <w:bCs/>
          <w:sz w:val="32"/>
          <w:szCs w:val="32"/>
          <w:u w:val="none"/>
          <w:lang w:val="en-US" w:eastAsia="zh-CN"/>
        </w:rPr>
        <w:t>4</w:t>
      </w:r>
      <w:r>
        <w:rPr>
          <w:rFonts w:hint="default" w:cs="Times New Roman"/>
          <w:b/>
          <w:bCs/>
          <w:sz w:val="32"/>
          <w:szCs w:val="32"/>
          <w:u w:val="none"/>
          <w:lang w:val="en-US" w:eastAsia="zh-CN"/>
        </w:rPr>
        <w:t>年绩效问题整改回头看。</w:t>
      </w:r>
      <w:r>
        <w:rPr>
          <w:rFonts w:hint="default" w:cs="Times New Roman"/>
          <w:sz w:val="32"/>
          <w:szCs w:val="32"/>
          <w:u w:val="none"/>
          <w:lang w:val="en-US" w:eastAsia="zh-CN"/>
        </w:rPr>
        <w:t>确保202</w:t>
      </w:r>
      <w:r>
        <w:rPr>
          <w:rFonts w:hint="eastAsia" w:cs="Times New Roman"/>
          <w:sz w:val="32"/>
          <w:szCs w:val="32"/>
          <w:u w:val="none"/>
          <w:lang w:val="en-US" w:eastAsia="zh-CN"/>
        </w:rPr>
        <w:t>4</w:t>
      </w:r>
      <w:r>
        <w:rPr>
          <w:rFonts w:hint="default" w:cs="Times New Roman"/>
          <w:sz w:val="32"/>
          <w:szCs w:val="32"/>
          <w:u w:val="none"/>
          <w:lang w:val="en-US" w:eastAsia="zh-CN"/>
        </w:rPr>
        <w:t>年财政重点绩效评价发现问题整改取得实效，抽调相关人员组成复核工作组对202</w:t>
      </w:r>
      <w:r>
        <w:rPr>
          <w:rFonts w:hint="eastAsia" w:cs="Times New Roman"/>
          <w:sz w:val="32"/>
          <w:szCs w:val="32"/>
          <w:u w:val="none"/>
          <w:lang w:val="en-US" w:eastAsia="zh-CN"/>
        </w:rPr>
        <w:t>4</w:t>
      </w:r>
      <w:r>
        <w:rPr>
          <w:rFonts w:hint="default" w:cs="Times New Roman"/>
          <w:sz w:val="32"/>
          <w:szCs w:val="32"/>
          <w:u w:val="none"/>
          <w:lang w:val="en-US" w:eastAsia="zh-CN"/>
        </w:rPr>
        <w:t>年财政重点绩效评价发现问题整改情况进行回头看</w:t>
      </w:r>
      <w:r>
        <w:rPr>
          <w:rFonts w:hint="eastAsia" w:cs="Times New Roman"/>
          <w:sz w:val="32"/>
          <w:szCs w:val="32"/>
          <w:u w:val="none"/>
          <w:lang w:val="en-US" w:eastAsia="zh-CN"/>
        </w:rPr>
        <w:t>。</w:t>
      </w:r>
      <w:r>
        <w:rPr>
          <w:rFonts w:hint="eastAsia" w:cs="Times New Roman"/>
          <w:b/>
          <w:bCs/>
          <w:sz w:val="32"/>
          <w:szCs w:val="32"/>
          <w:u w:val="none"/>
          <w:lang w:val="en-US" w:eastAsia="zh-CN"/>
        </w:rPr>
        <w:t>六是</w:t>
      </w:r>
      <w:r>
        <w:rPr>
          <w:rFonts w:hint="default" w:cs="Times New Roman"/>
          <w:b/>
          <w:bCs/>
          <w:sz w:val="32"/>
          <w:szCs w:val="32"/>
          <w:u w:val="none"/>
          <w:lang w:val="en-US" w:eastAsia="zh-CN"/>
        </w:rPr>
        <w:t>持续强化绩效结果应用。</w:t>
      </w:r>
      <w:r>
        <w:rPr>
          <w:rFonts w:hint="default" w:cs="Times New Roman"/>
          <w:sz w:val="32"/>
          <w:szCs w:val="32"/>
          <w:u w:val="none"/>
          <w:lang w:val="en-US" w:eastAsia="zh-CN"/>
        </w:rPr>
        <w:t>严格执行上级财政对下级财政、财政部门对同级部门、部门内部的绩效结果应用。</w:t>
      </w:r>
      <w:r>
        <w:rPr>
          <w:rFonts w:hint="eastAsia" w:cs="Times New Roman"/>
          <w:b/>
          <w:bCs/>
          <w:sz w:val="32"/>
          <w:szCs w:val="32"/>
          <w:u w:val="none"/>
          <w:lang w:val="en-US" w:eastAsia="zh-CN"/>
        </w:rPr>
        <w:t>七是</w:t>
      </w:r>
      <w:r>
        <w:rPr>
          <w:rFonts w:hint="default" w:cs="Times New Roman"/>
          <w:b/>
          <w:bCs/>
          <w:sz w:val="32"/>
          <w:szCs w:val="32"/>
          <w:u w:val="none"/>
          <w:lang w:val="en-US" w:eastAsia="zh-CN"/>
        </w:rPr>
        <w:t>优化绩效管理考核。</w:t>
      </w:r>
      <w:r>
        <w:rPr>
          <w:rFonts w:hint="default" w:cs="Times New Roman"/>
          <w:sz w:val="32"/>
          <w:szCs w:val="32"/>
          <w:u w:val="none"/>
          <w:lang w:val="en-US" w:eastAsia="zh-CN"/>
        </w:rPr>
        <w:t>按照“管控过程+结果导向”的思路，优化完善州级部门和县（市）财政部门预算绩效管理工作考核指标体系，修订相应预算绩效管理工作考核办法，加强考核结果通报和应用。</w:t>
      </w:r>
      <w:r>
        <w:rPr>
          <w:rFonts w:hint="eastAsia" w:cs="Times New Roman"/>
          <w:b/>
          <w:bCs/>
          <w:sz w:val="32"/>
          <w:szCs w:val="32"/>
          <w:u w:val="none"/>
          <w:lang w:val="en-US" w:eastAsia="zh-CN"/>
        </w:rPr>
        <w:t>八是</w:t>
      </w:r>
      <w:r>
        <w:rPr>
          <w:rFonts w:hint="default" w:cs="Times New Roman"/>
          <w:b/>
          <w:bCs/>
          <w:sz w:val="32"/>
          <w:szCs w:val="32"/>
          <w:u w:val="none"/>
          <w:lang w:val="en-US" w:eastAsia="zh-CN"/>
        </w:rPr>
        <w:t>开展预算绩效管理及财会监督专题培训会。</w:t>
      </w:r>
      <w:r>
        <w:rPr>
          <w:rFonts w:hint="default" w:cs="Times New Roman"/>
          <w:sz w:val="32"/>
          <w:szCs w:val="32"/>
          <w:u w:val="none"/>
          <w:lang w:val="en-US" w:eastAsia="zh-CN"/>
        </w:rPr>
        <w:t>加强预算绩效与财会监督的宣传和培训工作，推动各级各部门牢固树立绩效、理念，增强绩效认识，落实主体责任，将绩效理念方法融入决策管理，助推经济社会高质量发展</w:t>
      </w:r>
      <w:r>
        <w:rPr>
          <w:rFonts w:hint="eastAsia"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pPr>
    </w:p>
    <w:sectPr>
      <w:pgSz w:w="11907" w:h="16839"/>
      <w:pgMar w:top="1440" w:right="1800" w:bottom="1440" w:left="1800" w:header="851" w:footer="992"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Arial">
    <w:altName w:val="DejaVu Sans"/>
    <w:panose1 w:val="020B0604020202020204"/>
    <w:charset w:val="00"/>
    <w:family w:val="auto"/>
    <w:pitch w:val="default"/>
    <w:sig w:usb0="00000000" w:usb1="00000000" w:usb2="00000008" w:usb3="00000000" w:csb0="400001FF" w:csb1="FFFF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modern"/>
    <w:pitch w:val="default"/>
    <w:sig w:usb0="00000001" w:usb1="080E0000" w:usb2="00000000" w:usb3="00000000" w:csb0="00040000" w:csb1="00000000"/>
  </w:font>
  <w:font w:name="CESI仿宋-GB2312">
    <w:panose1 w:val="02000500000000000000"/>
    <w:charset w:val="86"/>
    <w:family w:val="script"/>
    <w:pitch w:val="default"/>
    <w:sig w:usb0="800002AF" w:usb1="084F6CF8" w:usb2="00000010" w:usb3="00000000" w:csb0="0004000F"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true"/>
  <w:bordersDoNotSurroundHeader w:val="true"/>
  <w:bordersDoNotSurroundFooter w:val="true"/>
  <w:documentProtection w:enforcement="0"/>
  <w:defaultTabStop w:val="420"/>
  <w:drawingGridHorizontalSpacing w:val="160"/>
  <w:drawingGridVerticalSpacing w:val="217"/>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useAltKinsokuLineBreakRules/>
    <w:compatSetting w:name="compatibilityMode" w:uri="http://schemas.microsoft.com/office/word" w:val="14"/>
  </w:compat>
  <w:rsids>
    <w:rsidRoot w:val="00000000"/>
    <w:rsid w:val="0FFD39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仿宋_GB2312" w:hAnsi="Times New Roman" w:eastAsia="仿宋_GB2312" w:cs="Arial"/>
      <w:kern w:val="2"/>
      <w:sz w:val="32"/>
      <w:szCs w:val="32"/>
      <w:u w:val="single"/>
      <w:lang w:val="en-US" w:eastAsia="zh-CN" w:bidi="ar-SA"/>
    </w:rPr>
  </w:style>
  <w:style w:type="paragraph" w:styleId="3">
    <w:name w:val="heading 1"/>
    <w:basedOn w:val="1"/>
    <w:next w:val="1"/>
    <w:qFormat/>
    <w:uiPriority w:val="0"/>
    <w:pPr>
      <w:keepNext/>
      <w:keepLines/>
      <w:spacing w:before="340" w:after="330" w:line="578" w:lineRule="auto"/>
      <w:outlineLvl w:val="0"/>
    </w:pPr>
    <w:rPr>
      <w:b/>
      <w:kern w:val="44"/>
      <w:sz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6">
    <w:name w:val="Normal Indent"/>
    <w:basedOn w:val="1"/>
    <w:next w:val="1"/>
    <w:unhideWhenUsed/>
    <w:qFormat/>
    <w:uiPriority w:val="99"/>
    <w:rPr>
      <w:rFonts w:cs="仿宋_GB2312"/>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永中软件股份有限公司</Company>
  <TotalTime>0</TotalTime>
  <ScaleCrop>false</ScaleCrop>
  <LinksUpToDate>false</LinksUpToDate>
  <Application>WPS Office_11.8.2.1111_F1E327BC-269C-435d-A152-05C5408002CA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2010-09-08T14:51:00Z</dcterms:created>
  <dc:creator>user</dc:creator>
  <cp:lastModifiedBy>user</cp:lastModifiedBy>
  <dcterms:modified xsi:type="dcterms:W3CDTF">2025-01-23T14:47:17Z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ies>
</file>