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36"/>
          <w:szCs w:val="36"/>
        </w:rPr>
      </w:pPr>
      <w:r>
        <w:rPr>
          <w:rFonts w:ascii="黑体" w:eastAsia="黑体"/>
          <w:sz w:val="36"/>
          <w:szCs w:val="36"/>
        </w:rPr>
        <w:t>阿坝州市场监督管理局</w:t>
      </w:r>
    </w:p>
    <w:p>
      <w:pPr>
        <w:jc w:val="center"/>
        <w:rPr>
          <w:rFonts w:ascii="黑体" w:eastAsia="黑体"/>
          <w:sz w:val="44"/>
          <w:szCs w:val="44"/>
        </w:rPr>
      </w:pPr>
      <w:r>
        <w:rPr>
          <w:rFonts w:ascii="黑体" w:eastAsia="黑体"/>
          <w:sz w:val="44"/>
          <w:szCs w:val="44"/>
        </w:rPr>
        <w:t>2026</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2"/>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2"/>
        <w:keepNext w:val="0"/>
        <w:keepLines w:val="0"/>
        <w:pageBreakBefore w:val="0"/>
        <w:kinsoku/>
        <w:wordWrap/>
        <w:overflowPunct/>
        <w:topLinePunct w:val="0"/>
        <w:autoSpaceDE/>
        <w:autoSpaceDN/>
        <w:bidi w:val="0"/>
        <w:spacing w:line="57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一、基本职能及主要工作</w:t>
      </w:r>
    </w:p>
    <w:p>
      <w:pPr>
        <w:keepNext w:val="0"/>
        <w:keepLines w:val="0"/>
        <w:pageBreakBefore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方正楷体_GBK" w:hAnsi="方正楷体_GBK" w:eastAsia="方正楷体_GBK" w:cs="方正楷体_GBK"/>
          <w:b/>
          <w:bCs/>
          <w:sz w:val="32"/>
          <w:szCs w:val="32"/>
        </w:rPr>
        <w:t>一）</w:t>
      </w:r>
      <w:r>
        <w:rPr>
          <w:rFonts w:hint="eastAsia" w:ascii="方正楷体_GBK" w:hAnsi="方正楷体_GBK" w:eastAsia="方正楷体_GBK" w:cs="方正楷体_GBK"/>
          <w:b/>
          <w:bCs/>
          <w:sz w:val="32"/>
          <w:szCs w:val="32"/>
          <w:lang w:eastAsia="zh-CN"/>
        </w:rPr>
        <w:t>阿坝州市场监督局</w:t>
      </w:r>
      <w:r>
        <w:rPr>
          <w:rFonts w:hint="eastAsia" w:ascii="方正楷体_GBK" w:hAnsi="方正楷体_GBK" w:eastAsia="方正楷体_GBK" w:cs="方正楷体_GBK"/>
          <w:b/>
          <w:bCs/>
          <w:sz w:val="32"/>
          <w:szCs w:val="32"/>
        </w:rPr>
        <w:t>职能简介</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根据《中国共产常机构编制工作条件》和《阿坝州机构改革方案》（阿委发〔2024〕1号）以及2024年12月20日印发的《中共阿坝州委机构编制委员会关于调整州市场监督管理局机构编制事项的批复》（阿编发〔2024〕153号）文件的规定，为规范阿坝州市场监督管理局（简称州市场监管局）的职能配置、内设机构和人员编制，推进机构、职能、权限、程序、责任法定化。加挂阿坝州知识产权局（简称州知识产权局）、阿坝州食品安全委员会办公室（简称州食安办）牌子。</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1.</w:t>
      </w:r>
      <w:r>
        <w:rPr>
          <w:rFonts w:hint="default" w:ascii="Times New Roman" w:hAnsi="Times New Roman" w:eastAsia="方正仿宋_GBK" w:cs="Times New Roman"/>
          <w:color w:val="000000"/>
          <w:spacing w:val="0"/>
          <w:sz w:val="32"/>
          <w:szCs w:val="32"/>
        </w:rPr>
        <w:t>负责全州市场综合监督管理工作。起草市场监督管理有关地方性法规规章草案和规范性文件。组织实施质量强州、食品安全、标准化和知识产权战略，拟订并组织实施全州食品安全等规划，规范和维护市场秩序，推进科技信息化建设和新闻宣传工作，营造诚实守信、公平竞争的市场环境。</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2.</w:t>
      </w:r>
      <w:r>
        <w:rPr>
          <w:rFonts w:hint="default" w:ascii="Times New Roman" w:hAnsi="Times New Roman" w:eastAsia="方正仿宋_GBK" w:cs="Times New Roman"/>
          <w:color w:val="000000"/>
          <w:spacing w:val="0"/>
          <w:sz w:val="32"/>
          <w:szCs w:val="32"/>
        </w:rPr>
        <w:t>负责全州市场主体统一登记注册。负责全州各类企业、农民专业合作社和从事经营活动的单位、个体工商户以及外国（地区）企业、常驻代表机构等经营主体的登记注册和监督管理工作。承担审批服务便民化有关工作。建立市场主体信息公示和共享机制，依法公示和共享有关信息，加强信用监管，推动市场主体信用体系建设。指导监督各县（市）市场监管行政审批工作。</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3.</w:t>
      </w:r>
      <w:r>
        <w:rPr>
          <w:rFonts w:hint="default" w:ascii="Times New Roman" w:hAnsi="Times New Roman" w:eastAsia="方正仿宋_GBK" w:cs="Times New Roman"/>
          <w:color w:val="000000"/>
          <w:spacing w:val="0"/>
          <w:sz w:val="32"/>
          <w:szCs w:val="32"/>
        </w:rPr>
        <w:t>负责组织和指导全州市场监督管理综合行政执法工作。指导全州市场监管综合执法队伍建设，推动实行统一的市场监管。组织查处和督办大案要案、疑难案件、跨区域案件。规范市场监督管理行政执法行为。指导监督各县（市）综合行政执法局市场监管综合行政执法工作。</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4.</w:t>
      </w:r>
      <w:r>
        <w:rPr>
          <w:rFonts w:hint="default" w:ascii="Times New Roman" w:hAnsi="Times New Roman" w:eastAsia="方正仿宋_GBK" w:cs="Times New Roman"/>
          <w:color w:val="000000"/>
          <w:spacing w:val="0"/>
          <w:sz w:val="32"/>
          <w:szCs w:val="32"/>
        </w:rPr>
        <w:t>负责全州反垄断统一执法。统筹推进竞争政策实施，组织实施公平竞争审查制度；依委托协助开展垄断协议、滥用市场支配地位和滥用行政权力排除、限制竞争等反垄断执法调查工作。指导在州企业在国外的反垄断应诉工作。</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5.</w:t>
      </w:r>
      <w:r>
        <w:rPr>
          <w:rFonts w:hint="default" w:ascii="Times New Roman" w:hAnsi="Times New Roman" w:eastAsia="方正仿宋_GBK" w:cs="Times New Roman"/>
          <w:color w:val="000000"/>
          <w:spacing w:val="0"/>
          <w:sz w:val="32"/>
          <w:szCs w:val="32"/>
        </w:rPr>
        <w:t>负责监督管理全州市场秩序。依法监督管理市场交易、网络商品交易及有关服务的行为。组织指导查处价格收费违法违规、不正当竞争、违法直销、传销、侵犯知识产权和制售假冒伪劣行为。指导广告业发展，监督管理广告活动。依法查处无照生产经营和相关无证生产经营行为。依法开展消费者权益保护工作。指导州保护消费者权益委员会开展消费维权工作。</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6.</w:t>
      </w:r>
      <w:r>
        <w:rPr>
          <w:rFonts w:hint="default" w:ascii="Times New Roman" w:hAnsi="Times New Roman" w:eastAsia="方正仿宋_GBK" w:cs="Times New Roman"/>
          <w:color w:val="000000"/>
          <w:spacing w:val="0"/>
          <w:sz w:val="32"/>
          <w:szCs w:val="32"/>
        </w:rPr>
        <w:t>负责全州宏观质量管理。拟订并组织实施质量发展的制度措施。统筹全州质量基础设施建设与应用。会同有关部门组织实施重大工程设备质量监理制度，组织产品质量事故调查，贯彻实施缺陷产品召回制度，监督管理产品防伪工作。</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7.</w:t>
      </w:r>
      <w:r>
        <w:rPr>
          <w:rFonts w:hint="default" w:ascii="Times New Roman" w:hAnsi="Times New Roman" w:eastAsia="方正仿宋_GBK" w:cs="Times New Roman"/>
          <w:color w:val="000000"/>
          <w:spacing w:val="0"/>
          <w:sz w:val="32"/>
          <w:szCs w:val="32"/>
        </w:rPr>
        <w:t>负责全州产品质量安全监督管理。负责产品质量监督抽查和风险监控工作，组织实施质量分级制度、质量安全追溯制度。负责工业产品生产许可的证后管理。负责纤维质量监督工作。</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8.</w:t>
      </w:r>
      <w:r>
        <w:rPr>
          <w:rFonts w:hint="default" w:ascii="Times New Roman" w:hAnsi="Times New Roman" w:eastAsia="方正仿宋_GBK" w:cs="Times New Roman"/>
          <w:color w:val="000000"/>
          <w:spacing w:val="0"/>
          <w:sz w:val="32"/>
          <w:szCs w:val="32"/>
        </w:rPr>
        <w:t>负责全州特种设备安全监督管理。综合管理特种设备安全监察、监督工作，监督检查高耗能特种设备节能标准和锅炉产品环境保护标准的执行情况。</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9.</w:t>
      </w:r>
      <w:r>
        <w:rPr>
          <w:rFonts w:hint="default" w:ascii="Times New Roman" w:hAnsi="Times New Roman" w:eastAsia="方正仿宋_GBK" w:cs="Times New Roman"/>
          <w:color w:val="000000"/>
          <w:spacing w:val="0"/>
          <w:sz w:val="32"/>
          <w:szCs w:val="32"/>
        </w:rPr>
        <w:t>负责全州食品安全监督管理及综合协调。统筹指导全州食品安全工作。负责食品安全应急体系建设，组织指导重大食品安全事件应急处置和调查处理工作。承担州食品安全委员会日常工作。指导督促食品生产经营企业落实食品安全主体责任，组织开展食品安全监督抽检、风险监测、核查处置和风险预警工作。</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10.</w:t>
      </w:r>
      <w:r>
        <w:rPr>
          <w:rFonts w:hint="default" w:ascii="Times New Roman" w:hAnsi="Times New Roman" w:eastAsia="方正仿宋_GBK" w:cs="Times New Roman"/>
          <w:color w:val="000000"/>
          <w:spacing w:val="0"/>
          <w:sz w:val="32"/>
          <w:szCs w:val="32"/>
        </w:rPr>
        <w:t>负责药品（含中药、民族药，下同）、医疗器械、化妆品的质量安全监督管理及上市后风险管理。依法依授权组织实施药品、医疗器械、化妆品的许可、备案、检查、安全监测和处罚。掌握分析药品安全形势并提出改进工作的建议。参与省药监局组织的监督检查。指导县（市）药品、医疗器械和化妆品监督管理工作。依法依授权承担我州执业药师注册管理工作，贯彻执行执业药师其他相关管理制度。</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11.</w:t>
      </w:r>
      <w:r>
        <w:rPr>
          <w:rFonts w:hint="default" w:ascii="Times New Roman" w:hAnsi="Times New Roman" w:eastAsia="方正仿宋_GBK" w:cs="Times New Roman"/>
          <w:color w:val="000000"/>
          <w:spacing w:val="0"/>
          <w:sz w:val="32"/>
          <w:szCs w:val="32"/>
        </w:rPr>
        <w:t>负责统一管理全州计量工作。推行法定计量单位，执行国家计量制度，管理计量器具及量值传递和比对工作。规范、监督商品量和计量行为。</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12.</w:t>
      </w:r>
      <w:r>
        <w:rPr>
          <w:rFonts w:hint="default" w:ascii="Times New Roman" w:hAnsi="Times New Roman" w:eastAsia="方正仿宋_GBK" w:cs="Times New Roman"/>
          <w:color w:val="000000"/>
          <w:spacing w:val="0"/>
          <w:sz w:val="32"/>
          <w:szCs w:val="32"/>
        </w:rPr>
        <w:t>负责统一管理全州标准化工作。依法承担地方标准立项、编号和发布等工作，协调指导地方标准、团体标准、企业标准制定工作，依法对标准制定和实施情况开展监督检查。</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13.</w:t>
      </w:r>
      <w:r>
        <w:rPr>
          <w:rFonts w:hint="default" w:ascii="Times New Roman" w:hAnsi="Times New Roman" w:eastAsia="方正仿宋_GBK" w:cs="Times New Roman"/>
          <w:color w:val="000000"/>
          <w:spacing w:val="0"/>
          <w:sz w:val="32"/>
          <w:szCs w:val="32"/>
        </w:rPr>
        <w:t>负责统一管理全州检验检测工作。规范检验检测市场，完善检验检测体系，指导协调检验检测行业发展。</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14.</w:t>
      </w:r>
      <w:r>
        <w:rPr>
          <w:rFonts w:hint="default" w:ascii="Times New Roman" w:hAnsi="Times New Roman" w:eastAsia="方正仿宋_GBK" w:cs="Times New Roman"/>
          <w:color w:val="000000"/>
          <w:spacing w:val="0"/>
          <w:sz w:val="32"/>
          <w:szCs w:val="32"/>
        </w:rPr>
        <w:t>负责统一管理全州认证认可工作。监督管理认证认可和合格评定工作。</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15.</w:t>
      </w:r>
      <w:r>
        <w:rPr>
          <w:rFonts w:hint="default" w:ascii="Times New Roman" w:hAnsi="Times New Roman" w:eastAsia="方正仿宋_GBK" w:cs="Times New Roman"/>
          <w:color w:val="000000"/>
          <w:spacing w:val="0"/>
          <w:sz w:val="32"/>
          <w:szCs w:val="32"/>
        </w:rPr>
        <w:t>负责全州知识产权监督管理。贯彻落实国家、省知识产权战略、政策和法规规章，负责知识产权强州体系建设，制定全州知识产权规划，负责知识产权的创造、运用、保护、管理和服务工作。培育知识产权文化。负责组织实施指导知识产权行政执法工作。</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16.</w:t>
      </w:r>
      <w:r>
        <w:rPr>
          <w:rFonts w:hint="default" w:ascii="Times New Roman" w:hAnsi="Times New Roman" w:eastAsia="方正仿宋_GBK" w:cs="Times New Roman"/>
          <w:color w:val="000000"/>
          <w:spacing w:val="0"/>
          <w:sz w:val="32"/>
          <w:szCs w:val="32"/>
        </w:rPr>
        <w:t>负责扶持个体经济发展，拟订相关政策措施并组织实施。负责个体经济协调服务工作，组织开展个体工商户经营状况监测，协同开展个体工商户转型升级和分型分类培育工作，帮助个体工商户纾困解难。负责指导全州市场监督管理部门配合党委社会工作部门开展小微企业、个体工商户、专业市场党建工作，抓好网约配送员群体党建工作。</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17.</w:t>
      </w:r>
      <w:r>
        <w:rPr>
          <w:rFonts w:hint="default" w:ascii="Times New Roman" w:hAnsi="Times New Roman" w:eastAsia="方正仿宋_GBK" w:cs="Times New Roman"/>
          <w:color w:val="000000"/>
          <w:spacing w:val="0"/>
          <w:sz w:val="32"/>
          <w:szCs w:val="32"/>
        </w:rPr>
        <w:t>负责职责范围内的安全生产和职业健康、生态环境保护、应急联动等工作。</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18.</w:t>
      </w:r>
      <w:r>
        <w:rPr>
          <w:rFonts w:hint="default" w:ascii="Times New Roman" w:hAnsi="Times New Roman" w:eastAsia="方正仿宋_GBK" w:cs="Times New Roman"/>
          <w:color w:val="000000"/>
          <w:spacing w:val="0"/>
          <w:sz w:val="32"/>
          <w:szCs w:val="32"/>
        </w:rPr>
        <w:t>完成州委、州政府交办的其他任务。</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2"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w:t>
      </w:r>
      <w:r>
        <w:rPr>
          <w:rFonts w:hint="eastAsia" w:ascii="方正楷体_GBK" w:hAnsi="方正楷体_GBK" w:eastAsia="方正楷体_GBK" w:cs="方正楷体_GBK"/>
          <w:b/>
          <w:bCs/>
          <w:sz w:val="32"/>
          <w:szCs w:val="32"/>
          <w:lang w:eastAsia="zh-CN"/>
        </w:rPr>
        <w:t>阿坝州市场监督管理局</w:t>
      </w:r>
      <w:r>
        <w:rPr>
          <w:rFonts w:hint="eastAsia" w:ascii="方正楷体_GBK" w:hAnsi="方正楷体_GBK" w:eastAsia="方正楷体_GBK" w:cs="方正楷体_GBK"/>
          <w:b/>
          <w:bCs/>
          <w:sz w:val="32"/>
          <w:szCs w:val="32"/>
        </w:rPr>
        <w:t>20</w:t>
      </w:r>
      <w:r>
        <w:rPr>
          <w:rFonts w:hint="eastAsia" w:ascii="方正楷体_GBK" w:hAnsi="方正楷体_GBK" w:eastAsia="方正楷体_GBK" w:cs="方正楷体_GBK"/>
          <w:b/>
          <w:bCs/>
          <w:sz w:val="32"/>
          <w:szCs w:val="32"/>
          <w:lang w:val="en-US" w:eastAsia="zh-CN"/>
        </w:rPr>
        <w:t>26</w:t>
      </w:r>
      <w:r>
        <w:rPr>
          <w:rFonts w:hint="eastAsia" w:ascii="方正楷体_GBK" w:hAnsi="方正楷体_GBK" w:eastAsia="方正楷体_GBK" w:cs="方正楷体_GBK"/>
          <w:b/>
          <w:bCs/>
          <w:sz w:val="32"/>
          <w:szCs w:val="32"/>
        </w:rPr>
        <w:t>年重点工作</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left="0" w:leftChars="0" w:firstLine="664" w:firstLineChars="200"/>
        <w:jc w:val="both"/>
        <w:textAlignment w:val="auto"/>
        <w:outlineLvl w:val="9"/>
        <w:rPr>
          <w:rFonts w:hint="default" w:ascii="Times New Roman" w:hAnsi="Times New Roman" w:eastAsia="方正仿宋_GBK" w:cs="Times New Roman"/>
          <w:b w:val="0"/>
          <w:bCs/>
          <w:spacing w:val="0"/>
          <w:kern w:val="2"/>
          <w:sz w:val="32"/>
          <w:szCs w:val="32"/>
          <w:lang w:val="en-US" w:eastAsia="zh-CN"/>
        </w:rPr>
      </w:pPr>
      <w:r>
        <w:rPr>
          <w:rFonts w:hint="default" w:ascii="Times New Roman" w:hAnsi="Times New Roman" w:eastAsia="方正仿宋_GBK" w:cs="Times New Roman"/>
          <w:b w:val="0"/>
          <w:bCs/>
          <w:spacing w:val="6"/>
          <w:sz w:val="32"/>
          <w:szCs w:val="32"/>
          <w:lang w:val="en-US" w:eastAsia="zh-CN"/>
        </w:rPr>
        <w:t>2026年，我们将坚定不移用习近平新时代中国特色社会主义思想凝心铸魂，深入学习党中央、省委、州委系列全会精神，科学精准施策、全力攻坚克难、注重改革创新，扎实做好市场监管工作，推动党中央路线方针政策、省委重大决策部署和州委工作安排落地见效。</w:t>
      </w:r>
      <w:r>
        <w:rPr>
          <w:rFonts w:hint="default" w:ascii="Times New Roman" w:hAnsi="Times New Roman" w:eastAsia="方正仿宋_GBK" w:cs="Times New Roman"/>
          <w:b/>
          <w:bCs w:val="0"/>
          <w:sz w:val="32"/>
          <w:szCs w:val="32"/>
          <w:lang w:val="en-US" w:eastAsia="zh-CN"/>
        </w:rPr>
        <w:t>一是</w:t>
      </w:r>
      <w:r>
        <w:rPr>
          <w:rFonts w:hint="default" w:ascii="Times New Roman" w:hAnsi="Times New Roman" w:eastAsia="方正仿宋_GBK" w:cs="Times New Roman"/>
          <w:b w:val="0"/>
          <w:bCs/>
          <w:sz w:val="32"/>
          <w:szCs w:val="32"/>
          <w:lang w:val="en-US" w:eastAsia="zh-CN"/>
        </w:rPr>
        <w:t>深入实施市场主体扩容提质工程。</w:t>
      </w:r>
      <w:r>
        <w:rPr>
          <w:rFonts w:hint="default" w:ascii="Times New Roman" w:hAnsi="Times New Roman" w:eastAsia="方正仿宋_GBK" w:cs="Times New Roman"/>
          <w:b w:val="0"/>
          <w:bCs/>
          <w:spacing w:val="0"/>
          <w:kern w:val="2"/>
          <w:sz w:val="32"/>
          <w:szCs w:val="32"/>
          <w:lang w:val="en-US" w:eastAsia="zh-CN"/>
        </w:rPr>
        <w:t>以“高效办成一件事”为牵引，实施市场准入准出服务提效行动。</w:t>
      </w:r>
      <w:r>
        <w:rPr>
          <w:rFonts w:hint="default" w:ascii="Times New Roman" w:hAnsi="Times New Roman" w:eastAsia="方正仿宋_GBK" w:cs="Times New Roman"/>
          <w:b w:val="0"/>
          <w:bCs/>
          <w:spacing w:val="0"/>
          <w:kern w:val="2"/>
          <w:sz w:val="32"/>
          <w:szCs w:val="32"/>
        </w:rPr>
        <w:t>进一步细化、优化、创新举措，</w:t>
      </w:r>
      <w:r>
        <w:rPr>
          <w:rFonts w:hint="default" w:ascii="Times New Roman" w:hAnsi="Times New Roman" w:eastAsia="方正仿宋_GBK" w:cs="Times New Roman"/>
          <w:b w:val="0"/>
          <w:bCs/>
          <w:spacing w:val="0"/>
          <w:kern w:val="2"/>
          <w:sz w:val="32"/>
          <w:szCs w:val="32"/>
          <w:lang w:val="en-US" w:eastAsia="zh-CN"/>
        </w:rPr>
        <w:t>着力培育壮大市场主体。强化分型分类精准帮扶，大力培育国家级“名特优新”个体工商户。实施公平竞争审查“破壁”行动，积极融入全国统一大市场。</w:t>
      </w:r>
      <w:r>
        <w:rPr>
          <w:rFonts w:hint="default" w:ascii="Times New Roman" w:hAnsi="Times New Roman" w:eastAsia="方正仿宋_GBK" w:cs="Times New Roman"/>
          <w:b/>
          <w:bCs w:val="0"/>
          <w:spacing w:val="0"/>
          <w:kern w:val="2"/>
          <w:sz w:val="32"/>
          <w:szCs w:val="32"/>
          <w:lang w:val="en-US" w:eastAsia="zh-CN"/>
        </w:rPr>
        <w:t>二是</w:t>
      </w:r>
      <w:r>
        <w:rPr>
          <w:rFonts w:hint="default" w:ascii="Times New Roman" w:hAnsi="Times New Roman" w:eastAsia="方正仿宋_GBK" w:cs="Times New Roman"/>
          <w:b w:val="0"/>
          <w:bCs/>
          <w:spacing w:val="0"/>
          <w:kern w:val="2"/>
          <w:sz w:val="32"/>
          <w:szCs w:val="32"/>
          <w:lang w:val="en-US" w:eastAsia="zh-CN"/>
        </w:rPr>
        <w:t>深入实施市场安全强基赋能工程。强化食品全链条监管，加快好客之州“放心厨房”建设。强化“三品一特”实地演练、桌面推演，在全省率先组织开展食品安全突发事件无脚本双盲实景应急处置演练。健全完善药品经营企业分级分类监管，全力推进药品信息化追溯。</w:t>
      </w:r>
      <w:r>
        <w:rPr>
          <w:rFonts w:hint="default" w:ascii="Times New Roman" w:hAnsi="Times New Roman" w:eastAsia="方正仿宋_GBK" w:cs="Times New Roman"/>
          <w:b/>
          <w:bCs w:val="0"/>
          <w:spacing w:val="0"/>
          <w:kern w:val="2"/>
          <w:sz w:val="32"/>
          <w:szCs w:val="32"/>
          <w:lang w:val="en-US" w:eastAsia="zh-CN"/>
        </w:rPr>
        <w:t>三是</w:t>
      </w:r>
      <w:r>
        <w:rPr>
          <w:rFonts w:hint="default" w:ascii="Times New Roman" w:hAnsi="Times New Roman" w:eastAsia="方正仿宋_GBK" w:cs="Times New Roman"/>
          <w:b w:val="0"/>
          <w:bCs/>
          <w:spacing w:val="0"/>
          <w:kern w:val="2"/>
          <w:sz w:val="32"/>
          <w:szCs w:val="32"/>
          <w:lang w:val="en-US" w:eastAsia="zh-CN"/>
        </w:rPr>
        <w:t>深入实施市场秩序安心守护工程。深化食品安全“互联网+AI监管”建设，不断提升监管效能。创新开展景区委托执法试点，推动四大景区更高水平管理。认真落实全员执法办案机制，大力实施“放心舒心消费在阿坝”行动，一体推进全域“价格承诺制”、线下无理由退货扩面增效。</w:t>
      </w:r>
      <w:r>
        <w:rPr>
          <w:rFonts w:hint="default" w:ascii="Times New Roman" w:hAnsi="Times New Roman" w:eastAsia="方正仿宋_GBK" w:cs="Times New Roman"/>
          <w:b/>
          <w:bCs w:val="0"/>
          <w:spacing w:val="0"/>
          <w:kern w:val="2"/>
          <w:sz w:val="32"/>
          <w:szCs w:val="32"/>
          <w:lang w:val="en-US" w:eastAsia="zh-CN"/>
        </w:rPr>
        <w:t>四是</w:t>
      </w:r>
      <w:r>
        <w:rPr>
          <w:rFonts w:hint="default" w:ascii="Times New Roman" w:hAnsi="Times New Roman" w:eastAsia="方正仿宋_GBK" w:cs="Times New Roman"/>
          <w:b w:val="0"/>
          <w:bCs/>
          <w:spacing w:val="0"/>
          <w:kern w:val="2"/>
          <w:sz w:val="32"/>
          <w:szCs w:val="32"/>
          <w:lang w:val="en-US" w:eastAsia="zh-CN"/>
        </w:rPr>
        <w:t>深入实施市场质量优化提升工程。加快推进质量强州建设，更好地发挥质量在促进企业做大做强、支撑产业建圈强链中的作用。大力推广质量基础设施“一站式”服务，加快九寨沟景区运营管理等“天府名品”培育，</w:t>
      </w:r>
      <w:r>
        <w:rPr>
          <w:rFonts w:hint="default" w:ascii="Times New Roman" w:hAnsi="Times New Roman" w:eastAsia="方正仿宋_GBK" w:cs="Times New Roman"/>
          <w:b w:val="0"/>
          <w:bCs/>
          <w:spacing w:val="6"/>
          <w:sz w:val="32"/>
          <w:szCs w:val="32"/>
          <w:lang w:val="en-US" w:eastAsia="zh-CN"/>
        </w:rPr>
        <w:t>重点抓好黑水色湾藏香猪产业标准化建设。</w:t>
      </w:r>
      <w:r>
        <w:rPr>
          <w:rFonts w:hint="default" w:ascii="Times New Roman" w:hAnsi="Times New Roman" w:eastAsia="方正仿宋_GBK" w:cs="Times New Roman"/>
          <w:b/>
          <w:bCs w:val="0"/>
          <w:spacing w:val="0"/>
          <w:kern w:val="2"/>
          <w:sz w:val="32"/>
          <w:szCs w:val="32"/>
          <w:lang w:val="en-US" w:eastAsia="zh-CN"/>
        </w:rPr>
        <w:t>五是</w:t>
      </w:r>
      <w:r>
        <w:rPr>
          <w:rFonts w:hint="default" w:ascii="Times New Roman" w:hAnsi="Times New Roman" w:eastAsia="方正仿宋_GBK" w:cs="Times New Roman"/>
          <w:b w:val="0"/>
          <w:bCs/>
          <w:spacing w:val="0"/>
          <w:kern w:val="2"/>
          <w:sz w:val="32"/>
          <w:szCs w:val="32"/>
          <w:lang w:val="en-US" w:eastAsia="zh-CN"/>
        </w:rPr>
        <w:t>深入实施知识产权强链增效工程。推进地理标志运用促进工程，培优育强更多特色明显、知名度高的地标产品。做实做细高价值专利培育，强化知识产权质押融资支持力度。提升“净土阿坝”区域品牌保护力度，健全完善专利纠纷多元化解机制。</w:t>
      </w:r>
    </w:p>
    <w:p>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部门预算单位构成</w:t>
      </w:r>
    </w:p>
    <w:p>
      <w:pPr>
        <w:keepNext w:val="0"/>
        <w:keepLines w:val="0"/>
        <w:pageBreakBefore w:val="0"/>
        <w:widowControl w:val="0"/>
        <w:numPr>
          <w:ilvl w:val="0"/>
          <w:numId w:val="2"/>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2" w:firstLineChars="200"/>
        <w:jc w:val="both"/>
        <w:textAlignment w:val="auto"/>
        <w:outlineLvl w:val="9"/>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 xml:space="preserve">本部门机构 </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阿坝市场监督管理局</w:t>
      </w:r>
      <w:r>
        <w:rPr>
          <w:rFonts w:hint="default" w:ascii="Times New Roman" w:hAnsi="Times New Roman" w:eastAsia="方正仿宋_GBK" w:cs="Times New Roman"/>
          <w:sz w:val="32"/>
          <w:szCs w:val="32"/>
        </w:rPr>
        <w:t>属一级预算单位，下属二级预算单位</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个，其中：其他事业单位</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个。分别是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阿坝州产品质量</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特种设备监督检验所、阿坝州计量检定测试所、阿坝州食品药品检验研究中心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spacing w:val="0"/>
          <w:sz w:val="32"/>
          <w:szCs w:val="32"/>
        </w:rPr>
        <w:t>阿坝州市场监督管理综合保障中心</w:t>
      </w:r>
      <w:r>
        <w:rPr>
          <w:rFonts w:hint="default" w:ascii="Times New Roman" w:hAnsi="Times New Roman" w:eastAsia="方正仿宋_GBK" w:cs="Times New Roman"/>
          <w:sz w:val="32"/>
          <w:szCs w:val="32"/>
          <w:lang w:eastAsia="zh-CN"/>
        </w:rPr>
        <w:t>。</w:t>
      </w:r>
    </w:p>
    <w:p>
      <w:pPr>
        <w:keepNext w:val="0"/>
        <w:keepLines w:val="0"/>
        <w:pageBreakBefore w:val="0"/>
        <w:widowControl w:val="0"/>
        <w:numPr>
          <w:ilvl w:val="0"/>
          <w:numId w:val="2"/>
        </w:numPr>
        <w:pBdr>
          <w:bottom w:val="single" w:color="FFFFFF" w:sz="4" w:space="31"/>
        </w:pBdr>
        <w:tabs>
          <w:tab w:val="left" w:pos="1440"/>
        </w:tabs>
        <w:kinsoku/>
        <w:wordWrap/>
        <w:overflowPunct/>
        <w:topLinePunct w:val="0"/>
        <w:autoSpaceDE/>
        <w:autoSpaceDN/>
        <w:bidi w:val="0"/>
        <w:adjustRightInd w:val="0"/>
        <w:snapToGrid w:val="0"/>
        <w:spacing w:line="576" w:lineRule="exact"/>
        <w:ind w:left="0" w:leftChars="0" w:firstLine="642" w:firstLineChars="200"/>
        <w:jc w:val="both"/>
        <w:textAlignment w:val="auto"/>
        <w:outlineLvl w:val="9"/>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人员情况</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州局机关总编制</w:t>
      </w:r>
      <w:r>
        <w:rPr>
          <w:rFonts w:hint="default" w:ascii="Times New Roman" w:hAnsi="Times New Roman" w:eastAsia="方正仿宋_GBK" w:cs="Times New Roman"/>
          <w:sz w:val="32"/>
          <w:szCs w:val="32"/>
          <w:lang w:val="en-US" w:eastAsia="zh-CN"/>
        </w:rPr>
        <w:t>81</w:t>
      </w:r>
      <w:r>
        <w:rPr>
          <w:rFonts w:hint="default" w:ascii="Times New Roman" w:hAnsi="Times New Roman" w:eastAsia="方正仿宋_GBK" w:cs="Times New Roman"/>
          <w:sz w:val="32"/>
          <w:szCs w:val="32"/>
        </w:rPr>
        <w:t>名,其中:公务员编制7</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名，</w:t>
      </w:r>
      <w:r>
        <w:rPr>
          <w:rFonts w:hint="default" w:ascii="Times New Roman" w:hAnsi="Times New Roman" w:eastAsia="方正仿宋_GBK" w:cs="Times New Roman"/>
          <w:sz w:val="32"/>
          <w:szCs w:val="32"/>
          <w:lang w:eastAsia="zh-CN"/>
        </w:rPr>
        <w:t>机关</w:t>
      </w:r>
      <w:r>
        <w:rPr>
          <w:rFonts w:hint="default" w:ascii="Times New Roman" w:hAnsi="Times New Roman" w:eastAsia="方正仿宋_GBK" w:cs="Times New Roman"/>
          <w:sz w:val="32"/>
          <w:szCs w:val="32"/>
        </w:rPr>
        <w:t>工勤</w:t>
      </w:r>
      <w:r>
        <w:rPr>
          <w:rFonts w:hint="default" w:ascii="Times New Roman" w:hAnsi="Times New Roman" w:eastAsia="方正仿宋_GBK" w:cs="Times New Roman"/>
          <w:sz w:val="32"/>
          <w:szCs w:val="32"/>
          <w:lang w:eastAsia="zh-CN"/>
        </w:rPr>
        <w:t>人员控制数</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名。在职人员总数</w:t>
      </w:r>
      <w:r>
        <w:rPr>
          <w:rFonts w:hint="default" w:ascii="Times New Roman" w:hAnsi="Times New Roman" w:eastAsia="方正仿宋_GBK" w:cs="Times New Roman"/>
          <w:sz w:val="32"/>
          <w:szCs w:val="32"/>
          <w:lang w:val="en-US" w:eastAsia="zh-CN"/>
        </w:rPr>
        <w:t>81</w:t>
      </w:r>
      <w:r>
        <w:rPr>
          <w:rFonts w:hint="default" w:ascii="Times New Roman" w:hAnsi="Times New Roman" w:eastAsia="方正仿宋_GBK" w:cs="Times New Roman"/>
          <w:sz w:val="32"/>
          <w:szCs w:val="32"/>
        </w:rPr>
        <w:t>人，其中：公务员</w:t>
      </w:r>
      <w:r>
        <w:rPr>
          <w:rFonts w:hint="default" w:ascii="Times New Roman" w:hAnsi="Times New Roman" w:eastAsia="方正仿宋_GBK" w:cs="Times New Roman"/>
          <w:sz w:val="32"/>
          <w:szCs w:val="32"/>
          <w:lang w:val="en-US" w:eastAsia="zh-CN"/>
        </w:rPr>
        <w:t>74</w:t>
      </w:r>
      <w:r>
        <w:rPr>
          <w:rFonts w:hint="default" w:ascii="Times New Roman" w:hAnsi="Times New Roman" w:eastAsia="方正仿宋_GBK" w:cs="Times New Roman"/>
          <w:sz w:val="32"/>
          <w:szCs w:val="32"/>
        </w:rPr>
        <w:t>人，其他工勤</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人。</w:t>
      </w:r>
    </w:p>
    <w:p>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收支预算情况说明</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按照综合预算的原则，阿坝州市场监督管理局所有收入和支出均纳入部门预算管理。收入包括：一般公共预算拨款收入</w:t>
      </w:r>
      <w:r>
        <w:rPr>
          <w:rFonts w:hint="default" w:ascii="Times New Roman" w:hAnsi="Times New Roman" w:eastAsia="方正仿宋_GBK" w:cs="Times New Roman"/>
          <w:sz w:val="32"/>
          <w:szCs w:val="32"/>
          <w:lang w:val="en-US" w:eastAsia="zh-CN"/>
        </w:rPr>
        <w:t>3250.45</w:t>
      </w:r>
      <w:r>
        <w:rPr>
          <w:rFonts w:hint="default" w:ascii="Times New Roman" w:hAnsi="Times New Roman" w:eastAsia="方正仿宋_GBK" w:cs="Times New Roman"/>
          <w:sz w:val="32"/>
          <w:szCs w:val="32"/>
          <w:lang w:eastAsia="zh-CN"/>
        </w:rPr>
        <w:t>万元，其他收入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万元。支出包括：一般公共服务支出</w:t>
      </w:r>
      <w:r>
        <w:rPr>
          <w:rFonts w:hint="default" w:ascii="Times New Roman" w:hAnsi="Times New Roman" w:eastAsia="方正仿宋_GBK" w:cs="Times New Roman"/>
          <w:sz w:val="32"/>
          <w:szCs w:val="32"/>
          <w:lang w:val="en-US" w:eastAsia="zh-CN"/>
        </w:rPr>
        <w:t>2614.69</w:t>
      </w:r>
      <w:r>
        <w:rPr>
          <w:rFonts w:hint="default" w:ascii="Times New Roman" w:hAnsi="Times New Roman" w:eastAsia="方正仿宋_GBK" w:cs="Times New Roman"/>
          <w:sz w:val="32"/>
          <w:szCs w:val="32"/>
          <w:lang w:eastAsia="zh-CN"/>
        </w:rPr>
        <w:t>万元，教育支出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万元，文化体育与传媒支出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万元，社会保障和就业支出</w:t>
      </w:r>
      <w:r>
        <w:rPr>
          <w:rFonts w:hint="default" w:ascii="Times New Roman" w:hAnsi="Times New Roman" w:eastAsia="方正仿宋_GBK" w:cs="Times New Roman"/>
          <w:sz w:val="32"/>
          <w:szCs w:val="32"/>
          <w:lang w:val="en-US" w:eastAsia="zh-CN"/>
        </w:rPr>
        <w:t>333.04</w:t>
      </w:r>
      <w:r>
        <w:rPr>
          <w:rFonts w:hint="default" w:ascii="Times New Roman" w:hAnsi="Times New Roman" w:eastAsia="方正仿宋_GBK" w:cs="Times New Roman"/>
          <w:sz w:val="32"/>
          <w:szCs w:val="32"/>
          <w:lang w:eastAsia="zh-CN"/>
        </w:rPr>
        <w:t>万元，卫生健康支出</w:t>
      </w:r>
      <w:r>
        <w:rPr>
          <w:rFonts w:hint="default" w:ascii="Times New Roman" w:hAnsi="Times New Roman" w:eastAsia="方正仿宋_GBK" w:cs="Times New Roman"/>
          <w:sz w:val="32"/>
          <w:szCs w:val="32"/>
          <w:lang w:val="en-US" w:eastAsia="zh-CN"/>
        </w:rPr>
        <w:t>140.84</w:t>
      </w:r>
      <w:r>
        <w:rPr>
          <w:rFonts w:hint="default" w:ascii="Times New Roman" w:hAnsi="Times New Roman" w:eastAsia="方正仿宋_GBK" w:cs="Times New Roman"/>
          <w:sz w:val="32"/>
          <w:szCs w:val="32"/>
          <w:lang w:eastAsia="zh-CN"/>
        </w:rPr>
        <w:t>万元，住房保障支出</w:t>
      </w:r>
      <w:r>
        <w:rPr>
          <w:rFonts w:hint="default" w:ascii="Times New Roman" w:hAnsi="Times New Roman" w:eastAsia="方正仿宋_GBK" w:cs="Times New Roman"/>
          <w:sz w:val="32"/>
          <w:szCs w:val="32"/>
          <w:lang w:val="en-US" w:eastAsia="zh-CN"/>
        </w:rPr>
        <w:t>161.88</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lang w:eastAsia="zh-CN"/>
        </w:rPr>
        <w:t>元。</w:t>
      </w:r>
    </w:p>
    <w:p>
      <w:pPr>
        <w:keepNext w:val="0"/>
        <w:keepLines w:val="0"/>
        <w:pageBreakBefore w:val="0"/>
        <w:widowControl w:val="0"/>
        <w:numPr>
          <w:ilvl w:val="0"/>
          <w:numId w:val="3"/>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2" w:firstLineChars="200"/>
        <w:jc w:val="both"/>
        <w:textAlignment w:val="auto"/>
        <w:outlineLvl w:val="9"/>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收入预算情况</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年，部门预算收入总额</w:t>
      </w:r>
      <w:r>
        <w:rPr>
          <w:rFonts w:hint="default" w:ascii="Times New Roman" w:hAnsi="Times New Roman" w:eastAsia="方正仿宋_GBK" w:cs="Times New Roman"/>
          <w:sz w:val="32"/>
          <w:szCs w:val="32"/>
          <w:lang w:val="en-US" w:eastAsia="zh-CN"/>
        </w:rPr>
        <w:t>3250.45</w:t>
      </w:r>
      <w:r>
        <w:rPr>
          <w:rFonts w:hint="default" w:ascii="Times New Roman" w:hAnsi="Times New Roman" w:eastAsia="方正仿宋_GBK" w:cs="Times New Roman"/>
          <w:sz w:val="32"/>
          <w:szCs w:val="32"/>
        </w:rPr>
        <w:t>万元，其中：一般公共预算拨款收入</w:t>
      </w:r>
      <w:r>
        <w:rPr>
          <w:rFonts w:hint="default" w:ascii="Times New Roman" w:hAnsi="Times New Roman" w:eastAsia="方正仿宋_GBK" w:cs="Times New Roman"/>
          <w:sz w:val="32"/>
          <w:szCs w:val="32"/>
          <w:lang w:val="en-US" w:eastAsia="zh-CN"/>
        </w:rPr>
        <w:t>3250.45</w:t>
      </w:r>
      <w:r>
        <w:rPr>
          <w:rFonts w:hint="default" w:ascii="Times New Roman" w:hAnsi="Times New Roman" w:eastAsia="方正仿宋_GBK" w:cs="Times New Roman"/>
          <w:sz w:val="32"/>
          <w:szCs w:val="32"/>
        </w:rPr>
        <w:t>万元，占100%；无其他收入。</w:t>
      </w:r>
    </w:p>
    <w:p>
      <w:pPr>
        <w:keepNext w:val="0"/>
        <w:keepLines w:val="0"/>
        <w:pageBreakBefore w:val="0"/>
        <w:widowControl w:val="0"/>
        <w:numPr>
          <w:ilvl w:val="0"/>
          <w:numId w:val="3"/>
        </w:numPr>
        <w:pBdr>
          <w:bottom w:val="single" w:color="FFFFFF" w:sz="4" w:space="31"/>
        </w:pBdr>
        <w:tabs>
          <w:tab w:val="left" w:pos="1440"/>
        </w:tabs>
        <w:kinsoku/>
        <w:wordWrap/>
        <w:overflowPunct/>
        <w:topLinePunct w:val="0"/>
        <w:autoSpaceDE/>
        <w:autoSpaceDN/>
        <w:bidi w:val="0"/>
        <w:adjustRightInd w:val="0"/>
        <w:snapToGrid w:val="0"/>
        <w:spacing w:line="576" w:lineRule="exact"/>
        <w:ind w:left="0" w:leftChars="0" w:firstLine="642" w:firstLineChars="200"/>
        <w:jc w:val="both"/>
        <w:textAlignment w:val="auto"/>
        <w:outlineLvl w:val="9"/>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支出预算情况</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年，部门预算支出总额</w:t>
      </w:r>
      <w:r>
        <w:rPr>
          <w:rFonts w:hint="default" w:ascii="Times New Roman" w:hAnsi="Times New Roman" w:eastAsia="方正仿宋_GBK" w:cs="Times New Roman"/>
          <w:sz w:val="32"/>
          <w:szCs w:val="32"/>
          <w:lang w:val="en-US" w:eastAsia="zh-CN"/>
        </w:rPr>
        <w:t>3250.45</w:t>
      </w:r>
      <w:r>
        <w:rPr>
          <w:rFonts w:hint="default" w:ascii="Times New Roman" w:hAnsi="Times New Roman" w:eastAsia="方正仿宋_GBK" w:cs="Times New Roman"/>
          <w:sz w:val="32"/>
          <w:szCs w:val="32"/>
        </w:rPr>
        <w:t>万元，其中：基本支出</w:t>
      </w:r>
      <w:r>
        <w:rPr>
          <w:rFonts w:hint="default" w:ascii="Times New Roman" w:hAnsi="Times New Roman" w:eastAsia="方正仿宋_GBK" w:cs="Times New Roman"/>
          <w:sz w:val="32"/>
          <w:szCs w:val="32"/>
          <w:lang w:val="en-US" w:eastAsia="zh-CN"/>
        </w:rPr>
        <w:t>2902.45</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89.29</w:t>
      </w:r>
      <w:r>
        <w:rPr>
          <w:rFonts w:hint="default" w:ascii="Times New Roman" w:hAnsi="Times New Roman" w:eastAsia="方正仿宋_GBK" w:cs="Times New Roman"/>
          <w:sz w:val="32"/>
          <w:szCs w:val="32"/>
        </w:rPr>
        <w:t>%；项目支出</w:t>
      </w:r>
      <w:r>
        <w:rPr>
          <w:rFonts w:hint="default" w:ascii="Times New Roman" w:hAnsi="Times New Roman" w:eastAsia="方正仿宋_GBK" w:cs="Times New Roman"/>
          <w:sz w:val="32"/>
          <w:szCs w:val="32"/>
          <w:lang w:val="en-US" w:eastAsia="zh-CN"/>
        </w:rPr>
        <w:t>348</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10.71</w:t>
      </w:r>
      <w:r>
        <w:rPr>
          <w:rFonts w:hint="default" w:ascii="Times New Roman" w:hAnsi="Times New Roman" w:eastAsia="方正仿宋_GBK" w:cs="Times New Roman"/>
          <w:sz w:val="32"/>
          <w:szCs w:val="32"/>
        </w:rPr>
        <w:t>%。</w:t>
      </w:r>
    </w:p>
    <w:p>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财政拨款收支预算情况说明</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年财政拨款收支总预算</w:t>
      </w:r>
      <w:r>
        <w:rPr>
          <w:rFonts w:hint="default" w:ascii="Times New Roman" w:hAnsi="Times New Roman" w:eastAsia="方正仿宋_GBK" w:cs="Times New Roman"/>
          <w:sz w:val="32"/>
          <w:szCs w:val="32"/>
          <w:lang w:val="en-US" w:eastAsia="zh-CN"/>
        </w:rPr>
        <w:t>3250.45</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比2025年财政拨款收支总预算减少</w:t>
      </w:r>
      <w:r>
        <w:rPr>
          <w:rFonts w:hint="default" w:ascii="Times New Roman" w:hAnsi="Times New Roman" w:eastAsia="方正仿宋_GBK" w:cs="Times New Roman"/>
          <w:sz w:val="32"/>
          <w:szCs w:val="32"/>
          <w:lang w:val="en-US" w:eastAsia="zh-CN"/>
        </w:rPr>
        <w:t>141.15</w:t>
      </w:r>
      <w:r>
        <w:rPr>
          <w:rFonts w:hint="default" w:ascii="Times New Roman" w:hAnsi="Times New Roman" w:eastAsia="方正仿宋_GBK" w:cs="Times New Roman"/>
          <w:sz w:val="32"/>
          <w:szCs w:val="32"/>
        </w:rPr>
        <w:t>万元，主要原因:202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年因人员退休在职人员减少</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eastAsia="zh-CN"/>
        </w:rPr>
        <w:t>以及调出人员</w:t>
      </w:r>
      <w:r>
        <w:rPr>
          <w:rFonts w:hint="default" w:ascii="Times New Roman" w:hAnsi="Times New Roman" w:eastAsia="方正仿宋_GBK" w:cs="Times New Roman"/>
          <w:sz w:val="32"/>
          <w:szCs w:val="32"/>
          <w:lang w:val="en-US" w:eastAsia="zh-CN"/>
        </w:rPr>
        <w:t>3人</w:t>
      </w:r>
      <w:r>
        <w:rPr>
          <w:rFonts w:hint="default" w:ascii="Times New Roman" w:hAnsi="Times New Roman" w:eastAsia="方正仿宋_GBK" w:cs="Times New Roman"/>
          <w:sz w:val="32"/>
          <w:szCs w:val="32"/>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财政拨款收入包括：本年一般公共预算拨款收入</w:t>
      </w:r>
      <w:r>
        <w:rPr>
          <w:rFonts w:hint="default" w:ascii="Times New Roman" w:hAnsi="Times New Roman" w:eastAsia="方正仿宋_GBK" w:cs="Times New Roman"/>
          <w:sz w:val="32"/>
          <w:szCs w:val="32"/>
          <w:lang w:val="en-US" w:eastAsia="zh-CN"/>
        </w:rPr>
        <w:t>3250.45</w:t>
      </w:r>
      <w:r>
        <w:rPr>
          <w:rFonts w:hint="default" w:ascii="Times New Roman" w:hAnsi="Times New Roman" w:eastAsia="方正仿宋_GBK" w:cs="Times New Roman"/>
          <w:sz w:val="32"/>
          <w:szCs w:val="32"/>
        </w:rPr>
        <w:t>万元。</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财政拨款支出包括：</w:t>
      </w:r>
      <w:r>
        <w:rPr>
          <w:rFonts w:hint="default" w:ascii="Times New Roman" w:hAnsi="Times New Roman" w:eastAsia="方正仿宋_GBK" w:cs="Times New Roman"/>
          <w:sz w:val="32"/>
          <w:szCs w:val="32"/>
          <w:lang w:eastAsia="zh-CN"/>
        </w:rPr>
        <w:t>一般公共服务支出</w:t>
      </w:r>
      <w:r>
        <w:rPr>
          <w:rFonts w:hint="default" w:ascii="Times New Roman" w:hAnsi="Times New Roman" w:eastAsia="方正仿宋_GBK" w:cs="Times New Roman"/>
          <w:sz w:val="32"/>
          <w:szCs w:val="32"/>
          <w:lang w:val="en-US" w:eastAsia="zh-CN"/>
        </w:rPr>
        <w:t>2614.69</w:t>
      </w:r>
      <w:r>
        <w:rPr>
          <w:rFonts w:hint="default" w:ascii="Times New Roman" w:hAnsi="Times New Roman" w:eastAsia="方正仿宋_GBK" w:cs="Times New Roman"/>
          <w:sz w:val="32"/>
          <w:szCs w:val="32"/>
          <w:lang w:eastAsia="zh-CN"/>
        </w:rPr>
        <w:t>万元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社会保障和就业支出</w:t>
      </w:r>
      <w:r>
        <w:rPr>
          <w:rFonts w:hint="default" w:ascii="Times New Roman" w:hAnsi="Times New Roman" w:eastAsia="方正仿宋_GBK" w:cs="Times New Roman"/>
          <w:sz w:val="32"/>
          <w:szCs w:val="32"/>
          <w:lang w:val="en-US" w:eastAsia="zh-CN"/>
        </w:rPr>
        <w:t>333.04</w:t>
      </w:r>
      <w:r>
        <w:rPr>
          <w:rFonts w:hint="default" w:ascii="Times New Roman" w:hAnsi="Times New Roman" w:eastAsia="方正仿宋_GBK" w:cs="Times New Roman"/>
          <w:sz w:val="32"/>
          <w:szCs w:val="32"/>
          <w:lang w:eastAsia="zh-CN"/>
        </w:rPr>
        <w:t>万元，卫生健康支出</w:t>
      </w:r>
      <w:r>
        <w:rPr>
          <w:rFonts w:hint="default" w:ascii="Times New Roman" w:hAnsi="Times New Roman" w:eastAsia="方正仿宋_GBK" w:cs="Times New Roman"/>
          <w:sz w:val="32"/>
          <w:szCs w:val="32"/>
          <w:lang w:val="en-US" w:eastAsia="zh-CN"/>
        </w:rPr>
        <w:t>140.84</w:t>
      </w:r>
      <w:r>
        <w:rPr>
          <w:rFonts w:hint="default" w:ascii="Times New Roman" w:hAnsi="Times New Roman" w:eastAsia="方正仿宋_GBK" w:cs="Times New Roman"/>
          <w:sz w:val="32"/>
          <w:szCs w:val="32"/>
          <w:lang w:eastAsia="zh-CN"/>
        </w:rPr>
        <w:t>万元，住房保障支出</w:t>
      </w:r>
      <w:r>
        <w:rPr>
          <w:rFonts w:hint="default" w:ascii="Times New Roman" w:hAnsi="Times New Roman" w:eastAsia="方正仿宋_GBK" w:cs="Times New Roman"/>
          <w:sz w:val="32"/>
          <w:szCs w:val="32"/>
          <w:lang w:val="en-US" w:eastAsia="zh-CN"/>
        </w:rPr>
        <w:t>161.88</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lang w:eastAsia="zh-CN"/>
        </w:rPr>
        <w:t>元。</w:t>
      </w:r>
    </w:p>
    <w:p>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一般公共预算当年拨款情况说明</w:t>
      </w:r>
    </w:p>
    <w:p>
      <w:pPr>
        <w:keepNext w:val="0"/>
        <w:keepLines w:val="0"/>
        <w:pageBreakBefore w:val="0"/>
        <w:widowControl w:val="0"/>
        <w:numPr>
          <w:ilvl w:val="0"/>
          <w:numId w:val="4"/>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2" w:firstLineChars="200"/>
        <w:jc w:val="both"/>
        <w:textAlignment w:val="auto"/>
        <w:outlineLvl w:val="9"/>
        <w:rPr>
          <w:rFonts w:hint="eastAsia" w:ascii="方正楷体_GBK" w:hAnsi="方正楷体_GBK" w:eastAsia="方正楷体_GBK" w:cs="方正楷体_GBK"/>
          <w:b/>
          <w:bCs/>
          <w:kern w:val="2"/>
          <w:sz w:val="32"/>
          <w:szCs w:val="32"/>
        </w:rPr>
      </w:pPr>
      <w:r>
        <w:rPr>
          <w:rFonts w:hint="eastAsia" w:ascii="方正楷体_GBK" w:hAnsi="方正楷体_GBK" w:eastAsia="方正楷体_GBK" w:cs="方正楷体_GBK"/>
          <w:b/>
          <w:bCs/>
          <w:kern w:val="2"/>
          <w:sz w:val="32"/>
          <w:szCs w:val="32"/>
        </w:rPr>
        <w:t>一般公共预算当年拨款规模变化情况</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阿坝州市场监管局2026年一般公共预算当年拨款</w:t>
      </w:r>
      <w:r>
        <w:rPr>
          <w:rFonts w:hint="default" w:ascii="Times New Roman" w:hAnsi="Times New Roman" w:eastAsia="方正仿宋_GBK" w:cs="Times New Roman"/>
          <w:sz w:val="32"/>
          <w:szCs w:val="32"/>
          <w:lang w:val="en-US" w:eastAsia="zh-CN"/>
        </w:rPr>
        <w:t>3250.45</w:t>
      </w:r>
      <w:r>
        <w:rPr>
          <w:rFonts w:hint="default" w:ascii="Times New Roman" w:hAnsi="Times New Roman" w:eastAsia="方正仿宋_GBK" w:cs="Times New Roman"/>
          <w:sz w:val="32"/>
          <w:szCs w:val="32"/>
        </w:rPr>
        <w:t>万元，比2025年预算数减</w:t>
      </w:r>
      <w:r>
        <w:rPr>
          <w:rFonts w:hint="default" w:ascii="Times New Roman" w:hAnsi="Times New Roman" w:eastAsia="方正仿宋_GBK" w:cs="Times New Roman"/>
          <w:sz w:val="32"/>
          <w:szCs w:val="32"/>
          <w:lang w:val="en-US" w:eastAsia="zh-CN"/>
        </w:rPr>
        <w:t>141.15</w:t>
      </w:r>
      <w:r>
        <w:rPr>
          <w:rFonts w:hint="default" w:ascii="Times New Roman" w:hAnsi="Times New Roman" w:eastAsia="方正仿宋_GBK" w:cs="Times New Roman"/>
          <w:sz w:val="32"/>
          <w:szCs w:val="32"/>
        </w:rPr>
        <w:t>万元，主要原因:202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年因人员退休在职人员减少</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eastAsia="zh-CN"/>
        </w:rPr>
        <w:t>以及调出人员</w:t>
      </w:r>
      <w:r>
        <w:rPr>
          <w:rFonts w:hint="default" w:ascii="Times New Roman" w:hAnsi="Times New Roman" w:eastAsia="方正仿宋_GBK" w:cs="Times New Roman"/>
          <w:sz w:val="32"/>
          <w:szCs w:val="32"/>
          <w:lang w:val="en-US" w:eastAsia="zh-CN"/>
        </w:rPr>
        <w:t>3人</w:t>
      </w:r>
      <w:r>
        <w:rPr>
          <w:rFonts w:hint="default" w:ascii="Times New Roman" w:hAnsi="Times New Roman" w:eastAsia="方正仿宋_GBK" w:cs="Times New Roman"/>
          <w:sz w:val="32"/>
          <w:szCs w:val="32"/>
        </w:rPr>
        <w:t>。</w:t>
      </w:r>
    </w:p>
    <w:p>
      <w:pPr>
        <w:keepNext w:val="0"/>
        <w:keepLines w:val="0"/>
        <w:pageBreakBefore w:val="0"/>
        <w:widowControl w:val="0"/>
        <w:numPr>
          <w:ilvl w:val="0"/>
          <w:numId w:val="4"/>
        </w:numPr>
        <w:pBdr>
          <w:bottom w:val="single" w:color="FFFFFF" w:sz="4" w:space="31"/>
        </w:pBdr>
        <w:tabs>
          <w:tab w:val="left" w:pos="1440"/>
        </w:tabs>
        <w:kinsoku/>
        <w:wordWrap/>
        <w:overflowPunct/>
        <w:topLinePunct w:val="0"/>
        <w:autoSpaceDE/>
        <w:autoSpaceDN/>
        <w:bidi w:val="0"/>
        <w:adjustRightInd w:val="0"/>
        <w:snapToGrid w:val="0"/>
        <w:spacing w:line="576" w:lineRule="exact"/>
        <w:ind w:left="0" w:leftChars="0" w:firstLine="642" w:firstLineChars="200"/>
        <w:jc w:val="both"/>
        <w:textAlignment w:val="auto"/>
        <w:outlineLvl w:val="9"/>
        <w:rPr>
          <w:rFonts w:hint="eastAsia" w:ascii="方正楷体_GBK" w:hAnsi="方正楷体_GBK" w:eastAsia="方正楷体_GBK" w:cs="方正楷体_GBK"/>
          <w:b/>
          <w:bCs/>
          <w:kern w:val="2"/>
          <w:sz w:val="32"/>
          <w:szCs w:val="32"/>
          <w:lang w:eastAsia="zh-CN"/>
        </w:rPr>
      </w:pPr>
      <w:r>
        <w:rPr>
          <w:rFonts w:hint="eastAsia" w:ascii="方正楷体_GBK" w:hAnsi="方正楷体_GBK" w:eastAsia="方正楷体_GBK" w:cs="方正楷体_GBK"/>
          <w:b/>
          <w:bCs/>
          <w:sz w:val="32"/>
          <w:szCs w:val="32"/>
        </w:rPr>
        <w:t>一般公共预算当年拨款结构情况</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一般公共服务支出</w:t>
      </w:r>
      <w:r>
        <w:rPr>
          <w:rFonts w:hint="default" w:ascii="Times New Roman" w:hAnsi="Times New Roman" w:eastAsia="方正仿宋_GBK" w:cs="Times New Roman"/>
          <w:sz w:val="32"/>
          <w:szCs w:val="32"/>
          <w:lang w:val="en-US" w:eastAsia="zh-CN"/>
        </w:rPr>
        <w:t>2614.69</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80.44</w:t>
      </w:r>
      <w:r>
        <w:rPr>
          <w:rFonts w:hint="default" w:ascii="Times New Roman" w:hAnsi="Times New Roman" w:eastAsia="方正仿宋_GBK" w:cs="Times New Roman"/>
          <w:sz w:val="32"/>
          <w:szCs w:val="32"/>
        </w:rPr>
        <w:t>%；社会保障和就业支出</w:t>
      </w:r>
      <w:r>
        <w:rPr>
          <w:rFonts w:hint="default" w:ascii="Times New Roman" w:hAnsi="Times New Roman" w:eastAsia="方正仿宋_GBK" w:cs="Times New Roman"/>
          <w:sz w:val="32"/>
          <w:szCs w:val="32"/>
          <w:lang w:val="en-US" w:eastAsia="zh-CN"/>
        </w:rPr>
        <w:t>333.04</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10.25</w:t>
      </w:r>
      <w:r>
        <w:rPr>
          <w:rFonts w:hint="default" w:ascii="Times New Roman" w:hAnsi="Times New Roman" w:eastAsia="方正仿宋_GBK" w:cs="Times New Roman"/>
          <w:sz w:val="32"/>
          <w:szCs w:val="32"/>
        </w:rPr>
        <w:t>%；医疗卫生与计划生育支出</w:t>
      </w:r>
      <w:r>
        <w:rPr>
          <w:rFonts w:hint="default" w:ascii="Times New Roman" w:hAnsi="Times New Roman" w:eastAsia="方正仿宋_GBK" w:cs="Times New Roman"/>
          <w:sz w:val="32"/>
          <w:szCs w:val="32"/>
          <w:lang w:val="en-US" w:eastAsia="zh-CN"/>
        </w:rPr>
        <w:t>140.84</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4.33</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lang w:val="en-US" w:eastAsia="zh-CN"/>
        </w:rPr>
        <w:t>161.88</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4.98</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p>
    <w:p>
      <w:pPr>
        <w:keepNext w:val="0"/>
        <w:keepLines w:val="0"/>
        <w:pageBreakBefore w:val="0"/>
        <w:widowControl w:val="0"/>
        <w:numPr>
          <w:ilvl w:val="0"/>
          <w:numId w:val="4"/>
        </w:numPr>
        <w:pBdr>
          <w:bottom w:val="single" w:color="FFFFFF" w:sz="4" w:space="31"/>
        </w:pBdr>
        <w:tabs>
          <w:tab w:val="left" w:pos="1440"/>
        </w:tabs>
        <w:kinsoku/>
        <w:wordWrap/>
        <w:overflowPunct/>
        <w:topLinePunct w:val="0"/>
        <w:autoSpaceDE/>
        <w:autoSpaceDN/>
        <w:bidi w:val="0"/>
        <w:adjustRightInd w:val="0"/>
        <w:snapToGrid w:val="0"/>
        <w:spacing w:line="576" w:lineRule="exact"/>
        <w:ind w:left="0" w:leftChars="0" w:firstLine="642" w:firstLineChars="200"/>
        <w:jc w:val="both"/>
        <w:textAlignment w:val="auto"/>
        <w:outlineLvl w:val="9"/>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kern w:val="2"/>
          <w:sz w:val="32"/>
          <w:szCs w:val="32"/>
        </w:rPr>
        <w:t>一般公共预算当年拨款具体使用情况</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1.一般公共服务（201）市场监督管理事务（38）行政运行（01）2026年预算数</w:t>
      </w:r>
      <w:r>
        <w:rPr>
          <w:rFonts w:hint="default" w:ascii="Times New Roman" w:hAnsi="Times New Roman" w:eastAsia="方正仿宋_GBK" w:cs="Times New Roman"/>
          <w:sz w:val="32"/>
          <w:szCs w:val="32"/>
          <w:lang w:val="en-US" w:eastAsia="zh-CN"/>
        </w:rPr>
        <w:t>2266.69</w:t>
      </w:r>
      <w:r>
        <w:rPr>
          <w:rFonts w:hint="default" w:ascii="Times New Roman" w:hAnsi="Times New Roman" w:eastAsia="方正仿宋_GBK" w:cs="Times New Roman"/>
          <w:kern w:val="2"/>
          <w:sz w:val="32"/>
          <w:szCs w:val="32"/>
          <w:lang w:val="en-US" w:eastAsia="zh-CN" w:bidi="ar-SA"/>
        </w:rPr>
        <w:t>万元，主要用于2026年度的工资福利支出、商品和服务支出、对个人和家庭的补助。</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kern w:val="2"/>
          <w:sz w:val="32"/>
          <w:szCs w:val="32"/>
          <w:lang w:val="en-US" w:eastAsia="zh-CN" w:bidi="ar-SA"/>
        </w:rPr>
        <w:t>一般公共服务（201）市场监督管理事务（38）市场秩序执法（05），2026预算数为24万元，主要用于：稽查、网络交易监管、价格监督、公平竞争审查、综合执法等市场秩序执法专项工作支出。</w:t>
      </w:r>
    </w:p>
    <w:p>
      <w:pPr>
        <w:pStyle w:val="13"/>
        <w:keepNext w:val="0"/>
        <w:keepLines w:val="0"/>
        <w:pageBreakBefore w:val="0"/>
        <w:widowControl w:val="0"/>
        <w:kinsoku/>
        <w:wordWrap/>
        <w:overflowPunct/>
        <w:topLinePunct w:val="0"/>
        <w:autoSpaceDE/>
        <w:autoSpaceDN/>
        <w:bidi w:val="0"/>
        <w:adjustRightInd/>
        <w:snapToGrid/>
        <w:spacing w:before="0" w:line="576"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3.一般公共服务（201）市场监督管理事务（38）信息化建设（08）,2026年预算数10万元，主要用于信息化网络维护、宣传费等工作。</w:t>
      </w:r>
    </w:p>
    <w:p>
      <w:pPr>
        <w:pStyle w:val="13"/>
        <w:keepNext w:val="0"/>
        <w:keepLines w:val="0"/>
        <w:pageBreakBefore w:val="0"/>
        <w:widowControl w:val="0"/>
        <w:kinsoku/>
        <w:wordWrap/>
        <w:overflowPunct/>
        <w:topLinePunct w:val="0"/>
        <w:autoSpaceDE/>
        <w:autoSpaceDN/>
        <w:bidi w:val="0"/>
        <w:adjustRightInd/>
        <w:snapToGrid/>
        <w:spacing w:before="0" w:line="576"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一般公共服务（201）市场监督管理事务（38）质量基础（10）,2026年预算数5万元，主要用于组织开展企业标准、团体标准双随机抽查工、强制性标准宣传贯彻、标准实施信息调查反馈和效果评估等标准综合管理工作。</w:t>
      </w:r>
    </w:p>
    <w:p>
      <w:pPr>
        <w:pStyle w:val="13"/>
        <w:keepNext w:val="0"/>
        <w:keepLines w:val="0"/>
        <w:pageBreakBefore w:val="0"/>
        <w:widowControl w:val="0"/>
        <w:kinsoku/>
        <w:wordWrap/>
        <w:overflowPunct/>
        <w:topLinePunct w:val="0"/>
        <w:autoSpaceDE/>
        <w:autoSpaceDN/>
        <w:bidi w:val="0"/>
        <w:adjustRightInd/>
        <w:snapToGrid/>
        <w:spacing w:before="0" w:line="576"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5.一般公共服务（201）市场监督管理事务（38）药品事务（12），2026年预算数3万元，主要用于：药械化（含中药、民族药）监督管理方面的支出。</w:t>
      </w:r>
    </w:p>
    <w:p>
      <w:pPr>
        <w:pStyle w:val="13"/>
        <w:keepNext w:val="0"/>
        <w:keepLines w:val="0"/>
        <w:pageBreakBefore w:val="0"/>
        <w:widowControl w:val="0"/>
        <w:kinsoku/>
        <w:wordWrap/>
        <w:overflowPunct/>
        <w:topLinePunct w:val="0"/>
        <w:autoSpaceDE/>
        <w:autoSpaceDN/>
        <w:bidi w:val="0"/>
        <w:adjustRightInd/>
        <w:snapToGrid/>
        <w:spacing w:before="0" w:line="576"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kern w:val="2"/>
          <w:sz w:val="32"/>
          <w:szCs w:val="32"/>
          <w:lang w:val="en-US" w:eastAsia="zh-CN" w:bidi="ar-SA"/>
        </w:rPr>
        <w:t>一般公共服务（201）市场监督管理事务（38）质量安全监管（15），2026年预算数为220万元，主要用于：计量监督、特种设备监督、认证认可、质量安全监管、抽检等业务。</w:t>
      </w:r>
    </w:p>
    <w:p>
      <w:pPr>
        <w:pStyle w:val="13"/>
        <w:keepNext w:val="0"/>
        <w:keepLines w:val="0"/>
        <w:pageBreakBefore w:val="0"/>
        <w:widowControl w:val="0"/>
        <w:kinsoku/>
        <w:wordWrap/>
        <w:overflowPunct/>
        <w:topLinePunct w:val="0"/>
        <w:autoSpaceDE/>
        <w:autoSpaceDN/>
        <w:bidi w:val="0"/>
        <w:adjustRightInd/>
        <w:snapToGrid/>
        <w:spacing w:before="0" w:line="576"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kern w:val="2"/>
          <w:sz w:val="32"/>
          <w:szCs w:val="32"/>
          <w:lang w:val="en-US" w:eastAsia="zh-CN" w:bidi="ar-SA"/>
        </w:rPr>
        <w:t>一般公共服务（201）市场监督管理事务（38）食品安全监管（16），2026年预算数为46万元，主要用于：食品生产、食品安全、食品安全应急演练、全州食品流通安全监管等业务。</w:t>
      </w:r>
    </w:p>
    <w:p>
      <w:pPr>
        <w:pStyle w:val="13"/>
        <w:keepNext w:val="0"/>
        <w:keepLines w:val="0"/>
        <w:pageBreakBefore w:val="0"/>
        <w:widowControl w:val="0"/>
        <w:kinsoku/>
        <w:wordWrap/>
        <w:overflowPunct/>
        <w:topLinePunct w:val="0"/>
        <w:autoSpaceDE/>
        <w:autoSpaceDN/>
        <w:bidi w:val="0"/>
        <w:adjustRightInd/>
        <w:snapToGrid/>
        <w:spacing w:before="0" w:line="576"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8.一般公共服务（201）市场监督管理事务（38）其他市场监督管理事务（99），2026年预算数为40万元，主要用于：十五五市场监管现代化规划经费、补助消委会经费、</w:t>
      </w:r>
      <w:r>
        <w:rPr>
          <w:rFonts w:hint="default" w:ascii="Times New Roman" w:hAnsi="Times New Roman" w:eastAsia="方正仿宋_GBK" w:cs="Times New Roman"/>
          <w:sz w:val="32"/>
          <w:szCs w:val="32"/>
          <w:lang w:val="en-US" w:eastAsia="zh-CN"/>
        </w:rPr>
        <w:t>信用监管、商标、知识产权保护和规划发展等</w:t>
      </w:r>
      <w:r>
        <w:rPr>
          <w:rFonts w:hint="default" w:ascii="Times New Roman" w:hAnsi="Times New Roman" w:eastAsia="方正仿宋_GBK" w:cs="Times New Roman"/>
          <w:kern w:val="2"/>
          <w:sz w:val="32"/>
          <w:szCs w:val="32"/>
          <w:lang w:val="en-US" w:eastAsia="zh-CN" w:bidi="ar-SA"/>
        </w:rPr>
        <w:t>工作。</w:t>
      </w:r>
    </w:p>
    <w:p>
      <w:pPr>
        <w:pStyle w:val="13"/>
        <w:keepNext w:val="0"/>
        <w:keepLines w:val="0"/>
        <w:pageBreakBefore w:val="0"/>
        <w:kinsoku/>
        <w:wordWrap/>
        <w:overflowPunct/>
        <w:topLinePunct w:val="0"/>
        <w:autoSpaceDE/>
        <w:autoSpaceDN/>
        <w:bidi w:val="0"/>
        <w:spacing w:before="0" w:line="576"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rPr>
        <w:t>社会保障就业支出（208）行政事业单位离退休（05）机关事业单位基本养老保险缴费支出（05） 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年预算数为</w:t>
      </w:r>
      <w:r>
        <w:rPr>
          <w:rFonts w:hint="default" w:ascii="Times New Roman" w:hAnsi="Times New Roman" w:eastAsia="方正仿宋_GBK" w:cs="Times New Roman"/>
          <w:sz w:val="32"/>
          <w:szCs w:val="32"/>
          <w:lang w:val="en-US" w:eastAsia="zh-CN"/>
        </w:rPr>
        <w:t>222.03</w:t>
      </w:r>
      <w:r>
        <w:rPr>
          <w:rFonts w:hint="default" w:ascii="Times New Roman" w:hAnsi="Times New Roman" w:eastAsia="方正仿宋_GBK" w:cs="Times New Roman"/>
          <w:sz w:val="32"/>
          <w:szCs w:val="32"/>
        </w:rPr>
        <w:t>万元，主要用于实施养老保险制度后由单位缴纳的202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年度基本养老保险费支出。</w:t>
      </w:r>
    </w:p>
    <w:p>
      <w:pPr>
        <w:keepNext w:val="0"/>
        <w:keepLines w:val="0"/>
        <w:pageBreakBefore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10．</w:t>
      </w:r>
      <w:r>
        <w:rPr>
          <w:rFonts w:hint="default" w:ascii="Times New Roman" w:hAnsi="Times New Roman" w:eastAsia="方正仿宋_GBK" w:cs="Times New Roman"/>
          <w:sz w:val="32"/>
          <w:szCs w:val="32"/>
        </w:rPr>
        <w:t>社会保障就业支出（208）行政事业单位离退休（05）机关事业单位职业年金缴费支出（06） 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年预算数为</w:t>
      </w:r>
      <w:r>
        <w:rPr>
          <w:rFonts w:hint="default" w:ascii="Times New Roman" w:hAnsi="Times New Roman" w:eastAsia="方正仿宋_GBK" w:cs="Times New Roman"/>
          <w:sz w:val="32"/>
          <w:szCs w:val="32"/>
          <w:lang w:val="en-US" w:eastAsia="zh-CN"/>
        </w:rPr>
        <w:t>111.01</w:t>
      </w:r>
      <w:r>
        <w:rPr>
          <w:rFonts w:hint="default" w:ascii="Times New Roman" w:hAnsi="Times New Roman" w:eastAsia="方正仿宋_GBK" w:cs="Times New Roman"/>
          <w:sz w:val="32"/>
          <w:szCs w:val="32"/>
        </w:rPr>
        <w:t>万元，主要用于实施养老保险制度后由单位缴纳的202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年度职业年金缴费支出。</w:t>
      </w:r>
    </w:p>
    <w:p>
      <w:pPr>
        <w:keepNext w:val="0"/>
        <w:keepLines w:val="0"/>
        <w:pageBreakBefore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11．</w:t>
      </w:r>
      <w:r>
        <w:rPr>
          <w:rFonts w:hint="default" w:ascii="Times New Roman" w:hAnsi="Times New Roman" w:eastAsia="方正仿宋_GBK" w:cs="Times New Roman"/>
          <w:sz w:val="32"/>
          <w:szCs w:val="32"/>
        </w:rPr>
        <w:t>卫生健康支出（210）行政事业单位医疗（11）行政单位医疗（01）202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年预算数为</w:t>
      </w:r>
      <w:r>
        <w:rPr>
          <w:rFonts w:hint="default" w:ascii="Times New Roman" w:hAnsi="Times New Roman" w:eastAsia="方正仿宋_GBK" w:cs="Times New Roman"/>
          <w:sz w:val="32"/>
          <w:szCs w:val="32"/>
          <w:lang w:val="en-US" w:eastAsia="zh-CN"/>
        </w:rPr>
        <w:t>97.14</w:t>
      </w:r>
      <w:r>
        <w:rPr>
          <w:rFonts w:hint="default" w:ascii="Times New Roman" w:hAnsi="Times New Roman" w:eastAsia="方正仿宋_GBK" w:cs="Times New Roman"/>
          <w:sz w:val="32"/>
          <w:szCs w:val="32"/>
        </w:rPr>
        <w:t>万元，主要用于：202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年度的医疗保险缴费支出。</w:t>
      </w:r>
    </w:p>
    <w:p>
      <w:pPr>
        <w:keepNext w:val="0"/>
        <w:keepLines w:val="0"/>
        <w:pageBreakBefore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rPr>
        <w:t>卫生健康支出（210）行政事业单位医疗（11）公务员医疗补助（03）202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年预算数为4</w:t>
      </w:r>
      <w:r>
        <w:rPr>
          <w:rFonts w:hint="default" w:ascii="Times New Roman" w:hAnsi="Times New Roman" w:eastAsia="方正仿宋_GBK" w:cs="Times New Roman"/>
          <w:sz w:val="32"/>
          <w:szCs w:val="32"/>
          <w:lang w:val="en-US" w:eastAsia="zh-CN"/>
        </w:rPr>
        <w:t>3.70</w:t>
      </w:r>
      <w:r>
        <w:rPr>
          <w:rFonts w:hint="default" w:ascii="Times New Roman" w:hAnsi="Times New Roman" w:eastAsia="方正仿宋_GBK" w:cs="Times New Roman"/>
          <w:sz w:val="32"/>
          <w:szCs w:val="32"/>
        </w:rPr>
        <w:t>万元，主要用于：202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年度的补充医疗缴费支出。</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rPr>
        <w:t>住房保障支出（221）住房改革支出（02）住房公积金（01）202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年预算数为</w:t>
      </w:r>
      <w:r>
        <w:rPr>
          <w:rFonts w:hint="default" w:ascii="Times New Roman" w:hAnsi="Times New Roman" w:eastAsia="方正仿宋_GBK" w:cs="Times New Roman"/>
          <w:sz w:val="32"/>
          <w:szCs w:val="32"/>
          <w:lang w:val="en-US" w:eastAsia="zh-CN"/>
        </w:rPr>
        <w:t>161.88</w:t>
      </w:r>
      <w:r>
        <w:rPr>
          <w:rFonts w:hint="default" w:ascii="Times New Roman" w:hAnsi="Times New Roman" w:eastAsia="方正仿宋_GBK" w:cs="Times New Roman"/>
          <w:sz w:val="32"/>
          <w:szCs w:val="32"/>
        </w:rPr>
        <w:t>万元，主要用于：202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年度为职工缴纳的住房公积金单位部分。　</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六、一般公共预算基本支出情况说明</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rPr>
      </w:pPr>
      <w:r>
        <w:rPr>
          <w:rFonts w:hint="default" w:ascii="Times New Roman" w:hAnsi="Times New Roman" w:eastAsia="方正仿宋_GBK" w:cs="Times New Roman"/>
          <w:kern w:val="2"/>
          <w:sz w:val="32"/>
          <w:szCs w:val="32"/>
        </w:rPr>
        <w:t>2026年一般公共预算基本支出</w:t>
      </w:r>
      <w:r>
        <w:rPr>
          <w:rFonts w:hint="default" w:ascii="Times New Roman" w:hAnsi="Times New Roman" w:eastAsia="方正仿宋_GBK" w:cs="Times New Roman"/>
          <w:kern w:val="2"/>
          <w:sz w:val="32"/>
          <w:szCs w:val="32"/>
          <w:lang w:val="en-US" w:eastAsia="zh-CN"/>
        </w:rPr>
        <w:t>2902.45</w:t>
      </w:r>
      <w:r>
        <w:rPr>
          <w:rFonts w:hint="default" w:ascii="Times New Roman" w:hAnsi="Times New Roman" w:eastAsia="方正仿宋_GBK" w:cs="Times New Roman"/>
          <w:kern w:val="2"/>
          <w:sz w:val="32"/>
          <w:szCs w:val="32"/>
        </w:rPr>
        <w:t>万元，其中：人员经费</w:t>
      </w:r>
      <w:r>
        <w:rPr>
          <w:rFonts w:hint="eastAsia" w:ascii="Times New Roman" w:hAnsi="Times New Roman" w:eastAsia="方正仿宋_GBK" w:cs="Times New Roman"/>
          <w:kern w:val="2"/>
          <w:sz w:val="32"/>
          <w:szCs w:val="32"/>
          <w:highlight w:val="none"/>
          <w:lang w:val="en-US" w:eastAsia="zh-CN"/>
        </w:rPr>
        <w:t>2458.05</w:t>
      </w:r>
      <w:r>
        <w:rPr>
          <w:rFonts w:hint="default" w:ascii="Times New Roman" w:hAnsi="Times New Roman" w:eastAsia="方正仿宋_GBK" w:cs="Times New Roman"/>
          <w:kern w:val="2"/>
          <w:sz w:val="32"/>
          <w:szCs w:val="32"/>
        </w:rPr>
        <w:t>万元，主要包括：基本工资</w:t>
      </w:r>
      <w:r>
        <w:rPr>
          <w:rFonts w:hint="default" w:ascii="Times New Roman" w:hAnsi="Times New Roman" w:eastAsia="方正仿宋_GBK" w:cs="Times New Roman"/>
          <w:kern w:val="2"/>
          <w:sz w:val="32"/>
          <w:szCs w:val="32"/>
          <w:lang w:val="en-US" w:eastAsia="zh-CN"/>
        </w:rPr>
        <w:t>475.6万元</w:t>
      </w:r>
      <w:r>
        <w:rPr>
          <w:rFonts w:hint="default" w:ascii="Times New Roman" w:hAnsi="Times New Roman" w:eastAsia="方正仿宋_GBK" w:cs="Times New Roman"/>
          <w:kern w:val="2"/>
          <w:sz w:val="32"/>
          <w:szCs w:val="32"/>
        </w:rPr>
        <w:t>、津贴补贴</w:t>
      </w:r>
      <w:r>
        <w:rPr>
          <w:rFonts w:hint="default" w:ascii="Times New Roman" w:hAnsi="Times New Roman" w:eastAsia="方正仿宋_GBK" w:cs="Times New Roman"/>
          <w:kern w:val="2"/>
          <w:sz w:val="32"/>
          <w:szCs w:val="32"/>
          <w:lang w:val="en-US" w:eastAsia="zh-CN"/>
        </w:rPr>
        <w:t>493.21万元</w:t>
      </w:r>
      <w:r>
        <w:rPr>
          <w:rFonts w:hint="default" w:ascii="Times New Roman" w:hAnsi="Times New Roman" w:eastAsia="方正仿宋_GBK" w:cs="Times New Roman"/>
          <w:kern w:val="2"/>
          <w:sz w:val="32"/>
          <w:szCs w:val="32"/>
        </w:rPr>
        <w:t>、奖金</w:t>
      </w:r>
      <w:r>
        <w:rPr>
          <w:rFonts w:hint="default" w:ascii="Times New Roman" w:hAnsi="Times New Roman" w:eastAsia="方正仿宋_GBK" w:cs="Times New Roman"/>
          <w:kern w:val="2"/>
          <w:sz w:val="32"/>
          <w:szCs w:val="32"/>
          <w:lang w:val="en-US" w:eastAsia="zh-CN"/>
        </w:rPr>
        <w:t>39.17万元</w:t>
      </w:r>
      <w:r>
        <w:rPr>
          <w:rFonts w:hint="default" w:ascii="Times New Roman" w:hAnsi="Times New Roman" w:eastAsia="方正仿宋_GBK" w:cs="Times New Roman"/>
          <w:kern w:val="2"/>
          <w:sz w:val="32"/>
          <w:szCs w:val="32"/>
        </w:rPr>
        <w:t>、绩效工资</w:t>
      </w:r>
      <w:r>
        <w:rPr>
          <w:rFonts w:hint="default" w:ascii="Times New Roman" w:hAnsi="Times New Roman" w:eastAsia="方正仿宋_GBK" w:cs="Times New Roman"/>
          <w:kern w:val="2"/>
          <w:sz w:val="32"/>
          <w:szCs w:val="32"/>
          <w:lang w:val="en-US" w:eastAsia="zh-CN"/>
        </w:rPr>
        <w:t>384.92万元</w:t>
      </w:r>
      <w:r>
        <w:rPr>
          <w:rFonts w:hint="default" w:ascii="Times New Roman" w:hAnsi="Times New Roman" w:eastAsia="方正仿宋_GBK" w:cs="Times New Roman"/>
          <w:kern w:val="2"/>
          <w:sz w:val="32"/>
          <w:szCs w:val="32"/>
        </w:rPr>
        <w:t>、</w:t>
      </w:r>
      <w:r>
        <w:rPr>
          <w:rFonts w:hint="default" w:ascii="Times New Roman" w:hAnsi="Times New Roman" w:eastAsia="方正仿宋_GBK" w:cs="Times New Roman"/>
          <w:sz w:val="32"/>
          <w:szCs w:val="32"/>
        </w:rPr>
        <w:t>其他工资福利支出56.39万元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kern w:val="2"/>
          <w:sz w:val="32"/>
          <w:szCs w:val="32"/>
        </w:rPr>
        <w:t>其他社会保障缴费</w:t>
      </w:r>
      <w:r>
        <w:rPr>
          <w:rFonts w:hint="default" w:ascii="Times New Roman" w:hAnsi="Times New Roman" w:eastAsia="方正仿宋_GBK" w:cs="Times New Roman"/>
          <w:kern w:val="2"/>
          <w:sz w:val="32"/>
          <w:szCs w:val="32"/>
          <w:lang w:val="en-US" w:eastAsia="zh-CN"/>
        </w:rPr>
        <w:t>11.10万元</w:t>
      </w:r>
      <w:r>
        <w:rPr>
          <w:rFonts w:hint="default" w:ascii="Times New Roman" w:hAnsi="Times New Roman" w:eastAsia="方正仿宋_GBK" w:cs="Times New Roman"/>
          <w:sz w:val="32"/>
          <w:szCs w:val="32"/>
        </w:rPr>
        <w:t>（其中：失业保险8.88万元，工伤保险 2.96万元）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kern w:val="2"/>
          <w:sz w:val="32"/>
          <w:szCs w:val="32"/>
        </w:rPr>
        <w:t>机关事业单位基本养老保险缴费</w:t>
      </w:r>
      <w:r>
        <w:rPr>
          <w:rFonts w:hint="default" w:ascii="Times New Roman" w:hAnsi="Times New Roman" w:eastAsia="方正仿宋_GBK" w:cs="Times New Roman"/>
          <w:kern w:val="2"/>
          <w:sz w:val="32"/>
          <w:szCs w:val="32"/>
          <w:lang w:val="en-US" w:eastAsia="zh-CN"/>
        </w:rPr>
        <w:t>222.03万元</w:t>
      </w:r>
      <w:r>
        <w:rPr>
          <w:rFonts w:hint="default" w:ascii="Times New Roman" w:hAnsi="Times New Roman" w:eastAsia="方正仿宋_GBK" w:cs="Times New Roman"/>
          <w:kern w:val="2"/>
          <w:sz w:val="32"/>
          <w:szCs w:val="32"/>
        </w:rPr>
        <w:t>、职业年金缴费</w:t>
      </w:r>
      <w:r>
        <w:rPr>
          <w:rFonts w:hint="default" w:ascii="Times New Roman" w:hAnsi="Times New Roman" w:eastAsia="方正仿宋_GBK" w:cs="Times New Roman"/>
          <w:kern w:val="2"/>
          <w:sz w:val="32"/>
          <w:szCs w:val="32"/>
          <w:lang w:val="en-US" w:eastAsia="zh-CN"/>
        </w:rPr>
        <w:t>111.01万元、</w:t>
      </w:r>
      <w:r>
        <w:rPr>
          <w:rFonts w:hint="default" w:ascii="Times New Roman" w:hAnsi="Times New Roman" w:eastAsia="方正仿宋_GBK" w:cs="Times New Roman"/>
          <w:sz w:val="32"/>
          <w:szCs w:val="32"/>
        </w:rPr>
        <w:t>职工基本医疗保险缴费</w:t>
      </w:r>
      <w:r>
        <w:rPr>
          <w:rFonts w:hint="default" w:ascii="Times New Roman" w:hAnsi="Times New Roman" w:eastAsia="方正仿宋_GBK" w:cs="Times New Roman"/>
          <w:sz w:val="32"/>
          <w:szCs w:val="32"/>
          <w:lang w:val="en-US" w:eastAsia="zh-CN"/>
        </w:rPr>
        <w:t>97.14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公务员医疗补助缴费</w:t>
      </w:r>
      <w:r>
        <w:rPr>
          <w:rFonts w:hint="default" w:ascii="Times New Roman" w:hAnsi="Times New Roman" w:eastAsia="方正仿宋_GBK" w:cs="Times New Roman"/>
          <w:sz w:val="32"/>
          <w:szCs w:val="32"/>
          <w:lang w:val="en-US" w:eastAsia="zh-CN"/>
        </w:rPr>
        <w:t>43.70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kern w:val="2"/>
          <w:sz w:val="32"/>
          <w:szCs w:val="32"/>
        </w:rPr>
        <w:t>住房公积金</w:t>
      </w:r>
      <w:r>
        <w:rPr>
          <w:rFonts w:hint="default" w:ascii="Times New Roman" w:hAnsi="Times New Roman" w:eastAsia="方正仿宋_GBK" w:cs="Times New Roman"/>
          <w:kern w:val="2"/>
          <w:sz w:val="32"/>
          <w:szCs w:val="32"/>
          <w:lang w:val="en-US" w:eastAsia="zh-CN"/>
        </w:rPr>
        <w:t>161.88万元</w:t>
      </w:r>
      <w:r>
        <w:rPr>
          <w:rFonts w:hint="default" w:ascii="Times New Roman" w:hAnsi="Times New Roman" w:eastAsia="方正仿宋_GBK" w:cs="Times New Roman"/>
          <w:kern w:val="2"/>
          <w:sz w:val="32"/>
          <w:szCs w:val="32"/>
        </w:rPr>
        <w:t>、其他对个人和家庭的补助支出</w:t>
      </w:r>
      <w:r>
        <w:rPr>
          <w:rFonts w:hint="default" w:ascii="Times New Roman" w:hAnsi="Times New Roman" w:eastAsia="方正仿宋_GBK" w:cs="Times New Roman"/>
          <w:kern w:val="2"/>
          <w:sz w:val="32"/>
          <w:szCs w:val="32"/>
          <w:lang w:val="en-US" w:eastAsia="zh-CN"/>
        </w:rPr>
        <w:t>353.15万元</w:t>
      </w:r>
      <w:r>
        <w:rPr>
          <w:rFonts w:hint="default" w:ascii="Times New Roman" w:hAnsi="Times New Roman" w:eastAsia="方正仿宋_GBK" w:cs="Times New Roman"/>
          <w:sz w:val="32"/>
          <w:szCs w:val="32"/>
        </w:rPr>
        <w:t>（其中：退休人员年定额补助</w:t>
      </w:r>
      <w:r>
        <w:rPr>
          <w:rFonts w:hint="default" w:ascii="Times New Roman" w:hAnsi="Times New Roman" w:eastAsia="方正仿宋_GBK" w:cs="Times New Roman"/>
          <w:sz w:val="32"/>
          <w:szCs w:val="32"/>
          <w:lang w:val="en-US" w:eastAsia="zh-CN"/>
        </w:rPr>
        <w:t>353.10万元，</w:t>
      </w:r>
      <w:r>
        <w:rPr>
          <w:rFonts w:hint="default" w:ascii="Times New Roman" w:hAnsi="Times New Roman" w:eastAsia="方正仿宋_GBK" w:cs="Times New Roman"/>
          <w:sz w:val="32"/>
          <w:szCs w:val="32"/>
        </w:rPr>
        <w:t>独生子女父母奖励0.0</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highlight w:val="none"/>
          <w:lang w:eastAsia="zh-CN"/>
        </w:rPr>
        <w:t> 离退休人员公用经费等</w:t>
      </w:r>
      <w:r>
        <w:rPr>
          <w:rFonts w:hint="eastAsia" w:ascii="Times New Roman" w:hAnsi="Times New Roman" w:eastAsia="方正仿宋_GBK" w:cs="Times New Roman"/>
          <w:sz w:val="32"/>
          <w:szCs w:val="32"/>
          <w:highlight w:val="none"/>
          <w:lang w:val="en-US" w:eastAsia="zh-CN"/>
        </w:rPr>
        <w:t>8.75万元</w:t>
      </w:r>
      <w:r>
        <w:rPr>
          <w:rFonts w:hint="default" w:ascii="Times New Roman" w:hAnsi="Times New Roman" w:eastAsia="方正仿宋_GBK" w:cs="Times New Roman"/>
          <w:kern w:val="2"/>
          <w:sz w:val="32"/>
          <w:szCs w:val="32"/>
          <w:highlight w:val="none"/>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rPr>
        <w:t>公用经费</w:t>
      </w:r>
      <w:r>
        <w:rPr>
          <w:rFonts w:hint="default" w:ascii="Times New Roman" w:hAnsi="Times New Roman" w:eastAsia="方正仿宋_GBK" w:cs="Times New Roman"/>
          <w:kern w:val="2"/>
          <w:sz w:val="32"/>
          <w:szCs w:val="32"/>
          <w:lang w:val="en-US" w:eastAsia="zh-CN"/>
        </w:rPr>
        <w:t>444.4</w:t>
      </w:r>
      <w:r>
        <w:rPr>
          <w:rFonts w:hint="default" w:ascii="Times New Roman" w:hAnsi="Times New Roman" w:eastAsia="方正仿宋_GBK" w:cs="Times New Roman"/>
          <w:kern w:val="2"/>
          <w:sz w:val="32"/>
          <w:szCs w:val="32"/>
        </w:rPr>
        <w:t>万元，主要包括：办公费</w:t>
      </w:r>
      <w:r>
        <w:rPr>
          <w:rFonts w:hint="default" w:ascii="Times New Roman" w:hAnsi="Times New Roman" w:eastAsia="方正仿宋_GBK" w:cs="Times New Roman"/>
          <w:kern w:val="2"/>
          <w:sz w:val="32"/>
          <w:szCs w:val="32"/>
          <w:lang w:val="en-US" w:eastAsia="zh-CN"/>
        </w:rPr>
        <w:t>8.96万元</w:t>
      </w:r>
      <w:r>
        <w:rPr>
          <w:rFonts w:hint="default" w:ascii="Times New Roman" w:hAnsi="Times New Roman" w:eastAsia="方正仿宋_GBK" w:cs="Times New Roman"/>
          <w:kern w:val="2"/>
          <w:sz w:val="32"/>
          <w:szCs w:val="32"/>
        </w:rPr>
        <w:t>、水费</w:t>
      </w:r>
      <w:r>
        <w:rPr>
          <w:rFonts w:hint="default" w:ascii="Times New Roman" w:hAnsi="Times New Roman" w:eastAsia="方正仿宋_GBK" w:cs="Times New Roman"/>
          <w:kern w:val="2"/>
          <w:sz w:val="32"/>
          <w:szCs w:val="32"/>
          <w:lang w:val="en-US" w:eastAsia="zh-CN"/>
        </w:rPr>
        <w:t>2.69万元</w:t>
      </w:r>
      <w:r>
        <w:rPr>
          <w:rFonts w:hint="default" w:ascii="Times New Roman" w:hAnsi="Times New Roman" w:eastAsia="方正仿宋_GBK" w:cs="Times New Roman"/>
          <w:kern w:val="2"/>
          <w:sz w:val="32"/>
          <w:szCs w:val="32"/>
        </w:rPr>
        <w:t>、邮电费</w:t>
      </w:r>
      <w:r>
        <w:rPr>
          <w:rFonts w:hint="default" w:ascii="Times New Roman" w:hAnsi="Times New Roman" w:eastAsia="方正仿宋_GBK" w:cs="Times New Roman"/>
          <w:kern w:val="2"/>
          <w:sz w:val="32"/>
          <w:szCs w:val="32"/>
          <w:lang w:val="en-US" w:eastAsia="zh-CN"/>
        </w:rPr>
        <w:t>30.73万元</w:t>
      </w:r>
      <w:r>
        <w:rPr>
          <w:rFonts w:hint="default" w:ascii="Times New Roman" w:hAnsi="Times New Roman" w:eastAsia="方正仿宋_GBK" w:cs="Times New Roman"/>
          <w:kern w:val="2"/>
          <w:sz w:val="32"/>
          <w:szCs w:val="32"/>
        </w:rPr>
        <w:t>、</w:t>
      </w:r>
      <w:r>
        <w:rPr>
          <w:rFonts w:hint="default" w:ascii="Times New Roman" w:hAnsi="Times New Roman" w:eastAsia="方正仿宋_GBK" w:cs="Times New Roman"/>
          <w:kern w:val="2"/>
          <w:sz w:val="32"/>
          <w:szCs w:val="32"/>
          <w:lang w:eastAsia="zh-CN"/>
        </w:rPr>
        <w:t>取暖费</w:t>
      </w:r>
      <w:r>
        <w:rPr>
          <w:rFonts w:hint="default" w:ascii="Times New Roman" w:hAnsi="Times New Roman" w:eastAsia="方正仿宋_GBK" w:cs="Times New Roman"/>
          <w:kern w:val="2"/>
          <w:sz w:val="32"/>
          <w:szCs w:val="32"/>
          <w:lang w:val="en-US" w:eastAsia="zh-CN"/>
        </w:rPr>
        <w:t>3.58万元、</w:t>
      </w:r>
      <w:r>
        <w:rPr>
          <w:rFonts w:hint="default" w:ascii="Times New Roman" w:hAnsi="Times New Roman" w:eastAsia="方正仿宋_GBK" w:cs="Times New Roman"/>
          <w:kern w:val="2"/>
          <w:sz w:val="32"/>
          <w:szCs w:val="32"/>
        </w:rPr>
        <w:t>差旅费</w:t>
      </w:r>
      <w:r>
        <w:rPr>
          <w:rFonts w:hint="default" w:ascii="Times New Roman" w:hAnsi="Times New Roman" w:eastAsia="方正仿宋_GBK" w:cs="Times New Roman"/>
          <w:kern w:val="2"/>
          <w:sz w:val="32"/>
          <w:szCs w:val="32"/>
          <w:lang w:val="en-US" w:eastAsia="zh-CN"/>
        </w:rPr>
        <w:t>79.53万元</w:t>
      </w:r>
      <w:r>
        <w:rPr>
          <w:rFonts w:hint="default" w:ascii="Times New Roman" w:hAnsi="Times New Roman" w:eastAsia="方正仿宋_GBK" w:cs="Times New Roman"/>
          <w:kern w:val="2"/>
          <w:sz w:val="32"/>
          <w:szCs w:val="32"/>
        </w:rPr>
        <w:t>、维修（护）费</w:t>
      </w:r>
      <w:r>
        <w:rPr>
          <w:rFonts w:hint="default" w:ascii="Times New Roman" w:hAnsi="Times New Roman" w:eastAsia="方正仿宋_GBK" w:cs="Times New Roman"/>
          <w:kern w:val="2"/>
          <w:sz w:val="32"/>
          <w:szCs w:val="32"/>
          <w:lang w:val="en-US" w:eastAsia="zh-CN"/>
        </w:rPr>
        <w:t>5.08万元</w:t>
      </w:r>
      <w:r>
        <w:rPr>
          <w:rFonts w:hint="default" w:ascii="Times New Roman" w:hAnsi="Times New Roman" w:eastAsia="方正仿宋_GBK" w:cs="Times New Roman"/>
          <w:kern w:val="2"/>
          <w:sz w:val="32"/>
          <w:szCs w:val="32"/>
        </w:rPr>
        <w:t>、培训费</w:t>
      </w:r>
      <w:r>
        <w:rPr>
          <w:rFonts w:hint="default" w:ascii="Times New Roman" w:hAnsi="Times New Roman" w:eastAsia="方正仿宋_GBK" w:cs="Times New Roman"/>
          <w:kern w:val="2"/>
          <w:sz w:val="32"/>
          <w:szCs w:val="32"/>
          <w:lang w:val="en-US" w:eastAsia="zh-CN"/>
        </w:rPr>
        <w:t>16.99万元</w:t>
      </w:r>
      <w:r>
        <w:rPr>
          <w:rFonts w:hint="default" w:ascii="Times New Roman" w:hAnsi="Times New Roman" w:eastAsia="方正仿宋_GBK" w:cs="Times New Roman"/>
          <w:kern w:val="2"/>
          <w:sz w:val="32"/>
          <w:szCs w:val="32"/>
        </w:rPr>
        <w:t>、</w:t>
      </w:r>
      <w:r>
        <w:rPr>
          <w:rFonts w:hint="default" w:ascii="Times New Roman" w:hAnsi="Times New Roman" w:eastAsia="方正仿宋_GBK" w:cs="Times New Roman"/>
          <w:kern w:val="2"/>
          <w:sz w:val="32"/>
          <w:szCs w:val="32"/>
          <w:lang w:eastAsia="zh-CN"/>
        </w:rPr>
        <w:t>接待费</w:t>
      </w:r>
      <w:r>
        <w:rPr>
          <w:rFonts w:hint="default" w:ascii="Times New Roman" w:hAnsi="Times New Roman" w:eastAsia="方正仿宋_GBK" w:cs="Times New Roman"/>
          <w:kern w:val="2"/>
          <w:sz w:val="32"/>
          <w:szCs w:val="32"/>
          <w:lang w:val="en-US" w:eastAsia="zh-CN"/>
        </w:rPr>
        <w:t>7.63万元、</w:t>
      </w:r>
      <w:r>
        <w:rPr>
          <w:rFonts w:hint="default" w:ascii="Times New Roman" w:hAnsi="Times New Roman" w:eastAsia="方正仿宋_GBK" w:cs="Times New Roman"/>
          <w:sz w:val="32"/>
          <w:szCs w:val="32"/>
        </w:rPr>
        <w:t>公务用车运行维护费</w:t>
      </w:r>
      <w:r>
        <w:rPr>
          <w:rFonts w:hint="default" w:ascii="Times New Roman" w:hAnsi="Times New Roman" w:eastAsia="方正仿宋_GBK" w:cs="Times New Roman"/>
          <w:kern w:val="2"/>
          <w:sz w:val="32"/>
          <w:szCs w:val="32"/>
          <w:lang w:val="en-US" w:eastAsia="zh-CN"/>
        </w:rPr>
        <w:t>165.6万元、</w:t>
      </w:r>
      <w:r>
        <w:rPr>
          <w:rFonts w:hint="default" w:ascii="Times New Roman" w:hAnsi="Times New Roman" w:eastAsia="方正仿宋_GBK" w:cs="Times New Roman"/>
          <w:sz w:val="32"/>
          <w:szCs w:val="32"/>
        </w:rPr>
        <w:t>其他商品和服务支出</w:t>
      </w:r>
      <w:r>
        <w:rPr>
          <w:rFonts w:hint="default" w:ascii="Times New Roman" w:hAnsi="Times New Roman" w:eastAsia="方正仿宋_GBK" w:cs="Times New Roman"/>
          <w:sz w:val="32"/>
          <w:szCs w:val="32"/>
          <w:lang w:val="en-US" w:eastAsia="zh-CN"/>
        </w:rPr>
        <w:t>123.61万元</w:t>
      </w:r>
      <w:r>
        <w:rPr>
          <w:rFonts w:hint="default" w:ascii="Times New Roman" w:hAnsi="Times New Roman" w:eastAsia="方正仿宋_GBK" w:cs="Times New Roman"/>
          <w:sz w:val="32"/>
          <w:szCs w:val="32"/>
        </w:rPr>
        <w:t>（其中：党组织活动经费</w:t>
      </w:r>
      <w:r>
        <w:rPr>
          <w:rFonts w:hint="default" w:ascii="Times New Roman" w:hAnsi="Times New Roman" w:eastAsia="方正仿宋_GBK" w:cs="Times New Roman"/>
          <w:sz w:val="32"/>
          <w:szCs w:val="32"/>
          <w:lang w:val="en-US" w:eastAsia="zh-CN"/>
        </w:rPr>
        <w:t>25.16</w:t>
      </w:r>
      <w:r>
        <w:rPr>
          <w:rFonts w:hint="default" w:ascii="Times New Roman" w:hAnsi="Times New Roman" w:eastAsia="方正仿宋_GBK" w:cs="Times New Roman"/>
          <w:sz w:val="32"/>
          <w:szCs w:val="32"/>
        </w:rPr>
        <w:t>万元，残疾人就业保障金</w:t>
      </w:r>
      <w:r>
        <w:rPr>
          <w:rFonts w:hint="default" w:ascii="Times New Roman" w:hAnsi="Times New Roman" w:eastAsia="方正仿宋_GBK" w:cs="Times New Roman"/>
          <w:sz w:val="32"/>
          <w:szCs w:val="32"/>
          <w:lang w:val="en-US" w:eastAsia="zh-CN"/>
        </w:rPr>
        <w:t>12.95万元，体检费29.17万元，</w:t>
      </w:r>
      <w:r>
        <w:rPr>
          <w:rFonts w:hint="default" w:ascii="Times New Roman" w:hAnsi="Times New Roman" w:eastAsia="方正仿宋_GBK" w:cs="Times New Roman"/>
          <w:sz w:val="32"/>
          <w:szCs w:val="32"/>
        </w:rPr>
        <w:t>其他商品和服务支出</w:t>
      </w:r>
      <w:r>
        <w:rPr>
          <w:rFonts w:hint="eastAsia" w:ascii="Times New Roman" w:hAnsi="Times New Roman" w:eastAsia="方正仿宋_GBK" w:cs="Times New Roman"/>
          <w:sz w:val="32"/>
          <w:szCs w:val="32"/>
          <w:lang w:val="en-US" w:eastAsia="zh-CN"/>
        </w:rPr>
        <w:t>56.33</w:t>
      </w:r>
      <w:r>
        <w:rPr>
          <w:rFonts w:hint="default" w:ascii="Times New Roman" w:hAnsi="Times New Roman" w:eastAsia="方正仿宋_GBK" w:cs="Times New Roman"/>
          <w:sz w:val="32"/>
          <w:szCs w:val="32"/>
        </w:rPr>
        <w:t>万元）。</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“三公”经费财政拨款预算安排情况说明</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2026年“三公”经费财政拨款预算数</w:t>
      </w:r>
      <w:r>
        <w:rPr>
          <w:rFonts w:hint="default" w:ascii="Times New Roman" w:hAnsi="Times New Roman" w:eastAsia="方正仿宋_GBK" w:cs="Times New Roman"/>
          <w:kern w:val="2"/>
          <w:sz w:val="32"/>
          <w:szCs w:val="32"/>
          <w:lang w:val="en-US" w:eastAsia="zh-CN"/>
        </w:rPr>
        <w:t>173.23</w:t>
      </w:r>
      <w:r>
        <w:rPr>
          <w:rFonts w:hint="default" w:ascii="Times New Roman" w:hAnsi="Times New Roman" w:eastAsia="方正仿宋_GBK" w:cs="Times New Roman"/>
          <w:kern w:val="2"/>
          <w:sz w:val="32"/>
          <w:szCs w:val="32"/>
        </w:rPr>
        <w:t>万元，其中：因公出国（境）经费</w:t>
      </w:r>
      <w:r>
        <w:rPr>
          <w:rFonts w:hint="default" w:ascii="Times New Roman" w:hAnsi="Times New Roman" w:eastAsia="方正仿宋_GBK" w:cs="Times New Roman"/>
          <w:kern w:val="2"/>
          <w:sz w:val="32"/>
          <w:szCs w:val="32"/>
          <w:lang w:val="en-US" w:eastAsia="zh-CN"/>
        </w:rPr>
        <w:t>0</w:t>
      </w:r>
      <w:r>
        <w:rPr>
          <w:rFonts w:hint="default" w:ascii="Times New Roman" w:hAnsi="Times New Roman" w:eastAsia="方正仿宋_GBK" w:cs="Times New Roman"/>
          <w:kern w:val="2"/>
          <w:sz w:val="32"/>
          <w:szCs w:val="32"/>
        </w:rPr>
        <w:t>万元，公务接待费</w:t>
      </w:r>
      <w:r>
        <w:rPr>
          <w:rFonts w:hint="default" w:ascii="Times New Roman" w:hAnsi="Times New Roman" w:eastAsia="方正仿宋_GBK" w:cs="Times New Roman"/>
          <w:kern w:val="2"/>
          <w:sz w:val="32"/>
          <w:szCs w:val="32"/>
          <w:lang w:val="en-US" w:eastAsia="zh-CN"/>
        </w:rPr>
        <w:t>7.63</w:t>
      </w:r>
      <w:r>
        <w:rPr>
          <w:rFonts w:hint="default" w:ascii="Times New Roman" w:hAnsi="Times New Roman" w:eastAsia="方正仿宋_GBK" w:cs="Times New Roman"/>
          <w:kern w:val="2"/>
          <w:sz w:val="32"/>
          <w:szCs w:val="32"/>
        </w:rPr>
        <w:t>万元，公务用车购置及运行维护费</w:t>
      </w:r>
      <w:r>
        <w:rPr>
          <w:rFonts w:hint="default" w:ascii="Times New Roman" w:hAnsi="Times New Roman" w:eastAsia="方正仿宋_GBK" w:cs="Times New Roman"/>
          <w:kern w:val="2"/>
          <w:sz w:val="32"/>
          <w:szCs w:val="32"/>
          <w:lang w:val="en-US" w:eastAsia="zh-CN"/>
        </w:rPr>
        <w:t>165.6</w:t>
      </w:r>
      <w:r>
        <w:rPr>
          <w:rFonts w:hint="default" w:ascii="Times New Roman" w:hAnsi="Times New Roman" w:eastAsia="方正仿宋_GBK" w:cs="Times New Roman"/>
          <w:kern w:val="2"/>
          <w:sz w:val="32"/>
          <w:szCs w:val="32"/>
        </w:rPr>
        <w:t>万元。</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2" w:firstLineChars="200"/>
        <w:jc w:val="both"/>
        <w:textAlignment w:val="auto"/>
        <w:outlineLvl w:val="9"/>
        <w:rPr>
          <w:rFonts w:hint="eastAsia" w:ascii="方正楷体_GBK" w:hAnsi="方正楷体_GBK" w:eastAsia="方正楷体_GBK" w:cs="方正楷体_GBK"/>
          <w:b/>
          <w:bCs/>
          <w:kern w:val="2"/>
          <w:sz w:val="32"/>
          <w:szCs w:val="32"/>
        </w:rPr>
      </w:pPr>
      <w:r>
        <w:rPr>
          <w:rFonts w:hint="eastAsia" w:ascii="方正楷体_GBK" w:hAnsi="方正楷体_GBK" w:eastAsia="方正楷体_GBK" w:cs="方正楷体_GBK"/>
          <w:b/>
          <w:bCs/>
          <w:kern w:val="2"/>
          <w:sz w:val="32"/>
          <w:szCs w:val="32"/>
        </w:rPr>
        <w:t>（一）2026年因公出国（境）经费</w:t>
      </w:r>
      <w:r>
        <w:rPr>
          <w:rFonts w:hint="eastAsia" w:ascii="方正楷体_GBK" w:hAnsi="方正楷体_GBK" w:eastAsia="方正楷体_GBK" w:cs="方正楷体_GBK"/>
          <w:b/>
          <w:bCs/>
          <w:kern w:val="2"/>
          <w:sz w:val="32"/>
          <w:szCs w:val="32"/>
          <w:lang w:val="en-US" w:eastAsia="zh-CN"/>
        </w:rPr>
        <w:t>0</w:t>
      </w:r>
      <w:r>
        <w:rPr>
          <w:rFonts w:hint="eastAsia" w:ascii="方正楷体_GBK" w:hAnsi="方正楷体_GBK" w:eastAsia="方正楷体_GBK" w:cs="方正楷体_GBK"/>
          <w:b/>
          <w:bCs/>
          <w:kern w:val="2"/>
          <w:sz w:val="32"/>
          <w:szCs w:val="32"/>
        </w:rPr>
        <w:t>万元。</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2" w:firstLineChars="200"/>
        <w:jc w:val="both"/>
        <w:textAlignment w:val="auto"/>
        <w:outlineLvl w:val="9"/>
        <w:rPr>
          <w:rFonts w:hint="eastAsia" w:ascii="方正楷体_GBK" w:hAnsi="方正楷体_GBK" w:eastAsia="方正楷体_GBK" w:cs="方正楷体_GBK"/>
          <w:b/>
          <w:bCs/>
          <w:color w:val="000000"/>
          <w:kern w:val="2"/>
          <w:sz w:val="32"/>
          <w:szCs w:val="32"/>
          <w:lang w:eastAsia="zh-CN"/>
        </w:rPr>
      </w:pPr>
      <w:r>
        <w:rPr>
          <w:rFonts w:hint="eastAsia" w:ascii="方正楷体_GBK" w:hAnsi="方正楷体_GBK" w:eastAsia="方正楷体_GBK" w:cs="方正楷体_GBK"/>
          <w:b/>
          <w:bCs/>
          <w:kern w:val="2"/>
          <w:sz w:val="32"/>
          <w:szCs w:val="32"/>
        </w:rPr>
        <w:t>（二）</w:t>
      </w:r>
      <w:r>
        <w:rPr>
          <w:rFonts w:hint="eastAsia" w:ascii="方正楷体_GBK" w:hAnsi="方正楷体_GBK" w:eastAsia="方正楷体_GBK" w:cs="方正楷体_GBK"/>
          <w:b/>
          <w:bCs/>
          <w:color w:val="000000"/>
          <w:kern w:val="2"/>
          <w:sz w:val="32"/>
          <w:szCs w:val="32"/>
        </w:rPr>
        <w:t>2026年公务接待经费</w:t>
      </w:r>
      <w:r>
        <w:rPr>
          <w:rFonts w:hint="eastAsia" w:ascii="方正楷体_GBK" w:hAnsi="方正楷体_GBK" w:eastAsia="方正楷体_GBK" w:cs="方正楷体_GBK"/>
          <w:b/>
          <w:bCs/>
          <w:color w:val="000000"/>
          <w:kern w:val="2"/>
          <w:sz w:val="32"/>
          <w:szCs w:val="32"/>
          <w:lang w:val="en-US" w:eastAsia="zh-CN"/>
        </w:rPr>
        <w:t>7.63</w:t>
      </w:r>
      <w:r>
        <w:rPr>
          <w:rFonts w:hint="eastAsia" w:ascii="方正楷体_GBK" w:hAnsi="方正楷体_GBK" w:eastAsia="方正楷体_GBK" w:cs="方正楷体_GBK"/>
          <w:b/>
          <w:bCs/>
          <w:color w:val="000000"/>
          <w:kern w:val="2"/>
          <w:sz w:val="32"/>
          <w:szCs w:val="32"/>
        </w:rPr>
        <w:t>万元。较2025年预算经费减少</w:t>
      </w:r>
      <w:r>
        <w:rPr>
          <w:rFonts w:hint="eastAsia" w:ascii="方正楷体_GBK" w:hAnsi="方正楷体_GBK" w:eastAsia="方正楷体_GBK" w:cs="方正楷体_GBK"/>
          <w:b/>
          <w:bCs/>
          <w:color w:val="000000"/>
          <w:kern w:val="2"/>
          <w:sz w:val="32"/>
          <w:szCs w:val="32"/>
          <w:lang w:val="en-US" w:eastAsia="zh-CN"/>
        </w:rPr>
        <w:t>0.67</w:t>
      </w:r>
      <w:r>
        <w:rPr>
          <w:rFonts w:hint="eastAsia" w:ascii="方正楷体_GBK" w:hAnsi="方正楷体_GBK" w:eastAsia="方正楷体_GBK" w:cs="方正楷体_GBK"/>
          <w:b/>
          <w:bCs/>
          <w:color w:val="000000"/>
          <w:kern w:val="2"/>
          <w:sz w:val="32"/>
          <w:szCs w:val="32"/>
        </w:rPr>
        <w:t>万元</w:t>
      </w:r>
      <w:r>
        <w:rPr>
          <w:rFonts w:hint="eastAsia" w:ascii="方正楷体_GBK" w:hAnsi="方正楷体_GBK" w:eastAsia="方正楷体_GBK" w:cs="方正楷体_GBK"/>
          <w:b/>
          <w:bCs/>
          <w:color w:val="000000"/>
          <w:kern w:val="2"/>
          <w:sz w:val="32"/>
          <w:szCs w:val="32"/>
          <w:lang w:eastAsia="zh-CN"/>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2" w:firstLineChars="200"/>
        <w:jc w:val="both"/>
        <w:textAlignment w:val="auto"/>
        <w:outlineLvl w:val="9"/>
        <w:rPr>
          <w:rFonts w:hint="eastAsia" w:ascii="方正楷体_GBK" w:hAnsi="方正楷体_GBK" w:eastAsia="方正楷体_GBK" w:cs="方正楷体_GBK"/>
          <w:b/>
          <w:bCs/>
          <w:color w:val="000000"/>
          <w:kern w:val="2"/>
          <w:sz w:val="32"/>
          <w:szCs w:val="32"/>
          <w:lang w:eastAsia="zh-CN"/>
        </w:rPr>
      </w:pPr>
      <w:r>
        <w:rPr>
          <w:rFonts w:hint="eastAsia" w:ascii="方正楷体_GBK" w:hAnsi="方正楷体_GBK" w:eastAsia="方正楷体_GBK" w:cs="方正楷体_GBK"/>
          <w:b/>
          <w:bCs/>
          <w:color w:val="000000"/>
          <w:kern w:val="2"/>
          <w:sz w:val="32"/>
          <w:szCs w:val="32"/>
        </w:rPr>
        <w:t>（三）2026年公务用车购置及运行维护费</w:t>
      </w:r>
      <w:r>
        <w:rPr>
          <w:rFonts w:hint="eastAsia" w:ascii="方正楷体_GBK" w:hAnsi="方正楷体_GBK" w:eastAsia="方正楷体_GBK" w:cs="方正楷体_GBK"/>
          <w:b/>
          <w:bCs/>
          <w:color w:val="000000"/>
          <w:kern w:val="2"/>
          <w:sz w:val="32"/>
          <w:szCs w:val="32"/>
          <w:lang w:val="en-US" w:eastAsia="zh-CN"/>
        </w:rPr>
        <w:t>165.6</w:t>
      </w:r>
      <w:r>
        <w:rPr>
          <w:rFonts w:hint="eastAsia" w:ascii="方正楷体_GBK" w:hAnsi="方正楷体_GBK" w:eastAsia="方正楷体_GBK" w:cs="方正楷体_GBK"/>
          <w:b/>
          <w:bCs/>
          <w:color w:val="000000"/>
          <w:kern w:val="2"/>
          <w:sz w:val="32"/>
          <w:szCs w:val="32"/>
        </w:rPr>
        <w:t>万元。较2025年预算经费减少</w:t>
      </w:r>
      <w:r>
        <w:rPr>
          <w:rFonts w:hint="eastAsia" w:ascii="方正楷体_GBK" w:hAnsi="方正楷体_GBK" w:eastAsia="方正楷体_GBK" w:cs="方正楷体_GBK"/>
          <w:b/>
          <w:bCs/>
          <w:color w:val="000000"/>
          <w:kern w:val="2"/>
          <w:sz w:val="32"/>
          <w:szCs w:val="32"/>
          <w:lang w:val="en-US" w:eastAsia="zh-CN"/>
        </w:rPr>
        <w:t>14.4</w:t>
      </w:r>
      <w:r>
        <w:rPr>
          <w:rFonts w:hint="eastAsia" w:ascii="方正楷体_GBK" w:hAnsi="方正楷体_GBK" w:eastAsia="方正楷体_GBK" w:cs="方正楷体_GBK"/>
          <w:b/>
          <w:bCs/>
          <w:color w:val="000000"/>
          <w:kern w:val="2"/>
          <w:sz w:val="32"/>
          <w:szCs w:val="32"/>
        </w:rPr>
        <w:t>万元</w:t>
      </w:r>
      <w:r>
        <w:rPr>
          <w:rFonts w:hint="eastAsia" w:ascii="方正楷体_GBK" w:hAnsi="方正楷体_GBK" w:eastAsia="方正楷体_GBK" w:cs="方正楷体_GBK"/>
          <w:b/>
          <w:bCs/>
          <w:color w:val="000000"/>
          <w:kern w:val="2"/>
          <w:sz w:val="32"/>
          <w:szCs w:val="32"/>
          <w:lang w:eastAsia="zh-CN"/>
        </w:rPr>
        <w:t>。</w:t>
      </w:r>
    </w:p>
    <w:p>
      <w:pPr>
        <w:keepNext w:val="0"/>
        <w:keepLines w:val="0"/>
        <w:pageBreakBefore w:val="0"/>
        <w:widowControl w:val="0"/>
        <w:numPr>
          <w:ilvl w:val="0"/>
          <w:numId w:val="5"/>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sz w:val="32"/>
          <w:szCs w:val="32"/>
        </w:rPr>
        <w:t>政府性基金</w:t>
      </w:r>
      <w:r>
        <w:rPr>
          <w:rFonts w:hint="eastAsia" w:ascii="方正黑体_GBK" w:hAnsi="方正黑体_GBK" w:eastAsia="方正黑体_GBK" w:cs="方正黑体_GBK"/>
          <w:kern w:val="2"/>
          <w:sz w:val="32"/>
          <w:szCs w:val="32"/>
        </w:rPr>
        <w:t>预算</w:t>
      </w:r>
      <w:r>
        <w:rPr>
          <w:rFonts w:hint="eastAsia" w:ascii="方正黑体_GBK" w:hAnsi="方正黑体_GBK" w:eastAsia="方正黑体_GBK" w:cs="方正黑体_GBK"/>
          <w:sz w:val="32"/>
          <w:szCs w:val="32"/>
        </w:rPr>
        <w:t>支出情况说明</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color w:val="000000"/>
          <w:sz w:val="32"/>
          <w:szCs w:val="32"/>
        </w:rPr>
        <w:t>阿坝州市场监督管理局</w:t>
      </w:r>
      <w:r>
        <w:rPr>
          <w:rFonts w:hint="default" w:ascii="Times New Roman" w:hAnsi="Times New Roman" w:eastAsia="方正仿宋_GBK" w:cs="Times New Roman"/>
          <w:sz w:val="32"/>
          <w:szCs w:val="32"/>
        </w:rPr>
        <w:t>无政府性基金预算拨款安排的支出。</w:t>
      </w:r>
      <w:r>
        <w:rPr>
          <w:rFonts w:hint="default" w:ascii="Times New Roman" w:hAnsi="Times New Roman" w:eastAsia="方正仿宋_GBK" w:cs="Times New Roman"/>
          <w:sz w:val="32"/>
          <w:szCs w:val="32"/>
          <w:lang w:val="en-US" w:eastAsia="zh-CN" w:bidi="ar-SA"/>
        </w:rPr>
        <w:t>故政府性基金支出预算表及相关表为零。</w:t>
      </w:r>
      <w:r>
        <w:rPr>
          <w:rFonts w:hint="default" w:ascii="Times New Roman" w:hAnsi="Times New Roman" w:eastAsia="方正仿宋_GBK" w:cs="Times New Roman"/>
          <w:sz w:val="32"/>
          <w:szCs w:val="32"/>
        </w:rPr>
        <w:t>较202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年预算经费无增长。</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方正黑体_GBK" w:hAnsi="方正黑体_GBK" w:eastAsia="方正黑体_GBK" w:cs="方正黑体_GBK"/>
          <w:color w:val="FF0000"/>
          <w:kern w:val="2"/>
          <w:sz w:val="32"/>
          <w:szCs w:val="32"/>
        </w:rPr>
      </w:pPr>
      <w:r>
        <w:rPr>
          <w:rFonts w:hint="eastAsia" w:ascii="方正黑体_GBK" w:hAnsi="方正黑体_GBK" w:eastAsia="方正黑体_GBK" w:cs="方正黑体_GBK"/>
          <w:sz w:val="32"/>
          <w:szCs w:val="32"/>
          <w:lang w:eastAsia="zh-CN"/>
        </w:rPr>
        <w:t>九、</w:t>
      </w:r>
      <w:r>
        <w:rPr>
          <w:rFonts w:hint="eastAsia" w:ascii="方正黑体_GBK" w:hAnsi="方正黑体_GBK" w:eastAsia="方正黑体_GBK" w:cs="方正黑体_GBK"/>
          <w:sz w:val="32"/>
          <w:szCs w:val="32"/>
        </w:rPr>
        <w:t>其他重要事项的情况说明</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2" w:firstLineChars="200"/>
        <w:jc w:val="both"/>
        <w:textAlignment w:val="auto"/>
        <w:outlineLvl w:val="9"/>
        <w:rPr>
          <w:rFonts w:hint="default" w:ascii="Times New Roman" w:hAnsi="Times New Roman" w:eastAsia="方正仿宋_GBK" w:cs="Times New Roman"/>
          <w:color w:val="000000"/>
          <w:kern w:val="2"/>
          <w:sz w:val="32"/>
          <w:szCs w:val="32"/>
        </w:rPr>
      </w:pPr>
      <w:r>
        <w:rPr>
          <w:rFonts w:hint="eastAsia" w:ascii="方正楷体_GBK" w:hAnsi="方正楷体_GBK" w:eastAsia="方正楷体_GBK" w:cs="方正楷体_GBK"/>
          <w:b/>
          <w:bCs/>
          <w:kern w:val="2"/>
          <w:sz w:val="32"/>
          <w:szCs w:val="32"/>
        </w:rPr>
        <w:t>（一）机关运行经费</w:t>
      </w:r>
      <w:r>
        <w:rPr>
          <w:rFonts w:hint="default" w:ascii="Times New Roman" w:hAnsi="Times New Roman" w:eastAsia="方正仿宋_GBK" w:cs="Times New Roman"/>
          <w:kern w:val="2"/>
          <w:sz w:val="32"/>
          <w:szCs w:val="32"/>
        </w:rPr>
        <w:br w:type="textWrapping"/>
      </w:r>
      <w:r>
        <w:rPr>
          <w:rFonts w:hint="default" w:ascii="Times New Roman" w:hAnsi="Times New Roman" w:eastAsia="方正仿宋_GBK" w:cs="Times New Roman"/>
          <w:kern w:val="2"/>
          <w:sz w:val="32"/>
          <w:szCs w:val="32"/>
        </w:rPr>
        <w:t xml:space="preserve">　 </w:t>
      </w:r>
      <w:r>
        <w:rPr>
          <w:rFonts w:hint="default" w:ascii="Times New Roman" w:hAnsi="Times New Roman" w:eastAsia="方正仿宋_GBK" w:cs="Times New Roman"/>
          <w:kern w:val="2"/>
          <w:sz w:val="32"/>
          <w:szCs w:val="32"/>
          <w:highlight w:val="none"/>
        </w:rPr>
        <w:t>2026年机关运行经费财政拨款预算为</w:t>
      </w:r>
      <w:bookmarkStart w:id="0" w:name="_GoBack"/>
      <w:r>
        <w:rPr>
          <w:rFonts w:hint="eastAsia" w:ascii="Times New Roman" w:hAnsi="Times New Roman" w:eastAsia="方正仿宋_GBK" w:cs="Times New Roman"/>
          <w:kern w:val="2"/>
          <w:sz w:val="32"/>
          <w:szCs w:val="32"/>
          <w:highlight w:val="none"/>
          <w:lang w:val="en-US" w:eastAsia="zh-CN"/>
        </w:rPr>
        <w:t>444.40</w:t>
      </w:r>
      <w:bookmarkEnd w:id="0"/>
      <w:r>
        <w:rPr>
          <w:rFonts w:hint="default" w:ascii="Times New Roman" w:hAnsi="Times New Roman" w:eastAsia="方正仿宋_GBK" w:cs="Times New Roman"/>
          <w:kern w:val="2"/>
          <w:sz w:val="32"/>
          <w:szCs w:val="32"/>
          <w:highlight w:val="none"/>
        </w:rPr>
        <w:t>万元，比2025年预算</w:t>
      </w:r>
      <w:r>
        <w:rPr>
          <w:rFonts w:hint="eastAsia" w:ascii="Times New Roman" w:hAnsi="Times New Roman" w:eastAsia="方正仿宋_GBK" w:cs="Times New Roman"/>
          <w:kern w:val="2"/>
          <w:sz w:val="32"/>
          <w:szCs w:val="32"/>
          <w:highlight w:val="none"/>
          <w:lang w:eastAsia="zh-CN"/>
        </w:rPr>
        <w:t>减少</w:t>
      </w:r>
      <w:r>
        <w:rPr>
          <w:rFonts w:hint="eastAsia" w:ascii="Times New Roman" w:hAnsi="Times New Roman" w:eastAsia="方正仿宋_GBK" w:cs="Times New Roman"/>
          <w:color w:val="000000"/>
          <w:kern w:val="2"/>
          <w:sz w:val="32"/>
          <w:szCs w:val="32"/>
          <w:highlight w:val="none"/>
          <w:lang w:val="en-US" w:eastAsia="zh-CN"/>
        </w:rPr>
        <w:t>50.86</w:t>
      </w:r>
      <w:r>
        <w:rPr>
          <w:rFonts w:hint="default" w:ascii="Times New Roman" w:hAnsi="Times New Roman" w:eastAsia="方正仿宋_GBK" w:cs="Times New Roman"/>
          <w:color w:val="000000"/>
          <w:kern w:val="2"/>
          <w:sz w:val="32"/>
          <w:szCs w:val="32"/>
          <w:highlight w:val="none"/>
        </w:rPr>
        <w:t>万元，</w:t>
      </w:r>
      <w:r>
        <w:rPr>
          <w:rFonts w:hint="eastAsia" w:ascii="Times New Roman" w:hAnsi="Times New Roman" w:eastAsia="方正仿宋_GBK" w:cs="Times New Roman"/>
          <w:color w:val="000000"/>
          <w:kern w:val="2"/>
          <w:sz w:val="32"/>
          <w:szCs w:val="32"/>
          <w:highlight w:val="none"/>
          <w:lang w:eastAsia="zh-CN"/>
        </w:rPr>
        <w:t>减少率</w:t>
      </w:r>
      <w:r>
        <w:rPr>
          <w:rFonts w:hint="eastAsia" w:ascii="Times New Roman" w:hAnsi="Times New Roman" w:eastAsia="方正仿宋_GBK" w:cs="Times New Roman"/>
          <w:color w:val="000000"/>
          <w:kern w:val="2"/>
          <w:sz w:val="32"/>
          <w:szCs w:val="32"/>
          <w:highlight w:val="none"/>
          <w:lang w:val="en-US" w:eastAsia="zh-CN"/>
        </w:rPr>
        <w:t>10.27</w:t>
      </w:r>
      <w:r>
        <w:rPr>
          <w:rFonts w:hint="default" w:ascii="Times New Roman" w:hAnsi="Times New Roman" w:eastAsia="方正仿宋_GBK" w:cs="Times New Roman"/>
          <w:color w:val="000000"/>
          <w:kern w:val="2"/>
          <w:sz w:val="32"/>
          <w:szCs w:val="32"/>
          <w:highlight w:val="none"/>
        </w:rPr>
        <w:t xml:space="preserve">%。 </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2" w:firstLineChars="200"/>
        <w:jc w:val="both"/>
        <w:textAlignment w:val="auto"/>
        <w:outlineLvl w:val="9"/>
        <w:rPr>
          <w:rFonts w:hint="eastAsia" w:ascii="方正楷体_GBK" w:hAnsi="方正楷体_GBK" w:eastAsia="方正楷体_GBK" w:cs="方正楷体_GBK"/>
          <w:b/>
          <w:bCs/>
          <w:kern w:val="2"/>
          <w:sz w:val="32"/>
          <w:szCs w:val="32"/>
        </w:rPr>
      </w:pPr>
      <w:r>
        <w:rPr>
          <w:rFonts w:hint="eastAsia" w:ascii="方正楷体_GBK" w:hAnsi="方正楷体_GBK" w:eastAsia="方正楷体_GBK" w:cs="方正楷体_GBK"/>
          <w:b/>
          <w:bCs/>
          <w:kern w:val="2"/>
          <w:sz w:val="32"/>
          <w:szCs w:val="32"/>
        </w:rPr>
        <w:t>（二）政府采购情况</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rPr>
      </w:pPr>
      <w:r>
        <w:rPr>
          <w:rFonts w:hint="default" w:ascii="Times New Roman" w:hAnsi="Times New Roman" w:eastAsia="方正仿宋_GBK" w:cs="Times New Roman"/>
          <w:color w:val="000000"/>
          <w:sz w:val="32"/>
          <w:szCs w:val="32"/>
          <w:highlight w:val="none"/>
        </w:rPr>
        <w:t>202</w:t>
      </w:r>
      <w:r>
        <w:rPr>
          <w:rFonts w:hint="default" w:ascii="Times New Roman" w:hAnsi="Times New Roman" w:eastAsia="方正仿宋_GBK" w:cs="Times New Roman"/>
          <w:color w:val="000000"/>
          <w:sz w:val="32"/>
          <w:szCs w:val="32"/>
          <w:highlight w:val="none"/>
          <w:lang w:val="en-US" w:eastAsia="zh-CN"/>
        </w:rPr>
        <w:t>6</w:t>
      </w:r>
      <w:r>
        <w:rPr>
          <w:rFonts w:hint="default" w:ascii="Times New Roman" w:hAnsi="Times New Roman" w:eastAsia="方正仿宋_GBK" w:cs="Times New Roman"/>
          <w:color w:val="000000"/>
          <w:sz w:val="32"/>
          <w:szCs w:val="32"/>
          <w:highlight w:val="none"/>
        </w:rPr>
        <w:t>年阿坝州市场监督管理局安排政府采购预算</w:t>
      </w:r>
      <w:r>
        <w:rPr>
          <w:rFonts w:hint="eastAsia" w:ascii="Times New Roman" w:hAnsi="Times New Roman" w:eastAsia="方正仿宋_GBK" w:cs="Times New Roman"/>
          <w:color w:val="000000"/>
          <w:sz w:val="32"/>
          <w:szCs w:val="32"/>
          <w:highlight w:val="none"/>
          <w:lang w:val="en-US" w:eastAsia="zh-CN"/>
        </w:rPr>
        <w:t>235</w:t>
      </w:r>
      <w:r>
        <w:rPr>
          <w:rFonts w:hint="default" w:ascii="Times New Roman" w:hAnsi="Times New Roman" w:eastAsia="方正仿宋_GBK" w:cs="Times New Roman"/>
          <w:color w:val="000000"/>
          <w:sz w:val="32"/>
          <w:szCs w:val="32"/>
          <w:highlight w:val="none"/>
        </w:rPr>
        <w:t>万元，主要用于：</w:t>
      </w:r>
      <w:r>
        <w:rPr>
          <w:rFonts w:hint="eastAsia" w:ascii="仿宋" w:eastAsia="仿宋"/>
          <w:color w:val="000000"/>
          <w:sz w:val="32"/>
          <w:szCs w:val="32"/>
          <w:highlight w:val="none"/>
        </w:rPr>
        <w:t>流通领域和食品、工业产品抽检业务</w:t>
      </w:r>
      <w:r>
        <w:rPr>
          <w:rFonts w:hint="eastAsia" w:ascii="仿宋" w:eastAsia="仿宋"/>
          <w:color w:val="000000"/>
          <w:sz w:val="32"/>
          <w:szCs w:val="32"/>
          <w:highlight w:val="none"/>
          <w:lang w:eastAsia="zh-CN"/>
        </w:rPr>
        <w:t>、</w:t>
      </w:r>
      <w:r>
        <w:rPr>
          <w:rFonts w:hint="default" w:ascii="Times New Roman" w:hAnsi="Times New Roman" w:eastAsia="方正仿宋_GBK" w:cs="Times New Roman"/>
          <w:color w:val="000000"/>
          <w:sz w:val="32"/>
          <w:szCs w:val="32"/>
          <w:highlight w:val="none"/>
          <w:lang w:eastAsia="zh-CN"/>
        </w:rPr>
        <w:t>十五五市场现代化规划</w:t>
      </w:r>
      <w:r>
        <w:rPr>
          <w:rFonts w:hint="default" w:ascii="Times New Roman" w:hAnsi="Times New Roman" w:eastAsia="方正仿宋_GBK" w:cs="Times New Roman"/>
          <w:color w:val="000000"/>
          <w:sz w:val="32"/>
          <w:szCs w:val="32"/>
          <w:highlight w:val="none"/>
        </w:rPr>
        <w:t>。较202</w:t>
      </w:r>
      <w:r>
        <w:rPr>
          <w:rFonts w:hint="default"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年相比政府采购预算增加</w:t>
      </w:r>
      <w:r>
        <w:rPr>
          <w:rFonts w:hint="eastAsia" w:ascii="Times New Roman" w:hAnsi="Times New Roman" w:eastAsia="方正仿宋_GBK" w:cs="Times New Roman"/>
          <w:color w:val="000000"/>
          <w:sz w:val="32"/>
          <w:szCs w:val="32"/>
          <w:highlight w:val="none"/>
          <w:lang w:val="en-US" w:eastAsia="zh-CN"/>
        </w:rPr>
        <w:t>30</w:t>
      </w:r>
      <w:r>
        <w:rPr>
          <w:rFonts w:hint="default" w:ascii="Times New Roman" w:hAnsi="Times New Roman" w:eastAsia="方正仿宋_GBK" w:cs="Times New Roman"/>
          <w:color w:val="000000"/>
          <w:sz w:val="32"/>
          <w:szCs w:val="32"/>
          <w:highlight w:val="none"/>
        </w:rPr>
        <w:t>万元。主要原因为：</w:t>
      </w:r>
      <w:r>
        <w:rPr>
          <w:rFonts w:hint="default" w:ascii="Times New Roman" w:hAnsi="Times New Roman" w:eastAsia="方正仿宋_GBK" w:cs="Times New Roman"/>
          <w:color w:val="000000"/>
          <w:sz w:val="32"/>
          <w:szCs w:val="32"/>
          <w:highlight w:val="none"/>
          <w:lang w:eastAsia="zh-CN"/>
        </w:rPr>
        <w:t>十五五市场现代规划经费</w:t>
      </w:r>
      <w:r>
        <w:rPr>
          <w:rFonts w:hint="default" w:ascii="Times New Roman" w:hAnsi="Times New Roman" w:eastAsia="方正仿宋_GBK" w:cs="Times New Roman"/>
          <w:sz w:val="32"/>
          <w:szCs w:val="32"/>
          <w:highlight w:val="none"/>
          <w:lang w:val="en-US" w:eastAsia="zh-CN"/>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2" w:firstLineChars="200"/>
        <w:jc w:val="both"/>
        <w:textAlignment w:val="auto"/>
        <w:outlineLvl w:val="9"/>
        <w:rPr>
          <w:rFonts w:hint="eastAsia" w:ascii="方正楷体_GBK" w:hAnsi="方正楷体_GBK" w:eastAsia="方正楷体_GBK" w:cs="方正楷体_GBK"/>
          <w:b/>
          <w:bCs/>
          <w:kern w:val="2"/>
          <w:sz w:val="32"/>
          <w:szCs w:val="32"/>
        </w:rPr>
      </w:pPr>
      <w:r>
        <w:rPr>
          <w:rFonts w:hint="eastAsia" w:ascii="方正楷体_GBK" w:hAnsi="方正楷体_GBK" w:eastAsia="方正楷体_GBK" w:cs="方正楷体_GBK"/>
          <w:b/>
          <w:bCs/>
          <w:kern w:val="2"/>
          <w:sz w:val="32"/>
          <w:szCs w:val="32"/>
          <w:lang w:eastAsia="zh-CN"/>
        </w:rPr>
        <w:t>（三）</w:t>
      </w:r>
      <w:r>
        <w:rPr>
          <w:rFonts w:hint="eastAsia" w:ascii="方正楷体_GBK" w:hAnsi="方正楷体_GBK" w:eastAsia="方正楷体_GBK" w:cs="方正楷体_GBK"/>
          <w:b/>
          <w:bCs/>
          <w:kern w:val="2"/>
          <w:sz w:val="32"/>
          <w:szCs w:val="32"/>
        </w:rPr>
        <w:t>国有资产占有使用情况</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sz w:val="32"/>
          <w:szCs w:val="32"/>
        </w:rPr>
        <w:t>截至202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年12月31日，</w:t>
      </w:r>
      <w:r>
        <w:rPr>
          <w:rFonts w:hint="default" w:ascii="Times New Roman" w:hAnsi="Times New Roman" w:eastAsia="方正仿宋_GBK" w:cs="Times New Roman"/>
          <w:color w:val="000000"/>
          <w:sz w:val="32"/>
          <w:szCs w:val="32"/>
        </w:rPr>
        <w:t>阿坝州市场监督管理局</w:t>
      </w:r>
      <w:r>
        <w:rPr>
          <w:rFonts w:hint="default" w:ascii="Times New Roman" w:hAnsi="Times New Roman" w:eastAsia="方正仿宋_GBK" w:cs="Times New Roman"/>
          <w:kern w:val="2"/>
          <w:sz w:val="32"/>
          <w:szCs w:val="32"/>
        </w:rPr>
        <w:t>国有资产</w:t>
      </w:r>
      <w:r>
        <w:rPr>
          <w:rFonts w:hint="default" w:ascii="Times New Roman" w:hAnsi="Times New Roman" w:eastAsia="方正仿宋_GBK" w:cs="Times New Roman"/>
          <w:color w:val="000000"/>
          <w:sz w:val="32"/>
          <w:szCs w:val="32"/>
        </w:rPr>
        <w:t>总额</w:t>
      </w:r>
      <w:r>
        <w:rPr>
          <w:rFonts w:hint="default" w:ascii="Times New Roman" w:hAnsi="Times New Roman" w:eastAsia="方正仿宋_GBK" w:cs="Times New Roman"/>
          <w:color w:val="000000"/>
          <w:sz w:val="32"/>
          <w:szCs w:val="32"/>
          <w:lang w:val="en-US" w:eastAsia="zh-CN"/>
        </w:rPr>
        <w:t>2594.38</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kern w:val="2"/>
          <w:sz w:val="32"/>
          <w:szCs w:val="32"/>
        </w:rPr>
        <w:t>固定资产原值</w:t>
      </w:r>
      <w:r>
        <w:rPr>
          <w:rFonts w:hint="default" w:ascii="Times New Roman" w:hAnsi="Times New Roman" w:eastAsia="方正仿宋_GBK" w:cs="Times New Roman"/>
          <w:kern w:val="2"/>
          <w:sz w:val="32"/>
          <w:szCs w:val="32"/>
          <w:lang w:val="en-US" w:eastAsia="zh-CN"/>
        </w:rPr>
        <w:t>5650.02</w:t>
      </w:r>
      <w:r>
        <w:rPr>
          <w:rFonts w:hint="default" w:ascii="Times New Roman" w:hAnsi="Times New Roman" w:eastAsia="方正仿宋_GBK" w:cs="Times New Roman"/>
          <w:kern w:val="2"/>
          <w:sz w:val="32"/>
          <w:szCs w:val="32"/>
        </w:rPr>
        <w:t>万元，累计折</w:t>
      </w:r>
      <w:r>
        <w:rPr>
          <w:rFonts w:hint="default" w:ascii="Times New Roman" w:hAnsi="Times New Roman" w:eastAsia="方正仿宋_GBK" w:cs="Times New Roman"/>
          <w:kern w:val="2"/>
          <w:sz w:val="32"/>
          <w:szCs w:val="32"/>
          <w:lang w:val="en-US" w:eastAsia="zh-CN"/>
        </w:rPr>
        <w:t>3372.34</w:t>
      </w:r>
      <w:r>
        <w:rPr>
          <w:rFonts w:hint="default" w:ascii="Times New Roman" w:hAnsi="Times New Roman" w:eastAsia="方正仿宋_GBK" w:cs="Times New Roman"/>
          <w:kern w:val="2"/>
          <w:sz w:val="32"/>
          <w:szCs w:val="32"/>
        </w:rPr>
        <w:t>万元，固定资产净值</w:t>
      </w:r>
      <w:r>
        <w:rPr>
          <w:rFonts w:hint="default" w:ascii="Times New Roman" w:hAnsi="Times New Roman" w:eastAsia="方正仿宋_GBK" w:cs="Times New Roman"/>
          <w:kern w:val="2"/>
          <w:sz w:val="32"/>
          <w:szCs w:val="32"/>
          <w:lang w:val="en-US" w:eastAsia="zh-CN"/>
        </w:rPr>
        <w:t>2277.68</w:t>
      </w:r>
      <w:r>
        <w:rPr>
          <w:rFonts w:hint="default" w:ascii="Times New Roman" w:hAnsi="Times New Roman" w:eastAsia="方正仿宋_GBK" w:cs="Times New Roman"/>
          <w:kern w:val="2"/>
          <w:sz w:val="32"/>
          <w:szCs w:val="32"/>
        </w:rPr>
        <w:t>万元。无形资产原值</w:t>
      </w:r>
      <w:r>
        <w:rPr>
          <w:rFonts w:hint="default" w:ascii="Times New Roman" w:hAnsi="Times New Roman" w:eastAsia="方正仿宋_GBK" w:cs="Times New Roman"/>
          <w:kern w:val="2"/>
          <w:sz w:val="32"/>
          <w:szCs w:val="32"/>
          <w:lang w:val="en-US" w:eastAsia="zh-CN"/>
        </w:rPr>
        <w:t>455.43</w:t>
      </w:r>
      <w:r>
        <w:rPr>
          <w:rFonts w:hint="default" w:ascii="Times New Roman" w:hAnsi="Times New Roman" w:eastAsia="方正仿宋_GBK" w:cs="Times New Roman"/>
          <w:kern w:val="2"/>
          <w:sz w:val="32"/>
          <w:szCs w:val="32"/>
        </w:rPr>
        <w:t>万元，累计摊销</w:t>
      </w:r>
      <w:r>
        <w:rPr>
          <w:rFonts w:hint="default" w:ascii="Times New Roman" w:hAnsi="Times New Roman" w:eastAsia="方正仿宋_GBK" w:cs="Times New Roman"/>
          <w:kern w:val="2"/>
          <w:sz w:val="32"/>
          <w:szCs w:val="32"/>
          <w:lang w:val="en-US" w:eastAsia="zh-CN"/>
        </w:rPr>
        <w:t>138.73</w:t>
      </w:r>
      <w:r>
        <w:rPr>
          <w:rFonts w:hint="default" w:ascii="Times New Roman" w:hAnsi="Times New Roman" w:eastAsia="方正仿宋_GBK" w:cs="Times New Roman"/>
          <w:kern w:val="2"/>
          <w:sz w:val="32"/>
          <w:szCs w:val="32"/>
        </w:rPr>
        <w:t>万元，无形资产净值</w:t>
      </w:r>
      <w:r>
        <w:rPr>
          <w:rFonts w:hint="default" w:ascii="Times New Roman" w:hAnsi="Times New Roman" w:eastAsia="方正仿宋_GBK" w:cs="Times New Roman"/>
          <w:kern w:val="2"/>
          <w:sz w:val="32"/>
          <w:szCs w:val="32"/>
          <w:lang w:val="en-US" w:eastAsia="zh-CN"/>
        </w:rPr>
        <w:t>316.70</w:t>
      </w:r>
      <w:r>
        <w:rPr>
          <w:rFonts w:hint="default" w:ascii="Times New Roman" w:hAnsi="Times New Roman" w:eastAsia="方正仿宋_GBK" w:cs="Times New Roman"/>
          <w:kern w:val="2"/>
          <w:sz w:val="32"/>
          <w:szCs w:val="32"/>
        </w:rPr>
        <w:t>万元。</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2" w:firstLineChars="200"/>
        <w:jc w:val="both"/>
        <w:textAlignment w:val="auto"/>
        <w:outlineLvl w:val="9"/>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b/>
          <w:bCs/>
          <w:kern w:val="2"/>
          <w:sz w:val="32"/>
          <w:szCs w:val="32"/>
          <w:lang w:eastAsia="zh-CN"/>
        </w:rPr>
        <w:t>（四）</w:t>
      </w:r>
      <w:r>
        <w:rPr>
          <w:rFonts w:hint="eastAsia" w:ascii="方正楷体_GBK" w:hAnsi="方正楷体_GBK" w:eastAsia="方正楷体_GBK" w:cs="方正楷体_GBK"/>
          <w:b/>
          <w:bCs/>
          <w:kern w:val="2"/>
          <w:sz w:val="32"/>
          <w:szCs w:val="32"/>
        </w:rPr>
        <w:t>绩效目标设置情况</w:t>
      </w:r>
      <w:r>
        <w:rPr>
          <w:rFonts w:hint="default" w:ascii="Times New Roman" w:hAnsi="Times New Roman" w:eastAsia="方正仿宋_GBK" w:cs="Times New Roman"/>
          <w:kern w:val="2"/>
          <w:sz w:val="32"/>
          <w:szCs w:val="32"/>
        </w:rPr>
        <w:br w:type="textWrapping"/>
      </w:r>
      <w:r>
        <w:rPr>
          <w:rFonts w:hint="default" w:ascii="Times New Roman" w:hAnsi="Times New Roman" w:eastAsia="方正仿宋_GBK" w:cs="Times New Roman"/>
          <w:kern w:val="2"/>
          <w:sz w:val="32"/>
          <w:szCs w:val="32"/>
        </w:rPr>
        <w:t>　　</w:t>
      </w:r>
      <w:r>
        <w:rPr>
          <w:rFonts w:hint="eastAsia" w:ascii="Times New Roman" w:hAnsi="Times New Roman" w:eastAsia="方正仿宋_GBK" w:cs="Times New Roman"/>
          <w:kern w:val="2"/>
          <w:sz w:val="32"/>
          <w:szCs w:val="32"/>
          <w:lang w:val="en-US" w:eastAsia="zh-CN"/>
        </w:rPr>
        <w:t xml:space="preserve"> </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年阿坝州市场监督管理局通用项目和专用项目均按要求实行绩效目标管理，涉及一般公共预算当年拨款</w:t>
      </w:r>
      <w:r>
        <w:rPr>
          <w:rFonts w:hint="default" w:ascii="Times New Roman" w:hAnsi="Times New Roman" w:eastAsia="方正仿宋_GBK" w:cs="Times New Roman"/>
          <w:sz w:val="32"/>
          <w:szCs w:val="32"/>
          <w:lang w:val="en-US" w:eastAsia="zh-CN"/>
        </w:rPr>
        <w:t>3250.45</w:t>
      </w:r>
      <w:r>
        <w:rPr>
          <w:rFonts w:hint="default" w:ascii="Times New Roman" w:hAnsi="Times New Roman" w:eastAsia="方正仿宋_GBK" w:cs="Times New Roman"/>
          <w:color w:val="000000"/>
          <w:sz w:val="32"/>
          <w:szCs w:val="32"/>
        </w:rPr>
        <w:t>万元。州本级1</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个项目及基本支出均编制了绩效目标。中央和省专项资金按绩效目标要求做好项目入库。</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sz w:val="32"/>
          <w:szCs w:val="32"/>
        </w:rPr>
        <w:t xml:space="preserve">十、名称解释 </w:t>
      </w:r>
      <w:r>
        <w:rPr>
          <w:rFonts w:hint="default" w:ascii="Times New Roman" w:hAnsi="Times New Roman" w:eastAsia="方正仿宋_GBK" w:cs="Times New Roman"/>
          <w:sz w:val="32"/>
          <w:szCs w:val="32"/>
        </w:rPr>
        <w:br w:type="textWrapping"/>
      </w:r>
      <w:r>
        <w:rPr>
          <w:rFonts w:hint="eastAsia" w:ascii="方正楷体_GBK" w:hAnsi="方正楷体_GBK" w:eastAsia="方正楷体_GBK" w:cs="方正楷体_GBK"/>
          <w:b/>
          <w:bCs/>
          <w:sz w:val="32"/>
          <w:szCs w:val="32"/>
        </w:rPr>
        <w:t>　</w:t>
      </w:r>
      <w:r>
        <w:rPr>
          <w:rFonts w:hint="eastAsia" w:ascii="方正楷体_GBK" w:hAnsi="方正楷体_GBK" w:eastAsia="方正楷体_GBK" w:cs="方正楷体_GBK"/>
          <w:b/>
          <w:bCs/>
          <w:kern w:val="2"/>
          <w:sz w:val="32"/>
          <w:szCs w:val="32"/>
        </w:rPr>
        <w:t>（一）财政拨款收入：</w:t>
      </w:r>
      <w:r>
        <w:rPr>
          <w:rFonts w:hint="default" w:ascii="Times New Roman" w:hAnsi="Times New Roman" w:eastAsia="方正仿宋_GBK" w:cs="Times New Roman"/>
          <w:kern w:val="2"/>
          <w:sz w:val="32"/>
          <w:szCs w:val="32"/>
        </w:rPr>
        <w:t>指由财政拨款形成的部门收入。按现行管理制度，部门预算中反映的财政拨款仅包括一般公共预算拨款和政府性基金预算拨款。</w:t>
      </w:r>
      <w:r>
        <w:rPr>
          <w:rFonts w:hint="default" w:ascii="Times New Roman" w:hAnsi="Times New Roman" w:eastAsia="方正仿宋_GBK" w:cs="Times New Roman"/>
          <w:kern w:val="2"/>
          <w:sz w:val="32"/>
          <w:szCs w:val="32"/>
        </w:rPr>
        <w:br w:type="textWrapping"/>
      </w:r>
      <w:r>
        <w:rPr>
          <w:rFonts w:hint="default" w:ascii="Times New Roman" w:hAnsi="Times New Roman" w:eastAsia="方正仿宋_GBK" w:cs="Times New Roman"/>
          <w:kern w:val="2"/>
          <w:sz w:val="32"/>
          <w:szCs w:val="32"/>
        </w:rPr>
        <w:t>　　</w:t>
      </w:r>
      <w:r>
        <w:rPr>
          <w:rFonts w:hint="eastAsia" w:ascii="方正楷体_GBK" w:hAnsi="方正楷体_GBK" w:eastAsia="方正楷体_GBK" w:cs="方正楷体_GBK"/>
          <w:b/>
          <w:bCs/>
          <w:kern w:val="2"/>
          <w:sz w:val="32"/>
          <w:szCs w:val="32"/>
        </w:rPr>
        <w:t>（二）事业收入：</w:t>
      </w:r>
      <w:r>
        <w:rPr>
          <w:rFonts w:hint="default" w:ascii="Times New Roman" w:hAnsi="Times New Roman" w:eastAsia="方正仿宋_GBK" w:cs="Times New Roman"/>
          <w:kern w:val="2"/>
          <w:sz w:val="32"/>
          <w:szCs w:val="32"/>
        </w:rPr>
        <w:t>指所属事业单位开展专业业务活动及辅助活动所取得的收入。</w:t>
      </w:r>
      <w:r>
        <w:rPr>
          <w:rFonts w:hint="default" w:ascii="Times New Roman" w:hAnsi="Times New Roman" w:eastAsia="方正仿宋_GBK" w:cs="Times New Roman"/>
          <w:kern w:val="2"/>
          <w:sz w:val="32"/>
          <w:szCs w:val="32"/>
        </w:rPr>
        <w:br w:type="textWrapping"/>
      </w:r>
      <w:r>
        <w:rPr>
          <w:rFonts w:hint="default" w:ascii="Times New Roman" w:hAnsi="Times New Roman" w:eastAsia="方正仿宋_GBK" w:cs="Times New Roman"/>
          <w:kern w:val="2"/>
          <w:sz w:val="32"/>
          <w:szCs w:val="32"/>
        </w:rPr>
        <w:t>　　</w:t>
      </w:r>
      <w:r>
        <w:rPr>
          <w:rFonts w:hint="eastAsia" w:ascii="方正楷体_GBK" w:hAnsi="方正楷体_GBK" w:eastAsia="方正楷体_GBK" w:cs="方正楷体_GBK"/>
          <w:b/>
          <w:bCs/>
          <w:kern w:val="2"/>
          <w:sz w:val="32"/>
          <w:szCs w:val="32"/>
        </w:rPr>
        <w:t>（三）事业单位经营收入：</w:t>
      </w:r>
      <w:r>
        <w:rPr>
          <w:rFonts w:hint="default" w:ascii="Times New Roman" w:hAnsi="Times New Roman" w:eastAsia="方正仿宋_GBK" w:cs="Times New Roman"/>
          <w:kern w:val="2"/>
          <w:sz w:val="32"/>
          <w:szCs w:val="32"/>
        </w:rPr>
        <w:t>指所属事业单位在专业业务活动及其辅助活动之外开展非独立核算经营活动取得的收入。</w:t>
      </w:r>
      <w:r>
        <w:rPr>
          <w:rFonts w:hint="default" w:ascii="Times New Roman" w:hAnsi="Times New Roman" w:eastAsia="方正仿宋_GBK" w:cs="Times New Roman"/>
          <w:kern w:val="2"/>
          <w:sz w:val="32"/>
          <w:szCs w:val="32"/>
        </w:rPr>
        <w:br w:type="textWrapping"/>
      </w:r>
      <w:r>
        <w:rPr>
          <w:rFonts w:hint="default" w:ascii="Times New Roman" w:hAnsi="Times New Roman" w:eastAsia="方正仿宋_GBK" w:cs="Times New Roman"/>
          <w:kern w:val="2"/>
          <w:sz w:val="32"/>
          <w:szCs w:val="32"/>
        </w:rPr>
        <w:t>　　</w:t>
      </w:r>
      <w:r>
        <w:rPr>
          <w:rFonts w:hint="eastAsia" w:ascii="方正楷体_GBK" w:hAnsi="方正楷体_GBK" w:eastAsia="方正楷体_GBK" w:cs="方正楷体_GBK"/>
          <w:b/>
          <w:bCs/>
          <w:kern w:val="2"/>
          <w:sz w:val="32"/>
          <w:szCs w:val="32"/>
        </w:rPr>
        <w:t>（四）其他收入：</w:t>
      </w:r>
      <w:r>
        <w:rPr>
          <w:rFonts w:hint="default" w:ascii="Times New Roman" w:hAnsi="Times New Roman" w:eastAsia="方正仿宋_GBK" w:cs="Times New Roman"/>
          <w:kern w:val="2"/>
          <w:sz w:val="32"/>
          <w:szCs w:val="32"/>
        </w:rPr>
        <w:t>指除上述“财政拨款收入”、“事业收入”、“事业单位经营收入”等以外的收入，主要是所属行政事业单位按规定动用的售房收入、存款利息收入等。</w:t>
      </w:r>
      <w:r>
        <w:rPr>
          <w:rFonts w:hint="default" w:ascii="Times New Roman" w:hAnsi="Times New Roman" w:eastAsia="方正仿宋_GBK" w:cs="Times New Roman"/>
          <w:kern w:val="2"/>
          <w:sz w:val="32"/>
          <w:szCs w:val="32"/>
        </w:rPr>
        <w:br w:type="textWrapping"/>
      </w:r>
      <w:r>
        <w:rPr>
          <w:rFonts w:hint="default" w:ascii="Times New Roman" w:hAnsi="Times New Roman" w:eastAsia="方正仿宋_GBK" w:cs="Times New Roman"/>
          <w:kern w:val="2"/>
          <w:sz w:val="32"/>
          <w:szCs w:val="32"/>
        </w:rPr>
        <w:t>　</w:t>
      </w:r>
      <w:r>
        <w:rPr>
          <w:rFonts w:hint="eastAsia" w:ascii="方正楷体_GBK" w:hAnsi="方正楷体_GBK" w:eastAsia="方正楷体_GBK" w:cs="方正楷体_GBK"/>
          <w:b/>
          <w:bCs/>
          <w:kern w:val="2"/>
          <w:sz w:val="32"/>
          <w:szCs w:val="32"/>
        </w:rPr>
        <w:t>　（五）用事业基金弥补收支差额：</w:t>
      </w:r>
      <w:r>
        <w:rPr>
          <w:rFonts w:hint="default" w:ascii="Times New Roman" w:hAnsi="Times New Roman" w:eastAsia="方正仿宋_GBK" w:cs="Times New Roman"/>
          <w:kern w:val="2"/>
          <w:sz w:val="32"/>
          <w:szCs w:val="32"/>
        </w:rPr>
        <w:t>指所属事业单位在预计用当年的“财政拨款收入”、“事业收入”、“事业单位经营收入”、“其他收入”不足以安排当年支出的情况下，使用以前年度积累的事业基金弥补本年度收支缺口的资金。</w:t>
      </w:r>
      <w:r>
        <w:rPr>
          <w:rFonts w:hint="default" w:ascii="Times New Roman" w:hAnsi="Times New Roman" w:eastAsia="方正仿宋_GBK" w:cs="Times New Roman"/>
          <w:kern w:val="2"/>
          <w:sz w:val="32"/>
          <w:szCs w:val="32"/>
        </w:rPr>
        <w:br w:type="textWrapping"/>
      </w:r>
      <w:r>
        <w:rPr>
          <w:rFonts w:hint="default" w:ascii="Times New Roman" w:hAnsi="Times New Roman" w:eastAsia="方正仿宋_GBK" w:cs="Times New Roman"/>
          <w:kern w:val="2"/>
          <w:sz w:val="32"/>
          <w:szCs w:val="32"/>
        </w:rPr>
        <w:t>　　</w:t>
      </w:r>
      <w:r>
        <w:rPr>
          <w:rFonts w:hint="eastAsia" w:ascii="方正楷体_GBK" w:hAnsi="方正楷体_GBK" w:eastAsia="方正楷体_GBK" w:cs="方正楷体_GBK"/>
          <w:b/>
          <w:bCs/>
          <w:kern w:val="2"/>
          <w:sz w:val="32"/>
          <w:szCs w:val="32"/>
        </w:rPr>
        <w:t>（六）上年结转：</w:t>
      </w:r>
      <w:r>
        <w:rPr>
          <w:rFonts w:hint="default" w:ascii="Times New Roman" w:hAnsi="Times New Roman" w:eastAsia="方正仿宋_GBK" w:cs="Times New Roman"/>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方正黑体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1F4201"/>
    <w:multiLevelType w:val="singleLevel"/>
    <w:tmpl w:val="BF1F4201"/>
    <w:lvl w:ilvl="0" w:tentative="0">
      <w:start w:val="2"/>
      <w:numFmt w:val="chineseCounting"/>
      <w:suff w:val="nothing"/>
      <w:lvlText w:val="%1、"/>
      <w:lvlJc w:val="left"/>
      <w:rPr>
        <w:rFonts w:hint="eastAsia"/>
      </w:rPr>
    </w:lvl>
  </w:abstractNum>
  <w:abstractNum w:abstractNumId="1">
    <w:nsid w:val="D50FEF36"/>
    <w:multiLevelType w:val="singleLevel"/>
    <w:tmpl w:val="D50FEF36"/>
    <w:lvl w:ilvl="0" w:tentative="0">
      <w:start w:val="1"/>
      <w:numFmt w:val="chineseCounting"/>
      <w:suff w:val="nothing"/>
      <w:lvlText w:val="（%1）"/>
      <w:lvlJc w:val="left"/>
      <w:rPr>
        <w:rFonts w:hint="eastAsia"/>
      </w:rPr>
    </w:lvl>
  </w:abstractNum>
  <w:abstractNum w:abstractNumId="2">
    <w:nsid w:val="F714D088"/>
    <w:multiLevelType w:val="singleLevel"/>
    <w:tmpl w:val="F714D088"/>
    <w:lvl w:ilvl="0" w:tentative="0">
      <w:start w:val="8"/>
      <w:numFmt w:val="chineseCounting"/>
      <w:suff w:val="nothing"/>
      <w:lvlText w:val="%1、"/>
      <w:lvlJc w:val="left"/>
      <w:rPr>
        <w:rFonts w:hint="eastAsia"/>
      </w:rPr>
    </w:lvl>
  </w:abstractNum>
  <w:abstractNum w:abstractNumId="3">
    <w:nsid w:val="FF6C2185"/>
    <w:multiLevelType w:val="singleLevel"/>
    <w:tmpl w:val="FF6C2185"/>
    <w:lvl w:ilvl="0" w:tentative="0">
      <w:start w:val="1"/>
      <w:numFmt w:val="chineseCounting"/>
      <w:suff w:val="nothing"/>
      <w:lvlText w:val="（%1）"/>
      <w:lvlJc w:val="left"/>
      <w:rPr>
        <w:rFonts w:hint="eastAsia"/>
      </w:rPr>
    </w:lvl>
  </w:abstractNum>
  <w:abstractNum w:abstractNumId="4">
    <w:nsid w:val="5DEF717C"/>
    <w:multiLevelType w:val="singleLevel"/>
    <w:tmpl w:val="5DEF717C"/>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FFD6076"/>
    <w:rsid w:val="17FE732A"/>
    <w:rsid w:val="1CFF8533"/>
    <w:rsid w:val="26F71D55"/>
    <w:rsid w:val="2FFE2F57"/>
    <w:rsid w:val="377FB0F3"/>
    <w:rsid w:val="55FF2757"/>
    <w:rsid w:val="5BF7C2DA"/>
    <w:rsid w:val="5EED0EBE"/>
    <w:rsid w:val="69F62701"/>
    <w:rsid w:val="69FBDA1C"/>
    <w:rsid w:val="6E9D47C0"/>
    <w:rsid w:val="6FF63345"/>
    <w:rsid w:val="6FFF4CB4"/>
    <w:rsid w:val="797F29BE"/>
    <w:rsid w:val="7BEFFDB7"/>
    <w:rsid w:val="7BF7CD72"/>
    <w:rsid w:val="7E8917DD"/>
    <w:rsid w:val="7F7B64FC"/>
    <w:rsid w:val="7F7EB1D1"/>
    <w:rsid w:val="7F8320C0"/>
    <w:rsid w:val="7FB90D04"/>
    <w:rsid w:val="7FBEF429"/>
    <w:rsid w:val="7FCE59BB"/>
    <w:rsid w:val="7FD958CE"/>
    <w:rsid w:val="7FE596F5"/>
    <w:rsid w:val="7FEB7DD8"/>
    <w:rsid w:val="7FEBCCD4"/>
    <w:rsid w:val="7FEF0D0D"/>
    <w:rsid w:val="97DBFF1B"/>
    <w:rsid w:val="A5F7F6BD"/>
    <w:rsid w:val="AFDF14D8"/>
    <w:rsid w:val="BA5F8172"/>
    <w:rsid w:val="BF3A52CC"/>
    <w:rsid w:val="BFD5D4BD"/>
    <w:rsid w:val="D7AFAB76"/>
    <w:rsid w:val="DAFF9A85"/>
    <w:rsid w:val="DBED5181"/>
    <w:rsid w:val="DD473D65"/>
    <w:rsid w:val="DDB9185C"/>
    <w:rsid w:val="DEBF7A9D"/>
    <w:rsid w:val="DEFFF58A"/>
    <w:rsid w:val="E7F5ADD6"/>
    <w:rsid w:val="EDDF1241"/>
    <w:rsid w:val="EF6B26FA"/>
    <w:rsid w:val="EF7F1524"/>
    <w:rsid w:val="EFDF89D8"/>
    <w:rsid w:val="F5FF8810"/>
    <w:rsid w:val="F8BEBA60"/>
    <w:rsid w:val="FB3D5AD7"/>
    <w:rsid w:val="FD7370BF"/>
    <w:rsid w:val="FEDB8167"/>
    <w:rsid w:val="FEFF3163"/>
    <w:rsid w:val="FF75B470"/>
    <w:rsid w:val="FFBD04B4"/>
    <w:rsid w:val="FFEBF17F"/>
    <w:rsid w:val="FFEF084A"/>
    <w:rsid w:val="FFFDDA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rPr>
  </w:style>
  <w:style w:type="paragraph" w:styleId="5">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6">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9"/>
    </w:pPr>
    <w:rPr>
      <w:rFonts w:ascii="宋体" w:eastAsia="宋体"/>
      <w:snapToGrid/>
      <w:color w:val="auto"/>
      <w:spacing w:val="0"/>
      <w:w w:val="100"/>
      <w:kern w:val="0"/>
      <w:position w:val="0"/>
      <w:sz w:val="24"/>
      <w:szCs w:val="21"/>
      <w:u w:val="none" w:color="auto"/>
      <w:vertAlign w:val="baseline"/>
      <w:lang w:val="en-US" w:eastAsia="zh-CN"/>
    </w:rPr>
  </w:style>
  <w:style w:type="paragraph" w:styleId="12">
    <w:name w:val="List Paragraph"/>
    <w:basedOn w:val="1"/>
    <w:qFormat/>
    <w:uiPriority w:val="0"/>
    <w:pPr>
      <w:ind w:firstLine="200" w:firstLineChars="200"/>
    </w:pPr>
  </w:style>
  <w:style w:type="paragraph" w:customStyle="1" w:styleId="13">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6</Pages>
  <Words>1635</Words>
  <Characters>1739</Characters>
  <Lines>124</Lines>
  <Paragraphs>51</Paragraphs>
  <TotalTime>1</TotalTime>
  <ScaleCrop>false</ScaleCrop>
  <LinksUpToDate>false</LinksUpToDate>
  <CharactersWithSpaces>1800</CharactersWithSpaces>
  <Application>WPS Office_11.1.0.11720_F1E327BC-269C-435d-A152-05C5408002CA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2023-01-01T09:44:00Z</dcterms:created>
  <dc:creator>疯丫头。。</dc:creator>
  <cp:lastModifiedBy>user</cp:lastModifiedBy>
  <cp:lastPrinted>2018-02-01T09:39:00Z</cp:lastPrinted>
  <dcterms:modified xsi:type="dcterms:W3CDTF">2026-01-30T11:22:21Z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2052-11.1.0.11720</vt:lpwstr>
  </property>
</Properties>
</file>