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eastAsia="方正小标宋简体"/>
          <w:sz w:val="44"/>
          <w:szCs w:val="44"/>
        </w:rPr>
      </w:pPr>
      <w:r>
        <w:rPr>
          <w:rFonts w:eastAsia="方正小标宋简体"/>
          <w:sz w:val="44"/>
          <w:szCs w:val="44"/>
        </w:rPr>
        <w:t>阿坝州食品药品检验研究中心</w:t>
      </w:r>
    </w:p>
    <w:p>
      <w:pPr>
        <w:spacing w:line="560" w:lineRule="exact"/>
        <w:jc w:val="center"/>
        <w:rPr>
          <w:rFonts w:eastAsia="方正小标宋简体"/>
          <w:b/>
          <w:sz w:val="44"/>
          <w:szCs w:val="44"/>
        </w:rPr>
      </w:pPr>
      <w:r>
        <w:rPr>
          <w:rFonts w:eastAsia="方正小标宋简体"/>
          <w:kern w:val="0"/>
          <w:sz w:val="44"/>
          <w:szCs w:val="44"/>
          <w:lang w:bidi="ar-SA"/>
        </w:rPr>
        <w:t>2025年专项预算绩效自评</w:t>
      </w:r>
      <w:r>
        <w:rPr>
          <w:rFonts w:eastAsia="方正小标宋简体"/>
          <w:sz w:val="44"/>
          <w:szCs w:val="44"/>
          <w:lang w:bidi="ar-SA"/>
        </w:rPr>
        <w:t>报告</w:t>
      </w:r>
    </w:p>
    <w:p>
      <w:pPr>
        <w:pStyle w:val="23"/>
        <w:spacing w:before="0" w:beforeAutospacing="0" w:after="0" w:afterAutospacing="0" w:line="560" w:lineRule="exact"/>
        <w:rPr>
          <w:rFonts w:ascii="Times New Roman" w:eastAsia="仿宋_GB2312" w:cs="Times New Roman" w:hAnsi="Times New Roman"/>
          <w:bCs/>
          <w:sz w:val="36"/>
          <w:szCs w:val="36"/>
          <w:lang w:bidi="ar-SA"/>
        </w:rPr>
      </w:pPr>
    </w:p>
    <w:p>
      <w:pPr>
        <w:snapToGrid w:val="0"/>
        <w:spacing w:line="560" w:lineRule="exact"/>
        <w:ind w:firstLineChars="200" w:firstLine="640"/>
        <w:rPr>
          <w:rFonts w:eastAsia="仿宋_GB2312"/>
          <w:bCs/>
          <w:color w:val="000000"/>
          <w:kern w:val="0"/>
          <w:sz w:val="32"/>
          <w:szCs w:val="32"/>
          <w:shd w:val="clear" w:color="auto" w:fill="FFFFFF"/>
          <w:lang w:bidi="ar-SA"/>
        </w:rPr>
      </w:pPr>
      <w:r>
        <w:rPr>
          <w:rFonts w:eastAsia="仿宋_GB2312"/>
          <w:bCs/>
          <w:color w:val="000000"/>
          <w:kern w:val="0"/>
          <w:sz w:val="32"/>
          <w:szCs w:val="32"/>
          <w:shd w:val="clear" w:color="auto" w:fill="FFFFFF"/>
          <w:lang w:bidi="ar-SA"/>
        </w:rPr>
        <w:t>根据《阿坝州财政局关于开展2026年州级部门预算绩效自评工作的通知》要求，为加强我单位资金管理，强化预算绩效主体责任和绩效理念，提高财政资金的使用效益，我单位对2025年专项预算项目开展了自评，现将自评情况报告如下：</w:t>
      </w:r>
    </w:p>
    <w:p>
      <w:pPr>
        <w:snapToGrid w:val="0"/>
        <w:spacing w:line="560" w:lineRule="exact"/>
        <w:ind w:firstLineChars="200" w:firstLine="640"/>
        <w:rPr>
          <w:rFonts w:eastAsia="黑体"/>
          <w:bCs/>
          <w:color w:val="000000"/>
          <w:kern w:val="0"/>
          <w:sz w:val="32"/>
          <w:szCs w:val="32"/>
          <w:shd w:val="clear" w:color="auto" w:fill="FFFFFF"/>
          <w:lang w:bidi="ar-SA"/>
        </w:rPr>
      </w:pPr>
      <w:r>
        <w:rPr>
          <w:rFonts w:eastAsia="黑体"/>
          <w:bCs/>
          <w:color w:val="000000"/>
          <w:kern w:val="0"/>
          <w:sz w:val="32"/>
          <w:szCs w:val="32"/>
          <w:shd w:val="clear" w:color="auto" w:fill="FFFFFF"/>
          <w:lang w:bidi="ar-SA"/>
        </w:rPr>
        <w:t>一、单位基本情况</w:t>
      </w:r>
    </w:p>
    <w:p>
      <w:pPr>
        <w:snapToGrid w:val="0"/>
        <w:spacing w:line="560" w:lineRule="exact"/>
        <w:ind w:firstLineChars="200" w:firstLine="640"/>
        <w:rPr>
          <w:rFonts w:eastAsia="黑体"/>
          <w:bCs/>
          <w:color w:val="000000"/>
          <w:kern w:val="0"/>
          <w:sz w:val="32"/>
          <w:szCs w:val="32"/>
          <w:shd w:val="clear" w:color="auto" w:fill="FFFFFF"/>
          <w:lang w:bidi="ar-SA"/>
        </w:rPr>
      </w:pPr>
      <w:r>
        <w:rPr>
          <w:rFonts w:eastAsia="楷体"/>
          <w:b/>
          <w:bCs/>
          <w:color w:val="000000"/>
          <w:kern w:val="0"/>
          <w:sz w:val="32"/>
          <w:szCs w:val="32"/>
          <w:shd w:val="clear" w:color="auto" w:fill="FFFFFF"/>
          <w:lang w:bidi="ar-SA"/>
        </w:rPr>
        <w:t>（一）机构组成</w:t>
      </w:r>
    </w:p>
    <w:p>
      <w:pPr>
        <w:widowControl/>
        <w:shd w:val="clear" w:color="auto" w:fill="FFFFFF"/>
        <w:spacing w:line="560" w:lineRule="exact"/>
        <w:ind w:firstLineChars="200" w:firstLine="640"/>
        <w:jc w:val="left"/>
        <w:rPr>
          <w:rFonts w:eastAsia="仿宋_GB2312"/>
          <w:color w:val="000000"/>
          <w:spacing w:val="4"/>
          <w:kern w:val="0"/>
          <w:sz w:val="32"/>
          <w:szCs w:val="32"/>
          <w:lang w:bidi="ar-SA"/>
        </w:rPr>
      </w:pPr>
      <w:r>
        <w:rPr>
          <w:rFonts w:eastAsia="仿宋_GB2312"/>
          <w:sz w:val="32"/>
          <w:szCs w:val="32"/>
        </w:rPr>
        <w:t>阿坝州食品药品检验研究中心成立于1976年9月，隶属于阿坝州市场监督管理局直属公益一类事业单位，属阿坝州财政局二级预算单位执行政府会计制度，</w:t>
      </w:r>
      <w:r>
        <w:rPr>
          <w:rFonts w:eastAsia="仿宋_GB2312"/>
          <w:color w:val="000000"/>
          <w:spacing w:val="4"/>
          <w:kern w:val="0"/>
          <w:sz w:val="32"/>
          <w:szCs w:val="32"/>
          <w:lang w:bidi="ar-SA"/>
        </w:rPr>
        <w:t>单位无下属单位。</w:t>
      </w:r>
      <w:r>
        <w:rPr>
          <w:rFonts w:eastAsia="仿宋_GB2312"/>
          <w:sz w:val="32"/>
          <w:szCs w:val="32"/>
        </w:rPr>
        <w:t>阿坝州食品药品检验研究中心挂阿坝州民族药物研究所、阿坝州药品不良反应监测中心、阿坝州医疗器械不良事件监测中心牌子。</w:t>
      </w:r>
      <w:r>
        <w:rPr>
          <w:rFonts w:eastAsia="仿宋_GB2312"/>
          <w:color w:val="000000"/>
          <w:spacing w:val="4"/>
          <w:kern w:val="0"/>
          <w:sz w:val="32"/>
          <w:szCs w:val="32"/>
          <w:lang w:bidi="ar-SA"/>
        </w:rPr>
        <w:t>内设机构：办公室、业务科、质控办、化学室、中药室、生检室、食品室、抽样科、ADR、财务室共计10个股室。</w:t>
      </w:r>
    </w:p>
    <w:p>
      <w:pPr>
        <w:widowControl/>
        <w:shd w:val="clear" w:color="auto" w:fill="FFFFFF"/>
        <w:spacing w:line="560" w:lineRule="exact"/>
        <w:ind w:firstLineChars="200" w:firstLine="640"/>
        <w:jc w:val="left"/>
        <w:rPr>
          <w:rFonts w:eastAsia="仿宋_GB2312"/>
          <w:color w:val="000000"/>
          <w:kern w:val="0"/>
          <w:sz w:val="32"/>
          <w:szCs w:val="32"/>
          <w:lang w:bidi="ar-SA"/>
        </w:rPr>
      </w:pPr>
      <w:r>
        <w:rPr>
          <w:rFonts w:eastAsia="楷体"/>
          <w:b/>
          <w:bCs/>
          <w:color w:val="000000"/>
          <w:kern w:val="0"/>
          <w:sz w:val="32"/>
          <w:szCs w:val="32"/>
          <w:shd w:val="clear" w:color="auto" w:fill="FFFFFF"/>
          <w:lang w:bidi="ar-SA"/>
        </w:rPr>
        <w:t>（二）机构职能</w:t>
      </w:r>
    </w:p>
    <w:p>
      <w:pPr>
        <w:widowControl/>
        <w:shd w:val="clear" w:color="auto" w:fill="FFFFFF"/>
        <w:spacing w:line="560" w:lineRule="exact"/>
        <w:ind w:firstLineChars="200" w:firstLine="640"/>
        <w:jc w:val="left"/>
        <w:rPr>
          <w:rFonts w:eastAsia="仿宋_GB2312"/>
          <w:bCs/>
          <w:kern w:val="28"/>
          <w:sz w:val="32"/>
          <w:szCs w:val="32"/>
        </w:rPr>
      </w:pPr>
      <w:r>
        <w:rPr>
          <w:rFonts w:eastAsia="仿宋_GB2312"/>
          <w:sz w:val="32"/>
          <w:szCs w:val="32"/>
        </w:rPr>
        <w:t>根据阿编办〔2020〕47号文件规定，</w:t>
      </w:r>
      <w:r>
        <w:rPr>
          <w:rFonts w:eastAsia="仿宋_GB2312"/>
          <w:bCs/>
          <w:kern w:val="28"/>
          <w:sz w:val="32"/>
          <w:szCs w:val="32"/>
        </w:rPr>
        <w:t>单位主要职责：负责本辖区食品（保健食品）、化妆品、药品的质量监督检验工作；负责辖区内医疗机构制剂注册审批所需的检验工作；指导本辖区药品生产、经营、使用单位质量检验及管理机构业务技术工作；承担辖区内药品不良反应和医疗器械不良事件监测，民族药种植、制剂品种标准起草提升等研究工作。</w:t>
      </w:r>
    </w:p>
    <w:p>
      <w:pPr>
        <w:widowControl/>
        <w:shd w:val="clear" w:color="auto" w:fill="FFFFFF"/>
        <w:spacing w:line="560" w:lineRule="exact"/>
        <w:ind w:firstLineChars="200" w:firstLine="640"/>
        <w:jc w:val="left"/>
        <w:rPr>
          <w:rFonts w:eastAsia="仿宋_GB2312"/>
          <w:bCs/>
          <w:kern w:val="28"/>
          <w:sz w:val="32"/>
          <w:szCs w:val="32"/>
        </w:rPr>
      </w:pPr>
      <w:r>
        <w:rPr>
          <w:rFonts w:eastAsia="楷体"/>
          <w:b/>
          <w:bCs/>
          <w:color w:val="000000"/>
          <w:kern w:val="0"/>
          <w:sz w:val="32"/>
          <w:szCs w:val="32"/>
          <w:shd w:val="clear" w:color="auto" w:fill="FFFFFF"/>
          <w:lang w:bidi="ar-SA"/>
        </w:rPr>
        <w:t>（三）人员概况</w:t>
      </w:r>
    </w:p>
    <w:p>
      <w:pPr>
        <w:shd w:val="clear" w:color="auto" w:fill="FFFFFF"/>
        <w:spacing w:line="560" w:lineRule="exact"/>
        <w:ind w:firstLineChars="200" w:firstLine="640"/>
        <w:rPr>
          <w:rFonts w:eastAsia="仿宋_GB2312"/>
          <w:color w:val="000000"/>
          <w:sz w:val="32"/>
          <w:szCs w:val="32"/>
        </w:rPr>
      </w:pPr>
      <w:r>
        <w:rPr>
          <w:rFonts w:eastAsia="仿宋_GB2312"/>
          <w:sz w:val="32"/>
          <w:szCs w:val="32"/>
          <w:lang w:bidi="ar-SA"/>
        </w:rPr>
        <w:t>阿编办〔2020〕47号</w:t>
      </w:r>
      <w:r>
        <w:rPr>
          <w:rFonts w:eastAsia="仿宋_GB2312"/>
          <w:sz w:val="32"/>
          <w:szCs w:val="32"/>
        </w:rPr>
        <w:t>核定单位事业编制为32名，截止2025年末在编</w:t>
      </w:r>
      <w:r>
        <w:rPr>
          <w:rFonts w:eastAsia="仿宋_GB2312"/>
          <w:color w:val="000000"/>
          <w:sz w:val="32"/>
          <w:szCs w:val="32"/>
        </w:rPr>
        <w:t>人数为29人；年末实有离退休人数为19人；年末实有遗属补助人员1人；年末实有劳务派遣2人。</w:t>
      </w:r>
    </w:p>
    <w:p>
      <w:pPr>
        <w:snapToGrid w:val="0"/>
        <w:spacing w:line="560" w:lineRule="exact"/>
        <w:ind w:firstLineChars="200" w:firstLine="640"/>
        <w:rPr>
          <w:rFonts w:eastAsia="黑体"/>
          <w:bCs/>
          <w:color w:val="000000"/>
          <w:kern w:val="0"/>
          <w:sz w:val="32"/>
          <w:szCs w:val="32"/>
          <w:shd w:val="clear" w:color="auto" w:fill="FFFFFF"/>
        </w:rPr>
      </w:pPr>
      <w:r>
        <w:rPr>
          <w:rFonts w:eastAsia="黑体"/>
          <w:bCs/>
          <w:color w:val="000000"/>
          <w:kern w:val="0"/>
          <w:sz w:val="32"/>
          <w:szCs w:val="32"/>
          <w:shd w:val="clear" w:color="auto" w:fill="FFFFFF"/>
        </w:rPr>
        <w:t>二、2025年专项预算项目情况</w:t>
      </w:r>
    </w:p>
    <w:p>
      <w:pPr>
        <w:spacing w:line="560" w:lineRule="exact"/>
        <w:ind w:firstLineChars="200" w:firstLine="640"/>
        <w:rPr>
          <w:rFonts w:eastAsia="仿宋_GB2312"/>
          <w:sz w:val="32"/>
          <w:szCs w:val="32"/>
          <w:highlight w:val="auto"/>
        </w:rPr>
      </w:pPr>
      <w:r>
        <w:rPr>
          <w:rFonts w:eastAsia="仿宋_GB2312"/>
          <w:sz w:val="32"/>
          <w:szCs w:val="32"/>
          <w:lang w:val="zh-CN" w:eastAsia="zh-CN"/>
          <w:highlight w:val="auto"/>
        </w:rPr>
        <w:t>单位2025年涉及专项</w:t>
      </w:r>
      <w:r>
        <w:rPr>
          <w:rFonts w:eastAsia="仿宋_GB2312"/>
          <w:bCs/>
          <w:kern w:val="28"/>
          <w:sz w:val="32"/>
          <w:szCs w:val="32"/>
        </w:rPr>
        <w:t>预算项目2个，涉及预算资金32.99万元。其中：</w:t>
      </w:r>
      <w:r>
        <w:rPr>
          <w:rFonts w:eastAsia="仿宋_GB2312"/>
          <w:sz w:val="32"/>
          <w:szCs w:val="32"/>
          <w:lang w:val="zh-CN" w:eastAsia="zh-CN"/>
          <w:highlight w:val="auto"/>
        </w:rPr>
        <w:t>2025年中央药品监管补助资金1个，涉及预算资金4万元；</w:t>
      </w:r>
      <w:r>
        <w:rPr>
          <w:rFonts w:eastAsia="仿宋_GB2312"/>
          <w:sz w:val="32"/>
          <w:szCs w:val="32"/>
          <w:lang w:val="en-US" w:eastAsia="zh-CN"/>
          <w:highlight w:val="auto"/>
        </w:rPr>
        <w:t>2024年省级</w:t>
      </w:r>
      <w:r>
        <w:rPr>
          <w:rFonts w:eastAsia="仿宋_GB2312"/>
          <w:sz w:val="32"/>
          <w:szCs w:val="32"/>
          <w:highlight w:val="auto"/>
        </w:rPr>
        <w:t>药品</w:t>
      </w:r>
      <w:r>
        <w:rPr>
          <w:rFonts w:eastAsia="仿宋_GB2312"/>
          <w:sz w:val="32"/>
          <w:szCs w:val="32"/>
          <w:lang w:val="en-US" w:eastAsia="zh-CN"/>
          <w:highlight w:val="auto"/>
        </w:rPr>
        <w:t>监管资金1个</w:t>
      </w:r>
      <w:r>
        <w:rPr>
          <w:rFonts w:eastAsia="仿宋_GB2312"/>
          <w:sz w:val="32"/>
          <w:szCs w:val="32"/>
          <w:lang w:val="zh-CN" w:eastAsia="zh-CN"/>
          <w:highlight w:val="auto"/>
        </w:rPr>
        <w:t>，涉及预算资金28.99万元</w:t>
      </w:r>
      <w:r>
        <w:rPr>
          <w:rFonts w:eastAsia="仿宋_GB2312"/>
          <w:sz w:val="32"/>
          <w:szCs w:val="32"/>
          <w:highlight w:val="auto"/>
        </w:rPr>
        <w:t>。专项预算项目具体情况如下：</w:t>
      </w:r>
    </w:p>
    <w:p>
      <w:pPr>
        <w:snapToGrid w:val="0"/>
        <w:spacing w:line="560" w:lineRule="exact"/>
        <w:ind w:left="640" w:firstLine="0"/>
        <w:rPr>
          <w:rFonts w:eastAsia="仿宋_GB2312"/>
          <w:b/>
          <w:bCs/>
          <w:sz w:val="32"/>
          <w:szCs w:val="32"/>
          <w:lang w:val="zh-CN" w:eastAsia="zh-CN" w:bidi="ar-SA"/>
        </w:rPr>
      </w:pPr>
      <w:r>
        <w:rPr>
          <w:rFonts w:eastAsia="仿宋_GB2312"/>
          <w:b/>
          <w:bCs/>
          <w:sz w:val="32"/>
          <w:szCs w:val="32"/>
          <w:highlight w:val="auto"/>
        </w:rPr>
        <w:t>（一）</w:t>
      </w:r>
      <w:r>
        <w:rPr>
          <w:rFonts w:eastAsia="仿宋_GB2312"/>
          <w:b/>
          <w:bCs/>
          <w:sz w:val="32"/>
          <w:szCs w:val="32"/>
          <w:lang w:val="zh-CN" w:eastAsia="zh-CN" w:bidi="ar-SA"/>
        </w:rPr>
        <w:t>51320022T000007339498-中央药品监管补助资金</w:t>
      </w:r>
    </w:p>
    <w:p>
      <w:pPr>
        <w:snapToGrid w:val="0"/>
        <w:spacing w:line="560" w:lineRule="exact"/>
        <w:ind w:firstLineChars="200" w:firstLine="640"/>
        <w:rPr>
          <w:rFonts w:eastAsia="仿宋_GB2312"/>
          <w:b/>
          <w:bCs/>
          <w:sz w:val="32"/>
          <w:szCs w:val="32"/>
        </w:rPr>
      </w:pPr>
      <w:r>
        <w:rPr>
          <w:rFonts w:eastAsia="仿宋_GB2312"/>
          <w:sz w:val="32"/>
          <w:szCs w:val="32"/>
        </w:rPr>
        <w:t>根据阿坝州财政局 阿坝州市场监督管理局《关于下达2025年中央财政药品监管补助资金预算的通知》（阿州财行〔2025〕15号），阿坝州财政局于2025年3月19日下达我中心中央药品监管补助资金4万元，资金到位率为100%。</w:t>
      </w:r>
    </w:p>
    <w:p>
      <w:pPr>
        <w:snapToGrid w:val="0"/>
        <w:spacing w:line="560" w:lineRule="exact"/>
        <w:ind w:firstLineChars="200" w:firstLine="640"/>
        <w:rPr>
          <w:rFonts w:eastAsia="仿宋_GB2312"/>
          <w:bCs/>
          <w:color w:val="000000"/>
          <w:kern w:val="0"/>
          <w:sz w:val="32"/>
          <w:szCs w:val="32"/>
          <w:shd w:val="clear" w:color="auto" w:fill="FFFFFF"/>
        </w:rPr>
      </w:pPr>
      <w:r>
        <w:rPr>
          <w:rFonts w:eastAsia="仿宋_GB2312"/>
          <w:sz w:val="32"/>
          <w:szCs w:val="32"/>
        </w:rPr>
        <w:t>按照工作重点，结合经费预算情况，建立项目执行责任制，将项目支出责任逐一分解落实到具体执行科室和责任人。并严格按照《</w:t>
      </w:r>
      <w:r>
        <w:rPr>
          <w:rFonts w:eastAsia="仿宋_GB2312"/>
          <w:bCs/>
          <w:color w:val="000000"/>
          <w:kern w:val="0"/>
          <w:sz w:val="32"/>
          <w:szCs w:val="32"/>
          <w:shd w:val="clear" w:color="auto" w:fill="FFFFFF"/>
          <w:lang w:bidi="ar-SA"/>
        </w:rPr>
        <w:t>中央食品药品监管补助资金管理实施细则</w:t>
      </w:r>
      <w:r>
        <w:rPr>
          <w:rFonts w:eastAsia="仿宋_GB2312"/>
          <w:sz w:val="32"/>
          <w:szCs w:val="32"/>
        </w:rPr>
        <w:t>》使用项目资金，截至2025年12月31日项目资金实际支出4万元（支出明细为：差旅费2.63万元、专用材料费0.41万元、培训费0.96万元）。</w:t>
      </w:r>
      <w:r>
        <w:rPr>
          <w:rFonts w:eastAsia="仿宋_GB2312"/>
          <w:bCs/>
          <w:color w:val="000000"/>
          <w:kern w:val="0"/>
          <w:sz w:val="32"/>
          <w:szCs w:val="32"/>
          <w:shd w:val="clear" w:color="auto" w:fill="FFFFFF"/>
          <w:lang w:bidi="ar-SA"/>
        </w:rPr>
        <w:t>资金支付进度为100%。</w:t>
      </w:r>
    </w:p>
    <w:p>
      <w:pPr>
        <w:snapToGrid w:val="0"/>
        <w:spacing w:line="540" w:lineRule="exact"/>
        <w:ind w:firstLineChars="200" w:firstLine="640"/>
        <w:rPr>
          <w:rFonts w:eastAsia="仿宋_GB2312"/>
          <w:bCs/>
          <w:color w:val="000000"/>
          <w:kern w:val="0"/>
          <w:sz w:val="32"/>
          <w:szCs w:val="32"/>
          <w:shd w:val="clear" w:color="auto" w:fill="FFFFFF"/>
        </w:rPr>
      </w:pPr>
      <w:r>
        <w:rPr>
          <w:rFonts w:eastAsia="仿宋_GB2312"/>
          <w:bCs/>
          <w:color w:val="000000"/>
          <w:kern w:val="0"/>
          <w:sz w:val="32"/>
          <w:szCs w:val="32"/>
          <w:shd w:val="clear" w:color="auto" w:fill="FFFFFF"/>
          <w:lang w:bidi="ar-SA"/>
        </w:rPr>
        <w:t>该项目绩效目标为开展药械化不良反应和药物滥用监测的收集、上报和数据分析工作，配合省评审中心开展监测工作，加强对县（市）药械化不良反应监测、药物滥用监测工作的指导。根据《四川省药品监督管理局办公室关于开展2025年预算绩效评价工作的通知》（川药监办</w:t>
      </w:r>
      <w:r>
        <w:rPr>
          <w:rFonts w:eastAsia="仿宋_GB2312"/>
          <w:sz w:val="32"/>
          <w:szCs w:val="32"/>
        </w:rPr>
        <w:t>〔2026〕3号）文件</w:t>
      </w:r>
      <w:r>
        <w:rPr>
          <w:rFonts w:eastAsia="仿宋_GB2312"/>
          <w:bCs/>
          <w:color w:val="000000"/>
          <w:kern w:val="0"/>
          <w:sz w:val="32"/>
          <w:szCs w:val="32"/>
          <w:shd w:val="clear" w:color="auto" w:fill="FFFFFF"/>
          <w:lang w:bidi="ar-SA"/>
        </w:rPr>
        <w:t>要求，为加强我单位资金管理，强化支出责任，提高财政资金的使用效益，</w:t>
      </w:r>
      <w:r>
        <w:rPr>
          <w:rFonts w:eastAsia="仿宋_GB2312"/>
          <w:bCs/>
          <w:sz w:val="32"/>
          <w:szCs w:val="32"/>
          <w:lang w:bidi="ar-SA"/>
        </w:rPr>
        <w:t>我单位于2026年1月9日对该项目支出绩效进行了自我评价，自评报告详见附件1 。</w:t>
      </w:r>
    </w:p>
    <w:p>
      <w:pPr>
        <w:widowControl/>
        <w:spacing w:line="540" w:lineRule="exact"/>
        <w:ind w:left="0" w:firstLineChars="200" w:firstLine="640"/>
        <w:rPr>
          <w:rFonts w:eastAsia="仿宋_GB2312"/>
          <w:b/>
          <w:bCs/>
          <w:sz w:val="32"/>
          <w:szCs w:val="32"/>
          <w:lang w:val="zh-CN"/>
        </w:rPr>
      </w:pPr>
      <w:r>
        <w:rPr>
          <w:rFonts w:eastAsia="仿宋_GB2312"/>
          <w:b/>
          <w:bCs/>
          <w:sz w:val="32"/>
          <w:szCs w:val="32"/>
          <w:highlight w:val="auto"/>
        </w:rPr>
        <w:t>（二）</w:t>
      </w:r>
      <w:r>
        <w:rPr>
          <w:rFonts w:eastAsia="仿宋_GB2312"/>
          <w:b/>
          <w:bCs/>
          <w:sz w:val="32"/>
          <w:szCs w:val="32"/>
          <w:lang w:val="zh-CN" w:eastAsia="zh-CN"/>
        </w:rPr>
        <w:t>51320025T000013986270-2025年省级药品安全抽查检验项目</w:t>
      </w:r>
    </w:p>
    <w:p>
      <w:pPr>
        <w:snapToGrid w:val="0"/>
        <w:spacing w:line="560" w:lineRule="exact"/>
        <w:ind w:firstLineChars="200" w:firstLine="640"/>
        <w:rPr>
          <w:rFonts w:eastAsia="仿宋_GB2312"/>
          <w:sz w:val="32"/>
          <w:szCs w:val="32"/>
        </w:rPr>
      </w:pPr>
      <w:r>
        <w:rPr>
          <w:rFonts w:eastAsia="仿宋_GB2312"/>
          <w:sz w:val="32"/>
          <w:szCs w:val="32"/>
        </w:rPr>
        <w:t>为进一步做好2025药品抽验工作，提高抽验工作质量，做好药品地方抽验和日常监督检查抽验工作，为药品监管提供技术支撑。根据阿坝州财政局《关于下达2025年省级药品监管专项资金的通知》（阿州财行〔2025〕45号），阿坝州财政局于2025年9月1日下达我中心药品安全抽查检验项目资金35.4万元，资金到位率为100%。该项目涉及上年结转资金2.64万元。</w:t>
      </w:r>
    </w:p>
    <w:p>
      <w:pPr>
        <w:snapToGrid w:val="0"/>
        <w:spacing w:line="560" w:lineRule="exact"/>
        <w:ind w:firstLineChars="200" w:firstLine="640"/>
        <w:rPr>
          <w:rFonts w:eastAsia="仿宋_GB2312"/>
          <w:sz w:val="32"/>
          <w:szCs w:val="32"/>
        </w:rPr>
      </w:pPr>
      <w:r>
        <w:rPr>
          <w:rFonts w:eastAsia="仿宋_GB2312"/>
          <w:sz w:val="32"/>
          <w:szCs w:val="32"/>
        </w:rPr>
        <w:t>按照工作重点，结合经费预算情况，建立项目执行责任制，将项目支出责任逐一分解落实到具体执行科室和责任人。并严格按照《四川省</w:t>
      </w:r>
      <w:r>
        <w:rPr>
          <w:rFonts w:eastAsia="仿宋_GB2312"/>
          <w:bCs/>
          <w:color w:val="000000"/>
          <w:kern w:val="0"/>
          <w:sz w:val="32"/>
          <w:szCs w:val="32"/>
          <w:shd w:val="clear" w:color="auto" w:fill="FFFFFF"/>
        </w:rPr>
        <w:t>省级财政药品监管专项资金管理办法</w:t>
      </w:r>
      <w:r>
        <w:rPr>
          <w:rFonts w:eastAsia="仿宋_GB2312"/>
          <w:sz w:val="32"/>
          <w:szCs w:val="32"/>
        </w:rPr>
        <w:t>》使用项目资金，截至2025年12月31日项目资金实际支出28.99万元（支出明细为：差旅费3.98万元、专用材料费17.64万元、电费5.77万元、培训费1.47万元、委托业务费0.13万元）。</w:t>
      </w:r>
      <w:r>
        <w:rPr>
          <w:rFonts w:eastAsia="仿宋_GB2312"/>
          <w:bCs/>
          <w:color w:val="000000"/>
          <w:kern w:val="0"/>
          <w:sz w:val="32"/>
          <w:szCs w:val="32"/>
          <w:shd w:val="clear" w:color="auto" w:fill="FFFFFF"/>
          <w:lang w:bidi="ar-SA"/>
        </w:rPr>
        <w:t>该项目资金支付进度为76%，</w:t>
      </w:r>
      <w:r>
        <w:rPr>
          <w:rFonts w:eastAsia="仿宋_GB2312"/>
          <w:sz w:val="32"/>
          <w:szCs w:val="32"/>
        </w:rPr>
        <w:t>该项目资金结转9.05万元，已提交财政申请2026年继续使用。</w:t>
      </w:r>
    </w:p>
    <w:p>
      <w:pPr>
        <w:spacing w:line="560" w:lineRule="exact"/>
        <w:ind w:firstLineChars="200" w:firstLine="640"/>
        <w:rPr>
          <w:rFonts w:eastAsia="仿宋_GB2312"/>
          <w:bCs/>
          <w:sz w:val="32"/>
          <w:szCs w:val="32"/>
          <w:lang w:bidi="ar-SA"/>
        </w:rPr>
      </w:pPr>
      <w:r>
        <w:rPr>
          <w:rFonts w:eastAsia="仿宋_GB2312"/>
          <w:bCs/>
          <w:color w:val="000000"/>
          <w:kern w:val="0"/>
          <w:sz w:val="32"/>
          <w:szCs w:val="32"/>
          <w:shd w:val="clear" w:color="auto" w:fill="FFFFFF"/>
          <w:lang w:bidi="ar-SA"/>
        </w:rPr>
        <w:t>根据《四川省药品监督管理局办公室关于开展2025年预算绩效评价工作的通知》（川药监办</w:t>
      </w:r>
      <w:r>
        <w:rPr>
          <w:rFonts w:eastAsia="仿宋_GB2312"/>
          <w:sz w:val="32"/>
          <w:szCs w:val="32"/>
        </w:rPr>
        <w:t>〔2026〕3号）文件</w:t>
      </w:r>
      <w:r>
        <w:rPr>
          <w:rFonts w:eastAsia="仿宋_GB2312"/>
          <w:bCs/>
          <w:color w:val="000000"/>
          <w:kern w:val="0"/>
          <w:sz w:val="32"/>
          <w:szCs w:val="32"/>
          <w:shd w:val="clear" w:color="auto" w:fill="FFFFFF"/>
          <w:lang w:bidi="ar-SA"/>
        </w:rPr>
        <w:t>要求，为加强我单位资金管理，强化支出责任，提高财政资金的使用效益，</w:t>
      </w:r>
      <w:r>
        <w:rPr>
          <w:rFonts w:eastAsia="仿宋_GB2312"/>
          <w:bCs/>
          <w:sz w:val="32"/>
          <w:szCs w:val="32"/>
          <w:lang w:bidi="ar-SA"/>
        </w:rPr>
        <w:t>我单位于2026年1月9日对该项目支出绩效进行了自我评价，自评报告详见附件2 。</w:t>
      </w:r>
    </w:p>
    <w:p>
      <w:pPr>
        <w:snapToGrid w:val="0"/>
        <w:spacing w:line="560" w:lineRule="exact"/>
        <w:ind w:firstLineChars="200" w:firstLine="640"/>
        <w:rPr>
          <w:rFonts w:eastAsia="黑体"/>
          <w:bCs/>
          <w:color w:val="000000"/>
          <w:kern w:val="0"/>
          <w:sz w:val="32"/>
          <w:szCs w:val="32"/>
          <w:shd w:val="clear" w:color="auto" w:fill="FFFFFF"/>
          <w:lang w:bidi="ar-SA"/>
        </w:rPr>
      </w:pPr>
      <w:r>
        <w:rPr>
          <w:rFonts w:eastAsia="黑体"/>
          <w:bCs/>
          <w:color w:val="000000"/>
          <w:kern w:val="0"/>
          <w:sz w:val="32"/>
          <w:szCs w:val="32"/>
          <w:shd w:val="clear" w:color="auto" w:fill="FFFFFF"/>
          <w:lang w:bidi="ar-SA"/>
        </w:rPr>
        <w:t>三、评价结论及建议</w:t>
      </w:r>
    </w:p>
    <w:p>
      <w:pPr>
        <w:widowControl/>
        <w:spacing w:line="448" w:lineRule="atLeast"/>
        <w:ind w:firstLine="472"/>
        <w:rPr>
          <w:rFonts w:eastAsia="黑体"/>
          <w:sz w:val="32"/>
          <w:szCs w:val="32"/>
        </w:rPr>
      </w:pPr>
      <w:r>
        <w:rPr>
          <w:rFonts w:eastAsia="楷体"/>
          <w:b/>
          <w:bCs/>
          <w:color w:val="000000"/>
          <w:kern w:val="0"/>
          <w:sz w:val="32"/>
          <w:szCs w:val="32"/>
          <w:shd w:val="clear" w:color="auto" w:fill="FFFFFF"/>
          <w:lang w:bidi="ar-SA"/>
        </w:rPr>
        <w:t>（一）评价结论</w:t>
      </w:r>
    </w:p>
    <w:p>
      <w:pPr>
        <w:snapToGrid w:val="0"/>
        <w:spacing w:line="560" w:lineRule="exact"/>
        <w:ind w:firstLineChars="200" w:firstLine="640"/>
        <w:rPr>
          <w:rFonts w:eastAsia="仿宋_GB2312"/>
          <w:bCs/>
          <w:color w:val="000000"/>
          <w:kern w:val="0"/>
          <w:sz w:val="32"/>
          <w:szCs w:val="32"/>
          <w:shd w:val="clear" w:color="auto" w:fill="FFFFFF"/>
          <w:lang w:bidi="ar-SA"/>
        </w:rPr>
      </w:pPr>
      <w:r>
        <w:rPr>
          <w:rFonts w:eastAsia="仿宋_GB2312"/>
          <w:bCs/>
          <w:color w:val="000000"/>
          <w:kern w:val="0"/>
          <w:sz w:val="32"/>
          <w:szCs w:val="32"/>
          <w:shd w:val="clear" w:color="auto" w:fill="FFFFFF"/>
          <w:lang w:bidi="ar-SA"/>
        </w:rPr>
        <w:t>项目资金管理和使用严格按照财务管理制度和项目资金实施方案执行。将项目责任逐一分解落实到具体执行科室和责任人。按照项目资金管理办法实行专款专用，做到了财务处理及时、会计核算规范。项目执行总体情况良好。</w:t>
      </w:r>
    </w:p>
    <w:p>
      <w:pPr>
        <w:snapToGrid w:val="0"/>
        <w:spacing w:line="560" w:lineRule="exact"/>
        <w:ind w:firstLineChars="200" w:firstLine="640"/>
        <w:rPr>
          <w:rFonts w:eastAsia="楷体"/>
          <w:b/>
          <w:bCs/>
          <w:color w:val="000000"/>
          <w:kern w:val="0"/>
          <w:sz w:val="32"/>
          <w:szCs w:val="32"/>
          <w:shd w:val="clear" w:color="auto" w:fill="FFFFFF"/>
          <w:lang w:bidi="ar-SA"/>
        </w:rPr>
      </w:pPr>
      <w:r>
        <w:rPr>
          <w:rFonts w:eastAsia="楷体"/>
          <w:b/>
          <w:bCs/>
          <w:color w:val="000000"/>
          <w:kern w:val="0"/>
          <w:sz w:val="32"/>
          <w:szCs w:val="32"/>
          <w:shd w:val="clear" w:color="auto" w:fill="FFFFFF"/>
          <w:lang w:bidi="ar-SA"/>
        </w:rPr>
        <w:t>（二）存在问题</w:t>
      </w:r>
    </w:p>
    <w:p>
      <w:pPr>
        <w:widowControl/>
        <w:shd w:val="clear" w:color="auto" w:fill="FFFFFF"/>
        <w:spacing w:line="560" w:lineRule="exact"/>
        <w:ind w:firstLine="720"/>
        <w:jc w:val="left"/>
        <w:rPr>
          <w:rFonts w:eastAsia="仿宋_GB2312"/>
          <w:bCs/>
          <w:color w:val="000000"/>
          <w:kern w:val="0"/>
          <w:sz w:val="32"/>
          <w:szCs w:val="32"/>
          <w:shd w:val="clear" w:color="auto" w:fill="FFFFFF"/>
          <w:lang w:bidi="ar-SA"/>
        </w:rPr>
      </w:pPr>
      <w:r>
        <w:rPr>
          <w:rFonts w:eastAsia="仿宋_GB2312"/>
          <w:sz w:val="32"/>
          <w:szCs w:val="32"/>
        </w:rPr>
        <w:t>从个别项目存在结转资金分析，项目推进力度有待进一步加强，项目资金未能按预算及时使用，预算执行率偏低。</w:t>
      </w:r>
    </w:p>
    <w:p>
      <w:pPr>
        <w:snapToGrid w:val="0"/>
        <w:spacing w:line="560" w:lineRule="exact"/>
        <w:ind w:firstLineChars="200" w:firstLine="640"/>
        <w:rPr>
          <w:rFonts w:eastAsia="楷体"/>
          <w:b/>
          <w:bCs/>
          <w:color w:val="000000"/>
          <w:kern w:val="0"/>
          <w:sz w:val="32"/>
          <w:szCs w:val="32"/>
          <w:shd w:val="clear" w:color="auto" w:fill="FFFFFF"/>
          <w:lang w:bidi="ar-SA"/>
        </w:rPr>
      </w:pPr>
      <w:r>
        <w:rPr>
          <w:rFonts w:eastAsia="楷体"/>
          <w:b/>
          <w:bCs/>
          <w:color w:val="000000"/>
          <w:kern w:val="0"/>
          <w:sz w:val="32"/>
          <w:szCs w:val="32"/>
          <w:shd w:val="clear" w:color="auto" w:fill="FFFFFF"/>
          <w:lang w:bidi="ar-SA"/>
        </w:rPr>
        <w:t>（三）改进措施</w:t>
      </w:r>
    </w:p>
    <w:p>
      <w:pPr>
        <w:pStyle w:val="23"/>
        <w:shd w:val="clear" w:color="auto" w:fill="FFFFFF"/>
        <w:spacing w:before="0" w:beforeAutospacing="0" w:after="0" w:afterAutospacing="0" w:line="560" w:lineRule="exact"/>
        <w:ind w:firstLine="720"/>
        <w:rPr>
          <w:rFonts w:ascii="Times New Roman" w:eastAsia="仿宋_GB2312" w:cs="Times New Roman" w:hAnsi="Times New Roman"/>
          <w:bCs/>
          <w:color w:val="000000"/>
          <w:kern w:val="0"/>
          <w:sz w:val="32"/>
          <w:szCs w:val="32"/>
          <w:shd w:val="clear" w:color="auto" w:fill="FFFFFF"/>
          <w:lang w:bidi="ar-SA"/>
        </w:rPr>
      </w:pPr>
      <w:r>
        <w:rPr>
          <w:rFonts w:ascii="Times New Roman" w:eastAsia="仿宋_GB2312" w:cs="Times New Roman" w:hAnsi="Times New Roman"/>
          <w:bCs/>
          <w:color w:val="000000"/>
          <w:sz w:val="32"/>
          <w:szCs w:val="32"/>
          <w:shd w:val="clear" w:color="auto" w:fill="FFFFFF"/>
        </w:rPr>
        <w:t>完善项目执行责任制，</w:t>
      </w:r>
      <w:r>
        <w:rPr>
          <w:rFonts w:ascii="Times New Roman" w:eastAsia="仿宋_GB2312" w:cs="Times New Roman" w:hAnsi="Times New Roman"/>
          <w:bCs/>
          <w:color w:val="000000"/>
          <w:kern w:val="0"/>
          <w:sz w:val="32"/>
          <w:szCs w:val="32"/>
          <w:shd w:val="clear" w:color="auto" w:fill="FFFFFF"/>
          <w:lang w:bidi="ar-SA"/>
        </w:rPr>
        <w:t>针对项目执行和预算执行进度偏慢等问题，单位将加强和规范项目管理，充分发挥财政资金使用效益，提高预算支付进度，按照工作重点，结合经费预算情况，建立项目执行责任制，将项目支出责任逐一分解落实到具体执行科室和责任人，形成领导重视、各科室联动共同促进项目执行的良好格局。</w:t>
      </w:r>
    </w:p>
    <w:p>
      <w:pPr>
        <w:pStyle w:val="23"/>
        <w:shd w:val="clear" w:color="auto" w:fill="FFFFFF"/>
        <w:spacing w:before="0" w:beforeAutospacing="0" w:after="0" w:afterAutospacing="0" w:line="560" w:lineRule="exact"/>
        <w:ind w:firstLine="720"/>
        <w:rPr>
          <w:rFonts w:ascii="Times New Roman" w:eastAsia="仿宋_GB2312" w:cs="Times New Roman" w:hAnsi="Times New Roman"/>
          <w:bCs/>
          <w:color w:val="000000"/>
          <w:sz w:val="32"/>
          <w:szCs w:val="32"/>
          <w:shd w:val="clear" w:color="auto" w:fill="FFFFFF"/>
          <w:lang w:bidi="ar-SA"/>
        </w:rPr>
      </w:pPr>
    </w:p>
    <w:p>
      <w:pPr>
        <w:pStyle w:val="23"/>
        <w:shd w:val="clear" w:color="auto" w:fill="FFFFFF"/>
        <w:spacing w:before="0" w:beforeAutospacing="0" w:after="0" w:afterAutospacing="0" w:line="560" w:lineRule="exact"/>
        <w:ind w:firstLine="720"/>
        <w:rPr>
          <w:rFonts w:ascii="Times New Roman" w:eastAsia="仿宋_GB2312" w:cs="Times New Roman" w:hAnsi="Times New Roman"/>
          <w:bCs/>
          <w:color w:val="000000"/>
          <w:sz w:val="32"/>
          <w:szCs w:val="32"/>
          <w:shd w:val="clear" w:color="auto" w:fill="FFFFFF"/>
        </w:rPr>
      </w:pPr>
      <w:r>
        <w:rPr>
          <w:rFonts w:ascii="Times New Roman" w:eastAsia="仿宋_GB2312" w:cs="Times New Roman" w:hAnsi="Times New Roman"/>
          <w:bCs/>
          <w:color w:val="000000"/>
          <w:sz w:val="32"/>
          <w:szCs w:val="32"/>
          <w:shd w:val="clear" w:color="auto" w:fill="FFFFFF"/>
          <w:lang w:bidi="ar-SA"/>
        </w:rPr>
        <w:t>附件：1</w:t>
      </w:r>
      <w:r>
        <w:rPr>
          <w:rFonts w:ascii="Times New Roman" w:eastAsia="仿宋_GB2312" w:cs="Times New Roman" w:hAnsi="Times New Roman"/>
          <w:bCs/>
          <w:color w:val="000000"/>
          <w:sz w:val="32"/>
          <w:szCs w:val="32"/>
          <w:shd w:val="clear" w:color="auto" w:fill="FFFFFF"/>
        </w:rPr>
        <w:t>.2025年中央药品监管补助资金绩效自评报告</w:t>
      </w:r>
    </w:p>
    <w:p>
      <w:pPr>
        <w:pStyle w:val="23"/>
        <w:shd w:val="clear" w:color="auto" w:fill="FFFFFF"/>
        <w:spacing w:before="0" w:beforeAutospacing="0" w:after="0" w:afterAutospacing="0" w:line="560" w:lineRule="exact"/>
        <w:ind w:left="0" w:firstLine="1749"/>
        <w:rPr>
          <w:rFonts w:ascii="Times New Roman" w:eastAsia="仿宋_GB2312" w:cs="Times New Roman" w:hAnsi="Times New Roman"/>
          <w:bCs/>
          <w:color w:val="000000"/>
          <w:sz w:val="32"/>
          <w:szCs w:val="32"/>
          <w:shd w:val="clear" w:color="auto" w:fill="FFFFFF"/>
        </w:rPr>
      </w:pPr>
      <w:r>
        <w:rPr>
          <w:rFonts w:ascii="Times New Roman" w:eastAsia="仿宋_GB2312" w:cs="Times New Roman" w:hAnsi="Times New Roman"/>
          <w:bCs/>
          <w:color w:val="000000"/>
          <w:sz w:val="32"/>
          <w:szCs w:val="32"/>
          <w:shd w:val="clear" w:color="auto" w:fill="FFFFFF"/>
        </w:rPr>
        <w:t>2.2025年省级药品安全抽查检验项目绩效自评报告</w:t>
      </w:r>
    </w:p>
    <w:p>
      <w:pPr>
        <w:pStyle w:val="23"/>
        <w:shd w:val="clear" w:color="auto" w:fill="FFFFFF"/>
        <w:tabs>
          <w:tab w:val="left" w:pos="1980"/>
        </w:tabs>
        <w:spacing w:before="0" w:beforeAutospacing="0" w:after="0" w:afterAutospacing="0" w:line="560" w:lineRule="exact"/>
        <w:rPr>
          <w:rFonts w:ascii="Times New Roman" w:eastAsia="仿宋_GB2312" w:cs="Times New Roman" w:hAnsi="Times New Roman"/>
          <w:bCs/>
          <w:color w:val="000000"/>
          <w:sz w:val="32"/>
          <w:szCs w:val="32"/>
          <w:u w:val="single"/>
          <w:shd w:val="clear" w:color="auto" w:fill="FFFFFF"/>
          <w:lang w:bidi="ar-SA"/>
        </w:rPr>
      </w:pPr>
    </w:p>
    <w:p>
      <w:pPr>
        <w:spacing w:line="560" w:lineRule="exact"/>
        <w:ind w:right="1280"/>
        <w:jc w:val="right"/>
        <w:rPr>
          <w:rFonts w:eastAsia="仿宋_GB2312"/>
          <w:sz w:val="32"/>
          <w:szCs w:val="32"/>
        </w:rPr>
      </w:pPr>
    </w:p>
    <w:p>
      <w:pPr>
        <w:spacing w:line="560" w:lineRule="exact"/>
        <w:ind w:right="1280"/>
        <w:jc w:val="right"/>
        <w:rPr>
          <w:rFonts w:eastAsia="仿宋_GB2312"/>
          <w:sz w:val="32"/>
          <w:szCs w:val="32"/>
        </w:rPr>
      </w:pPr>
      <w:r>
        <w:rPr>
          <w:rFonts w:eastAsia="仿宋_GB2312"/>
          <w:sz w:val="32"/>
          <w:szCs w:val="32"/>
        </w:rPr>
        <w:t>阿坝州食品药品检验研究中心</w:t>
      </w:r>
    </w:p>
    <w:p>
      <w:pPr>
        <w:spacing w:line="560" w:lineRule="exact"/>
        <w:ind w:right="1760"/>
        <w:jc w:val="center"/>
        <w:rPr>
          <w:rFonts w:eastAsia="仿宋_GB2312"/>
          <w:sz w:val="32"/>
          <w:szCs w:val="32"/>
        </w:rPr>
      </w:pPr>
      <w:r>
        <w:rPr>
          <w:rFonts w:eastAsia="仿宋_GB2312"/>
          <w:sz w:val="32"/>
          <w:szCs w:val="32"/>
        </w:rPr>
        <w:t xml:space="preserve">                         2026年3月25日</w:t>
      </w:r>
    </w:p>
    <w:p>
      <w:pPr>
        <w:spacing w:line="560" w:lineRule="exact"/>
        <w:ind w:right="1760"/>
        <w:jc w:val="center"/>
        <w:rPr>
          <w:rFonts w:eastAsia="仿宋_GB2312"/>
          <w:sz w:val="32"/>
          <w:szCs w:val="32"/>
        </w:rPr>
      </w:pPr>
    </w:p>
    <w:p>
      <w:pPr>
        <w:spacing w:line="560" w:lineRule="exact"/>
        <w:ind w:right="1760"/>
        <w:rPr>
          <w:rFonts w:eastAsia="仿宋_GB2312"/>
          <w:sz w:val="32"/>
          <w:szCs w:val="32"/>
        </w:rPr>
      </w:pPr>
    </w:p>
    <w:p>
      <w:pPr>
        <w:spacing w:line="560" w:lineRule="exact"/>
        <w:ind w:right="1760"/>
        <w:rPr>
          <w:rFonts w:eastAsia="仿宋_GB2312"/>
          <w:sz w:val="32"/>
          <w:szCs w:val="32"/>
        </w:rPr>
      </w:pPr>
    </w:p>
    <w:p>
      <w:pPr>
        <w:spacing w:line="560" w:lineRule="exact"/>
        <w:ind w:right="1760"/>
        <w:rPr>
          <w:rFonts w:eastAsia="仿宋_GB2312"/>
          <w:sz w:val="32"/>
          <w:szCs w:val="32"/>
        </w:rPr>
      </w:pPr>
    </w:p>
    <w:p>
      <w:pPr>
        <w:spacing w:line="560" w:lineRule="exact"/>
        <w:ind w:right="1760"/>
        <w:rPr>
          <w:rFonts w:eastAsia="仿宋_GB2312"/>
          <w:bCs/>
          <w:color w:val="000000"/>
          <w:kern w:val="0"/>
          <w:sz w:val="32"/>
          <w:szCs w:val="32"/>
          <w:shd w:val="clear" w:color="auto" w:fill="FFFFFF"/>
          <w:lang w:val="en-US"/>
        </w:rPr>
      </w:pPr>
      <w:bookmarkStart w:id="0" w:name="_GoBack"/>
      <w:bookmarkEnd w:id="0"/>
    </w:p>
    <w:sectPr>
      <w:footerReference w:type="default" r:id="rId2"/>
      <w:footerReference w:type="even" r:id="rId3"/>
      <w:pgSz w:w="11907" w:h="16840"/>
      <w:pgMar w:top="2098" w:right="1474" w:bottom="1701" w:left="1588" w:header="851" w:footer="992" w:gutter="0"/>
      <w:pgNumType w:fmt="numberInDash" w:start="1"/>
      <w:docGrid w:type="lines" w:linePitch="312" w:charSpace="22528"/>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script"/>
    <w:pitch w:val="variable"/>
    <w:sig w:usb0="A00002BF" w:usb1="184F6CFA" w:usb2="00000012" w:usb3="00000000" w:csb0="00040001" w:csb1="00000000"/>
  </w:font>
  <w:font w:name="Times New Roman">
    <w:altName w:val="DejaVu Sans"/>
    <w:panose1 w:val="02020603050405020304"/>
    <w:charset w:val="01"/>
    <w:family w:val="auto"/>
    <w:pitch w:val="variable"/>
    <w:sig w:usb0="00000000" w:usb1="00000000" w:usb2="00000008" w:usb3="00000000" w:csb0="400001FF" w:csb1="FFFF0000"/>
  </w:font>
  <w:font w:name="仿宋_GB2312">
    <w:altName w:val="方正仿宋_GBK"/>
    <w:panose1 w:val="02010609030101010101"/>
    <w:charset w:val="86"/>
    <w:family w:val="modern"/>
    <w:pitch w:val="variable"/>
    <w:sig w:usb0="00000000" w:usb1="0000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宋体">
    <w:altName w:val="方正书宋_GBK"/>
    <w:panose1 w:val="00000000000000000000"/>
    <w:charset w:val="00"/>
    <w:family w:val="auto"/>
    <w:pitch w:val="variable"/>
    <w:sig w:usb0="00000000" w:usb1="00000000" w:usb2="00000000" w:usb3="00000000" w:csb0="00000000" w:csb1="00000000"/>
  </w:font>
  <w:font w:name="Arial">
    <w:altName w:val="DejaVu Sans"/>
    <w:panose1 w:val="020B0604020202020204"/>
    <w:charset w:val="01"/>
    <w:family w:val="swiss"/>
    <w:pitch w:val="variable"/>
    <w:sig w:usb0="E0002AFF" w:usb1="C0007843" w:usb2="00000009" w:usb3="00000000" w:csb0="400001FF" w:csb1="FFFF0000"/>
  </w:font>
  <w:font w:name="楷体_GB2312">
    <w:altName w:val="方正楷体_GBK"/>
    <w:panose1 w:val="02010609030101010101"/>
    <w:charset w:val="86"/>
    <w:family w:val="modern"/>
    <w:pitch w:val="variable"/>
    <w:sig w:usb0="00000000" w:usb1="00000000" w:usb2="00000000" w:usb3="00000000" w:csb0="00040000" w:csb1="00000000"/>
  </w:font>
  <w:font w:name="??">
    <w:altName w:val="华文中宋"/>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24"/>
      </w:rPr>
      <w:fldChar w:fldCharType="begin"/>
    </w:r>
    <w:r>
      <w:rPr>
        <w:rStyle w:val="24"/>
      </w:rPr>
      <w:instrText>Page</w:instrText>
    </w:r>
    <w:r>
      <w:rPr>
        <w:rStyle w:val="24"/>
      </w:rPr>
      <w:fldChar w:fldCharType="separate"/>
    </w:r>
    <w:r>
      <w:rPr>
        <w:rStyle w:val="24"/>
      </w:rPr>
      <w:t>- 1 -</w:t>
    </w:r>
    <w:r>
      <w:rPr>
        <w:rStyle w:val="24"/>
      </w:rPr>
      <w:fldChar w:fldCharType="end"/>
    </w:r>
  </w:p>
  <w:p>
    <w:pPr>
      <w:pStyle w:val="18"/>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24"/>
      </w:rPr>
      <w:fldChar w:fldCharType="begin"/>
    </w:r>
    <w:r>
      <w:rPr>
        <w:rStyle w:val="24"/>
      </w:rPr>
      <w:instrText>Page</w:instrText>
    </w:r>
    <w:r>
      <w:rPr>
        <w:rStyle w:val="24"/>
      </w:rPr>
      <w:fldChar w:fldCharType="separate"/>
    </w:r>
    <w:r>
      <w:rPr>
        <w:rStyle w:val="24"/>
      </w:rPr>
      <w:t>- 1 -</w:t>
    </w:r>
    <w:r>
      <w:rPr>
        <w:rStyle w:val="24"/>
      </w:rPr>
      <w:fldChar w:fldCharType="end"/>
    </w:r>
  </w:p>
  <w:p>
    <w:pPr>
      <w:pStyle w:val="18"/>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customStyle="1" w:styleId="15">
    <w:name w:val="标题 5（有编号）（绿盟科技）"/>
    <w:next w:val="0"/>
    <w:pPr>
      <w:keepNext/>
      <w:keepLines/>
      <w:widowControl w:val="0"/>
      <w:spacing w:before="280" w:after="156" w:line="377" w:lineRule="auto"/>
      <w:jc w:val="left"/>
      <w:outlineLvl w:val="4"/>
    </w:pPr>
    <w:rPr>
      <w:rFonts w:ascii="Arial" w:eastAsia="黑体" w:cs="Times New Roman" w:hAnsi="Arial"/>
      <w:b/>
      <w:kern w:val="2"/>
      <w:sz w:val="24"/>
      <w:szCs w:val="28"/>
      <w:lang w:val="en-US" w:eastAsia="zh-CN" w:bidi="ar-SA"/>
    </w:rPr>
  </w:style>
  <w:style w:type="paragraph" w:styleId="16">
    <w:name w:val="Body Text"/>
    <w:basedOn w:val="0"/>
    <w:pPr>
      <w:widowControl/>
      <w:tabs>
        <w:tab w:val="left" w:pos="2160"/>
      </w:tabs>
      <w:spacing w:line="480" w:lineRule="auto"/>
      <w:jc w:val="left"/>
    </w:pPr>
    <w:rPr>
      <w:rFonts w:ascii="楷体_GB2312" w:eastAsia="黑体" w:hAnsi="楷体_GB2312"/>
      <w:kern w:val="0"/>
      <w:position w:val="3"/>
      <w:sz w:val="20"/>
      <w:szCs w:val="20"/>
    </w:rPr>
  </w:style>
  <w:style w:type="paragraph" w:styleId="17">
    <w:name w:val="Body Text Indent"/>
    <w:basedOn w:val="0"/>
    <w:pPr>
      <w:spacing w:after="120"/>
      <w:ind w:leftChars="200" w:left="200"/>
    </w:pPr>
    <w:rPr>
      <w:rFonts w:ascii="仿宋_GB2312" w:hAnsi="仿宋_GB2312"/>
      <w:szCs w:val="32"/>
    </w:rPr>
  </w:style>
  <w:style w:type="paragraph" w:styleId="18">
    <w:name w:val="footer"/>
    <w:basedOn w:val="0"/>
    <w:pPr>
      <w:tabs>
        <w:tab w:val="center" w:pos="4153"/>
        <w:tab w:val="right" w:pos="8306"/>
      </w:tabs>
      <w:snapToGrid w:val="0"/>
      <w:jc w:val="left"/>
    </w:pPr>
    <w:rPr>
      <w:sz w:val="18"/>
      <w:szCs w:val="18"/>
      <w:lang w:val="zh-CN" w:eastAsia="zh-CN"/>
    </w:rPr>
  </w:style>
  <w:style w:type="paragraph" w:styleId="19">
    <w:name w:val="header"/>
    <w:basedOn w:val="0"/>
    <w:pPr>
      <w:pBdr>
        <w:bottom w:val="single" w:sz="6" w:space="1" w:color="auto"/>
      </w:pBdr>
      <w:tabs>
        <w:tab w:val="center" w:pos="4153"/>
        <w:tab w:val="right" w:pos="8306"/>
      </w:tabs>
      <w:snapToGrid w:val="0"/>
      <w:jc w:val="center"/>
    </w:pPr>
    <w:rPr>
      <w:sz w:val="18"/>
      <w:szCs w:val="18"/>
      <w:lang w:val="zh-CN" w:eastAsia="zh-CN"/>
    </w:rPr>
  </w:style>
  <w:style w:type="paragraph" w:styleId="20">
    <w:name w:val="toc 1"/>
    <w:basedOn w:val="0"/>
    <w:next w:val="0"/>
  </w:style>
  <w:style w:type="paragraph" w:styleId="21">
    <w:name w:val="Body Text First Indent 2"/>
    <w:basedOn w:val="17"/>
    <w:pPr>
      <w:ind w:firstLineChars="200" w:firstLine="200"/>
    </w:pPr>
  </w:style>
  <w:style w:type="paragraph" w:customStyle="1" w:styleId="22">
    <w:name w:val="四号正文"/>
    <w:basedOn w:val="0"/>
    <w:pPr>
      <w:spacing w:line="360" w:lineRule="auto"/>
    </w:pPr>
    <w:rPr>
      <w:rFonts w:ascii="??" w:eastAsia="宋体" w:hAnsi="??"/>
      <w:color w:val="000000"/>
      <w:kern w:val="0"/>
      <w:sz w:val="28"/>
      <w:szCs w:val="21"/>
      <w:lang w:val="zh-CN" w:eastAsia="zh-CN"/>
    </w:rPr>
  </w:style>
  <w:style w:type="paragraph" w:styleId="23">
    <w:name w:val="Normal (Web)"/>
    <w:next w:val="19"/>
    <w:pPr>
      <w:widowControl/>
      <w:spacing w:before="100" w:beforeAutospacing="1" w:after="100" w:afterAutospacing="1"/>
      <w:jc w:val="left"/>
    </w:pPr>
    <w:rPr>
      <w:rFonts w:ascii="宋体" w:eastAsia="宋体" w:cs="宋体"/>
      <w:kern w:val="0"/>
      <w:sz w:val="24"/>
      <w:szCs w:val="24"/>
      <w:lang w:val="en-US" w:eastAsia="zh-CN" w:bidi="ar-SA"/>
    </w:rPr>
  </w:style>
  <w:style w:type="character" w:styleId="24">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147</TotalTime>
  <Application>Yozo_Office27021597764231179</Application>
  <Pages>5</Pages>
  <Words>1961</Words>
  <Characters>2174</Characters>
  <Lines>99</Lines>
  <Paragraphs>31</Paragraphs>
  <CharactersWithSpaces>2202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cp:lastModifiedBy>
  <cp:revision>1</cp:revision>
  <cp:lastPrinted>2026-03-25T08:48:49Z</cp:lastPrinted>
  <dcterms:created xsi:type="dcterms:W3CDTF">2020-07-12T08:13:00Z</dcterms:created>
  <dcterms:modified xsi:type="dcterms:W3CDTF">2026-03-25T11:37:33Z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2052-11.8.2.1122</vt:lpwstr>
  </property>
  <property fmtid="{D5CDD505-2E9C-101B-9397-08002B2CF9AE}" pid="3" name="ICV">
    <vt:lpwstr>FD65ACE9ECD42879F7879466AF52A2C4</vt:lpwstr>
  </property>
</Properties>
</file>