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D3CDA">
      <w:pPr>
        <w:keepNext w:val="0"/>
        <w:keepLines w:val="0"/>
        <w:pageBreakBefore w:val="0"/>
        <w:widowControl/>
        <w:kinsoku/>
        <w:wordWrap/>
        <w:overflowPunct/>
        <w:topLinePunct w:val="0"/>
        <w:autoSpaceDE/>
        <w:autoSpaceDN/>
        <w:bidi w:val="0"/>
        <w:adjustRightInd/>
        <w:snapToGrid/>
        <w:spacing w:line="600" w:lineRule="exact"/>
        <w:ind w:firstLine="0" w:firstLine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bookmarkStart w:id="1" w:name="_GoBack"/>
      <w:r>
        <w:rPr>
          <w:rFonts w:hint="default" w:ascii="Times New Roman" w:hAnsi="Times New Roman" w:eastAsia="方正小标宋简体" w:cs="Times New Roman"/>
          <w:b w:val="0"/>
          <w:bCs/>
          <w:sz w:val="44"/>
          <w:szCs w:val="44"/>
          <w:highlight w:val="none"/>
          <w:shd w:val="clear" w:color="auto" w:fill="FFFFFF"/>
          <w:lang w:val="en-US" w:eastAsia="zh-CN"/>
        </w:rPr>
        <w:t>阿坝藏族羌族自治州市场监督管理局</w:t>
      </w:r>
    </w:p>
    <w:p w14:paraId="5F3D57BF">
      <w:pPr>
        <w:keepNext w:val="0"/>
        <w:keepLines w:val="0"/>
        <w:pageBreakBefore w:val="0"/>
        <w:widowControl/>
        <w:kinsoku/>
        <w:wordWrap/>
        <w:overflowPunct/>
        <w:topLinePunct w:val="0"/>
        <w:autoSpaceDE/>
        <w:autoSpaceDN/>
        <w:bidi w:val="0"/>
        <w:adjustRightInd/>
        <w:snapToGrid/>
        <w:spacing w:line="600" w:lineRule="exact"/>
        <w:ind w:firstLine="0" w:firstLine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eastAsia="zh-CN"/>
        </w:rPr>
        <w:t>部</w:t>
      </w:r>
      <w:r>
        <w:rPr>
          <w:rFonts w:hint="default" w:ascii="Times New Roman" w:hAnsi="Times New Roman" w:eastAsia="方正小标宋简体" w:cs="Times New Roman"/>
          <w:b w:val="0"/>
          <w:bCs/>
          <w:sz w:val="44"/>
          <w:szCs w:val="44"/>
          <w:highlight w:val="none"/>
          <w:shd w:val="clear" w:color="auto" w:fill="FFFFFF"/>
        </w:rPr>
        <w:t>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BE752FB">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default" w:ascii="Times New Roman" w:hAnsi="Times New Roman" w:cs="Times New Roman"/>
          <w:szCs w:val="32"/>
          <w:highlight w:val="none"/>
          <w:shd w:val="clear" w:color="auto" w:fill="FFFFFF"/>
        </w:rPr>
      </w:pPr>
    </w:p>
    <w:p w14:paraId="25ED173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cs="Times New Roman"/>
          <w:szCs w:val="32"/>
          <w:highlight w:val="none"/>
        </w:rPr>
      </w:pPr>
      <w:r>
        <w:rPr>
          <w:rFonts w:hint="eastAsia" w:ascii="Times New Roman" w:hAnsi="Times New Roman"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5506136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p>
    <w:p w14:paraId="52AD9CB6">
      <w:pPr>
        <w:pageBreakBefore w:val="0"/>
        <w:kinsoku/>
        <w:wordWrap/>
        <w:overflowPunct/>
        <w:topLinePunct w:val="0"/>
        <w:autoSpaceDE/>
        <w:bidi w:val="0"/>
        <w:spacing w:line="600" w:lineRule="exact"/>
        <w:ind w:firstLine="640" w:firstLineChars="200"/>
        <w:rPr>
          <w:rFonts w:hint="default" w:ascii="Times New Roman" w:hAnsi="Times New Roman" w:cs="Times New Roman"/>
          <w:color w:val="000000"/>
          <w:sz w:val="32"/>
          <w:szCs w:val="32"/>
          <w:highlight w:val="none"/>
          <w:lang w:val="en-US" w:eastAsia="zh-CN" w:bidi="ar-SA"/>
        </w:rPr>
      </w:pPr>
      <w:r>
        <w:rPr>
          <w:rFonts w:hint="default" w:ascii="Times New Roman" w:hAnsi="Times New Roman" w:cs="Times New Roman"/>
          <w:color w:val="000000"/>
          <w:sz w:val="32"/>
          <w:szCs w:val="32"/>
          <w:highlight w:val="none"/>
          <w:lang w:val="en-US" w:eastAsia="zh-CN" w:bidi="ar-SA"/>
        </w:rPr>
        <w:t>阿坝藏族羌族自治州市场监督管理局（后文简称“</w:t>
      </w:r>
      <w:r>
        <w:rPr>
          <w:rFonts w:hint="eastAsia" w:ascii="Times New Roman" w:hAnsi="Times New Roman" w:cs="Times New Roman"/>
          <w:color w:val="000000"/>
          <w:sz w:val="32"/>
          <w:szCs w:val="32"/>
          <w:highlight w:val="none"/>
          <w:lang w:val="en-US" w:eastAsia="zh-CN" w:bidi="ar-SA"/>
        </w:rPr>
        <w:t>我局</w:t>
      </w:r>
      <w:r>
        <w:rPr>
          <w:rFonts w:hint="default" w:ascii="Times New Roman" w:hAnsi="Times New Roman" w:cs="Times New Roman"/>
          <w:color w:val="000000"/>
          <w:sz w:val="32"/>
          <w:szCs w:val="32"/>
          <w:highlight w:val="none"/>
          <w:lang w:val="en-US" w:eastAsia="zh-CN" w:bidi="ar-SA"/>
        </w:rPr>
        <w:t>”）设下列内设机构：</w:t>
      </w:r>
    </w:p>
    <w:p w14:paraId="73117DC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default" w:ascii="Times New Roman" w:hAnsi="Times New Roman" w:cs="Times New Roman"/>
          <w:color w:val="000000"/>
          <w:sz w:val="32"/>
          <w:szCs w:val="32"/>
          <w:highlight w:val="none"/>
          <w:lang w:val="en-US" w:eastAsia="zh-CN" w:bidi="ar-SA"/>
        </w:rPr>
      </w:pPr>
      <w:r>
        <w:rPr>
          <w:rFonts w:hint="default" w:ascii="Times New Roman" w:hAnsi="Times New Roman" w:cs="Times New Roman"/>
          <w:color w:val="000000"/>
          <w:sz w:val="32"/>
          <w:szCs w:val="32"/>
          <w:highlight w:val="none"/>
          <w:lang w:val="en-US" w:eastAsia="zh-CN" w:bidi="ar-SA"/>
        </w:rPr>
        <w:t>阿坝市场监督管理局属一级预算单位，下属二级预算单位4个，其中：其他事业单位4个。分别是：阿坝州产品质量和特种设备监督检验所、阿坝州计量检定测试所、阿坝州食品药品检验研究中心、阿坝州市场监督管理综合保障中心。</w:t>
      </w:r>
    </w:p>
    <w:p w14:paraId="4704D8D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楷体_GB2312" w:cs="Times New Roman"/>
          <w:b/>
          <w:bCs/>
          <w:color w:val="000000"/>
          <w:kern w:val="0"/>
          <w:szCs w:val="32"/>
          <w:highlight w:val="none"/>
          <w:shd w:val="clear" w:color="auto" w:fill="FFFFFF"/>
          <w:lang w:val="zh-CN"/>
        </w:rPr>
        <w:t>（</w:t>
      </w:r>
      <w:r>
        <w:rPr>
          <w:rFonts w:hint="eastAsia" w:ascii="Times New Roman" w:hAnsi="Times New Roman" w:eastAsia="楷体_GB2312" w:cs="Times New Roman"/>
          <w:b/>
          <w:bCs/>
          <w:color w:val="000000"/>
          <w:kern w:val="0"/>
          <w:szCs w:val="32"/>
          <w:highlight w:val="none"/>
          <w:shd w:val="clear" w:color="auto" w:fill="FFFFFF"/>
          <w:lang w:val="en-US" w:eastAsia="zh-CN"/>
        </w:rPr>
        <w:t>二）</w:t>
      </w:r>
      <w:r>
        <w:rPr>
          <w:rFonts w:hint="default" w:ascii="Times New Roman" w:hAnsi="Times New Roman" w:eastAsia="楷体_GB2312" w:cs="Times New Roman"/>
          <w:b/>
          <w:bCs/>
          <w:color w:val="000000"/>
          <w:kern w:val="0"/>
          <w:szCs w:val="32"/>
          <w:highlight w:val="none"/>
          <w:shd w:val="clear" w:color="auto" w:fill="FFFFFF"/>
          <w:lang w:val="zh-CN"/>
        </w:rPr>
        <w:t>机构职能</w:t>
      </w:r>
    </w:p>
    <w:p w14:paraId="07898365">
      <w:pPr>
        <w:pageBreakBefore w:val="0"/>
        <w:numPr>
          <w:ilvl w:val="0"/>
          <w:numId w:val="0"/>
        </w:numPr>
        <w:kinsoku/>
        <w:wordWrap/>
        <w:overflowPunct/>
        <w:topLinePunct w:val="0"/>
        <w:autoSpaceDE/>
        <w:bidi w:val="0"/>
        <w:spacing w:line="600" w:lineRule="exact"/>
        <w:ind w:firstLine="640" w:firstLineChars="200"/>
        <w:outlineLvl w:val="9"/>
        <w:rPr>
          <w:rFonts w:ascii="Times New Roman" w:hAnsi="Times New Roman"/>
        </w:rPr>
      </w:pPr>
      <w:r>
        <w:rPr>
          <w:rFonts w:ascii="Times New Roman" w:hAnsi="Times New Roman"/>
        </w:rPr>
        <w:t>根据《中国共产党机构编制工作条例》和《阿坝州机构改革方案》（阿委发〔2024〕1号以及《中共阿坝州委办公室阿坝州人民政府办公室关于印发阿坝州市场监督管理局职能配置、内设机构和人员编制规定的通知》（阿委办发〔2024〕29号），成立阿坝州市场监督管理局（简称州市场监管局）是阿坝州人民政府工作部门，为正县级。主要职能是：</w:t>
      </w:r>
    </w:p>
    <w:p w14:paraId="07651C26">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负责全州市场综合监督管理工作。起草市场监督管理有关地方性法规规章草案和规范性文件。组织实施质量强州、食品安全、标准化和知识产权战略，拟订并组织实施全州食品安全等规划，规范和维护市场秩序，推进科技信息化建设和新闻宣传工作，营造诚实守信、公平竞争的市场环境。</w:t>
      </w:r>
    </w:p>
    <w:p w14:paraId="44B4D894">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2.负责全州市场主体统一登记注册。负责全州各类企业、农民专业合作社和从事经营活动的单位、个体工商户以及外国（地区）企业、常驻代表机构等经营主体的登记注册和监督管理工作。承担审批服务便民化有关工作。建立市场主体信息公示和共享机制，依法公示和共享有关信息，加强信用监管，推动市场主体信用体系建设。指导监督各县（市）市场监管行政审批工作。</w:t>
      </w:r>
    </w:p>
    <w:p w14:paraId="3A820466">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3.负责组织和指导全州市场监督管理综合行政执法工作。指导全州市场监管综合执法队伍建设，推动实行统一的市场监管。组织查处和督办大案要案、疑难案件、跨区域案件。规范市场监督管理行政执法行为。指导监督各县（市）综合行政执法局市场监管综合行政执法工作。</w:t>
      </w:r>
    </w:p>
    <w:p w14:paraId="43B2D15C">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4.负责全州反垄断统一执法。统筹推进竞争政策实施，组织实施公平竞争审查制度；依委托协助开展垄断协议、滥用市场支配地位和滥用行政权力排除、限制竞争等反垄断执法调查工作。指导在州企业在国外的反垄断应诉工作。</w:t>
      </w:r>
    </w:p>
    <w:p w14:paraId="4280959A">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5.负责监督管理全州市场秩序。依法监督管理市场交易、网络商品交易及有关服务的行为。组织指导查处价格收费违法违规、不正当竞争、违法直销、传销、侵犯知识产权和制售假冒伪劣行为。指导广告业发展，监督管理广告活动。依法查处无照生产经营和相关无证生产经营行为。依法开展消费者权益保护工作。指导州保护消费者权益委员会开展消费维权工作。</w:t>
      </w:r>
    </w:p>
    <w:p w14:paraId="516F1C69">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6.负责全州宏观质量管理。拟订并组织实施质量发展的制度措施。统筹全州质量基础设施建设与应用。会同有关部门组织实施重大工程设备质量监理制度，组织产品质量事故调查，贯彻实施缺陷产品召回制度，监督管理产品防伪工作。</w:t>
      </w:r>
    </w:p>
    <w:p w14:paraId="61CF5E32">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7.负责全州产品质量安全监督管理。负责产品质量监督抽查和风险监控工作，组织实施质量分级制度、质量安全追溯制度。负责工业产品生产许可的证后管理。负责纤维质量监督工作。</w:t>
      </w:r>
    </w:p>
    <w:p w14:paraId="67ED8819">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8.负责全州特种设备安全监督管理。综合管理特种设备安全监察、监督工作，监督检查高耗能特种设备节能标准和锅炉产品环境保护标准的执行情况。</w:t>
      </w:r>
    </w:p>
    <w:p w14:paraId="1A7854EE">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9.负责全州食品安全监督管理及综合协调。统筹指导全州食品安全工作。负责食品安全应急体系建设，组织指导重大食品安全事件应急处置和调查处理工作。承担州食品安全委员会日常工作。指导督促食品生产经营企业落实食品安全主体责任，组织开展食品安全监督抽检、风险监测、核查处置和风险预警工作。</w:t>
      </w:r>
    </w:p>
    <w:p w14:paraId="70FAA0C9">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10.负责药品（含中药、民族药，下同）、医疗器械、化妆品的质量安全监督管理及上市后风险管理。依法依授权组织实施药品、医疗器械、化妆品的许可、备案、检查、安全监测和处罚。掌握分析药品安全形势并提出改进工作的建议。参与省药监局组织的监督检查。指导县（市）药品、医疗器械和化妆品监督管理工作。依法依授权承担我州执业药师注册管理工作，贯彻执行执业药师其他相关管理制度。</w:t>
      </w:r>
    </w:p>
    <w:p w14:paraId="7095D08B">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11.负责统一管理全州计量工作。推行法定计量单位，执行国家计量制度，管理计量器具及量值传递和比对工作。规范、监督商品量和计量行为。</w:t>
      </w:r>
    </w:p>
    <w:p w14:paraId="1FD98080">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12.负责统一管理全州标准化工作。依法承担地方标准立项、编号和发布等工作，协调指导地方标准、团体标准、企业标准制定工作，依法对标准制定和实施情况开展监督检查。</w:t>
      </w:r>
    </w:p>
    <w:p w14:paraId="209583BC">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13.负责统一管理全州检验检测工作。规范检验检测市场，完善检验检测体系，指导协调检验检测行业发展。</w:t>
      </w:r>
    </w:p>
    <w:p w14:paraId="443D3240">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14.负责统一管理全州认证认可工作。监督管理认证认可和合格评定工作。</w:t>
      </w:r>
    </w:p>
    <w:p w14:paraId="7CA3857F">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15.负责全州知识产权监督管理。贯彻落实国家、省知识产权战略、政策和法规规章，负责知识产权强州体系建设，制定全州知识产权规划，负责知识产权的创造、运用、保护、管理和服务工作。培育知识产权文化。负责组织实施指导知识产权行政执法工作。</w:t>
      </w:r>
    </w:p>
    <w:p w14:paraId="65A553F8">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16.负责促进全州民营经济发展。负责全州民营经济发展工作的任务制定、调查研究、统筹协调、督促落实及民营企业合法权益维护。在州委社会工作部指导下，指导全州市场监督管理部门配合党委社会工作部门开展小微企业、个体工商户、专业市场的党建工作。</w:t>
      </w:r>
    </w:p>
    <w:p w14:paraId="60A66DFE">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17.负责职责范围内的安全生产和职业健康、生态环境保护、应急联动等工作。</w:t>
      </w:r>
    </w:p>
    <w:p w14:paraId="2F0948CC">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18.完成州委、州政府交办的其他任务。</w:t>
      </w:r>
    </w:p>
    <w:p w14:paraId="5A609D26">
      <w:pPr>
        <w:pageBreakBefore w:val="0"/>
        <w:numPr>
          <w:ilvl w:val="0"/>
          <w:numId w:val="0"/>
        </w:numPr>
        <w:kinsoku/>
        <w:wordWrap/>
        <w:overflowPunct/>
        <w:topLinePunct w:val="0"/>
        <w:autoSpaceDE/>
        <w:bidi w:val="0"/>
        <w:spacing w:line="600" w:lineRule="exact"/>
        <w:ind w:firstLine="640" w:firstLineChars="200"/>
        <w:outlineLvl w:val="9"/>
        <w:rPr>
          <w:rFonts w:hint="default" w:ascii="Times New Roman" w:hAnsi="Times New Roman"/>
          <w:highlight w:val="none"/>
          <w:lang w:val="en-US"/>
        </w:rPr>
      </w:pPr>
      <w:r>
        <w:rPr>
          <w:rFonts w:hint="default" w:ascii="Times New Roman" w:hAnsi="Times New Roman" w:cs="Times New Roman"/>
          <w:color w:val="000000"/>
          <w:sz w:val="32"/>
          <w:szCs w:val="32"/>
          <w:highlight w:val="none"/>
          <w:lang w:val="en-US" w:eastAsia="zh-CN" w:bidi="ar-SA"/>
        </w:rPr>
        <w:t>负责全州市场综合监督管理工作。起草市场监督管理有关自治法规规章和规范性文件草案。组织实施质量强州、食品安全、标准化和知识产权战略，拟订并组织实施全州食品安全等规划，规范和维护市场秩序，营造诚实守信、公平竞争的市场环境。</w:t>
      </w:r>
    </w:p>
    <w:p w14:paraId="4A162F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ascii="Times New Roman" w:hAnsi="Times New Roman"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）人员概况</w:t>
      </w:r>
    </w:p>
    <w:p w14:paraId="00847CE1">
      <w:pPr>
        <w:pStyle w:val="14"/>
        <w:keepNext w:val="0"/>
        <w:keepLines w:val="0"/>
        <w:widowControl/>
        <w:suppressLineNumbers w:val="0"/>
        <w:spacing w:before="60" w:beforeAutospacing="0" w:after="60" w:afterAutospacing="0"/>
        <w:ind w:left="0" w:right="0"/>
        <w:jc w:val="both"/>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24"/>
          <w:highlight w:val="none"/>
          <w:lang w:val="en-US" w:eastAsia="zh-CN" w:bidi="ar-SA"/>
        </w:rPr>
        <w:t>截至</w:t>
      </w:r>
      <w:r>
        <w:rPr>
          <w:rFonts w:hint="eastAsia" w:ascii="Times New Roman" w:hAnsi="Times New Roman" w:eastAsia="仿宋_GB2312" w:cs="Times New Roman"/>
          <w:kern w:val="2"/>
          <w:sz w:val="32"/>
          <w:szCs w:val="24"/>
          <w:highlight w:val="none"/>
          <w:lang w:val="en-US" w:eastAsia="zh-CN" w:bidi="ar-SA"/>
        </w:rPr>
        <w:t>2025</w:t>
      </w:r>
      <w:r>
        <w:rPr>
          <w:rFonts w:hint="eastAsia" w:ascii="Times New Roman" w:hAnsi="Times New Roman" w:cs="Times New Roman"/>
          <w:kern w:val="2"/>
          <w:sz w:val="32"/>
          <w:szCs w:val="24"/>
          <w:highlight w:val="none"/>
          <w:lang w:val="en-US" w:eastAsia="zh-CN" w:bidi="ar-SA"/>
        </w:rPr>
        <w:t>年末</w:t>
      </w:r>
      <w:r>
        <w:rPr>
          <w:rFonts w:hint="default" w:ascii="Times New Roman" w:hAnsi="Times New Roman" w:eastAsia="仿宋_GB2312" w:cs="Times New Roman"/>
          <w:kern w:val="2"/>
          <w:sz w:val="32"/>
          <w:szCs w:val="24"/>
          <w:highlight w:val="none"/>
          <w:lang w:val="en-US" w:eastAsia="zh-CN" w:bidi="ar-SA"/>
        </w:rPr>
        <w:t>，</w:t>
      </w:r>
      <w:r>
        <w:rPr>
          <w:rFonts w:hint="eastAsia" w:ascii="Times New Roman" w:hAnsi="Times New Roman" w:cs="Times New Roman"/>
          <w:kern w:val="2"/>
          <w:sz w:val="32"/>
          <w:szCs w:val="24"/>
          <w:highlight w:val="none"/>
          <w:lang w:val="en-US" w:eastAsia="zh-CN" w:bidi="ar-SA"/>
        </w:rPr>
        <w:t>我局</w:t>
      </w:r>
      <w:r>
        <w:rPr>
          <w:rFonts w:hint="eastAsia" w:ascii="Times New Roman" w:hAnsi="Times New Roman" w:eastAsia="仿宋_GB2312"/>
          <w:sz w:val="32"/>
          <w:szCs w:val="32"/>
          <w:highlight w:val="none"/>
        </w:rPr>
        <w:t>全部</w:t>
      </w:r>
      <w:r>
        <w:rPr>
          <w:rFonts w:hint="eastAsia" w:ascii="Times New Roman" w:hAnsi="Times New Roman"/>
          <w:sz w:val="32"/>
          <w:szCs w:val="32"/>
          <w:highlight w:val="none"/>
          <w:lang w:val="en-US" w:eastAsia="zh-CN"/>
        </w:rPr>
        <w:t>在职</w:t>
      </w:r>
      <w:r>
        <w:rPr>
          <w:rFonts w:hint="eastAsia" w:ascii="Times New Roman" w:hAnsi="Times New Roman" w:eastAsia="仿宋_GB2312"/>
          <w:sz w:val="32"/>
          <w:szCs w:val="32"/>
          <w:highlight w:val="none"/>
        </w:rPr>
        <w:t>职工</w:t>
      </w:r>
      <w:r>
        <w:rPr>
          <w:rFonts w:hint="eastAsia" w:ascii="Times New Roman" w:hAnsi="Times New Roman" w:eastAsia="仿宋_GB2312" w:cs="Times New Roman"/>
          <w:kern w:val="2"/>
          <w:sz w:val="32"/>
          <w:szCs w:val="24"/>
          <w:highlight w:val="none"/>
          <w:lang w:val="en-US" w:eastAsia="zh-CN" w:bidi="ar-SA"/>
        </w:rPr>
        <w:t>184人，其中：</w:t>
      </w:r>
      <w:r>
        <w:rPr>
          <w:rFonts w:hint="eastAsia" w:cs="Times New Roman"/>
          <w:kern w:val="2"/>
          <w:sz w:val="32"/>
          <w:szCs w:val="24"/>
          <w:highlight w:val="none"/>
          <w:lang w:val="en-US" w:eastAsia="zh-CN" w:bidi="ar-SA"/>
        </w:rPr>
        <w:t>公务员</w:t>
      </w:r>
      <w:r>
        <w:rPr>
          <w:rFonts w:hint="eastAsia" w:ascii="Times New Roman" w:hAnsi="Times New Roman" w:eastAsia="仿宋_GB2312" w:cs="Times New Roman"/>
          <w:kern w:val="2"/>
          <w:sz w:val="32"/>
          <w:szCs w:val="24"/>
          <w:highlight w:val="none"/>
          <w:lang w:val="en-US" w:eastAsia="zh-CN" w:bidi="ar-SA"/>
        </w:rPr>
        <w:t>75</w:t>
      </w:r>
      <w:r>
        <w:rPr>
          <w:rFonts w:hint="eastAsia" w:ascii="Times New Roman" w:hAnsi="Times New Roman" w:cs="Times New Roman"/>
          <w:kern w:val="2"/>
          <w:sz w:val="32"/>
          <w:szCs w:val="24"/>
          <w:highlight w:val="none"/>
          <w:lang w:val="en-US" w:eastAsia="zh-CN" w:bidi="ar-SA"/>
        </w:rPr>
        <w:t>人，</w:t>
      </w:r>
      <w:r>
        <w:rPr>
          <w:rFonts w:hint="eastAsia" w:ascii="Times New Roman" w:hAnsi="Times New Roman" w:eastAsia="仿宋_GB2312" w:cs="Times New Roman"/>
          <w:kern w:val="2"/>
          <w:sz w:val="32"/>
          <w:szCs w:val="24"/>
          <w:highlight w:val="none"/>
          <w:lang w:val="en-US" w:eastAsia="zh-CN" w:bidi="ar-SA"/>
        </w:rPr>
        <w:t>事业管理人员和专业技术人员</w:t>
      </w:r>
      <w:r>
        <w:rPr>
          <w:rFonts w:hint="eastAsia" w:cs="Times New Roman"/>
          <w:kern w:val="2"/>
          <w:sz w:val="32"/>
          <w:szCs w:val="24"/>
          <w:highlight w:val="none"/>
          <w:lang w:val="en-US" w:eastAsia="zh-CN" w:bidi="ar-SA"/>
        </w:rPr>
        <w:t>85</w:t>
      </w:r>
      <w:r>
        <w:rPr>
          <w:rFonts w:hint="eastAsia" w:ascii="Times New Roman" w:hAnsi="Times New Roman" w:cs="Times New Roman"/>
          <w:kern w:val="2"/>
          <w:sz w:val="32"/>
          <w:szCs w:val="24"/>
          <w:highlight w:val="none"/>
          <w:lang w:val="en-US" w:eastAsia="zh-CN" w:bidi="ar-SA"/>
        </w:rPr>
        <w:t>人</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cs="Times New Roman"/>
          <w:kern w:val="2"/>
          <w:sz w:val="32"/>
          <w:szCs w:val="24"/>
          <w:highlight w:val="none"/>
          <w:lang w:val="en-US" w:eastAsia="zh-CN" w:bidi="ar-SA"/>
        </w:rPr>
        <w:t>机关和事业工人</w:t>
      </w:r>
      <w:r>
        <w:rPr>
          <w:rFonts w:hint="eastAsia" w:cs="Times New Roman"/>
          <w:kern w:val="2"/>
          <w:sz w:val="32"/>
          <w:szCs w:val="24"/>
          <w:highlight w:val="none"/>
          <w:lang w:val="en-US" w:eastAsia="zh-CN" w:bidi="ar-SA"/>
        </w:rPr>
        <w:t>10</w:t>
      </w:r>
      <w:r>
        <w:rPr>
          <w:rFonts w:hint="eastAsia" w:ascii="Times New Roman" w:hAnsi="Times New Roman" w:cs="Times New Roman"/>
          <w:kern w:val="2"/>
          <w:sz w:val="32"/>
          <w:szCs w:val="24"/>
          <w:highlight w:val="none"/>
          <w:lang w:val="en-US" w:eastAsia="zh-CN" w:bidi="ar-SA"/>
        </w:rPr>
        <w:t>人</w:t>
      </w:r>
      <w:r>
        <w:rPr>
          <w:rFonts w:hint="eastAsia" w:cs="Times New Roman"/>
          <w:kern w:val="2"/>
          <w:sz w:val="32"/>
          <w:szCs w:val="24"/>
          <w:highlight w:val="none"/>
          <w:lang w:val="en-US" w:eastAsia="zh-CN" w:bidi="ar-SA"/>
        </w:rPr>
        <w:t>，其他人员14人</w:t>
      </w:r>
      <w:r>
        <w:rPr>
          <w:rFonts w:hint="eastAsia" w:ascii="Times New Roman" w:hAnsi="Times New Roman" w:eastAsia="仿宋_GB2312" w:cs="Times New Roman"/>
          <w:kern w:val="2"/>
          <w:sz w:val="32"/>
          <w:szCs w:val="24"/>
          <w:highlight w:val="none"/>
          <w:lang w:val="en-US" w:eastAsia="zh-CN" w:bidi="ar-SA"/>
        </w:rPr>
        <w:t>。</w:t>
      </w:r>
    </w:p>
    <w:p w14:paraId="191907A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rPr>
        <w:t>二、</w:t>
      </w:r>
      <w:r>
        <w:rPr>
          <w:rFonts w:hint="default" w:ascii="Times New Roman" w:hAnsi="Times New Roman" w:eastAsia="黑体" w:cs="Times New Roman"/>
          <w:color w:val="000000"/>
          <w:kern w:val="0"/>
          <w:szCs w:val="32"/>
          <w:highlight w:val="none"/>
          <w:shd w:val="clear" w:color="auto" w:fill="FFFFFF"/>
          <w:lang w:eastAsia="zh-CN"/>
        </w:rPr>
        <w:t>部门</w:t>
      </w:r>
      <w:r>
        <w:rPr>
          <w:rFonts w:hint="default" w:ascii="Times New Roman" w:hAnsi="Times New Roman" w:eastAsia="黑体" w:cs="Times New Roman"/>
          <w:color w:val="000000"/>
          <w:kern w:val="0"/>
          <w:szCs w:val="32"/>
          <w:highlight w:val="none"/>
          <w:shd w:val="clear" w:color="auto" w:fill="FFFFFF"/>
        </w:rPr>
        <w:t>资金收支情况</w:t>
      </w:r>
    </w:p>
    <w:p w14:paraId="00FCF4E3">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ascii="Times New Roman" w:hAnsi="Times New Roman" w:eastAsia="楷体_GB2312" w:cs="Times New Roman"/>
          <w:b/>
          <w:bCs/>
          <w:color w:val="000000"/>
          <w:kern w:val="0"/>
          <w:szCs w:val="32"/>
          <w:highlight w:val="none"/>
          <w:shd w:val="clear" w:color="auto" w:fill="FFFFFF"/>
          <w:lang w:val="zh-CN"/>
        </w:rPr>
        <w:t>收入情况</w:t>
      </w:r>
    </w:p>
    <w:p w14:paraId="5A333F87">
      <w:pPr>
        <w:pageBreakBefore w:val="0"/>
        <w:kinsoku/>
        <w:wordWrap/>
        <w:overflowPunct/>
        <w:topLinePunct w:val="0"/>
        <w:autoSpaceDE/>
        <w:bidi w:val="0"/>
        <w:spacing w:line="600" w:lineRule="exact"/>
        <w:ind w:firstLine="640" w:firstLineChars="200"/>
        <w:rPr>
          <w:rFonts w:hint="eastAsia" w:ascii="Times New Roman" w:hAnsi="Times New Roman" w:eastAsia="仿宋_GB2312" w:cs="Times New Roman"/>
          <w:sz w:val="32"/>
          <w:highlight w:val="none"/>
          <w:lang w:val="en-US" w:eastAsia="zh-CN"/>
        </w:rPr>
      </w:pPr>
      <w:r>
        <w:rPr>
          <w:rFonts w:hint="eastAsia" w:ascii="Times New Roman" w:hAnsi="Times New Roman" w:cs="Times New Roman"/>
          <w:kern w:val="2"/>
          <w:sz w:val="32"/>
          <w:szCs w:val="24"/>
          <w:highlight w:val="none"/>
          <w:lang w:val="en-US" w:eastAsia="zh-CN" w:bidi="ar-SA"/>
        </w:rPr>
        <w:t>我局</w:t>
      </w:r>
      <w:r>
        <w:rPr>
          <w:rFonts w:hint="eastAsia" w:ascii="Times New Roman" w:hAnsi="Times New Roman" w:eastAsia="仿宋_GB2312" w:cs="Times New Roman"/>
          <w:kern w:val="2"/>
          <w:sz w:val="32"/>
          <w:szCs w:val="24"/>
          <w:highlight w:val="none"/>
          <w:lang w:val="en-US" w:eastAsia="zh-CN" w:bidi="ar-SA"/>
        </w:rPr>
        <w:t>2025</w:t>
      </w:r>
      <w:r>
        <w:rPr>
          <w:rFonts w:hint="default" w:ascii="Times New Roman" w:hAnsi="Times New Roman" w:eastAsia="仿宋_GB2312" w:cs="Times New Roman"/>
          <w:sz w:val="32"/>
          <w:highlight w:val="none"/>
          <w:lang w:val="en-US"/>
        </w:rPr>
        <w:t>年年初收入预算数为</w:t>
      </w:r>
      <w:r>
        <w:rPr>
          <w:rFonts w:hint="eastAsia" w:ascii="Times New Roman" w:hAnsi="Times New Roman" w:eastAsia="仿宋_GB2312" w:cs="Times New Roman"/>
          <w:kern w:val="2"/>
          <w:sz w:val="32"/>
          <w:szCs w:val="24"/>
          <w:highlight w:val="none"/>
          <w:lang w:val="en-US" w:eastAsia="zh-CN" w:bidi="ar-SA"/>
        </w:rPr>
        <w:t>5,473.70</w:t>
      </w:r>
      <w:r>
        <w:rPr>
          <w:rFonts w:hint="default" w:ascii="Times New Roman" w:hAnsi="Times New Roman" w:eastAsia="仿宋_GB2312" w:cs="Times New Roman"/>
          <w:sz w:val="32"/>
          <w:highlight w:val="none"/>
          <w:lang w:val="en-US"/>
        </w:rPr>
        <w:t>万元，</w:t>
      </w:r>
      <w:r>
        <w:rPr>
          <w:rFonts w:hint="eastAsia" w:ascii="Times New Roman" w:hAnsi="Times New Roman" w:eastAsia="仿宋_GB2312" w:cs="Times New Roman"/>
          <w:sz w:val="32"/>
          <w:highlight w:val="none"/>
          <w:lang w:val="en-US" w:eastAsia="zh-CN"/>
        </w:rPr>
        <w:t>其中：</w:t>
      </w:r>
      <w:r>
        <w:rPr>
          <w:rFonts w:hint="default" w:ascii="Times New Roman" w:hAnsi="Times New Roman" w:eastAsia="仿宋_GB2312" w:cs="Times New Roman"/>
          <w:sz w:val="32"/>
          <w:highlight w:val="none"/>
          <w:lang w:val="en-US"/>
        </w:rPr>
        <w:t>一般公共预算财政拨款收入</w:t>
      </w:r>
      <w:r>
        <w:rPr>
          <w:rFonts w:hint="eastAsia" w:ascii="Times New Roman" w:hAnsi="Times New Roman" w:eastAsia="仿宋_GB2312" w:cs="Times New Roman"/>
          <w:kern w:val="2"/>
          <w:sz w:val="32"/>
          <w:szCs w:val="24"/>
          <w:highlight w:val="none"/>
          <w:lang w:val="en-US" w:eastAsia="zh-CN" w:bidi="ar-SA"/>
        </w:rPr>
        <w:t>5,473.70</w:t>
      </w:r>
      <w:r>
        <w:rPr>
          <w:rFonts w:hint="eastAsia" w:ascii="Times New Roman" w:hAnsi="Times New Roman" w:eastAsia="仿宋_GB2312" w:cs="Times New Roman"/>
          <w:sz w:val="32"/>
          <w:highlight w:val="none"/>
          <w:lang w:val="en-US" w:eastAsia="zh-CN"/>
        </w:rPr>
        <w:t>万元，占总预算的</w:t>
      </w:r>
      <w:r>
        <w:rPr>
          <w:rFonts w:hint="eastAsia" w:ascii="Times New Roman" w:hAnsi="Times New Roman" w:eastAsia="仿宋_GB2312" w:cs="Times New Roman"/>
          <w:kern w:val="2"/>
          <w:sz w:val="32"/>
          <w:szCs w:val="24"/>
          <w:highlight w:val="none"/>
          <w:lang w:val="en-US" w:eastAsia="zh-CN" w:bidi="ar-SA"/>
        </w:rPr>
        <w:t>100</w:t>
      </w:r>
      <w:r>
        <w:rPr>
          <w:rFonts w:hint="eastAsia" w:ascii="Times New Roman" w:hAnsi="Times New Roman" w:eastAsia="仿宋_GB2312" w:cs="Times New Roman"/>
          <w:sz w:val="32"/>
          <w:highlight w:val="none"/>
          <w:lang w:val="en-US" w:eastAsia="zh-CN"/>
        </w:rPr>
        <w:t>%；</w:t>
      </w:r>
      <w:r>
        <w:rPr>
          <w:rFonts w:hint="eastAsia" w:ascii="Times New Roman" w:hAnsi="Times New Roman" w:eastAsia="仿宋_GB2312" w:cs="Times New Roman"/>
          <w:color w:val="auto"/>
          <w:sz w:val="32"/>
          <w:highlight w:val="none"/>
          <w:lang w:val="en-US" w:eastAsia="zh-CN"/>
        </w:rPr>
        <w:t>上年结转</w:t>
      </w:r>
      <w:r>
        <w:rPr>
          <w:rFonts w:hint="eastAsia" w:ascii="Times New Roman" w:hAnsi="Times New Roman" w:eastAsia="仿宋_GB2312" w:cs="Times New Roman"/>
          <w:color w:val="auto"/>
          <w:kern w:val="2"/>
          <w:sz w:val="32"/>
          <w:szCs w:val="24"/>
          <w:highlight w:val="none"/>
          <w:lang w:val="en-US" w:eastAsia="zh-CN" w:bidi="ar-SA"/>
        </w:rPr>
        <w:t>2.86万元</w:t>
      </w:r>
      <w:r>
        <w:rPr>
          <w:rFonts w:hint="eastAsia" w:ascii="Times New Roman" w:hAnsi="Times New Roman" w:cs="Times New Roman"/>
          <w:color w:val="auto"/>
          <w:kern w:val="2"/>
          <w:sz w:val="32"/>
          <w:szCs w:val="24"/>
          <w:highlight w:val="none"/>
          <w:lang w:val="en-US" w:eastAsia="zh-CN" w:bidi="ar-SA"/>
        </w:rPr>
        <w:t>。</w:t>
      </w:r>
    </w:p>
    <w:p w14:paraId="08DF0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highlight w:val="none"/>
        </w:rPr>
      </w:pPr>
      <w:r>
        <w:rPr>
          <w:rFonts w:hint="eastAsia" w:ascii="Times New Roman" w:hAnsi="Times New Roman" w:eastAsia="仿宋_GB2312" w:cs="Times New Roman"/>
          <w:sz w:val="32"/>
          <w:highlight w:val="none"/>
          <w:lang w:val="en-US" w:eastAsia="zh-CN"/>
        </w:rPr>
        <w:t>我</w:t>
      </w:r>
      <w:r>
        <w:rPr>
          <w:rFonts w:hint="eastAsia" w:ascii="Times New Roman" w:hAnsi="Times New Roman" w:cs="Times New Roman"/>
          <w:sz w:val="32"/>
          <w:highlight w:val="none"/>
          <w:lang w:val="en-US" w:eastAsia="zh-CN"/>
        </w:rPr>
        <w:t>局</w:t>
      </w:r>
      <w:r>
        <w:rPr>
          <w:rFonts w:hint="eastAsia" w:ascii="Times New Roman" w:hAnsi="Times New Roman" w:eastAsia="仿宋_GB2312" w:cs="Times New Roman"/>
          <w:kern w:val="2"/>
          <w:sz w:val="32"/>
          <w:szCs w:val="24"/>
          <w:highlight w:val="none"/>
          <w:lang w:val="en-US" w:eastAsia="zh-CN" w:bidi="ar-SA"/>
        </w:rPr>
        <w:t>2025</w:t>
      </w:r>
      <w:r>
        <w:rPr>
          <w:rFonts w:hint="default" w:ascii="Times New Roman" w:hAnsi="Times New Roman" w:eastAsia="仿宋_GB2312" w:cs="Times New Roman"/>
          <w:sz w:val="32"/>
          <w:highlight w:val="none"/>
          <w:lang w:val="en-US"/>
        </w:rPr>
        <w:t>年收入决算数为</w:t>
      </w:r>
      <w:r>
        <w:rPr>
          <w:rFonts w:hint="eastAsia" w:ascii="Times New Roman" w:hAnsi="Times New Roman" w:eastAsia="仿宋_GB2312" w:cs="Times New Roman"/>
          <w:kern w:val="2"/>
          <w:sz w:val="32"/>
          <w:szCs w:val="24"/>
          <w:highlight w:val="none"/>
          <w:lang w:val="en-US" w:eastAsia="zh-CN" w:bidi="ar-SA"/>
        </w:rPr>
        <w:t>6,504.94</w:t>
      </w:r>
      <w:r>
        <w:rPr>
          <w:rFonts w:hint="default" w:ascii="Times New Roman" w:hAnsi="Times New Roman" w:eastAsia="仿宋_GB2312" w:cs="Times New Roman"/>
          <w:sz w:val="32"/>
          <w:highlight w:val="none"/>
          <w:lang w:val="en-US"/>
        </w:rPr>
        <w:t>万元，</w:t>
      </w:r>
      <w:r>
        <w:rPr>
          <w:rFonts w:hint="eastAsia" w:ascii="Times New Roman" w:hAnsi="Times New Roman" w:eastAsia="仿宋_GB2312" w:cs="Times New Roman"/>
          <w:sz w:val="32"/>
          <w:highlight w:val="none"/>
          <w:lang w:val="en-US" w:eastAsia="zh-CN"/>
        </w:rPr>
        <w:t>其中：</w:t>
      </w:r>
      <w:r>
        <w:rPr>
          <w:rFonts w:hint="default" w:ascii="Times New Roman" w:hAnsi="Times New Roman" w:eastAsia="仿宋_GB2312" w:cs="Times New Roman"/>
          <w:sz w:val="32"/>
          <w:highlight w:val="none"/>
          <w:lang w:val="en-US"/>
        </w:rPr>
        <w:t>一般公共预算财政拨款收入</w:t>
      </w:r>
      <w:r>
        <w:rPr>
          <w:rFonts w:hint="eastAsia" w:ascii="Times New Roman" w:hAnsi="Times New Roman" w:eastAsia="仿宋_GB2312" w:cs="Times New Roman"/>
          <w:kern w:val="2"/>
          <w:sz w:val="32"/>
          <w:szCs w:val="24"/>
          <w:highlight w:val="none"/>
          <w:lang w:val="en-US" w:eastAsia="zh-CN" w:bidi="ar-SA"/>
        </w:rPr>
        <w:t>6,502.08</w:t>
      </w:r>
      <w:r>
        <w:rPr>
          <w:rFonts w:hint="eastAsia" w:ascii="Times New Roman" w:hAnsi="Times New Roman" w:eastAsia="仿宋_GB2312" w:cs="Times New Roman"/>
          <w:sz w:val="32"/>
          <w:highlight w:val="none"/>
          <w:lang w:val="en-US" w:eastAsia="zh-CN"/>
        </w:rPr>
        <w:t>万元，占总决算的</w:t>
      </w:r>
      <w:r>
        <w:rPr>
          <w:rFonts w:hint="eastAsia" w:ascii="Times New Roman" w:hAnsi="Times New Roman" w:eastAsia="仿宋_GB2312" w:cs="Times New Roman"/>
          <w:kern w:val="2"/>
          <w:sz w:val="32"/>
          <w:szCs w:val="24"/>
          <w:highlight w:val="none"/>
          <w:lang w:val="en-US" w:eastAsia="zh-CN" w:bidi="ar-SA"/>
        </w:rPr>
        <w:t>99.96</w:t>
      </w:r>
      <w:r>
        <w:rPr>
          <w:rFonts w:hint="eastAsia" w:ascii="Times New Roman" w:hAnsi="Times New Roman" w:eastAsia="仿宋_GB2312" w:cs="Times New Roman"/>
          <w:sz w:val="32"/>
          <w:highlight w:val="none"/>
          <w:lang w:val="en-US" w:eastAsia="zh-CN"/>
        </w:rPr>
        <w:t>%</w:t>
      </w:r>
      <w:r>
        <w:rPr>
          <w:rFonts w:hint="eastAsia" w:ascii="Times New Roman" w:hAnsi="Times New Roman" w:cs="Times New Roman"/>
          <w:sz w:val="32"/>
          <w:highlight w:val="none"/>
          <w:lang w:val="en-US" w:eastAsia="zh-CN"/>
        </w:rPr>
        <w:t>。</w:t>
      </w:r>
    </w:p>
    <w:p w14:paraId="1AC0952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p>
    <w:p w14:paraId="2AD899A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cs="Times New Roman"/>
          <w:kern w:val="2"/>
          <w:sz w:val="32"/>
          <w:szCs w:val="24"/>
          <w:highlight w:val="none"/>
          <w:lang w:val="en-US" w:eastAsia="zh-CN" w:bidi="ar-SA"/>
        </w:rPr>
        <w:t>我局</w:t>
      </w:r>
      <w:r>
        <w:rPr>
          <w:rFonts w:hint="eastAsia" w:ascii="Times New Roman" w:hAnsi="Times New Roman" w:eastAsia="仿宋_GB2312" w:cs="Times New Roman"/>
          <w:kern w:val="2"/>
          <w:sz w:val="32"/>
          <w:szCs w:val="24"/>
          <w:highlight w:val="none"/>
          <w:lang w:val="en-US" w:eastAsia="zh-CN" w:bidi="ar-SA"/>
        </w:rPr>
        <w:t>2025</w:t>
      </w:r>
      <w:r>
        <w:rPr>
          <w:rFonts w:hint="eastAsia" w:ascii="Times New Roman" w:hAnsi="Times New Roman" w:eastAsia="仿宋_GB2312" w:cs="Times New Roman"/>
          <w:sz w:val="32"/>
          <w:szCs w:val="32"/>
          <w:highlight w:val="none"/>
          <w:lang w:val="en-US" w:eastAsia="zh-CN"/>
        </w:rPr>
        <w:t>年年初支出预算数为</w:t>
      </w:r>
      <w:r>
        <w:rPr>
          <w:rFonts w:hint="eastAsia" w:ascii="Times New Roman" w:hAnsi="Times New Roman" w:eastAsia="仿宋_GB2312" w:cs="Times New Roman"/>
          <w:kern w:val="2"/>
          <w:sz w:val="32"/>
          <w:szCs w:val="24"/>
          <w:highlight w:val="none"/>
          <w:lang w:val="en-US" w:eastAsia="zh-CN" w:bidi="ar-SA"/>
        </w:rPr>
        <w:t>5,473.70</w:t>
      </w:r>
      <w:r>
        <w:rPr>
          <w:rFonts w:hint="eastAsia" w:ascii="Times New Roman" w:hAnsi="Times New Roman" w:eastAsia="仿宋_GB2312" w:cs="Times New Roman"/>
          <w:sz w:val="32"/>
          <w:szCs w:val="32"/>
          <w:highlight w:val="none"/>
          <w:lang w:val="en-US" w:eastAsia="zh-CN"/>
        </w:rPr>
        <w:t>万元，其中：基本支出</w:t>
      </w:r>
      <w:r>
        <w:rPr>
          <w:rFonts w:hint="eastAsia" w:ascii="Times New Roman" w:hAnsi="Times New Roman" w:eastAsia="仿宋_GB2312" w:cs="Times New Roman"/>
          <w:kern w:val="2"/>
          <w:sz w:val="32"/>
          <w:szCs w:val="24"/>
          <w:highlight w:val="none"/>
          <w:lang w:val="en-US" w:eastAsia="zh-CN" w:bidi="ar-SA"/>
        </w:rPr>
        <w:t>4,791.90</w:t>
      </w:r>
      <w:r>
        <w:rPr>
          <w:rFonts w:hint="eastAsia" w:ascii="Times New Roman" w:hAnsi="Times New Roman" w:eastAsia="仿宋_GB2312" w:cs="Times New Roman"/>
          <w:sz w:val="32"/>
          <w:szCs w:val="32"/>
          <w:highlight w:val="none"/>
          <w:lang w:val="en-US" w:eastAsia="zh-CN"/>
        </w:rPr>
        <w:t>万元，占支出总额的</w:t>
      </w:r>
      <w:r>
        <w:rPr>
          <w:rFonts w:hint="eastAsia" w:ascii="Times New Roman" w:hAnsi="Times New Roman" w:eastAsia="仿宋_GB2312" w:cs="Times New Roman"/>
          <w:kern w:val="2"/>
          <w:sz w:val="32"/>
          <w:szCs w:val="24"/>
          <w:highlight w:val="none"/>
          <w:lang w:val="en-US" w:eastAsia="zh-CN" w:bidi="ar-SA"/>
        </w:rPr>
        <w:t>87.54</w:t>
      </w:r>
      <w:r>
        <w:rPr>
          <w:rFonts w:hint="eastAsia" w:ascii="Times New Roman" w:hAnsi="Times New Roman" w:eastAsia="仿宋_GB2312" w:cs="Times New Roman"/>
          <w:sz w:val="32"/>
          <w:szCs w:val="32"/>
          <w:highlight w:val="none"/>
          <w:lang w:val="en-US" w:eastAsia="zh-CN"/>
        </w:rPr>
        <w:t>%；项目支出</w:t>
      </w:r>
      <w:r>
        <w:rPr>
          <w:rFonts w:hint="eastAsia" w:ascii="Times New Roman" w:hAnsi="Times New Roman" w:eastAsia="仿宋_GB2312" w:cs="Times New Roman"/>
          <w:kern w:val="2"/>
          <w:sz w:val="32"/>
          <w:szCs w:val="24"/>
          <w:highlight w:val="none"/>
          <w:lang w:val="en-US" w:eastAsia="zh-CN" w:bidi="ar-SA"/>
        </w:rPr>
        <w:t>681.80</w:t>
      </w:r>
      <w:r>
        <w:rPr>
          <w:rFonts w:hint="eastAsia" w:ascii="Times New Roman" w:hAnsi="Times New Roman" w:eastAsia="仿宋_GB2312" w:cs="Times New Roman"/>
          <w:sz w:val="32"/>
          <w:szCs w:val="32"/>
          <w:highlight w:val="none"/>
          <w:lang w:val="en-US" w:eastAsia="zh-CN"/>
        </w:rPr>
        <w:t>万元，占支出总额的</w:t>
      </w:r>
      <w:r>
        <w:rPr>
          <w:rFonts w:hint="eastAsia" w:ascii="Times New Roman" w:hAnsi="Times New Roman" w:eastAsia="仿宋_GB2312" w:cs="Times New Roman"/>
          <w:kern w:val="2"/>
          <w:sz w:val="32"/>
          <w:szCs w:val="24"/>
          <w:highlight w:val="none"/>
          <w:lang w:val="en-US" w:eastAsia="zh-CN" w:bidi="ar-SA"/>
        </w:rPr>
        <w:t>12.46</w:t>
      </w:r>
      <w:r>
        <w:rPr>
          <w:rFonts w:hint="eastAsia" w:ascii="Times New Roman" w:hAnsi="Times New Roman" w:eastAsia="仿宋_GB2312" w:cs="Times New Roman"/>
          <w:sz w:val="32"/>
          <w:szCs w:val="32"/>
          <w:highlight w:val="none"/>
          <w:lang w:val="en-US" w:eastAsia="zh-CN"/>
        </w:rPr>
        <w:t>%。</w:t>
      </w:r>
    </w:p>
    <w:p w14:paraId="6054BE1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cs="Times New Roman"/>
          <w:kern w:val="2"/>
          <w:sz w:val="32"/>
          <w:szCs w:val="24"/>
          <w:highlight w:val="none"/>
          <w:lang w:val="en-US" w:eastAsia="zh-CN" w:bidi="ar-SA"/>
        </w:rPr>
        <w:t>我局</w:t>
      </w:r>
      <w:r>
        <w:rPr>
          <w:rFonts w:hint="eastAsia" w:ascii="Times New Roman" w:hAnsi="Times New Roman" w:eastAsia="仿宋_GB2312" w:cs="Times New Roman"/>
          <w:kern w:val="2"/>
          <w:sz w:val="32"/>
          <w:szCs w:val="24"/>
          <w:highlight w:val="none"/>
          <w:lang w:val="en-US" w:eastAsia="zh-CN" w:bidi="ar-SA"/>
        </w:rPr>
        <w:t>2025</w:t>
      </w:r>
      <w:r>
        <w:rPr>
          <w:rFonts w:hint="eastAsia" w:ascii="Times New Roman" w:hAnsi="Times New Roman" w:eastAsia="仿宋_GB2312" w:cs="Times New Roman"/>
          <w:sz w:val="32"/>
          <w:szCs w:val="32"/>
          <w:highlight w:val="none"/>
          <w:lang w:val="en-US" w:eastAsia="zh-CN"/>
        </w:rPr>
        <w:t>年支出决算数为</w:t>
      </w:r>
      <w:r>
        <w:rPr>
          <w:rFonts w:hint="eastAsia" w:ascii="Times New Roman" w:hAnsi="Times New Roman" w:eastAsia="仿宋_GB2312" w:cs="Times New Roman"/>
          <w:kern w:val="2"/>
          <w:sz w:val="32"/>
          <w:szCs w:val="24"/>
          <w:highlight w:val="none"/>
          <w:lang w:val="en-US" w:eastAsia="zh-CN" w:bidi="ar-SA"/>
        </w:rPr>
        <w:t>6,504.94</w:t>
      </w:r>
      <w:r>
        <w:rPr>
          <w:rFonts w:hint="eastAsia" w:ascii="Times New Roman" w:hAnsi="Times New Roman" w:eastAsia="仿宋_GB2312" w:cs="Times New Roman"/>
          <w:sz w:val="32"/>
          <w:szCs w:val="32"/>
          <w:highlight w:val="none"/>
          <w:lang w:val="en-US" w:eastAsia="zh-CN"/>
        </w:rPr>
        <w:t>万元，其中：基本支出</w:t>
      </w:r>
      <w:r>
        <w:rPr>
          <w:rFonts w:hint="eastAsia" w:ascii="Times New Roman" w:hAnsi="Times New Roman" w:eastAsia="仿宋_GB2312" w:cs="Times New Roman"/>
          <w:kern w:val="2"/>
          <w:sz w:val="32"/>
          <w:szCs w:val="24"/>
          <w:highlight w:val="none"/>
          <w:lang w:val="en-US" w:eastAsia="zh-CN" w:bidi="ar-SA"/>
        </w:rPr>
        <w:t>5,600.14</w:t>
      </w:r>
      <w:r>
        <w:rPr>
          <w:rFonts w:hint="eastAsia" w:ascii="Times New Roman" w:hAnsi="Times New Roman" w:eastAsia="仿宋_GB2312" w:cs="Times New Roman"/>
          <w:sz w:val="32"/>
          <w:szCs w:val="32"/>
          <w:highlight w:val="none"/>
          <w:lang w:val="en-US" w:eastAsia="zh-CN"/>
        </w:rPr>
        <w:t>万元，占支出总额的</w:t>
      </w:r>
      <w:r>
        <w:rPr>
          <w:rFonts w:hint="eastAsia" w:ascii="Times New Roman" w:hAnsi="Times New Roman" w:eastAsia="仿宋_GB2312" w:cs="Times New Roman"/>
          <w:kern w:val="2"/>
          <w:sz w:val="32"/>
          <w:szCs w:val="24"/>
          <w:highlight w:val="none"/>
          <w:lang w:val="en-US" w:eastAsia="zh-CN" w:bidi="ar-SA"/>
        </w:rPr>
        <w:t>86.09</w:t>
      </w:r>
      <w:r>
        <w:rPr>
          <w:rFonts w:hint="eastAsia" w:ascii="Times New Roman" w:hAnsi="Times New Roman" w:eastAsia="仿宋_GB2312" w:cs="Times New Roman"/>
          <w:sz w:val="32"/>
          <w:szCs w:val="32"/>
          <w:highlight w:val="none"/>
          <w:lang w:val="en-US" w:eastAsia="zh-CN"/>
        </w:rPr>
        <w:t>%；项目支出</w:t>
      </w:r>
      <w:r>
        <w:rPr>
          <w:rFonts w:hint="eastAsia" w:ascii="Times New Roman" w:hAnsi="Times New Roman" w:cs="Times New Roman"/>
          <w:kern w:val="2"/>
          <w:sz w:val="32"/>
          <w:szCs w:val="24"/>
          <w:highlight w:val="none"/>
          <w:lang w:val="en-US" w:eastAsia="zh-CN" w:bidi="ar-SA"/>
        </w:rPr>
        <w:t>904.81</w:t>
      </w:r>
      <w:r>
        <w:rPr>
          <w:rFonts w:hint="eastAsia" w:ascii="Times New Roman" w:hAnsi="Times New Roman" w:eastAsia="仿宋_GB2312" w:cs="Times New Roman"/>
          <w:sz w:val="32"/>
          <w:szCs w:val="32"/>
          <w:highlight w:val="none"/>
          <w:lang w:val="en-US" w:eastAsia="zh-CN"/>
        </w:rPr>
        <w:t>万元，占支出总额的</w:t>
      </w:r>
      <w:r>
        <w:rPr>
          <w:rFonts w:hint="eastAsia" w:ascii="Times New Roman" w:hAnsi="Times New Roman" w:cs="Times New Roman"/>
          <w:kern w:val="2"/>
          <w:sz w:val="32"/>
          <w:szCs w:val="24"/>
          <w:highlight w:val="none"/>
          <w:lang w:val="en-US" w:eastAsia="zh-CN" w:bidi="ar-SA"/>
        </w:rPr>
        <w:t>13.91</w:t>
      </w:r>
      <w:r>
        <w:rPr>
          <w:rFonts w:hint="eastAsia" w:ascii="Times New Roman" w:hAnsi="Times New Roman" w:eastAsia="仿宋_GB2312" w:cs="Times New Roman"/>
          <w:sz w:val="32"/>
          <w:szCs w:val="32"/>
          <w:highlight w:val="none"/>
          <w:lang w:val="en-US" w:eastAsia="zh-CN"/>
        </w:rPr>
        <w:t>%。</w:t>
      </w:r>
    </w:p>
    <w:p w14:paraId="210F7C02">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both"/>
        <w:textAlignment w:val="auto"/>
        <w:outlineLvl w:val="1"/>
        <w:rPr>
          <w:rFonts w:hint="eastAsia"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sz w:val="32"/>
          <w:szCs w:val="32"/>
          <w:highlight w:val="none"/>
        </w:rPr>
        <w:t>结余分配和结转结余情况</w:t>
      </w:r>
    </w:p>
    <w:p w14:paraId="2799FC1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cs="Times New Roman"/>
          <w:kern w:val="2"/>
          <w:sz w:val="32"/>
          <w:szCs w:val="24"/>
          <w:highlight w:val="none"/>
          <w:lang w:val="zh-CN" w:eastAsia="zh-CN" w:bidi="ar-SA"/>
        </w:rPr>
      </w:pPr>
      <w:r>
        <w:rPr>
          <w:rFonts w:hint="eastAsia" w:ascii="Times New Roman" w:hAnsi="Times New Roman" w:eastAsia="仿宋_GB2312" w:cs="Times New Roman"/>
          <w:kern w:val="2"/>
          <w:sz w:val="32"/>
          <w:szCs w:val="24"/>
          <w:highlight w:val="none"/>
          <w:lang w:val="en-US" w:eastAsia="zh-CN" w:bidi="ar-SA"/>
        </w:rPr>
        <w:t>我</w:t>
      </w:r>
      <w:r>
        <w:rPr>
          <w:rFonts w:hint="eastAsia" w:ascii="Times New Roman" w:hAnsi="Times New Roman" w:cs="Times New Roman"/>
          <w:kern w:val="2"/>
          <w:sz w:val="32"/>
          <w:szCs w:val="24"/>
          <w:highlight w:val="none"/>
          <w:lang w:val="en-US" w:eastAsia="zh-CN" w:bidi="ar-SA"/>
        </w:rPr>
        <w:t>局</w:t>
      </w:r>
      <w:r>
        <w:rPr>
          <w:rFonts w:hint="eastAsia" w:ascii="Times New Roman" w:hAnsi="Times New Roman" w:eastAsia="仿宋_GB2312" w:cs="Times New Roman"/>
          <w:kern w:val="2"/>
          <w:sz w:val="32"/>
          <w:szCs w:val="24"/>
          <w:highlight w:val="none"/>
          <w:lang w:val="en-US" w:eastAsia="zh-CN" w:bidi="ar-SA"/>
        </w:rPr>
        <w:t>2025年决算报表</w:t>
      </w:r>
      <w:r>
        <w:rPr>
          <w:rFonts w:hint="eastAsia" w:ascii="Times New Roman" w:hAnsi="Times New Roman" w:eastAsia="仿宋_GB2312" w:cs="Times New Roman"/>
          <w:color w:val="auto"/>
          <w:sz w:val="32"/>
          <w:szCs w:val="32"/>
          <w:highlight w:val="none"/>
          <w:lang w:val="en-US" w:eastAsia="zh-CN"/>
        </w:rPr>
        <w:t>无结转结余。</w:t>
      </w:r>
    </w:p>
    <w:p w14:paraId="04FE1C0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44F9C29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w:t>
      </w:r>
      <w:r>
        <w:rPr>
          <w:rFonts w:hint="eastAsia" w:ascii="Times New Roman" w:hAnsi="Times New Roman" w:eastAsia="楷体_GB2312" w:cs="Times New Roman"/>
          <w:b/>
          <w:bCs/>
          <w:color w:val="000000"/>
          <w:kern w:val="0"/>
          <w:szCs w:val="32"/>
          <w:highlight w:val="none"/>
          <w:shd w:val="clear" w:color="auto" w:fill="FFFFFF"/>
          <w:lang w:val="zh-CN"/>
        </w:rPr>
        <w:t>部门预算</w:t>
      </w:r>
      <w:r>
        <w:rPr>
          <w:rFonts w:hint="default" w:ascii="Times New Roman" w:hAnsi="Times New Roman" w:eastAsia="楷体_GB2312" w:cs="Times New Roman"/>
          <w:b/>
          <w:bCs/>
          <w:color w:val="000000"/>
          <w:kern w:val="0"/>
          <w:szCs w:val="32"/>
          <w:highlight w:val="none"/>
          <w:shd w:val="clear" w:color="auto" w:fill="FFFFFF"/>
          <w:lang w:val="zh-CN"/>
        </w:rPr>
        <w:t>总体绩效分析</w:t>
      </w:r>
    </w:p>
    <w:p w14:paraId="6D3EF58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2"/>
        <w:rPr>
          <w:rFonts w:hint="eastAsia" w:ascii="Times New Roman" w:hAnsi="Times New Roman" w:eastAsia="楷体_GB2312" w:cs="楷体_GB2312"/>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1</w:t>
      </w:r>
      <w:r>
        <w:rPr>
          <w:rFonts w:hint="eastAsia" w:ascii="Times New Roman" w:hAnsi="Times New Roman" w:eastAsia="楷体_GB2312" w:cs="楷体_GB2312"/>
          <w:color w:val="000000"/>
          <w:kern w:val="0"/>
          <w:szCs w:val="32"/>
          <w:highlight w:val="none"/>
          <w:shd w:val="clear" w:color="auto" w:fill="FFFFFF"/>
          <w:lang w:val="en-US" w:eastAsia="zh-CN"/>
        </w:rPr>
        <w:t>.</w:t>
      </w:r>
      <w:r>
        <w:rPr>
          <w:rFonts w:hint="eastAsia" w:ascii="Times New Roman" w:hAnsi="Times New Roman" w:eastAsia="楷体_GB2312" w:cs="楷体_GB2312"/>
          <w:color w:val="000000"/>
          <w:kern w:val="0"/>
          <w:szCs w:val="32"/>
          <w:highlight w:val="none"/>
          <w:shd w:val="clear" w:color="auto" w:fill="FFFFFF"/>
          <w:lang w:val="zh-CN"/>
        </w:rPr>
        <w:t>履职效能</w:t>
      </w:r>
    </w:p>
    <w:p w14:paraId="6CC12823">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为充分反映我局2025年度部门职能履行成效，本次绩效自评根据《阿坝州财政局关于开展2026年州级部门预算绩效自评工作的通知》（阿州财监绩〔2026〕3号）要求，结合部门职能职责和2025年度重点工作任务，选取了“食品抽检及时率、获证企业工业产品监督抽查（批次）、流通领域商品质量抽检（批次）”3个绩效指标作为核心职能目标，各职能目标具体完成情况如下：</w:t>
      </w:r>
    </w:p>
    <w:p w14:paraId="27BA2E6A">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（1）食品抽检及时率</w:t>
      </w:r>
    </w:p>
    <w:p w14:paraId="0A19AF46">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食品抽检及时率达到90%，基本达到预期目标值，但仍存在少量抽检滞后情况，工作质效有待进一步提升，该项指标扣2分</w:t>
      </w:r>
      <w:r>
        <w:rPr>
          <w:rFonts w:hint="eastAsia" w:cs="Times New Roman"/>
          <w:color w:val="000000"/>
          <w:kern w:val="0"/>
          <w:szCs w:val="32"/>
          <w:highlight w:val="none"/>
          <w:shd w:val="clear" w:color="auto" w:fill="FFFFFF"/>
          <w:lang w:val="en-US" w:eastAsia="zh-CN"/>
        </w:rPr>
        <w:t>，</w:t>
      </w:r>
      <w:r>
        <w:rPr>
          <w:rFonts w:hint="eastAsia" w:ascii="Times New Roman" w:hAnsi="Times New Roman" w:cs="Times New Roman"/>
          <w:color w:val="000000"/>
          <w:kern w:val="0"/>
          <w:szCs w:val="32"/>
          <w:highlight w:val="none"/>
          <w:shd w:val="clear" w:color="auto" w:fill="FFFFFF"/>
          <w:lang w:val="en-US" w:eastAsia="zh-CN"/>
        </w:rPr>
        <w:t>得</w:t>
      </w:r>
      <w:r>
        <w:rPr>
          <w:rFonts w:hint="eastAsia" w:cs="Times New Roman"/>
          <w:color w:val="000000"/>
          <w:kern w:val="0"/>
          <w:szCs w:val="32"/>
          <w:highlight w:val="none"/>
          <w:shd w:val="clear" w:color="auto" w:fill="FFFFFF"/>
          <w:lang w:val="en-US" w:eastAsia="zh-CN"/>
        </w:rPr>
        <w:t>3</w:t>
      </w:r>
      <w:r>
        <w:rPr>
          <w:rFonts w:hint="eastAsia" w:ascii="Times New Roman" w:hAnsi="Times New Roman" w:cs="Times New Roman"/>
          <w:color w:val="000000"/>
          <w:kern w:val="0"/>
          <w:szCs w:val="32"/>
          <w:highlight w:val="none"/>
          <w:shd w:val="clear" w:color="auto" w:fill="FFFFFF"/>
          <w:lang w:val="en-US" w:eastAsia="zh-CN"/>
        </w:rPr>
        <w:t>分。</w:t>
      </w:r>
    </w:p>
    <w:p w14:paraId="5B961C56">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cs="Times New Roman"/>
          <w:color w:val="000000"/>
          <w:kern w:val="0"/>
          <w:szCs w:val="32"/>
          <w:highlight w:val="none"/>
          <w:shd w:val="clear" w:color="auto" w:fill="FFFFFF"/>
          <w:lang w:val="en-US" w:eastAsia="zh-CN"/>
        </w:rPr>
        <w:t>（2）获证企业工业产品监督抽查（批次）</w:t>
      </w:r>
    </w:p>
    <w:p w14:paraId="27F6E5C9">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获证企业工业产品监督抽查（批次）达到30批次，达到预期目标值，该项指标得满分。</w:t>
      </w:r>
    </w:p>
    <w:p w14:paraId="1485187A">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根据评分标准，该项指标不扣分，得5分。</w:t>
      </w:r>
    </w:p>
    <w:p w14:paraId="2526F438">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cs="Times New Roman"/>
          <w:color w:val="000000"/>
          <w:kern w:val="0"/>
          <w:szCs w:val="32"/>
          <w:highlight w:val="none"/>
          <w:shd w:val="clear" w:color="auto" w:fill="FFFFFF"/>
          <w:lang w:val="en-US" w:eastAsia="zh-CN"/>
        </w:rPr>
        <w:t>（3）流通领域商品质量抽检（批次）</w:t>
      </w:r>
    </w:p>
    <w:p w14:paraId="166C5AF0">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流通领域商品质量抽检（批次）达到400批次，达到预期目标值，该项指标得满分。</w:t>
      </w:r>
    </w:p>
    <w:p w14:paraId="1B8C300E">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根据评分标准，该项指标不扣分，得5分。</w:t>
      </w:r>
    </w:p>
    <w:p w14:paraId="0539191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cs="Times New Roman"/>
          <w:color w:val="000000"/>
          <w:kern w:val="0"/>
          <w:szCs w:val="32"/>
          <w:highlight w:val="none"/>
          <w:shd w:val="clear" w:color="auto" w:fill="FFFFFF"/>
          <w:lang w:val="en-US" w:eastAsia="zh-CN"/>
        </w:rPr>
        <w:t>综上，根据评分标准，我局履职效能指标</w:t>
      </w:r>
      <w:r>
        <w:rPr>
          <w:rFonts w:hint="eastAsia" w:cs="Times New Roman"/>
          <w:color w:val="000000"/>
          <w:kern w:val="0"/>
          <w:szCs w:val="32"/>
          <w:highlight w:val="none"/>
          <w:shd w:val="clear" w:color="auto" w:fill="FFFFFF"/>
          <w:lang w:val="en-US" w:eastAsia="zh-CN"/>
        </w:rPr>
        <w:t>扣2分</w:t>
      </w:r>
      <w:r>
        <w:rPr>
          <w:rFonts w:hint="eastAsia" w:ascii="Times New Roman" w:hAnsi="Times New Roman" w:cs="Times New Roman"/>
          <w:color w:val="000000"/>
          <w:kern w:val="0"/>
          <w:szCs w:val="32"/>
          <w:highlight w:val="none"/>
          <w:shd w:val="clear" w:color="auto" w:fill="FFFFFF"/>
          <w:lang w:val="en-US" w:eastAsia="zh-CN"/>
        </w:rPr>
        <w:t>，得</w:t>
      </w:r>
      <w:r>
        <w:rPr>
          <w:rFonts w:hint="eastAsia" w:cs="Times New Roman"/>
          <w:color w:val="000000"/>
          <w:kern w:val="0"/>
          <w:szCs w:val="32"/>
          <w:highlight w:val="none"/>
          <w:shd w:val="clear" w:color="auto" w:fill="FFFFFF"/>
          <w:lang w:val="en-US" w:eastAsia="zh-CN"/>
        </w:rPr>
        <w:t>13</w:t>
      </w:r>
      <w:r>
        <w:rPr>
          <w:rFonts w:hint="eastAsia" w:ascii="Times New Roman" w:hAnsi="Times New Roman" w:cs="Times New Roman"/>
          <w:color w:val="000000"/>
          <w:kern w:val="0"/>
          <w:szCs w:val="32"/>
          <w:highlight w:val="none"/>
          <w:shd w:val="clear" w:color="auto" w:fill="FFFFFF"/>
          <w:lang w:val="en-US" w:eastAsia="zh-CN"/>
        </w:rPr>
        <w:t>分</w:t>
      </w:r>
      <w:r>
        <w:rPr>
          <w:rFonts w:hint="eastAsia" w:ascii="Times New Roman" w:hAnsi="Times New Roman"/>
          <w:highlight w:val="none"/>
          <w:lang w:val="en-US" w:eastAsia="zh-CN"/>
        </w:rPr>
        <w:t>。</w:t>
      </w:r>
    </w:p>
    <w:p w14:paraId="1B9A4854">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eastAsia="楷体_GB2312" w:cs="楷体_GB2312"/>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2</w:t>
      </w:r>
      <w:r>
        <w:rPr>
          <w:rFonts w:hint="eastAsia" w:ascii="Times New Roman" w:hAnsi="Times New Roman" w:eastAsia="楷体_GB2312" w:cs="楷体_GB2312"/>
          <w:color w:val="000000"/>
          <w:kern w:val="0"/>
          <w:szCs w:val="32"/>
          <w:highlight w:val="none"/>
          <w:shd w:val="clear" w:color="auto" w:fill="FFFFFF"/>
          <w:lang w:val="en-US" w:eastAsia="zh-CN"/>
        </w:rPr>
        <w:t>.</w:t>
      </w:r>
      <w:r>
        <w:rPr>
          <w:rFonts w:hint="default" w:ascii="Times New Roman" w:hAnsi="Times New Roman" w:eastAsia="楷体_GB2312" w:cs="楷体_GB2312"/>
          <w:color w:val="000000"/>
          <w:kern w:val="0"/>
          <w:szCs w:val="32"/>
          <w:highlight w:val="none"/>
          <w:shd w:val="clear" w:color="auto" w:fill="FFFFFF"/>
          <w:lang w:val="zh-CN"/>
        </w:rPr>
        <w:t>预算管理</w:t>
      </w:r>
    </w:p>
    <w:p w14:paraId="27A8B246">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highlight w:val="none"/>
          <w:lang w:val="zh-CN"/>
        </w:rPr>
      </w:pPr>
      <w:r>
        <w:rPr>
          <w:rFonts w:hint="eastAsia" w:ascii="Times New Roman" w:hAnsi="Times New Roman"/>
          <w:highlight w:val="none"/>
          <w:lang w:val="zh-CN"/>
        </w:rPr>
        <w:t>（</w:t>
      </w:r>
      <w:r>
        <w:rPr>
          <w:rFonts w:hint="default" w:ascii="Times New Roman" w:hAnsi="Times New Roman" w:cs="Times New Roman"/>
          <w:highlight w:val="none"/>
          <w:lang w:val="en-US" w:eastAsia="zh-CN"/>
        </w:rPr>
        <w:t>1</w:t>
      </w:r>
      <w:r>
        <w:rPr>
          <w:rFonts w:hint="eastAsia" w:ascii="Times New Roman" w:hAnsi="Times New Roman"/>
          <w:highlight w:val="none"/>
          <w:lang w:val="zh-CN"/>
        </w:rPr>
        <w:t>）预算编制质量</w:t>
      </w:r>
    </w:p>
    <w:p w14:paraId="1DFDD2B4">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highlight w:val="none"/>
          <w:lang w:val="en-US" w:eastAsia="zh-CN"/>
        </w:rPr>
      </w:pPr>
      <w:r>
        <w:rPr>
          <w:rFonts w:hint="eastAsia" w:ascii="Times New Roman" w:hAnsi="Times New Roman" w:eastAsia="仿宋_GB2312" w:cs="Times New Roman"/>
          <w:kern w:val="2"/>
          <w:sz w:val="32"/>
          <w:szCs w:val="24"/>
          <w:highlight w:val="none"/>
          <w:lang w:val="en-US" w:eastAsia="zh-CN" w:bidi="ar-SA"/>
        </w:rPr>
        <w:t>2025</w:t>
      </w:r>
      <w:r>
        <w:rPr>
          <w:rFonts w:hint="eastAsia" w:ascii="Times New Roman" w:hAnsi="Times New Roman"/>
          <w:highlight w:val="none"/>
          <w:lang w:val="en-US" w:eastAsia="zh-CN"/>
        </w:rPr>
        <w:t>年我局严格按照相关要求编制年初部门预算，根据</w:t>
      </w:r>
      <w:r>
        <w:rPr>
          <w:rFonts w:hint="eastAsia" w:ascii="Times New Roman" w:hAnsi="Times New Roman" w:eastAsia="仿宋_GB2312" w:cs="Times New Roman"/>
          <w:kern w:val="2"/>
          <w:sz w:val="32"/>
          <w:szCs w:val="24"/>
          <w:highlight w:val="none"/>
          <w:lang w:val="en-US" w:eastAsia="zh-CN" w:bidi="ar-SA"/>
        </w:rPr>
        <w:t>2025</w:t>
      </w:r>
      <w:r>
        <w:rPr>
          <w:rFonts w:hint="eastAsia" w:ascii="Times New Roman" w:hAnsi="Times New Roman"/>
          <w:highlight w:val="none"/>
          <w:lang w:val="en-US" w:eastAsia="zh-CN"/>
        </w:rPr>
        <w:t>年度预算执行情况，部门预算偏离程度如下：</w:t>
      </w:r>
    </w:p>
    <w:p w14:paraId="4104091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default" w:ascii="Times New Roman" w:hAnsi="Times New Roman" w:cs="Times New Roman"/>
          <w:highlight w:val="none"/>
          <w:lang w:val="en-US" w:eastAsia="zh-CN"/>
        </w:rPr>
        <w:t>①</w:t>
      </w:r>
      <w:r>
        <w:rPr>
          <w:rFonts w:hint="eastAsia" w:ascii="Times New Roman" w:hAnsi="Times New Roman"/>
          <w:highlight w:val="none"/>
          <w:lang w:val="en-US" w:eastAsia="zh-CN"/>
        </w:rPr>
        <w:t>财政拨款预算偏离度=|预算执行数-年初预算数|÷年初预算数=|6,504.94-5,473.70|÷5,473.70×</w:t>
      </w:r>
      <w:r>
        <w:rPr>
          <w:rFonts w:hint="eastAsia" w:ascii="Times New Roman" w:hAnsi="Times New Roman" w:cs="Times New Roman"/>
          <w:color w:val="auto"/>
          <w:highlight w:val="none"/>
          <w:lang w:val="en-US" w:eastAsia="zh-CN"/>
        </w:rPr>
        <w:t>100%=18.84</w:t>
      </w:r>
      <w:r>
        <w:rPr>
          <w:rFonts w:hint="eastAsia" w:ascii="Times New Roman" w:hAnsi="Times New Roman" w:cs="Times New Roman"/>
          <w:highlight w:val="none"/>
          <w:lang w:val="en-US" w:eastAsia="zh-CN"/>
        </w:rPr>
        <w:t>%</w:t>
      </w:r>
      <w:r>
        <w:rPr>
          <w:rFonts w:hint="eastAsia" w:ascii="Times New Roman" w:hAnsi="Times New Roman"/>
          <w:highlight w:val="none"/>
          <w:lang w:val="en-US" w:eastAsia="zh-CN"/>
        </w:rPr>
        <w:t>。</w:t>
      </w:r>
    </w:p>
    <w:p w14:paraId="65F83ADB">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highlight w:val="none"/>
          <w:lang w:val="en-US" w:eastAsia="zh-CN"/>
        </w:rPr>
        <w:t>②</w:t>
      </w:r>
      <w:r>
        <w:rPr>
          <w:rFonts w:hint="eastAsia" w:ascii="Times New Roman" w:hAnsi="Times New Roman" w:cs="Times New Roman"/>
          <w:highlight w:val="none"/>
          <w:lang w:val="en-US" w:eastAsia="zh-CN"/>
        </w:rPr>
        <w:t>资</w:t>
      </w:r>
      <w:r>
        <w:rPr>
          <w:rFonts w:hint="eastAsia" w:ascii="Times New Roman" w:hAnsi="Times New Roman"/>
          <w:highlight w:val="none"/>
          <w:lang w:val="en-US" w:eastAsia="zh-CN"/>
        </w:rPr>
        <w:t>产配置预算偏离度=|预算执行数-年初预算数|÷年初预算数=|4.69-0.00|÷0.00×</w:t>
      </w:r>
      <w:r>
        <w:rPr>
          <w:rFonts w:hint="eastAsia" w:ascii="Times New Roman" w:hAnsi="Times New Roman" w:cs="Times New Roman"/>
          <w:color w:val="auto"/>
          <w:highlight w:val="none"/>
          <w:lang w:val="en-US" w:eastAsia="zh-CN"/>
        </w:rPr>
        <w:t>100%=100%。</w:t>
      </w:r>
    </w:p>
    <w:p w14:paraId="0CBE40EC">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highlight w:val="none"/>
          <w:lang w:val="en-US" w:eastAsia="zh-CN"/>
        </w:rPr>
        <w:t>③</w:t>
      </w:r>
      <w:r>
        <w:rPr>
          <w:rFonts w:hint="eastAsia" w:ascii="Times New Roman" w:hAnsi="Times New Roman"/>
          <w:highlight w:val="none"/>
          <w:lang w:val="en-US" w:eastAsia="zh-CN"/>
        </w:rPr>
        <w:t>政府采购预算偏离度=|预算执行数-年初预算数|÷年初预算数=|</w:t>
      </w:r>
      <w:r>
        <w:rPr>
          <w:rFonts w:hint="eastAsia" w:ascii="Times New Roman" w:hAnsi="Times New Roman" w:cs="Times New Roman"/>
          <w:color w:val="auto"/>
          <w:highlight w:val="none"/>
          <w:lang w:val="en-US" w:eastAsia="zh-CN"/>
        </w:rPr>
        <w:t>431.56</w:t>
      </w:r>
      <w:r>
        <w:rPr>
          <w:rFonts w:hint="eastAsia" w:ascii="Times New Roman" w:hAnsi="Times New Roman"/>
          <w:highlight w:val="none"/>
          <w:lang w:val="en-US" w:eastAsia="zh-CN"/>
        </w:rPr>
        <w:t>-359.60|÷359.60×</w:t>
      </w:r>
      <w:r>
        <w:rPr>
          <w:rFonts w:hint="eastAsia" w:ascii="Times New Roman" w:hAnsi="Times New Roman" w:cs="Times New Roman"/>
          <w:color w:val="auto"/>
          <w:highlight w:val="none"/>
          <w:lang w:val="en-US" w:eastAsia="zh-CN"/>
        </w:rPr>
        <w:t>100%=20.01%。</w:t>
      </w:r>
    </w:p>
    <w:p w14:paraId="4DF0DBA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综上，该项指标得分=（1-财政拨款预算偏离度）×100%×4+（1-资产配置预算偏离度）×100%×2+（1-政府采购预算偏离度）×100%×2=4.85。</w:t>
      </w:r>
    </w:p>
    <w:p w14:paraId="62002850">
      <w:pPr>
        <w:rPr>
          <w:rFonts w:hint="eastAsia" w:ascii="Times New Roman" w:hAnsi="Times New Roman"/>
          <w:color w:val="auto"/>
          <w:highlight w:val="none"/>
          <w:lang w:val="en-US" w:eastAsia="zh-CN"/>
        </w:rPr>
      </w:pPr>
      <w:r>
        <w:rPr>
          <w:rFonts w:hint="default" w:ascii="Times New Roman" w:hAnsi="Times New Roman"/>
          <w:highlight w:val="none"/>
          <w:lang w:val="en-US" w:eastAsia="zh-CN"/>
        </w:rPr>
        <w:t>根据评分标准，该项指标扣3.15分，得4.85分。</w:t>
      </w:r>
    </w:p>
    <w:p w14:paraId="716EE25E">
      <w:pPr>
        <w:pageBreakBefore w:val="0"/>
        <w:widowControl w:val="0"/>
        <w:kinsoku/>
        <w:wordWrap/>
        <w:overflowPunct/>
        <w:topLinePunct w:val="0"/>
        <w:autoSpaceDE/>
        <w:autoSpaceDN/>
        <w:bidi w:val="0"/>
        <w:adjustRightInd/>
        <w:snapToGrid/>
        <w:spacing w:line="600" w:lineRule="exact"/>
        <w:textAlignment w:val="auto"/>
        <w:outlineLvl w:val="3"/>
        <w:rPr>
          <w:rFonts w:hint="default" w:ascii="Times New Roman" w:hAnsi="Times New Roman"/>
          <w:highlight w:val="none"/>
          <w:lang w:val="en-US" w:eastAsia="zh-CN"/>
        </w:rPr>
      </w:pP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2</w:t>
      </w:r>
      <w:r>
        <w:rPr>
          <w:rFonts w:hint="eastAsia" w:ascii="Times New Roman" w:hAnsi="Times New Roman"/>
          <w:highlight w:val="none"/>
          <w:lang w:val="en-US" w:eastAsia="zh-CN"/>
        </w:rPr>
        <w:t>）单位收入统筹</w:t>
      </w:r>
    </w:p>
    <w:p w14:paraId="64E353E5">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我局属于财政全额拨款单位，无自有收入，故不涉及此项考核。</w:t>
      </w:r>
    </w:p>
    <w:p w14:paraId="6AF0672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s="Times New Roman"/>
          <w:kern w:val="2"/>
          <w:sz w:val="32"/>
          <w:szCs w:val="24"/>
          <w:highlight w:val="none"/>
          <w:lang w:val="en-US" w:eastAsia="zh-CN" w:bidi="ar-SA"/>
        </w:rPr>
      </w:pPr>
      <w:r>
        <w:rPr>
          <w:rFonts w:hint="default" w:ascii="Times New Roman" w:hAnsi="Times New Roman"/>
          <w:highlight w:val="none"/>
          <w:lang w:val="en-US" w:eastAsia="zh-CN"/>
        </w:rPr>
        <w:t>根据评分标准，该项指标</w:t>
      </w:r>
      <w:r>
        <w:rPr>
          <w:rFonts w:hint="eastAsia" w:ascii="Times New Roman" w:hAnsi="Times New Roman" w:cs="Times New Roman"/>
          <w:kern w:val="2"/>
          <w:sz w:val="32"/>
          <w:szCs w:val="24"/>
          <w:highlight w:val="none"/>
          <w:lang w:val="en-US" w:eastAsia="zh-CN" w:bidi="ar-SA"/>
        </w:rPr>
        <w:t>不扣分，得4分。</w:t>
      </w:r>
    </w:p>
    <w:p w14:paraId="6F8F5B81">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3</w:t>
      </w:r>
      <w:r>
        <w:rPr>
          <w:rFonts w:hint="eastAsia" w:ascii="Times New Roman" w:hAnsi="Times New Roman"/>
          <w:highlight w:val="none"/>
          <w:lang w:val="en-US" w:eastAsia="zh-CN"/>
        </w:rPr>
        <w:t>）支出执行进度</w:t>
      </w:r>
    </w:p>
    <w:p w14:paraId="67BAF0AA">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eastAsia="仿宋_GB2312" w:cs="Times New Roman"/>
          <w:kern w:val="2"/>
          <w:sz w:val="32"/>
          <w:szCs w:val="24"/>
          <w:highlight w:val="none"/>
          <w:lang w:val="en-US" w:eastAsia="zh-CN" w:bidi="ar-SA"/>
        </w:rPr>
        <w:t>2025</w:t>
      </w:r>
      <w:r>
        <w:rPr>
          <w:rFonts w:hint="eastAsia" w:ascii="Times New Roman" w:hAnsi="Times New Roman"/>
          <w:highlight w:val="none"/>
          <w:lang w:val="en-US" w:eastAsia="zh-CN"/>
        </w:rPr>
        <w:t>年我局全年预算数为</w:t>
      </w:r>
      <w:r>
        <w:rPr>
          <w:rFonts w:hint="eastAsia" w:ascii="Times New Roman" w:hAnsi="Times New Roman" w:cs="Times New Roman"/>
          <w:highlight w:val="none"/>
          <w:lang w:val="en-US" w:eastAsia="zh-CN"/>
        </w:rPr>
        <w:t>6,504.94</w:t>
      </w:r>
      <w:r>
        <w:rPr>
          <w:rFonts w:hint="eastAsia" w:ascii="Times New Roman" w:hAnsi="Times New Roman"/>
          <w:highlight w:val="none"/>
          <w:lang w:val="en-US" w:eastAsia="zh-CN"/>
        </w:rPr>
        <w:t>万元，</w:t>
      </w:r>
      <w:r>
        <w:rPr>
          <w:rFonts w:hint="default" w:ascii="Times New Roman" w:hAnsi="Times New Roman" w:cs="Times New Roman"/>
          <w:highlight w:val="none"/>
          <w:lang w:val="en-US" w:eastAsia="zh-CN"/>
        </w:rPr>
        <w:t>1</w:t>
      </w:r>
      <w:r>
        <w:rPr>
          <w:rFonts w:hint="eastAsia" w:ascii="Times New Roman" w:hAnsi="Times New Roman"/>
          <w:highlight w:val="none"/>
          <w:lang w:val="en-US" w:eastAsia="zh-CN"/>
        </w:rPr>
        <w:t>至</w:t>
      </w:r>
      <w:r>
        <w:rPr>
          <w:rFonts w:hint="default" w:ascii="Times New Roman" w:hAnsi="Times New Roman" w:cs="Times New Roman"/>
          <w:highlight w:val="none"/>
          <w:lang w:val="en-US" w:eastAsia="zh-CN"/>
        </w:rPr>
        <w:t>6</w:t>
      </w:r>
      <w:r>
        <w:rPr>
          <w:rFonts w:hint="eastAsia" w:ascii="Times New Roman" w:hAnsi="Times New Roman"/>
          <w:highlight w:val="none"/>
          <w:lang w:val="en-US" w:eastAsia="zh-CN"/>
        </w:rPr>
        <w:t>月预算执行数为</w:t>
      </w:r>
      <w:r>
        <w:rPr>
          <w:rFonts w:hint="eastAsia" w:ascii="Times New Roman" w:hAnsi="Times New Roman" w:cs="Times New Roman"/>
          <w:highlight w:val="none"/>
          <w:lang w:val="en-US" w:eastAsia="zh-CN"/>
        </w:rPr>
        <w:t>6,525.99</w:t>
      </w:r>
      <w:r>
        <w:rPr>
          <w:rFonts w:hint="eastAsia" w:ascii="Times New Roman" w:hAnsi="Times New Roman"/>
          <w:highlight w:val="none"/>
          <w:lang w:val="en-US" w:eastAsia="zh-CN"/>
        </w:rPr>
        <w:t>万元，支出预警金额</w:t>
      </w:r>
      <w:r>
        <w:rPr>
          <w:rFonts w:hint="eastAsia" w:ascii="Times New Roman" w:hAnsi="Times New Roman"/>
          <w:color w:val="auto"/>
          <w:highlight w:val="none"/>
          <w:lang w:val="en-US" w:eastAsia="zh-CN"/>
        </w:rPr>
        <w:t>为</w:t>
      </w:r>
      <w:r>
        <w:rPr>
          <w:rFonts w:hint="eastAsia" w:ascii="Times New Roman" w:hAnsi="Times New Roman" w:cs="Times New Roman"/>
          <w:color w:val="auto"/>
          <w:highlight w:val="none"/>
          <w:lang w:val="en-US" w:eastAsia="zh-CN"/>
        </w:rPr>
        <w:t>0</w:t>
      </w:r>
      <w:r>
        <w:rPr>
          <w:rFonts w:hint="eastAsia" w:ascii="Times New Roman" w:hAnsi="Times New Roman"/>
          <w:color w:val="auto"/>
          <w:highlight w:val="none"/>
          <w:lang w:val="en-US" w:eastAsia="zh-CN"/>
        </w:rPr>
        <w:t>万元</w:t>
      </w:r>
      <w:r>
        <w:rPr>
          <w:rFonts w:hint="eastAsia" w:ascii="Times New Roman" w:hAnsi="Times New Roman"/>
          <w:highlight w:val="none"/>
          <w:lang w:val="en-US" w:eastAsia="zh-CN"/>
        </w:rPr>
        <w:t>，支出预警金额占比为</w:t>
      </w:r>
      <w:r>
        <w:rPr>
          <w:rFonts w:hint="eastAsia" w:ascii="Times New Roman" w:hAnsi="Times New Roman" w:cs="Times New Roman"/>
          <w:highlight w:val="none"/>
          <w:lang w:val="en-US" w:eastAsia="zh-CN"/>
        </w:rPr>
        <w:t>0</w:t>
      </w:r>
      <w:r>
        <w:rPr>
          <w:rFonts w:hint="eastAsia" w:ascii="Times New Roman" w:hAnsi="Times New Roman"/>
          <w:highlight w:val="none"/>
          <w:lang w:val="en-US" w:eastAsia="zh-CN"/>
        </w:rPr>
        <w:t>%，支出违规金额</w:t>
      </w:r>
      <w:r>
        <w:rPr>
          <w:rFonts w:hint="eastAsia" w:ascii="Times New Roman" w:hAnsi="Times New Roman"/>
          <w:color w:val="auto"/>
          <w:highlight w:val="none"/>
          <w:lang w:val="en-US" w:eastAsia="zh-CN"/>
        </w:rPr>
        <w:t>为</w:t>
      </w:r>
      <w:r>
        <w:rPr>
          <w:rFonts w:hint="eastAsia" w:ascii="Times New Roman" w:hAnsi="Times New Roman" w:cs="Times New Roman"/>
          <w:color w:val="auto"/>
          <w:highlight w:val="none"/>
          <w:lang w:val="en-US" w:eastAsia="zh-CN"/>
        </w:rPr>
        <w:t>0</w:t>
      </w:r>
      <w:r>
        <w:rPr>
          <w:rFonts w:hint="eastAsia" w:ascii="Times New Roman" w:hAnsi="Times New Roman"/>
          <w:color w:val="auto"/>
          <w:highlight w:val="none"/>
          <w:lang w:val="en-US" w:eastAsia="zh-CN"/>
        </w:rPr>
        <w:t>万元，支出违规金额占</w:t>
      </w:r>
      <w:r>
        <w:rPr>
          <w:rFonts w:hint="eastAsia" w:ascii="Times New Roman" w:hAnsi="Times New Roman"/>
          <w:highlight w:val="none"/>
          <w:lang w:val="en-US" w:eastAsia="zh-CN"/>
        </w:rPr>
        <w:t>比为</w:t>
      </w:r>
      <w:r>
        <w:rPr>
          <w:rFonts w:hint="eastAsia" w:ascii="Times New Roman" w:hAnsi="Times New Roman" w:cs="Times New Roman"/>
          <w:highlight w:val="none"/>
          <w:lang w:val="en-US" w:eastAsia="zh-CN"/>
        </w:rPr>
        <w:t>0</w:t>
      </w:r>
      <w:r>
        <w:rPr>
          <w:rFonts w:hint="eastAsia" w:ascii="Times New Roman" w:hAnsi="Times New Roman"/>
          <w:highlight w:val="none"/>
          <w:lang w:val="en-US" w:eastAsia="zh-CN"/>
        </w:rPr>
        <w:t>%。</w:t>
      </w:r>
    </w:p>
    <w:p w14:paraId="3285395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default" w:ascii="Times New Roman" w:hAnsi="Times New Roman" w:cs="Times New Roman"/>
          <w:highlight w:val="none"/>
          <w:lang w:val="en-US" w:eastAsia="zh-CN"/>
        </w:rPr>
        <w:t>1</w:t>
      </w:r>
      <w:r>
        <w:rPr>
          <w:rFonts w:hint="eastAsia" w:ascii="Times New Roman" w:hAnsi="Times New Roman"/>
          <w:highlight w:val="none"/>
          <w:lang w:val="en-US" w:eastAsia="zh-CN"/>
        </w:rPr>
        <w:t>至</w:t>
      </w:r>
      <w:r>
        <w:rPr>
          <w:rFonts w:hint="default" w:ascii="Times New Roman" w:hAnsi="Times New Roman" w:cs="Times New Roman"/>
          <w:highlight w:val="none"/>
          <w:lang w:val="en-US" w:eastAsia="zh-CN"/>
        </w:rPr>
        <w:t>10</w:t>
      </w:r>
      <w:r>
        <w:rPr>
          <w:rFonts w:hint="eastAsia" w:ascii="Times New Roman" w:hAnsi="Times New Roman"/>
          <w:highlight w:val="none"/>
          <w:lang w:val="en-US" w:eastAsia="zh-CN"/>
        </w:rPr>
        <w:t>月预算执行数为</w:t>
      </w:r>
      <w:r>
        <w:rPr>
          <w:rFonts w:hint="eastAsia" w:ascii="Times New Roman" w:hAnsi="Times New Roman" w:cs="Times New Roman"/>
          <w:highlight w:val="none"/>
          <w:lang w:val="en-US" w:eastAsia="zh-CN"/>
        </w:rPr>
        <w:t>6,542.46</w:t>
      </w:r>
      <w:r>
        <w:rPr>
          <w:rFonts w:hint="eastAsia" w:ascii="Times New Roman" w:hAnsi="Times New Roman"/>
          <w:highlight w:val="none"/>
          <w:lang w:val="en-US" w:eastAsia="zh-CN"/>
        </w:rPr>
        <w:t>万元，支出预警金额</w:t>
      </w:r>
      <w:r>
        <w:rPr>
          <w:rFonts w:hint="eastAsia" w:ascii="Times New Roman" w:hAnsi="Times New Roman"/>
          <w:color w:val="auto"/>
          <w:highlight w:val="none"/>
          <w:lang w:val="en-US" w:eastAsia="zh-CN"/>
        </w:rPr>
        <w:t>为</w:t>
      </w:r>
      <w:r>
        <w:rPr>
          <w:rFonts w:hint="eastAsia" w:ascii="Times New Roman" w:hAnsi="Times New Roman" w:cs="Times New Roman"/>
          <w:color w:val="auto"/>
          <w:highlight w:val="none"/>
          <w:lang w:val="en-US" w:eastAsia="zh-CN"/>
        </w:rPr>
        <w:t>0</w:t>
      </w:r>
      <w:r>
        <w:rPr>
          <w:rFonts w:hint="eastAsia" w:ascii="Times New Roman" w:hAnsi="Times New Roman"/>
          <w:color w:val="auto"/>
          <w:highlight w:val="none"/>
          <w:lang w:val="en-US" w:eastAsia="zh-CN"/>
        </w:rPr>
        <w:t>万元</w:t>
      </w:r>
      <w:r>
        <w:rPr>
          <w:rFonts w:hint="eastAsia" w:ascii="Times New Roman" w:hAnsi="Times New Roman"/>
          <w:highlight w:val="none"/>
          <w:lang w:val="en-US" w:eastAsia="zh-CN"/>
        </w:rPr>
        <w:t>，支出预警金额占比为</w:t>
      </w:r>
      <w:r>
        <w:rPr>
          <w:rFonts w:hint="eastAsia" w:ascii="Times New Roman" w:hAnsi="Times New Roman" w:cs="Times New Roman"/>
          <w:highlight w:val="none"/>
          <w:lang w:val="en-US" w:eastAsia="zh-CN"/>
        </w:rPr>
        <w:t>0</w:t>
      </w:r>
      <w:r>
        <w:rPr>
          <w:rFonts w:hint="eastAsia" w:ascii="Times New Roman" w:hAnsi="Times New Roman"/>
          <w:highlight w:val="none"/>
          <w:lang w:val="en-US" w:eastAsia="zh-CN"/>
        </w:rPr>
        <w:t>%，支出违规金额</w:t>
      </w:r>
      <w:r>
        <w:rPr>
          <w:rFonts w:hint="eastAsia" w:ascii="Times New Roman" w:hAnsi="Times New Roman"/>
          <w:color w:val="auto"/>
          <w:highlight w:val="none"/>
          <w:lang w:val="en-US" w:eastAsia="zh-CN"/>
        </w:rPr>
        <w:t>为</w:t>
      </w:r>
      <w:r>
        <w:rPr>
          <w:rFonts w:hint="eastAsia" w:ascii="Times New Roman" w:hAnsi="Times New Roman" w:cs="Times New Roman"/>
          <w:color w:val="auto"/>
          <w:highlight w:val="none"/>
          <w:lang w:val="en-US" w:eastAsia="zh-CN"/>
        </w:rPr>
        <w:t>0</w:t>
      </w:r>
      <w:r>
        <w:rPr>
          <w:rFonts w:hint="eastAsia" w:ascii="Times New Roman" w:hAnsi="Times New Roman"/>
          <w:color w:val="auto"/>
          <w:highlight w:val="none"/>
          <w:lang w:val="en-US" w:eastAsia="zh-CN"/>
        </w:rPr>
        <w:t>万元，支出违规金额占</w:t>
      </w:r>
      <w:r>
        <w:rPr>
          <w:rFonts w:hint="eastAsia" w:ascii="Times New Roman" w:hAnsi="Times New Roman"/>
          <w:highlight w:val="none"/>
          <w:lang w:val="en-US" w:eastAsia="zh-CN"/>
        </w:rPr>
        <w:t>比为</w:t>
      </w:r>
      <w:r>
        <w:rPr>
          <w:rFonts w:hint="eastAsia" w:ascii="Times New Roman" w:hAnsi="Times New Roman" w:cs="Times New Roman"/>
          <w:highlight w:val="none"/>
          <w:lang w:val="en-US" w:eastAsia="zh-CN"/>
        </w:rPr>
        <w:t>0</w:t>
      </w:r>
      <w:r>
        <w:rPr>
          <w:rFonts w:hint="eastAsia" w:ascii="Times New Roman" w:hAnsi="Times New Roman"/>
          <w:highlight w:val="none"/>
          <w:lang w:val="en-US" w:eastAsia="zh-CN"/>
        </w:rPr>
        <w:t>%。</w:t>
      </w:r>
    </w:p>
    <w:p w14:paraId="6B0580C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该项得分为该项指标得分=（1至6月预算执行数÷（部门预算数×50%）×4）+（1-1至6月支出预警金额占比×0.8-1至6月支出违规金额占比×0.2）+（1至10月预算执行数÷（部门预算数×83.33%）×2）+（1-1至10月支出预警金额占比×0.8-1至10月支出违规金额占比×0.2）=(6,525.99÷6,504.94×</w:t>
      </w:r>
      <w:r>
        <w:rPr>
          <w:rFonts w:hint="eastAsia" w:ascii="Times New Roman" w:hAnsi="Times New Roman" w:cs="Times New Roman"/>
          <w:color w:val="auto"/>
          <w:highlight w:val="none"/>
          <w:lang w:val="en-US" w:eastAsia="zh-CN"/>
        </w:rPr>
        <w:t>50%</w:t>
      </w:r>
      <w:r>
        <w:rPr>
          <w:rFonts w:hint="eastAsia" w:ascii="Times New Roman" w:hAnsi="Times New Roman"/>
          <w:highlight w:val="none"/>
          <w:lang w:val="en-US" w:eastAsia="zh-CN"/>
        </w:rPr>
        <w:t>×4)+(1-0×</w:t>
      </w:r>
      <w:r>
        <w:rPr>
          <w:rFonts w:hint="eastAsia" w:ascii="Times New Roman" w:hAnsi="Times New Roman" w:cs="Times New Roman"/>
          <w:color w:val="auto"/>
          <w:highlight w:val="none"/>
          <w:lang w:val="en-US" w:eastAsia="zh-CN"/>
        </w:rPr>
        <w:t>0.8</w:t>
      </w:r>
      <w:r>
        <w:rPr>
          <w:rFonts w:hint="eastAsia" w:ascii="Times New Roman" w:hAnsi="Times New Roman"/>
          <w:highlight w:val="none"/>
          <w:lang w:val="en-US" w:eastAsia="zh-CN"/>
        </w:rPr>
        <w:t>-0×</w:t>
      </w:r>
      <w:r>
        <w:rPr>
          <w:rFonts w:hint="eastAsia" w:ascii="Times New Roman" w:hAnsi="Times New Roman" w:cs="Times New Roman"/>
          <w:color w:val="auto"/>
          <w:highlight w:val="none"/>
          <w:lang w:val="en-US" w:eastAsia="zh-CN"/>
        </w:rPr>
        <w:t>0.2</w:t>
      </w:r>
      <w:r>
        <w:rPr>
          <w:rFonts w:hint="eastAsia" w:ascii="Times New Roman" w:hAnsi="Times New Roman"/>
          <w:highlight w:val="none"/>
          <w:lang w:val="en-US" w:eastAsia="zh-CN"/>
        </w:rPr>
        <w:t>)+(6,542.46÷6,504.94×83.33%×2)+(1-0×0.8-0×0.2)=6。</w:t>
      </w:r>
    </w:p>
    <w:p w14:paraId="053F98D8">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根据评分标准，该项指标</w:t>
      </w:r>
      <w:r>
        <w:rPr>
          <w:rFonts w:hint="eastAsia" w:ascii="Times New Roman" w:hAnsi="Times New Roman" w:cs="Times New Roman"/>
          <w:kern w:val="2"/>
          <w:sz w:val="32"/>
          <w:szCs w:val="24"/>
          <w:highlight w:val="none"/>
          <w:lang w:val="en-US" w:eastAsia="zh-CN" w:bidi="ar-SA"/>
        </w:rPr>
        <w:t>不扣分，得6分。</w:t>
      </w:r>
    </w:p>
    <w:p w14:paraId="46830352">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default" w:ascii="Times New Roman" w:hAnsi="Times New Roman"/>
          <w:highlight w:val="none"/>
          <w:lang w:val="en-US" w:eastAsia="zh-CN"/>
        </w:rPr>
        <w:t>4</w:t>
      </w:r>
      <w:r>
        <w:rPr>
          <w:rFonts w:hint="eastAsia" w:ascii="Times New Roman" w:hAnsi="Times New Roman"/>
          <w:highlight w:val="none"/>
          <w:lang w:val="en-US" w:eastAsia="zh-CN"/>
        </w:rPr>
        <w:t>）预算年终结余</w:t>
      </w:r>
    </w:p>
    <w:p w14:paraId="093CE153">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cs="Times New Roman"/>
          <w:highlight w:val="none"/>
          <w:lang w:val="en-US" w:eastAsia="zh-CN"/>
        </w:rPr>
        <w:t>2025年</w:t>
      </w:r>
      <w:r>
        <w:rPr>
          <w:rFonts w:hint="eastAsia" w:ascii="Times New Roman" w:hAnsi="Times New Roman"/>
          <w:highlight w:val="none"/>
          <w:lang w:val="en-US" w:eastAsia="zh-CN"/>
        </w:rPr>
        <w:t>我局全年预算数为</w:t>
      </w:r>
      <w:r>
        <w:rPr>
          <w:rFonts w:hint="eastAsia" w:ascii="Times New Roman" w:hAnsi="Times New Roman" w:cs="Times New Roman"/>
          <w:highlight w:val="none"/>
          <w:lang w:val="en-US" w:eastAsia="zh-CN"/>
        </w:rPr>
        <w:t>6,504.94</w:t>
      </w:r>
      <w:r>
        <w:rPr>
          <w:rFonts w:hint="eastAsia" w:ascii="Times New Roman" w:hAnsi="Times New Roman"/>
          <w:highlight w:val="none"/>
          <w:lang w:val="en-US" w:eastAsia="zh-CN"/>
        </w:rPr>
        <w:t>万元，预算执行数为</w:t>
      </w:r>
      <w:r>
        <w:rPr>
          <w:rFonts w:hint="eastAsia" w:ascii="Times New Roman" w:hAnsi="Times New Roman" w:cs="Times New Roman"/>
          <w:highlight w:val="none"/>
          <w:lang w:val="en-US" w:eastAsia="zh-CN"/>
        </w:rPr>
        <w:t>6,504.94</w:t>
      </w:r>
      <w:r>
        <w:rPr>
          <w:rFonts w:hint="eastAsia" w:ascii="Times New Roman" w:hAnsi="Times New Roman"/>
          <w:highlight w:val="none"/>
          <w:lang w:val="en-US" w:eastAsia="zh-CN"/>
        </w:rPr>
        <w:t>万元，注销金额为0万元。结转结余金额为0万元</w:t>
      </w:r>
    </w:p>
    <w:p w14:paraId="2DADEC49">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该项指标得分=（1-部门整体预算结余率）×100%×2</w:t>
      </w:r>
      <w:r>
        <w:rPr>
          <w:rFonts w:hint="eastAsia" w:ascii="Times New Roman" w:hAnsi="Times New Roman"/>
          <w:highlight w:val="none"/>
          <w:lang w:val="en-US" w:eastAsia="zh-CN"/>
        </w:rPr>
        <w:t>=</w:t>
      </w:r>
      <w:r>
        <w:rPr>
          <w:rFonts w:hint="default" w:ascii="Times New Roman" w:hAnsi="Times New Roman"/>
          <w:highlight w:val="none"/>
          <w:lang w:val="en-US" w:eastAsia="zh-CN"/>
        </w:rPr>
        <w:t>(1-0.00</w:t>
      </w:r>
      <w:r>
        <w:rPr>
          <w:rFonts w:hint="eastAsia" w:ascii="Times New Roman" w:hAnsi="Times New Roman"/>
          <w:highlight w:val="none"/>
          <w:lang w:val="en-US" w:eastAsia="zh-CN"/>
        </w:rPr>
        <w:t>)*100%*2</w:t>
      </w:r>
      <w:r>
        <w:rPr>
          <w:rFonts w:hint="default" w:ascii="Times New Roman" w:hAnsi="Times New Roman"/>
          <w:highlight w:val="none"/>
          <w:lang w:val="en-US" w:eastAsia="zh-CN"/>
        </w:rPr>
        <w:t>=</w:t>
      </w:r>
      <w:r>
        <w:rPr>
          <w:rFonts w:hint="eastAsia" w:ascii="Times New Roman" w:hAnsi="Times New Roman"/>
          <w:highlight w:val="none"/>
          <w:lang w:val="en-US" w:eastAsia="zh-CN"/>
        </w:rPr>
        <w:t>2</w:t>
      </w:r>
    </w:p>
    <w:p w14:paraId="57699628">
      <w:pPr>
        <w:rPr>
          <w:rFonts w:hint="eastAsia" w:ascii="Times New Roman" w:hAnsi="Times New Roman"/>
          <w:color w:val="auto"/>
          <w:highlight w:val="none"/>
          <w:lang w:val="en-US" w:eastAsia="zh-CN"/>
        </w:rPr>
      </w:pPr>
      <w:r>
        <w:rPr>
          <w:rFonts w:hint="default" w:ascii="Times New Roman" w:hAnsi="Times New Roman"/>
          <w:highlight w:val="none"/>
          <w:lang w:val="en-US" w:eastAsia="zh-CN"/>
        </w:rPr>
        <w:t>根据评分标准，该项指标</w:t>
      </w:r>
      <w:r>
        <w:rPr>
          <w:rFonts w:hint="eastAsia" w:ascii="Times New Roman" w:hAnsi="Times New Roman" w:cs="Times New Roman"/>
          <w:kern w:val="2"/>
          <w:sz w:val="32"/>
          <w:szCs w:val="24"/>
          <w:highlight w:val="none"/>
          <w:lang w:val="en-US" w:eastAsia="zh-CN" w:bidi="ar-SA"/>
        </w:rPr>
        <w:t>不扣分，得2分。</w:t>
      </w:r>
    </w:p>
    <w:p w14:paraId="3637A9B8">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highlight w:val="none"/>
          <w:lang w:val="en-US" w:eastAsia="zh-CN"/>
        </w:rPr>
      </w:pP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5</w:t>
      </w:r>
      <w:r>
        <w:rPr>
          <w:rFonts w:hint="eastAsia" w:ascii="Times New Roman" w:hAnsi="Times New Roman"/>
          <w:highlight w:val="none"/>
          <w:lang w:val="en-US" w:eastAsia="zh-CN"/>
        </w:rPr>
        <w:t>）严控一般性支出</w:t>
      </w:r>
    </w:p>
    <w:p w14:paraId="11C613B1">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我局</w:t>
      </w:r>
      <w:r>
        <w:rPr>
          <w:rFonts w:hint="eastAsia" w:ascii="Times New Roman" w:hAnsi="Times New Roman" w:cs="Times New Roman"/>
          <w:highlight w:val="none"/>
          <w:lang w:val="en-US" w:eastAsia="zh-CN"/>
        </w:rPr>
        <w:t>2025年</w:t>
      </w:r>
      <w:r>
        <w:rPr>
          <w:rFonts w:hint="eastAsia" w:ascii="Times New Roman" w:hAnsi="Times New Roman"/>
          <w:highlight w:val="none"/>
          <w:lang w:val="en-US" w:eastAsia="zh-CN"/>
        </w:rPr>
        <w:t>度“三公”经费、会议、培训、差旅、办节办展、办公设备购置、信息网络及软件购置更新、课题经费等</w:t>
      </w:r>
      <w:r>
        <w:rPr>
          <w:rFonts w:hint="default" w:ascii="Times New Roman" w:hAnsi="Times New Roman" w:cs="Times New Roman"/>
          <w:highlight w:val="none"/>
          <w:lang w:val="en-US" w:eastAsia="zh-CN"/>
        </w:rPr>
        <w:t>8</w:t>
      </w:r>
      <w:r>
        <w:rPr>
          <w:rFonts w:hint="eastAsia" w:ascii="Times New Roman" w:hAnsi="Times New Roman"/>
          <w:highlight w:val="none"/>
          <w:lang w:val="en-US" w:eastAsia="zh-CN"/>
        </w:rPr>
        <w:t>项一般性支出情况详见下表</w:t>
      </w:r>
      <w:r>
        <w:rPr>
          <w:rFonts w:hint="default" w:ascii="Times New Roman" w:hAnsi="Times New Roman" w:cs="Times New Roman"/>
          <w:highlight w:val="none"/>
          <w:lang w:val="en-US" w:eastAsia="zh-CN"/>
        </w:rPr>
        <w:t>3</w:t>
      </w: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1</w:t>
      </w:r>
      <w:r>
        <w:rPr>
          <w:rFonts w:hint="eastAsia" w:ascii="Times New Roman" w:hAnsi="Times New Roman"/>
          <w:highlight w:val="none"/>
          <w:lang w:val="en-US" w:eastAsia="zh-CN"/>
        </w:rPr>
        <w:t>。</w:t>
      </w:r>
    </w:p>
    <w:p w14:paraId="4306C08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表</w:t>
      </w:r>
      <w:r>
        <w:rPr>
          <w:rFonts w:hint="default" w:ascii="Times New Roman" w:hAnsi="Times New Roman" w:cs="Times New Roman"/>
          <w:b/>
          <w:bCs/>
          <w:highlight w:val="none"/>
          <w:lang w:val="en-US" w:eastAsia="zh-CN"/>
        </w:rPr>
        <w:t>3</w:t>
      </w:r>
      <w:r>
        <w:rPr>
          <w:rFonts w:hint="eastAsia" w:ascii="Times New Roman" w:hAnsi="Times New Roman"/>
          <w:b/>
          <w:bCs/>
          <w:highlight w:val="none"/>
          <w:lang w:val="en-US" w:eastAsia="zh-CN"/>
        </w:rPr>
        <w:t>-</w:t>
      </w: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2025年</w:t>
      </w:r>
      <w:r>
        <w:rPr>
          <w:rFonts w:hint="eastAsia" w:ascii="Times New Roman" w:hAnsi="Times New Roman"/>
          <w:b/>
          <w:bCs/>
          <w:highlight w:val="none"/>
          <w:lang w:val="en-US" w:eastAsia="zh-CN"/>
        </w:rPr>
        <w:t>度一般性支出情况表</w:t>
      </w:r>
    </w:p>
    <w:p w14:paraId="68A4E482">
      <w:pPr>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单位：万元</w:t>
      </w:r>
    </w:p>
    <w:tbl>
      <w:tblPr>
        <w:tblStyle w:val="16"/>
        <w:tblW w:w="49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537"/>
        <w:gridCol w:w="1855"/>
        <w:gridCol w:w="1745"/>
        <w:gridCol w:w="1533"/>
        <w:gridCol w:w="1547"/>
      </w:tblGrid>
      <w:tr w14:paraId="1B6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0A548F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127A3AF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项目名称</w:t>
            </w:r>
          </w:p>
        </w:tc>
        <w:tc>
          <w:tcPr>
            <w:tcW w:w="1043"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0FB8CC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2024</w:t>
            </w:r>
            <w:r>
              <w:rPr>
                <w:rFonts w:hint="default" w:ascii="Times New Roman" w:hAnsi="Times New Roman" w:eastAsia="仿宋_GB2312" w:cs="Times New Roman"/>
                <w:i w:val="0"/>
                <w:iCs w:val="0"/>
                <w:color w:val="000000"/>
                <w:kern w:val="0"/>
                <w:sz w:val="24"/>
                <w:szCs w:val="24"/>
                <w:highlight w:val="none"/>
                <w:u w:val="none"/>
                <w:lang w:val="en-US" w:eastAsia="zh-CN" w:bidi="ar"/>
              </w:rPr>
              <w:t>年年初预算数</w:t>
            </w:r>
          </w:p>
        </w:tc>
        <w:tc>
          <w:tcPr>
            <w:tcW w:w="981"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4DB378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2025年</w:t>
            </w:r>
            <w:r>
              <w:rPr>
                <w:rFonts w:hint="default" w:ascii="Times New Roman" w:hAnsi="Times New Roman" w:eastAsia="仿宋_GB2312" w:cs="Times New Roman"/>
                <w:i w:val="0"/>
                <w:iCs w:val="0"/>
                <w:color w:val="000000"/>
                <w:kern w:val="0"/>
                <w:sz w:val="24"/>
                <w:szCs w:val="24"/>
                <w:highlight w:val="none"/>
                <w:u w:val="none"/>
                <w:lang w:val="en-US" w:eastAsia="zh-CN" w:bidi="ar"/>
              </w:rPr>
              <w:t>年初预算数</w:t>
            </w:r>
          </w:p>
        </w:tc>
        <w:tc>
          <w:tcPr>
            <w:tcW w:w="862"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521E54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2024</w:t>
            </w:r>
            <w:r>
              <w:rPr>
                <w:rFonts w:hint="default" w:ascii="Times New Roman" w:hAnsi="Times New Roman" w:eastAsia="仿宋_GB2312" w:cs="Times New Roman"/>
                <w:i w:val="0"/>
                <w:iCs w:val="0"/>
                <w:color w:val="000000"/>
                <w:kern w:val="0"/>
                <w:sz w:val="24"/>
                <w:szCs w:val="24"/>
                <w:highlight w:val="none"/>
                <w:u w:val="none"/>
                <w:lang w:val="en-US" w:eastAsia="zh-CN" w:bidi="ar"/>
              </w:rPr>
              <w:t>年预算执行数</w:t>
            </w:r>
          </w:p>
        </w:tc>
        <w:tc>
          <w:tcPr>
            <w:tcW w:w="86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656FA2A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2025年</w:t>
            </w:r>
            <w:r>
              <w:rPr>
                <w:rFonts w:hint="default" w:ascii="Times New Roman" w:hAnsi="Times New Roman" w:eastAsia="仿宋_GB2312" w:cs="Times New Roman"/>
                <w:i w:val="0"/>
                <w:iCs w:val="0"/>
                <w:color w:val="000000"/>
                <w:kern w:val="0"/>
                <w:sz w:val="24"/>
                <w:szCs w:val="24"/>
                <w:highlight w:val="none"/>
                <w:u w:val="none"/>
                <w:lang w:val="en-US" w:eastAsia="zh-CN" w:bidi="ar"/>
              </w:rPr>
              <w:t>预算执行数</w:t>
            </w:r>
          </w:p>
        </w:tc>
      </w:tr>
      <w:tr w14:paraId="6F4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0C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738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三公</w:t>
            </w:r>
            <w:r>
              <w:rPr>
                <w:rFonts w:hint="eastAsia" w:ascii="Times New Roman" w:hAnsi="Times New Roman"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91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238.70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A9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241.84</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4E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247.21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688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154.27</w:t>
            </w:r>
          </w:p>
        </w:tc>
      </w:tr>
      <w:tr w14:paraId="3025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5B0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E0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会议费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C8F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E5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05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062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r>
      <w:tr w14:paraId="5ED8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E0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2C7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培训费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06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36.33</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23D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33.36</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A69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8.32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79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9.09</w:t>
            </w:r>
          </w:p>
        </w:tc>
      </w:tr>
      <w:tr w14:paraId="064D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76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EB2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差旅费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EF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138.49</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0B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136.03</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971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118.91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09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150.95</w:t>
            </w:r>
          </w:p>
        </w:tc>
      </w:tr>
      <w:tr w14:paraId="46CB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171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5C2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办节办展</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ED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94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5E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E7F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0</w:t>
            </w:r>
          </w:p>
        </w:tc>
      </w:tr>
      <w:tr w14:paraId="062A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28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21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办公设备购置</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3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0B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DC7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43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1.08</w:t>
            </w:r>
          </w:p>
        </w:tc>
      </w:tr>
      <w:tr w14:paraId="7008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6B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78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信息网络及软件购置更新经费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91C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646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1E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C1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0</w:t>
            </w:r>
          </w:p>
        </w:tc>
      </w:tr>
      <w:tr w14:paraId="1EE8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F6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16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课题经费</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358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47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3A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0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0</w:t>
            </w:r>
          </w:p>
        </w:tc>
      </w:tr>
      <w:tr w14:paraId="519C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3F2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合计</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58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413.52</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C45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411.23</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0D3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374.44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E3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cs="Times New Roman"/>
                <w:i w:val="0"/>
                <w:iCs w:val="0"/>
                <w:color w:val="auto"/>
                <w:kern w:val="0"/>
                <w:sz w:val="24"/>
                <w:szCs w:val="24"/>
                <w:highlight w:val="none"/>
                <w:u w:val="none"/>
                <w:lang w:val="en-US" w:eastAsia="zh-CN" w:bidi="ar"/>
              </w:rPr>
              <w:t>315.39</w:t>
            </w:r>
          </w:p>
        </w:tc>
      </w:tr>
    </w:tbl>
    <w:p w14:paraId="1C633088">
      <w:pPr>
        <w:rPr>
          <w:rFonts w:hint="eastAsia" w:ascii="Times New Roman" w:hAnsi="Times New Roman"/>
          <w:highlight w:val="none"/>
          <w:lang w:val="en-US" w:eastAsia="zh-CN"/>
        </w:rPr>
      </w:pPr>
      <w:r>
        <w:rPr>
          <w:rFonts w:hint="eastAsia" w:ascii="Times New Roman" w:hAnsi="Times New Roman"/>
          <w:highlight w:val="none"/>
          <w:lang w:val="en-US" w:eastAsia="zh-CN"/>
        </w:rPr>
        <w:t>一般性支出财政拨款年初预算较上年减少，一般性支出财政拨款预算执行数较上年减少。</w:t>
      </w:r>
    </w:p>
    <w:p w14:paraId="2D86C155">
      <w:pPr>
        <w:rPr>
          <w:rFonts w:hint="default" w:ascii="Times New Roman" w:hAnsi="Times New Roman"/>
          <w:highlight w:val="none"/>
          <w:lang w:val="en-US" w:eastAsia="zh-CN"/>
        </w:rPr>
      </w:pPr>
      <w:r>
        <w:rPr>
          <w:rFonts w:hint="default" w:ascii="Times New Roman" w:hAnsi="Times New Roman"/>
          <w:highlight w:val="none"/>
          <w:lang w:val="en-US" w:eastAsia="zh-CN"/>
        </w:rPr>
        <w:t>根据评分标准，该项指标扣0.89分，得4.11分。</w:t>
      </w:r>
    </w:p>
    <w:p w14:paraId="30AD08A3">
      <w:pPr>
        <w:pStyle w:val="3"/>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rPr>
      </w:pPr>
      <w:r>
        <w:rPr>
          <w:rFonts w:hint="default" w:ascii="Times New Roman" w:hAnsi="Times New Roman" w:cs="Times New Roman"/>
          <w:highlight w:val="none"/>
          <w:lang w:val="en-US" w:eastAsia="zh-CN"/>
        </w:rPr>
        <w:t>3</w:t>
      </w:r>
      <w:r>
        <w:rPr>
          <w:rFonts w:hint="eastAsia" w:ascii="Times New Roman" w:hAnsi="Times New Roman"/>
          <w:highlight w:val="none"/>
          <w:lang w:val="en-US" w:eastAsia="zh-CN"/>
        </w:rPr>
        <w:t>.</w:t>
      </w:r>
      <w:r>
        <w:rPr>
          <w:rFonts w:hint="default" w:ascii="Times New Roman" w:hAnsi="Times New Roman"/>
          <w:highlight w:val="none"/>
          <w:lang w:val="zh-CN"/>
        </w:rPr>
        <w:t>财务管理</w:t>
      </w:r>
    </w:p>
    <w:p w14:paraId="65A7C015">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（1）财务管理制度</w:t>
      </w:r>
    </w:p>
    <w:p w14:paraId="281C6696">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为加强和规范我局内部控制管理水平和风险防范能力，健全规范内部控制机制，加强廉政风险防控机制建设，我局</w:t>
      </w:r>
      <w:r>
        <w:rPr>
          <w:rFonts w:hint="eastAsia" w:ascii="Times New Roman" w:hAnsi="Times New Roman"/>
          <w:highlight w:val="none"/>
          <w:lang w:val="en-US" w:eastAsia="zh-CN"/>
        </w:rPr>
        <w:t>2025</w:t>
      </w:r>
      <w:r>
        <w:rPr>
          <w:rFonts w:hint="eastAsia" w:ascii="Times New Roman" w:hAnsi="Times New Roman"/>
          <w:highlight w:val="none"/>
          <w:lang w:val="zh-CN" w:eastAsia="zh-CN"/>
        </w:rPr>
        <w:t>年在对预算、收支、政府采购、资产、建设项目、合同等各类经济业务活动流程梳理的基础上，依据《中华人民共和国会计法》《中华人民共和国预算法》《中华人民共和国政府采购法》《政府会计制度》《行政事业单位内部控制规范（试行）》《关于全面推进行政事业单位内部控制建设的指导意见》（财会〔2015〕24号）、《四川省财政厅关于印发〈四川省省级行政事业单位内部控制建设指引〉的通知》（川财会〔2019〕37号）等文件编制了《阿坝藏族羌族自治州市场监督管理局财务内部控制制度》，部门内部财务管理制度等制度机制建立健全，制度得到有效执行。</w:t>
      </w:r>
    </w:p>
    <w:p w14:paraId="015EB18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根据评分标准，该项指标不扣分，得4分。</w:t>
      </w:r>
    </w:p>
    <w:p w14:paraId="7D6C29F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（2）财务岗位设置</w:t>
      </w:r>
    </w:p>
    <w:p w14:paraId="69B3AED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我局按照《中华人民共和国会计法》《中华人民共和国预算法》等相关法律，合理设置了单位财务岗位，明确了各岗位职责权限确保工作有序进行，同时，我局制定的《阿坝藏族羌族自治州市场监督管理局财务内部控制制度》明确表示了财务收支统一核算管理，会计和出纳岗位分设，出纳人员不得兼管审核、会计档案保管，在财务实际设置过程中，做到了将会计与出纳、审核与执行等岗位分离，形成了相互制约、监督的机制，进而增强了财务数据的准确性，提升了内部控制效能，确保了财务工作的高效与透明。</w:t>
      </w:r>
    </w:p>
    <w:p w14:paraId="28D6E527">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根据评分标准，该项指标不扣分，得2分。</w:t>
      </w:r>
    </w:p>
    <w:p w14:paraId="5259CDD0">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（3）资金使用规范</w:t>
      </w:r>
    </w:p>
    <w:p w14:paraId="4B68D8D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eastAsia="zh-CN"/>
        </w:rPr>
      </w:pPr>
      <w:r>
        <w:rPr>
          <w:rFonts w:hint="eastAsia" w:ascii="Times New Roman" w:hAnsi="Times New Roman"/>
          <w:highlight w:val="none"/>
          <w:lang w:val="zh-CN" w:eastAsia="zh-CN"/>
        </w:rPr>
        <w:t>我局严格按照已制定的内部控制制度文件和国家财经法规要求使用资金，资金使用符合相关财务管理制度规定，资金的拨付有完整的审批程序和手续，对项目的重大开支进行了评估论证，资金使用符合部门预算批复的用途，不存在截留、挤占、挪用、虚列支出等情况。</w:t>
      </w:r>
    </w:p>
    <w:p w14:paraId="2FEFA7C5">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zh-CN" w:eastAsia="zh-CN"/>
        </w:rPr>
      </w:pPr>
      <w:r>
        <w:rPr>
          <w:rFonts w:hint="eastAsia" w:ascii="Times New Roman" w:hAnsi="Times New Roman"/>
          <w:highlight w:val="none"/>
          <w:lang w:val="zh-CN" w:eastAsia="zh-CN"/>
        </w:rPr>
        <w:t>根据评分标准，该项指标不扣分，得4分。</w:t>
      </w:r>
    </w:p>
    <w:p w14:paraId="1B50331F">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eastAsia="楷体_GB2312" w:cs="楷体_GB2312"/>
          <w:color w:val="auto"/>
          <w:highlight w:val="none"/>
          <w:lang w:val="zh-CN"/>
        </w:rPr>
      </w:pPr>
      <w:r>
        <w:rPr>
          <w:rFonts w:hint="eastAsia" w:ascii="Times New Roman" w:hAnsi="Times New Roman" w:eastAsia="楷体_GB2312" w:cs="楷体_GB2312"/>
          <w:color w:val="auto"/>
          <w:highlight w:val="none"/>
          <w:lang w:val="en-US" w:eastAsia="zh-CN"/>
        </w:rPr>
        <w:t>4.</w:t>
      </w:r>
      <w:r>
        <w:rPr>
          <w:rFonts w:hint="eastAsia" w:ascii="Times New Roman" w:hAnsi="Times New Roman" w:eastAsia="楷体_GB2312" w:cs="楷体_GB2312"/>
          <w:color w:val="auto"/>
          <w:highlight w:val="none"/>
          <w:lang w:val="zh-CN"/>
        </w:rPr>
        <w:t>资产管理</w:t>
      </w:r>
    </w:p>
    <w:p w14:paraId="37DD3AB7">
      <w:pPr>
        <w:keepNext w:val="0"/>
        <w:keepLines w:val="0"/>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olor w:val="auto"/>
          <w:highlight w:val="none"/>
          <w:lang w:val="zh-CN" w:eastAsia="zh-CN"/>
        </w:rPr>
      </w:pPr>
      <w:r>
        <w:rPr>
          <w:rFonts w:hint="eastAsia" w:ascii="Times New Roman" w:hAnsi="Times New Roman"/>
          <w:color w:val="auto"/>
          <w:highlight w:val="none"/>
          <w:lang w:val="zh-CN" w:eastAsia="zh-CN"/>
        </w:rPr>
        <w:t>（1）人均资产变化率</w:t>
      </w:r>
    </w:p>
    <w:p w14:paraId="39825D1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zh-CN" w:eastAsia="zh-CN"/>
        </w:rPr>
      </w:pPr>
      <w:r>
        <w:rPr>
          <w:rFonts w:hint="eastAsia"/>
          <w:color w:val="auto"/>
          <w:highlight w:val="none"/>
          <w:lang w:val="zh-CN" w:eastAsia="zh-CN"/>
        </w:rPr>
        <w:t>我局</w:t>
      </w:r>
      <w:r>
        <w:rPr>
          <w:rFonts w:hint="eastAsia" w:ascii="Times New Roman" w:hAnsi="Times New Roman"/>
          <w:color w:val="auto"/>
          <w:highlight w:val="none"/>
          <w:lang w:val="zh-CN" w:eastAsia="zh-CN"/>
        </w:rPr>
        <w:t>2024年末实有在编在职人数为181人，固定资产和无形资产期末账面值净值合计5,106.99万元；2025年末实有在职在编人数为184人，固定资产和无形资产净值合计4,266.47万元。人均占有资产及人均资产变化率计算公式分别为“（固定资产净值+无形资产净值)/在职人数、(当年人均资产-上年人均资产)/上年人均资产”。故</w:t>
      </w:r>
      <w:r>
        <w:rPr>
          <w:rFonts w:hint="eastAsia"/>
          <w:color w:val="auto"/>
          <w:highlight w:val="none"/>
          <w:lang w:val="zh-CN" w:eastAsia="zh-CN"/>
        </w:rPr>
        <w:t>我局</w:t>
      </w:r>
      <w:r>
        <w:rPr>
          <w:rFonts w:hint="eastAsia" w:ascii="Times New Roman" w:hAnsi="Times New Roman"/>
          <w:color w:val="auto"/>
          <w:highlight w:val="none"/>
          <w:lang w:val="zh-CN" w:eastAsia="zh-CN"/>
        </w:rPr>
        <w:t>2024、2025年人均占有资产分别为28.22万元/人、23.19万元/人。</w:t>
      </w:r>
    </w:p>
    <w:p w14:paraId="22E3F2C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zh-CN" w:eastAsia="zh-CN"/>
        </w:rPr>
      </w:pPr>
      <w:r>
        <w:rPr>
          <w:rFonts w:hint="eastAsia" w:ascii="Times New Roman" w:hAnsi="Times New Roman"/>
          <w:color w:val="auto"/>
          <w:highlight w:val="none"/>
          <w:lang w:val="zh-CN" w:eastAsia="zh-CN"/>
        </w:rPr>
        <w:t>综上，2025年</w:t>
      </w:r>
      <w:r>
        <w:rPr>
          <w:rFonts w:hint="eastAsia"/>
          <w:color w:val="auto"/>
          <w:highlight w:val="none"/>
          <w:lang w:val="zh-CN" w:eastAsia="zh-CN"/>
        </w:rPr>
        <w:t>我局</w:t>
      </w:r>
      <w:r>
        <w:rPr>
          <w:rFonts w:hint="eastAsia" w:ascii="Times New Roman" w:hAnsi="Times New Roman"/>
          <w:color w:val="auto"/>
          <w:highlight w:val="none"/>
          <w:lang w:val="zh-CN" w:eastAsia="zh-CN"/>
        </w:rPr>
        <w:t>人均资产变化率为-17.82%，小于0，小于州直行政事业单位人均资产变化率-3.49%，小于州级财政收入增长率17.10%。</w:t>
      </w:r>
    </w:p>
    <w:p w14:paraId="51268670">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olor w:val="auto"/>
          <w:highlight w:val="yellow"/>
          <w:lang w:val="en-US" w:eastAsia="zh-CN"/>
        </w:rPr>
      </w:pPr>
      <w:r>
        <w:rPr>
          <w:rFonts w:hint="eastAsia" w:ascii="Times New Roman" w:hAnsi="Times New Roman"/>
          <w:color w:val="auto"/>
          <w:highlight w:val="none"/>
          <w:lang w:val="zh-CN" w:eastAsia="zh-CN"/>
        </w:rPr>
        <w:t>根据评分标准，该项指标不扣分，得3分。</w:t>
      </w:r>
    </w:p>
    <w:p w14:paraId="1D889624">
      <w:pPr>
        <w:pageBreakBefore w:val="0"/>
        <w:widowControl w:val="0"/>
        <w:kinsoku/>
        <w:wordWrap/>
        <w:overflowPunct/>
        <w:topLinePunct w:val="0"/>
        <w:autoSpaceDE/>
        <w:autoSpaceDN/>
        <w:bidi w:val="0"/>
        <w:adjustRightInd/>
        <w:snapToGrid/>
        <w:spacing w:line="600" w:lineRule="exact"/>
        <w:textAlignment w:val="auto"/>
        <w:outlineLvl w:val="3"/>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w:t>
      </w:r>
      <w:r>
        <w:rPr>
          <w:rFonts w:hint="default" w:ascii="Times New Roman" w:hAnsi="Times New Roman" w:cs="Times New Roman"/>
          <w:color w:val="auto"/>
          <w:highlight w:val="none"/>
          <w:lang w:val="en-US" w:eastAsia="zh-CN"/>
        </w:rPr>
        <w:t>2</w:t>
      </w:r>
      <w:r>
        <w:rPr>
          <w:rFonts w:hint="eastAsia" w:ascii="Times New Roman" w:hAnsi="Times New Roman"/>
          <w:color w:val="auto"/>
          <w:highlight w:val="none"/>
          <w:lang w:val="en-US" w:eastAsia="zh-CN"/>
        </w:rPr>
        <w:t>）资产利用率</w:t>
      </w:r>
    </w:p>
    <w:p w14:paraId="5C52FC9F">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我局2025年办公家具账面价值为536.04万元，超最低使用年限的办公家具账面价值为128.93万元，故办公家具超最低使用年限资产利用率=超最低使用年限的办公家具账面价值÷办公家具账面价值×100%=24.05%；2025年办公设备账面价值为7,195.98万元，超最低使用年限的办公设备账面价值为5,205.99万元，故办公设备超最低使用年限资产利用率=超最低使用年限的办公设备账面价值÷办公设备账面价值×100%=72.35%。</w:t>
      </w:r>
    </w:p>
    <w:p w14:paraId="4D7FE4C9">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综上，我局在资产利用率方面，办公家具和用具超最低使用年限资产利用率大于州直行政事业单位平均值12.93%，办公设备超最低使用年限资产利用率大于州直行政事业单位平均值53.14%。</w:t>
      </w:r>
    </w:p>
    <w:p w14:paraId="3DFF44D4">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根据评分标准，该项指标不扣分，得3分。</w:t>
      </w:r>
    </w:p>
    <w:p w14:paraId="4C2C61D0">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w:t>
      </w:r>
      <w:r>
        <w:rPr>
          <w:rFonts w:hint="default" w:ascii="Times New Roman" w:hAnsi="Times New Roman" w:cs="Times New Roman"/>
          <w:color w:val="auto"/>
          <w:highlight w:val="none"/>
          <w:lang w:val="en-US" w:eastAsia="zh-CN"/>
        </w:rPr>
        <w:t>3</w:t>
      </w:r>
      <w:r>
        <w:rPr>
          <w:rFonts w:hint="eastAsia" w:ascii="Times New Roman" w:hAnsi="Times New Roman"/>
          <w:color w:val="auto"/>
          <w:highlight w:val="none"/>
          <w:lang w:val="en-US" w:eastAsia="zh-CN"/>
        </w:rPr>
        <w:t>）资产盘活率</w:t>
      </w:r>
    </w:p>
    <w:p w14:paraId="463E423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i w:val="0"/>
          <w:strike w:val="0"/>
          <w:color w:val="auto"/>
          <w:spacing w:val="0"/>
          <w:highlight w:val="none"/>
          <w:u w:val="none"/>
          <w:lang w:val="en-US" w:eastAsia="zh-CN"/>
        </w:rPr>
      </w:pPr>
      <w:r>
        <w:rPr>
          <w:rFonts w:hint="eastAsia" w:ascii="Times New Roman" w:hAnsi="Times New Roman"/>
          <w:i w:val="0"/>
          <w:strike w:val="0"/>
          <w:color w:val="auto"/>
          <w:spacing w:val="0"/>
          <w:highlight w:val="none"/>
          <w:u w:val="none"/>
          <w:lang w:val="en-US" w:eastAsia="zh-CN"/>
        </w:rPr>
        <w:t>我局2024</w:t>
      </w:r>
      <w:r>
        <w:rPr>
          <w:rFonts w:hint="default" w:ascii="Times New Roman" w:hAnsi="Times New Roman"/>
          <w:i w:val="0"/>
          <w:strike w:val="0"/>
          <w:color w:val="auto"/>
          <w:spacing w:val="0"/>
          <w:highlight w:val="none"/>
          <w:u w:val="none"/>
          <w:lang w:val="en-US" w:eastAsia="zh-CN"/>
        </w:rPr>
        <w:t>年、2025年均无闲置资产。自评年度</w:t>
      </w:r>
      <w:r>
        <w:rPr>
          <w:rFonts w:hint="eastAsia" w:ascii="Times New Roman" w:hAnsi="Times New Roman"/>
          <w:i w:val="0"/>
          <w:strike w:val="0"/>
          <w:color w:val="auto"/>
          <w:spacing w:val="0"/>
          <w:highlight w:val="none"/>
          <w:u w:val="none"/>
          <w:lang w:val="en-US" w:eastAsia="zh-CN"/>
        </w:rPr>
        <w:t>我局</w:t>
      </w:r>
      <w:r>
        <w:rPr>
          <w:rFonts w:hint="default" w:ascii="Times New Roman" w:hAnsi="Times New Roman"/>
          <w:i w:val="0"/>
          <w:strike w:val="0"/>
          <w:color w:val="auto"/>
          <w:spacing w:val="0"/>
          <w:highlight w:val="none"/>
          <w:u w:val="none"/>
          <w:lang w:val="en-US" w:eastAsia="zh-CN"/>
        </w:rPr>
        <w:t>部门闲置资产占比变化率</w:t>
      </w:r>
      <w:r>
        <w:rPr>
          <w:rFonts w:hint="eastAsia" w:ascii="Times New Roman" w:hAnsi="Times New Roman"/>
          <w:i w:val="0"/>
          <w:strike w:val="0"/>
          <w:color w:val="auto"/>
          <w:spacing w:val="0"/>
          <w:highlight w:val="none"/>
          <w:u w:val="none"/>
          <w:lang w:val="en-US" w:eastAsia="zh-CN"/>
        </w:rPr>
        <w:t>为</w:t>
      </w:r>
      <w:r>
        <w:rPr>
          <w:rFonts w:hint="default" w:ascii="Times New Roman" w:hAnsi="Times New Roman"/>
          <w:i w:val="0"/>
          <w:strike w:val="0"/>
          <w:color w:val="auto"/>
          <w:spacing w:val="0"/>
          <w:highlight w:val="none"/>
          <w:u w:val="none"/>
          <w:lang w:val="en-US" w:eastAsia="zh-CN"/>
        </w:rPr>
        <w:t>0%。</w:t>
      </w:r>
    </w:p>
    <w:p w14:paraId="455C2CC1">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仿宋_GB2312"/>
          <w:i w:val="0"/>
          <w:strike w:val="0"/>
          <w:color w:val="auto"/>
          <w:spacing w:val="0"/>
          <w:highlight w:val="none"/>
          <w:u w:val="none"/>
          <w:lang w:val="en-US" w:eastAsia="zh-CN"/>
        </w:rPr>
      </w:pPr>
      <w:r>
        <w:rPr>
          <w:rFonts w:hint="eastAsia" w:ascii="Times New Roman" w:hAnsi="Times New Roman" w:eastAsia="仿宋_GB2312" w:cs="仿宋_GB2312"/>
          <w:i w:val="0"/>
          <w:strike w:val="0"/>
          <w:color w:val="auto"/>
          <w:spacing w:val="0"/>
          <w:highlight w:val="none"/>
          <w:u w:val="none"/>
          <w:lang w:val="en-US" w:eastAsia="zh-CN"/>
        </w:rPr>
        <w:t>根据评分标准，该项指标不扣分，得3分。</w:t>
      </w:r>
    </w:p>
    <w:p w14:paraId="1AABF7DB">
      <w:pPr>
        <w:pStyle w:val="3"/>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zh-CN"/>
        </w:rPr>
      </w:pPr>
      <w:r>
        <w:rPr>
          <w:rFonts w:hint="default" w:ascii="Times New Roman" w:hAnsi="Times New Roman" w:cs="Times New Roman"/>
          <w:color w:val="auto"/>
          <w:highlight w:val="none"/>
          <w:lang w:val="en-US" w:eastAsia="zh-CN"/>
        </w:rPr>
        <w:t>5</w:t>
      </w:r>
      <w:r>
        <w:rPr>
          <w:rFonts w:hint="eastAsia" w:ascii="Times New Roman" w:hAnsi="Times New Roman"/>
          <w:color w:val="auto"/>
          <w:highlight w:val="none"/>
          <w:lang w:val="en-US" w:eastAsia="zh-CN"/>
        </w:rPr>
        <w:t>.</w:t>
      </w:r>
      <w:r>
        <w:rPr>
          <w:rFonts w:hint="default" w:ascii="Times New Roman" w:hAnsi="Times New Roman"/>
          <w:color w:val="auto"/>
          <w:highlight w:val="none"/>
          <w:lang w:val="zh-CN"/>
        </w:rPr>
        <w:t>采购管理</w:t>
      </w:r>
    </w:p>
    <w:p w14:paraId="562B300D">
      <w:pPr>
        <w:pageBreakBefore w:val="0"/>
        <w:widowControl w:val="0"/>
        <w:kinsoku/>
        <w:wordWrap/>
        <w:overflowPunct/>
        <w:topLinePunct w:val="0"/>
        <w:autoSpaceDE/>
        <w:autoSpaceDN/>
        <w:bidi w:val="0"/>
        <w:adjustRightInd/>
        <w:snapToGrid/>
        <w:spacing w:line="600" w:lineRule="exact"/>
        <w:textAlignment w:val="auto"/>
        <w:outlineLvl w:val="3"/>
        <w:rPr>
          <w:rFonts w:hint="eastAsia" w:ascii="Times New Roman" w:hAnsi="Times New Roman"/>
          <w:color w:val="auto"/>
          <w:highlight w:val="none"/>
          <w:lang w:val="zh-CN"/>
        </w:rPr>
      </w:pPr>
      <w:r>
        <w:rPr>
          <w:rFonts w:hint="eastAsia" w:ascii="Times New Roman" w:hAnsi="Times New Roman"/>
          <w:color w:val="auto"/>
          <w:highlight w:val="none"/>
          <w:lang w:val="zh-CN"/>
        </w:rPr>
        <w:t>（</w:t>
      </w:r>
      <w:r>
        <w:rPr>
          <w:rFonts w:hint="default" w:ascii="Times New Roman" w:hAnsi="Times New Roman" w:cs="Times New Roman"/>
          <w:color w:val="auto"/>
          <w:highlight w:val="none"/>
          <w:lang w:val="en-US" w:eastAsia="zh-CN"/>
        </w:rPr>
        <w:t>1</w:t>
      </w:r>
      <w:r>
        <w:rPr>
          <w:rFonts w:hint="eastAsia" w:ascii="Times New Roman" w:hAnsi="Times New Roman"/>
          <w:color w:val="auto"/>
          <w:highlight w:val="none"/>
          <w:lang w:val="zh-CN"/>
        </w:rPr>
        <w:t>）支持中小企业发展</w:t>
      </w:r>
    </w:p>
    <w:p w14:paraId="481C1CAB">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我局严格执行政府采购促进中小企业发展相关管理办法，对适宜由中小企业提供的采购项目和采购包，预留了采购份额专门面向中小企业采购，并在采购预算中单独列示。2025年，我局采购预算为359.60万元，政府采购授予中小企业合同金额为155.69万元。</w:t>
      </w:r>
    </w:p>
    <w:p w14:paraId="2FA513B1">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根据评分标准，该项指标不扣分，得3分。</w:t>
      </w:r>
    </w:p>
    <w:p w14:paraId="64209123">
      <w:pPr>
        <w:pageBreakBefore w:val="0"/>
        <w:widowControl w:val="0"/>
        <w:kinsoku/>
        <w:wordWrap/>
        <w:overflowPunct/>
        <w:topLinePunct w:val="0"/>
        <w:autoSpaceDE/>
        <w:autoSpaceDN/>
        <w:bidi w:val="0"/>
        <w:adjustRightInd/>
        <w:snapToGrid/>
        <w:spacing w:line="600" w:lineRule="exact"/>
        <w:textAlignment w:val="auto"/>
        <w:outlineLvl w:val="3"/>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w:t>
      </w:r>
      <w:r>
        <w:rPr>
          <w:rFonts w:hint="default" w:ascii="Times New Roman" w:hAnsi="Times New Roman" w:cs="Times New Roman"/>
          <w:color w:val="auto"/>
          <w:highlight w:val="none"/>
          <w:lang w:val="en-US" w:eastAsia="zh-CN"/>
        </w:rPr>
        <w:t>2</w:t>
      </w:r>
      <w:r>
        <w:rPr>
          <w:rFonts w:hint="eastAsia" w:ascii="Times New Roman" w:hAnsi="Times New Roman"/>
          <w:color w:val="auto"/>
          <w:highlight w:val="none"/>
          <w:lang w:val="en-US" w:eastAsia="zh-CN"/>
        </w:rPr>
        <w:t>）采购执行率</w:t>
      </w:r>
    </w:p>
    <w:p w14:paraId="1D6FF82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我局2025年度的政府采购总预算数为359.60万元，当年政府采购预算执行数为426.34万元，已完成采购项目节约金额为0万元，故我局采购执行方面采购执行率为</w:t>
      </w:r>
      <w:r>
        <w:rPr>
          <w:rFonts w:hint="eastAsia"/>
          <w:color w:val="auto"/>
          <w:highlight w:val="none"/>
          <w:lang w:val="en-US" w:eastAsia="zh-CN"/>
        </w:rPr>
        <w:t>100%</w:t>
      </w:r>
      <w:r>
        <w:rPr>
          <w:rFonts w:hint="eastAsia" w:ascii="Times New Roman" w:hAnsi="Times New Roman"/>
          <w:color w:val="auto"/>
          <w:highlight w:val="none"/>
          <w:lang w:val="en-US" w:eastAsia="zh-CN"/>
        </w:rPr>
        <w:t>。</w:t>
      </w:r>
    </w:p>
    <w:p w14:paraId="019833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olor w:val="auto"/>
          <w:highlight w:val="none"/>
          <w:lang w:val="zh-CN" w:eastAsia="zh-CN"/>
        </w:rPr>
      </w:pPr>
      <w:r>
        <w:rPr>
          <w:rFonts w:hint="eastAsia" w:ascii="Times New Roman" w:hAnsi="Times New Roman"/>
          <w:color w:val="auto"/>
          <w:highlight w:val="none"/>
          <w:lang w:val="en-US" w:eastAsia="zh-CN"/>
        </w:rPr>
        <w:t>根据评分标准，该项指标不扣分，得3分。</w:t>
      </w:r>
    </w:p>
    <w:p w14:paraId="2215A50D">
      <w:pPr>
        <w:keepNext w:val="0"/>
        <w:keepLines w:val="0"/>
        <w:pageBreakBefore w:val="0"/>
        <w:widowControl/>
        <w:shd w:val="clear"/>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Cs w:val="32"/>
          <w:highlight w:val="none"/>
          <w:shd w:val="clear" w:color="auto" w:fill="FFFFFF"/>
          <w:lang w:val="zh-CN"/>
        </w:rPr>
        <w:t>（二）部门预算项目绩效分析</w:t>
      </w:r>
    </w:p>
    <w:p w14:paraId="16FE09E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常年项目绩效分析。</w:t>
      </w:r>
      <w:r>
        <w:rPr>
          <w:rFonts w:hint="default" w:ascii="Times New Roman" w:hAnsi="Times New Roman" w:cs="Times New Roman"/>
          <w:color w:val="000000"/>
          <w:kern w:val="0"/>
          <w:szCs w:val="32"/>
          <w:highlight w:val="none"/>
          <w:shd w:val="clear" w:color="auto" w:fill="FFFFFF"/>
          <w:lang w:val="zh-CN" w:eastAsia="zh-CN"/>
        </w:rPr>
        <w:t>该类项目总数</w:t>
      </w:r>
      <w:r>
        <w:rPr>
          <w:rFonts w:hint="eastAsia" w:ascii="Times New Roman" w:hAnsi="Times New Roman" w:cs="Times New Roman"/>
          <w:color w:val="000000"/>
          <w:kern w:val="0"/>
          <w:szCs w:val="32"/>
          <w:highlight w:val="none"/>
          <w:shd w:val="clear" w:color="auto" w:fill="FFFFFF"/>
          <w:lang w:val="en-US" w:eastAsia="zh-CN"/>
        </w:rPr>
        <w:t>21</w:t>
      </w:r>
      <w:r>
        <w:rPr>
          <w:rFonts w:hint="default" w:ascii="Times New Roman" w:hAnsi="Times New Roman" w:cs="Times New Roman"/>
          <w:color w:val="000000"/>
          <w:kern w:val="0"/>
          <w:szCs w:val="32"/>
          <w:highlight w:val="none"/>
          <w:shd w:val="clear" w:color="auto" w:fill="FFFFFF"/>
          <w:lang w:val="zh-CN" w:eastAsia="zh-CN"/>
        </w:rPr>
        <w:t>个，涉及预算总金额</w:t>
      </w:r>
      <w:r>
        <w:rPr>
          <w:rFonts w:hint="eastAsia" w:ascii="Times New Roman" w:hAnsi="Times New Roman" w:cs="Times New Roman"/>
          <w:color w:val="000000"/>
          <w:kern w:val="0"/>
          <w:szCs w:val="32"/>
          <w:highlight w:val="none"/>
          <w:shd w:val="clear" w:color="auto" w:fill="FFFFFF"/>
          <w:lang w:val="en-US" w:eastAsia="zh-CN"/>
        </w:rPr>
        <w:t>470.93</w:t>
      </w:r>
      <w:r>
        <w:rPr>
          <w:rFonts w:hint="default" w:ascii="Times New Roman" w:hAnsi="Times New Roman" w:cs="Times New Roman"/>
          <w:color w:val="000000"/>
          <w:kern w:val="0"/>
          <w:szCs w:val="32"/>
          <w:highlight w:val="none"/>
          <w:shd w:val="clear" w:color="auto" w:fill="FFFFFF"/>
          <w:lang w:val="zh-CN" w:eastAsia="zh-CN"/>
        </w:rPr>
        <w:t>万元，1—1</w:t>
      </w:r>
      <w:r>
        <w:rPr>
          <w:rFonts w:hint="default" w:ascii="Times New Roman" w:hAnsi="Times New Roman" w:cs="Times New Roman"/>
          <w:color w:val="000000"/>
          <w:kern w:val="0"/>
          <w:szCs w:val="32"/>
          <w:highlight w:val="none"/>
          <w:shd w:val="clear" w:color="auto" w:fill="FFFFFF"/>
          <w:lang w:val="en-US" w:eastAsia="zh-CN"/>
        </w:rPr>
        <w:t>2</w:t>
      </w:r>
      <w:r>
        <w:rPr>
          <w:rFonts w:hint="default" w:ascii="Times New Roman" w:hAnsi="Times New Roman" w:cs="Times New Roman"/>
          <w:color w:val="000000"/>
          <w:kern w:val="0"/>
          <w:szCs w:val="32"/>
          <w:highlight w:val="none"/>
          <w:shd w:val="clear" w:color="auto" w:fill="FFFFFF"/>
          <w:lang w:val="zh-CN" w:eastAsia="zh-CN"/>
        </w:rPr>
        <w:t>月预算执行总体进度为</w:t>
      </w:r>
      <w:r>
        <w:rPr>
          <w:rFonts w:hint="eastAsia" w:ascii="Times New Roman" w:hAnsi="Times New Roman" w:cs="Times New Roman"/>
          <w:color w:val="000000"/>
          <w:kern w:val="0"/>
          <w:szCs w:val="32"/>
          <w:highlight w:val="none"/>
          <w:shd w:val="clear" w:color="auto" w:fill="FFFFFF"/>
          <w:lang w:val="en-US" w:eastAsia="zh-CN"/>
        </w:rPr>
        <w:t>100.00%</w:t>
      </w:r>
      <w:r>
        <w:rPr>
          <w:rFonts w:hint="eastAsia" w:ascii="Times New Roman" w:hAnsi="Times New Roman" w:cs="Times New Roman"/>
          <w:color w:val="000000"/>
          <w:kern w:val="0"/>
          <w:szCs w:val="32"/>
          <w:highlight w:val="none"/>
          <w:shd w:val="clear" w:color="auto" w:fill="FFFFFF"/>
          <w:lang w:val="zh-CN" w:eastAsia="zh-CN"/>
        </w:rPr>
        <w:t>，</w:t>
      </w:r>
      <w:r>
        <w:rPr>
          <w:rFonts w:hint="default" w:ascii="Times New Roman" w:hAnsi="Times New Roman" w:cs="Times New Roman"/>
          <w:color w:val="000000"/>
          <w:kern w:val="0"/>
          <w:szCs w:val="32"/>
          <w:highlight w:val="none"/>
          <w:shd w:val="clear" w:color="auto" w:fill="FFFFFF"/>
          <w:lang w:val="zh-CN" w:eastAsia="zh-CN"/>
        </w:rPr>
        <w:t>其中：预算结余率大于</w:t>
      </w:r>
      <w:r>
        <w:rPr>
          <w:rFonts w:hint="default" w:ascii="Times New Roman" w:hAnsi="Times New Roman" w:cs="Times New Roman"/>
          <w:color w:val="000000"/>
          <w:kern w:val="0"/>
          <w:szCs w:val="32"/>
          <w:highlight w:val="none"/>
          <w:shd w:val="clear" w:color="auto" w:fill="FFFFFF"/>
          <w:lang w:val="en-US" w:eastAsia="zh-CN"/>
        </w:rPr>
        <w:t>10%</w:t>
      </w:r>
      <w:r>
        <w:rPr>
          <w:rFonts w:hint="default" w:ascii="Times New Roman" w:hAnsi="Times New Roman" w:cs="Times New Roman"/>
          <w:color w:val="000000"/>
          <w:kern w:val="0"/>
          <w:szCs w:val="32"/>
          <w:highlight w:val="none"/>
          <w:shd w:val="clear" w:color="auto" w:fill="FFFFFF"/>
          <w:lang w:val="zh-CN" w:eastAsia="zh-CN"/>
        </w:rPr>
        <w:t>的项目共计</w:t>
      </w:r>
      <w:r>
        <w:rPr>
          <w:rFonts w:hint="eastAsia" w:ascii="Times New Roman" w:hAnsi="Times New Roman" w:cs="Times New Roman"/>
          <w:color w:val="000000"/>
          <w:kern w:val="0"/>
          <w:szCs w:val="32"/>
          <w:highlight w:val="none"/>
          <w:shd w:val="clear" w:color="auto" w:fill="FFFFFF"/>
          <w:lang w:val="en-US" w:eastAsia="zh-CN"/>
        </w:rPr>
        <w:t>0</w:t>
      </w:r>
      <w:r>
        <w:rPr>
          <w:rFonts w:hint="default" w:ascii="Times New Roman" w:hAnsi="Times New Roman" w:cs="Times New Roman"/>
          <w:color w:val="000000"/>
          <w:kern w:val="0"/>
          <w:szCs w:val="32"/>
          <w:highlight w:val="none"/>
          <w:shd w:val="clear" w:color="auto" w:fill="FFFFFF"/>
          <w:lang w:val="zh-CN" w:eastAsia="zh-CN"/>
        </w:rPr>
        <w:t>个</w:t>
      </w:r>
      <w:r>
        <w:rPr>
          <w:rFonts w:hint="eastAsia" w:ascii="Times New Roman" w:hAnsi="Times New Roman" w:cs="Times New Roman"/>
          <w:color w:val="000000"/>
          <w:kern w:val="0"/>
          <w:szCs w:val="32"/>
          <w:highlight w:val="none"/>
          <w:shd w:val="clear" w:color="auto" w:fill="FFFFFF"/>
          <w:lang w:val="zh-CN" w:eastAsia="zh-CN"/>
        </w:rPr>
        <w:t>。</w:t>
      </w:r>
    </w:p>
    <w:p w14:paraId="071B935C">
      <w:pPr>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sz w:val="32"/>
          <w:szCs w:val="32"/>
          <w:highlight w:val="none"/>
          <w:lang w:val="zh-CN" w:eastAsia="zh-CN"/>
        </w:rPr>
      </w:pPr>
      <w:r>
        <w:rPr>
          <w:rFonts w:hint="default" w:ascii="Times New Roman" w:hAnsi="Times New Roman"/>
          <w:sz w:val="32"/>
          <w:szCs w:val="32"/>
          <w:highlight w:val="none"/>
          <w:lang w:val="en-US" w:eastAsia="zh-CN"/>
        </w:rPr>
        <w:t>阶段</w:t>
      </w:r>
      <w:r>
        <w:rPr>
          <w:rFonts w:hint="eastAsia" w:ascii="Times New Roman" w:hAnsi="Times New Roman"/>
          <w:sz w:val="32"/>
          <w:szCs w:val="32"/>
          <w:highlight w:val="none"/>
          <w:lang w:val="en-US" w:eastAsia="zh-CN"/>
        </w:rPr>
        <w:t>（含</w:t>
      </w:r>
      <w:r>
        <w:rPr>
          <w:rFonts w:hint="default" w:ascii="Times New Roman" w:hAnsi="Times New Roman"/>
          <w:sz w:val="32"/>
          <w:szCs w:val="32"/>
          <w:highlight w:val="none"/>
          <w:lang w:val="en-US" w:eastAsia="zh-CN"/>
        </w:rPr>
        <w:t>一次性</w:t>
      </w:r>
      <w:r>
        <w:rPr>
          <w:rFonts w:hint="eastAsia" w:ascii="Times New Roman" w:hAnsi="Times New Roman"/>
          <w:sz w:val="32"/>
          <w:szCs w:val="32"/>
          <w:highlight w:val="none"/>
          <w:lang w:val="en-US" w:eastAsia="zh-CN"/>
        </w:rPr>
        <w:t>）</w:t>
      </w:r>
      <w:r>
        <w:rPr>
          <w:rFonts w:hint="default" w:ascii="Times New Roman" w:hAnsi="Times New Roman"/>
          <w:sz w:val="32"/>
          <w:szCs w:val="32"/>
          <w:highlight w:val="none"/>
          <w:lang w:val="en-US" w:eastAsia="zh-CN"/>
        </w:rPr>
        <w:t>项目绩效分析。</w:t>
      </w:r>
      <w:r>
        <w:rPr>
          <w:rFonts w:hint="default" w:ascii="Times New Roman" w:hAnsi="Times New Roman"/>
          <w:sz w:val="32"/>
          <w:szCs w:val="32"/>
          <w:highlight w:val="none"/>
          <w:lang w:val="zh-CN" w:eastAsia="zh-CN"/>
        </w:rPr>
        <w:t>该类项目总数</w:t>
      </w:r>
      <w:r>
        <w:rPr>
          <w:rFonts w:hint="eastAsia" w:ascii="Times New Roman" w:hAnsi="Times New Roman"/>
          <w:sz w:val="32"/>
          <w:szCs w:val="32"/>
          <w:highlight w:val="none"/>
          <w:lang w:val="en-US" w:eastAsia="zh-CN"/>
        </w:rPr>
        <w:t>30</w:t>
      </w:r>
      <w:r>
        <w:rPr>
          <w:rFonts w:hint="default" w:ascii="Times New Roman" w:hAnsi="Times New Roman"/>
          <w:sz w:val="32"/>
          <w:szCs w:val="32"/>
          <w:highlight w:val="none"/>
          <w:lang w:val="zh-CN" w:eastAsia="zh-CN"/>
        </w:rPr>
        <w:t>个，涉及预算总金额</w:t>
      </w:r>
      <w:r>
        <w:rPr>
          <w:rFonts w:hint="eastAsia" w:ascii="Times New Roman" w:hAnsi="Times New Roman"/>
          <w:sz w:val="32"/>
          <w:szCs w:val="32"/>
          <w:highlight w:val="none"/>
          <w:lang w:val="en-US" w:eastAsia="zh-CN"/>
        </w:rPr>
        <w:t>454.98</w:t>
      </w:r>
      <w:r>
        <w:rPr>
          <w:rFonts w:hint="default" w:ascii="Times New Roman" w:hAnsi="Times New Roman"/>
          <w:sz w:val="32"/>
          <w:szCs w:val="32"/>
          <w:highlight w:val="none"/>
          <w:lang w:val="zh-CN" w:eastAsia="zh-CN"/>
        </w:rPr>
        <w:t>万元，1—1</w:t>
      </w:r>
      <w:r>
        <w:rPr>
          <w:rFonts w:hint="default" w:ascii="Times New Roman" w:hAnsi="Times New Roman"/>
          <w:sz w:val="32"/>
          <w:szCs w:val="32"/>
          <w:highlight w:val="none"/>
          <w:lang w:val="en-US" w:eastAsia="zh-CN"/>
        </w:rPr>
        <w:t>2</w:t>
      </w:r>
      <w:r>
        <w:rPr>
          <w:rFonts w:hint="default" w:ascii="Times New Roman" w:hAnsi="Times New Roman"/>
          <w:sz w:val="32"/>
          <w:szCs w:val="32"/>
          <w:highlight w:val="none"/>
          <w:lang w:val="zh-CN" w:eastAsia="zh-CN"/>
        </w:rPr>
        <w:t>月预算执行总体进度为</w:t>
      </w:r>
      <w:r>
        <w:rPr>
          <w:rFonts w:hint="eastAsia" w:ascii="Times New Roman" w:hAnsi="Times New Roman"/>
          <w:sz w:val="32"/>
          <w:szCs w:val="32"/>
          <w:highlight w:val="none"/>
          <w:lang w:val="en-US" w:eastAsia="zh-CN"/>
        </w:rPr>
        <w:t>99.99</w:t>
      </w:r>
      <w:r>
        <w:rPr>
          <w:rFonts w:hint="default" w:ascii="Times New Roman" w:hAnsi="Times New Roman"/>
          <w:sz w:val="32"/>
          <w:szCs w:val="32"/>
          <w:highlight w:val="none"/>
          <w:lang w:val="zh-CN" w:eastAsia="zh-CN"/>
        </w:rPr>
        <w:t>%</w:t>
      </w:r>
      <w:r>
        <w:rPr>
          <w:rFonts w:hint="eastAsia" w:ascii="Times New Roman" w:hAnsi="Times New Roman"/>
          <w:sz w:val="32"/>
          <w:szCs w:val="32"/>
          <w:highlight w:val="none"/>
          <w:lang w:val="zh-CN" w:eastAsia="zh-CN"/>
        </w:rPr>
        <w:t>，</w:t>
      </w:r>
      <w:r>
        <w:rPr>
          <w:rFonts w:hint="eastAsia" w:ascii="Times New Roman" w:hAnsi="Times New Roman"/>
          <w:sz w:val="32"/>
          <w:szCs w:val="32"/>
          <w:highlight w:val="none"/>
          <w:lang w:val="en-US" w:eastAsia="zh-CN"/>
        </w:rPr>
        <w:t>其中；</w:t>
      </w:r>
      <w:r>
        <w:rPr>
          <w:rFonts w:hint="default" w:ascii="Times New Roman" w:hAnsi="Times New Roman"/>
          <w:sz w:val="32"/>
          <w:szCs w:val="32"/>
          <w:highlight w:val="none"/>
          <w:lang w:val="zh-CN" w:eastAsia="zh-CN"/>
        </w:rPr>
        <w:t>预算结余率大于</w:t>
      </w:r>
      <w:r>
        <w:rPr>
          <w:rFonts w:hint="default" w:ascii="Times New Roman" w:hAnsi="Times New Roman"/>
          <w:sz w:val="32"/>
          <w:szCs w:val="32"/>
          <w:highlight w:val="none"/>
          <w:lang w:val="en-US" w:eastAsia="zh-CN"/>
        </w:rPr>
        <w:t>10%</w:t>
      </w:r>
      <w:r>
        <w:rPr>
          <w:rFonts w:hint="default" w:ascii="Times New Roman" w:hAnsi="Times New Roman"/>
          <w:sz w:val="32"/>
          <w:szCs w:val="32"/>
          <w:highlight w:val="none"/>
          <w:lang w:val="zh-CN" w:eastAsia="zh-CN"/>
        </w:rPr>
        <w:t>的项目共计</w:t>
      </w:r>
      <w:r>
        <w:rPr>
          <w:rFonts w:hint="eastAsia" w:ascii="Times New Roman" w:hAnsi="Times New Roman"/>
          <w:sz w:val="32"/>
          <w:szCs w:val="32"/>
          <w:highlight w:val="none"/>
          <w:lang w:val="en-US" w:eastAsia="zh-CN"/>
        </w:rPr>
        <w:t>0</w:t>
      </w:r>
      <w:r>
        <w:rPr>
          <w:rFonts w:hint="default" w:ascii="Times New Roman" w:hAnsi="Times New Roman"/>
          <w:sz w:val="32"/>
          <w:szCs w:val="32"/>
          <w:highlight w:val="none"/>
          <w:lang w:val="zh-CN" w:eastAsia="zh-CN"/>
        </w:rPr>
        <w:t>个</w:t>
      </w:r>
      <w:r>
        <w:rPr>
          <w:rFonts w:hint="eastAsia" w:ascii="Times New Roman" w:hAnsi="Times New Roman"/>
          <w:sz w:val="32"/>
          <w:szCs w:val="32"/>
          <w:highlight w:val="none"/>
          <w:lang w:val="zh-CN" w:eastAsia="zh-CN"/>
        </w:rPr>
        <w:t>。</w:t>
      </w:r>
    </w:p>
    <w:p w14:paraId="2756FC2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2"/>
        <w:rPr>
          <w:rFonts w:hint="eastAsia" w:ascii="Times New Roman" w:hAnsi="Times New Roman" w:eastAsia="楷体_GB2312" w:cs="楷体_GB2312"/>
          <w:color w:val="000000"/>
          <w:kern w:val="0"/>
          <w:szCs w:val="32"/>
          <w:highlight w:val="none"/>
          <w:shd w:val="clear" w:color="auto" w:fill="FFFFFF"/>
          <w:lang w:val="zh-CN"/>
        </w:rPr>
      </w:pPr>
      <w:r>
        <w:rPr>
          <w:rFonts w:hint="default" w:ascii="Times New Roman" w:hAnsi="Times New Roman" w:eastAsia="楷体_GB2312" w:cs="Times New Roman"/>
          <w:color w:val="000000"/>
          <w:kern w:val="0"/>
          <w:szCs w:val="32"/>
          <w:highlight w:val="none"/>
          <w:shd w:val="clear" w:color="auto" w:fill="FFFFFF"/>
          <w:lang w:val="en-US" w:eastAsia="zh-CN"/>
        </w:rPr>
        <w:t>1</w:t>
      </w:r>
      <w:r>
        <w:rPr>
          <w:rFonts w:hint="eastAsia" w:ascii="Times New Roman" w:hAnsi="Times New Roman" w:eastAsia="楷体_GB2312" w:cs="楷体_GB2312"/>
          <w:color w:val="000000"/>
          <w:kern w:val="0"/>
          <w:szCs w:val="32"/>
          <w:highlight w:val="none"/>
          <w:shd w:val="clear" w:color="auto" w:fill="FFFFFF"/>
          <w:lang w:val="en-US" w:eastAsia="zh-CN"/>
        </w:rPr>
        <w:t>.</w:t>
      </w:r>
      <w:r>
        <w:rPr>
          <w:rFonts w:hint="eastAsia" w:ascii="Times New Roman" w:hAnsi="Times New Roman" w:eastAsia="楷体_GB2312" w:cs="楷体_GB2312"/>
          <w:color w:val="000000"/>
          <w:kern w:val="0"/>
          <w:szCs w:val="32"/>
          <w:highlight w:val="none"/>
          <w:shd w:val="clear" w:color="auto" w:fill="FFFFFF"/>
          <w:lang w:val="zh-CN"/>
        </w:rPr>
        <w:t>项目决策</w:t>
      </w:r>
    </w:p>
    <w:p w14:paraId="6B8CFE5C">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highlight w:val="none"/>
          <w:lang w:val="zh-CN"/>
        </w:rPr>
      </w:pPr>
      <w:r>
        <w:rPr>
          <w:rFonts w:hint="eastAsia" w:ascii="Times New Roman" w:hAnsi="Times New Roman"/>
          <w:highlight w:val="none"/>
          <w:lang w:val="zh-CN"/>
        </w:rPr>
        <w:t>（</w:t>
      </w:r>
      <w:r>
        <w:rPr>
          <w:rFonts w:hint="default" w:ascii="Times New Roman" w:hAnsi="Times New Roman" w:cs="Times New Roman"/>
          <w:highlight w:val="none"/>
          <w:lang w:val="en-US" w:eastAsia="zh-CN"/>
        </w:rPr>
        <w:t>1</w:t>
      </w:r>
      <w:r>
        <w:rPr>
          <w:rFonts w:hint="eastAsia" w:ascii="Times New Roman" w:hAnsi="Times New Roman"/>
          <w:highlight w:val="none"/>
          <w:lang w:val="zh-CN"/>
        </w:rPr>
        <w:t>）决策程序</w:t>
      </w:r>
    </w:p>
    <w:p w14:paraId="7A029ECB">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sz w:val="32"/>
          <w:szCs w:val="32"/>
          <w:highlight w:val="none"/>
          <w:lang w:val="en-US" w:eastAsia="zh-CN"/>
        </w:rPr>
      </w:pPr>
      <w:r>
        <w:rPr>
          <w:rFonts w:hint="eastAsia" w:ascii="Times New Roman" w:hAnsi="Times New Roman"/>
          <w:sz w:val="32"/>
          <w:szCs w:val="32"/>
          <w:highlight w:val="none"/>
          <w:lang w:val="en-US" w:eastAsia="zh-CN"/>
        </w:rPr>
        <w:t>根据事前绩效评估相关要求，</w:t>
      </w:r>
      <w:r>
        <w:rPr>
          <w:rFonts w:hint="eastAsia" w:ascii="Times New Roman" w:hAnsi="Times New Roman" w:cs="Times New Roman"/>
          <w:sz w:val="32"/>
          <w:szCs w:val="32"/>
          <w:highlight w:val="none"/>
          <w:lang w:val="en-US" w:eastAsia="zh-CN"/>
        </w:rPr>
        <w:t>2025年</w:t>
      </w:r>
      <w:r>
        <w:rPr>
          <w:rFonts w:hint="eastAsia" w:ascii="Times New Roman" w:hAnsi="Times New Roman"/>
          <w:sz w:val="32"/>
          <w:szCs w:val="32"/>
          <w:highlight w:val="none"/>
          <w:lang w:val="en-US" w:eastAsia="zh-CN"/>
        </w:rPr>
        <w:t>我局</w:t>
      </w:r>
      <w:r>
        <w:rPr>
          <w:rFonts w:hint="eastAsia" w:ascii="Times New Roman" w:hAnsi="Times New Roman" w:cs="Times New Roman"/>
          <w:color w:val="000000"/>
          <w:kern w:val="0"/>
          <w:sz w:val="32"/>
          <w:szCs w:val="32"/>
          <w:highlight w:val="none"/>
          <w:shd w:val="clear" w:color="auto" w:fill="FFFFFF"/>
          <w:lang w:val="en-US" w:eastAsia="zh-CN"/>
        </w:rPr>
        <w:t>51个</w:t>
      </w:r>
      <w:r>
        <w:rPr>
          <w:rFonts w:hint="default" w:ascii="Times New Roman" w:hAnsi="Times New Roman" w:cs="Times New Roman"/>
          <w:color w:val="000000"/>
          <w:kern w:val="0"/>
          <w:sz w:val="32"/>
          <w:szCs w:val="32"/>
          <w:highlight w:val="none"/>
          <w:shd w:val="clear" w:color="auto" w:fill="FFFFFF"/>
          <w:lang w:val="en-US" w:eastAsia="zh-CN"/>
        </w:rPr>
        <w:t>预算阶段项目（含一次性项目）</w:t>
      </w:r>
      <w:r>
        <w:rPr>
          <w:rFonts w:hint="eastAsia" w:ascii="Times New Roman" w:hAnsi="Times New Roman" w:cs="Times New Roman"/>
          <w:color w:val="000000"/>
          <w:kern w:val="0"/>
          <w:sz w:val="32"/>
          <w:szCs w:val="32"/>
          <w:highlight w:val="none"/>
          <w:shd w:val="clear" w:color="auto" w:fill="FFFFFF"/>
          <w:lang w:val="en-US" w:eastAsia="zh-CN"/>
        </w:rPr>
        <w:t>均</w:t>
      </w:r>
      <w:r>
        <w:rPr>
          <w:rFonts w:hint="eastAsia" w:ascii="Times New Roman" w:hAnsi="Times New Roman"/>
          <w:sz w:val="32"/>
          <w:szCs w:val="32"/>
          <w:highlight w:val="none"/>
          <w:lang w:val="en-US" w:eastAsia="zh-CN"/>
        </w:rPr>
        <w:t>严格履行事前评估程序，项目立项依据充分，决策程序规范。</w:t>
      </w:r>
    </w:p>
    <w:p w14:paraId="27C75CAE">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olor w:val="auto"/>
          <w:highlight w:val="none"/>
          <w:lang w:val="en-US" w:eastAsia="zh-CN"/>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46D568C0">
      <w:pPr>
        <w:pageBreakBefore w:val="0"/>
        <w:widowControl w:val="0"/>
        <w:kinsoku/>
        <w:wordWrap/>
        <w:overflowPunct/>
        <w:topLinePunct w:val="0"/>
        <w:autoSpaceDE/>
        <w:autoSpaceDN/>
        <w:bidi w:val="0"/>
        <w:adjustRightInd/>
        <w:snapToGrid/>
        <w:spacing w:line="600" w:lineRule="exact"/>
        <w:textAlignment w:val="auto"/>
        <w:outlineLvl w:val="2"/>
        <w:rPr>
          <w:rFonts w:hint="default" w:ascii="Times New Roman" w:hAnsi="Times New Roman"/>
          <w:highlight w:val="none"/>
          <w:lang w:val="en-US" w:eastAsia="zh-CN"/>
        </w:rPr>
      </w:pP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2</w:t>
      </w:r>
      <w:r>
        <w:rPr>
          <w:rFonts w:hint="eastAsia" w:ascii="Times New Roman" w:hAnsi="Times New Roman"/>
          <w:highlight w:val="none"/>
          <w:lang w:val="en-US" w:eastAsia="zh-CN"/>
        </w:rPr>
        <w:t>）目标设置</w:t>
      </w:r>
    </w:p>
    <w:p w14:paraId="26BEF681">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highlight w:val="none"/>
          <w:lang w:val="en-US" w:eastAsia="zh-CN"/>
        </w:rPr>
      </w:pPr>
      <w:r>
        <w:rPr>
          <w:rFonts w:hint="eastAsia" w:ascii="Times New Roman" w:hAnsi="Times New Roman" w:cs="Times New Roman"/>
          <w:highlight w:val="none"/>
          <w:lang w:val="en-US" w:eastAsia="zh-CN"/>
        </w:rPr>
        <w:t>2025年</w:t>
      </w:r>
      <w:r>
        <w:rPr>
          <w:rFonts w:hint="eastAsia" w:ascii="Times New Roman" w:hAnsi="Times New Roman"/>
          <w:highlight w:val="none"/>
          <w:lang w:val="en-US" w:eastAsia="zh-CN"/>
        </w:rPr>
        <w:t>我局</w:t>
      </w:r>
      <w:r>
        <w:rPr>
          <w:rFonts w:hint="default" w:ascii="Times New Roman" w:hAnsi="Times New Roman" w:eastAsia="仿宋_GB2312" w:cs="Times New Roman"/>
          <w:b w:val="0"/>
          <w:bCs w:val="0"/>
          <w:color w:val="000000"/>
          <w:kern w:val="0"/>
          <w:sz w:val="33"/>
          <w:szCs w:val="33"/>
          <w:highlight w:val="none"/>
          <w:shd w:val="clear" w:color="auto" w:fill="FFFFFF"/>
          <w:lang w:val="zh-CN"/>
        </w:rPr>
        <w:t>开展绩效目标管理的</w:t>
      </w:r>
      <w:r>
        <w:rPr>
          <w:rFonts w:hint="eastAsia" w:ascii="Times New Roman" w:hAnsi="Times New Roman"/>
          <w:highlight w:val="none"/>
          <w:lang w:val="en-US" w:eastAsia="zh-CN"/>
        </w:rPr>
        <w:t>部门预算阶段项目（含一次性项目）共有</w:t>
      </w:r>
      <w:r>
        <w:rPr>
          <w:rFonts w:hint="eastAsia" w:ascii="Times New Roman" w:hAnsi="Times New Roman" w:cs="Times New Roman"/>
          <w:color w:val="000000"/>
          <w:kern w:val="0"/>
          <w:szCs w:val="32"/>
          <w:highlight w:val="none"/>
          <w:shd w:val="clear" w:color="auto" w:fill="FFFFFF"/>
          <w:lang w:val="en-US" w:eastAsia="zh-CN"/>
        </w:rPr>
        <w:t>51</w:t>
      </w:r>
      <w:r>
        <w:rPr>
          <w:rFonts w:hint="eastAsia" w:ascii="Times New Roman" w:hAnsi="Times New Roman"/>
          <w:highlight w:val="none"/>
          <w:lang w:val="en-US" w:eastAsia="zh-CN"/>
        </w:rPr>
        <w:t>个</w:t>
      </w:r>
      <w:r>
        <w:rPr>
          <w:rFonts w:hint="eastAsia" w:ascii="Times New Roman" w:hAnsi="Times New Roman"/>
          <w:highlight w:val="none"/>
          <w:lang w:val="zh-CN"/>
        </w:rPr>
        <w:t>，</w:t>
      </w:r>
      <w:r>
        <w:rPr>
          <w:rFonts w:hint="eastAsia" w:ascii="Times New Roman" w:hAnsi="Times New Roman"/>
          <w:highlight w:val="none"/>
          <w:lang w:val="en-US" w:eastAsia="zh-CN"/>
        </w:rPr>
        <w:t>为充分发挥绩效目标引领作用，</w:t>
      </w:r>
      <w:r>
        <w:rPr>
          <w:rFonts w:hint="eastAsia" w:ascii="Times New Roman" w:hAnsi="Times New Roman"/>
          <w:highlight w:val="none"/>
          <w:lang w:val="zh-CN"/>
        </w:rPr>
        <w:t>我局</w:t>
      </w:r>
      <w:r>
        <w:rPr>
          <w:rFonts w:hint="eastAsia" w:ascii="Times New Roman" w:hAnsi="Times New Roman"/>
          <w:highlight w:val="none"/>
          <w:lang w:val="en-US" w:eastAsia="zh-CN"/>
        </w:rPr>
        <w:t>贯彻落实《中共四川省委办公厅四川省人民政府办公厅关于深入实施预算绩效管理的通知》（川委厅〔</w:t>
      </w:r>
      <w:r>
        <w:rPr>
          <w:rFonts w:hint="default" w:ascii="Times New Roman" w:hAnsi="Times New Roman" w:cs="Times New Roman"/>
          <w:highlight w:val="none"/>
          <w:lang w:val="en-US" w:eastAsia="zh-CN"/>
        </w:rPr>
        <w:t>2021</w:t>
      </w: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5</w:t>
      </w:r>
      <w:r>
        <w:rPr>
          <w:rFonts w:hint="eastAsia" w:ascii="Times New Roman" w:hAnsi="Times New Roman"/>
          <w:highlight w:val="none"/>
          <w:lang w:val="en-US" w:eastAsia="zh-CN"/>
        </w:rPr>
        <w:t>号）文件精神，</w:t>
      </w:r>
      <w:r>
        <w:rPr>
          <w:rFonts w:hint="eastAsia" w:ascii="Times New Roman" w:hAnsi="Times New Roman" w:cs="Times New Roman"/>
          <w:color w:val="000000"/>
          <w:kern w:val="0"/>
          <w:szCs w:val="32"/>
          <w:highlight w:val="none"/>
          <w:shd w:val="clear" w:color="auto" w:fill="FFFFFF"/>
          <w:lang w:val="en-US" w:eastAsia="zh-CN"/>
        </w:rPr>
        <w:t>51</w:t>
      </w:r>
      <w:r>
        <w:rPr>
          <w:rFonts w:hint="eastAsia" w:ascii="Times New Roman" w:hAnsi="Times New Roman"/>
          <w:highlight w:val="none"/>
          <w:lang w:val="en-US" w:eastAsia="zh-CN"/>
        </w:rPr>
        <w:t>个项目均设置了相应的绩效目标表。</w:t>
      </w:r>
    </w:p>
    <w:p w14:paraId="28CBBA1C">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olor w:val="auto"/>
          <w:highlight w:val="none"/>
          <w:lang w:val="en-US" w:eastAsia="zh-CN"/>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25F0EB7F">
      <w:pPr>
        <w:pageBreakBefore w:val="0"/>
        <w:widowControl w:val="0"/>
        <w:kinsoku/>
        <w:wordWrap/>
        <w:overflowPunct/>
        <w:topLinePunct w:val="0"/>
        <w:autoSpaceDE/>
        <w:autoSpaceDN/>
        <w:bidi w:val="0"/>
        <w:adjustRightInd/>
        <w:snapToGrid/>
        <w:spacing w:line="600" w:lineRule="exact"/>
        <w:textAlignment w:val="auto"/>
        <w:outlineLvl w:val="2"/>
        <w:rPr>
          <w:rFonts w:hint="default" w:ascii="Times New Roman" w:hAnsi="Times New Roman"/>
          <w:highlight w:val="none"/>
          <w:lang w:val="en-US" w:eastAsia="zh-CN"/>
        </w:rPr>
      </w:pPr>
      <w:r>
        <w:rPr>
          <w:rFonts w:hint="eastAsia" w:ascii="Times New Roman" w:hAnsi="Times New Roman"/>
          <w:highlight w:val="none"/>
          <w:lang w:val="en-US" w:eastAsia="zh-CN"/>
        </w:rPr>
        <w:t>（</w:t>
      </w:r>
      <w:r>
        <w:rPr>
          <w:rFonts w:hint="default" w:ascii="Times New Roman" w:hAnsi="Times New Roman" w:cs="Times New Roman"/>
          <w:highlight w:val="none"/>
          <w:lang w:val="en-US" w:eastAsia="zh-CN"/>
        </w:rPr>
        <w:t>3</w:t>
      </w:r>
      <w:r>
        <w:rPr>
          <w:rFonts w:hint="eastAsia" w:ascii="Times New Roman" w:hAnsi="Times New Roman"/>
          <w:highlight w:val="none"/>
          <w:lang w:val="en-US" w:eastAsia="zh-CN"/>
        </w:rPr>
        <w:t>）项目入库</w:t>
      </w:r>
    </w:p>
    <w:p w14:paraId="7B4E56CA">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highlight w:val="none"/>
          <w:lang w:val="en-US" w:eastAsia="zh-CN"/>
        </w:rPr>
      </w:pPr>
      <w:r>
        <w:rPr>
          <w:rFonts w:hint="eastAsia" w:ascii="Times New Roman" w:hAnsi="Times New Roman" w:cs="Times New Roman"/>
          <w:highlight w:val="none"/>
          <w:lang w:val="zh-CN"/>
        </w:rPr>
        <w:t>2025年</w:t>
      </w:r>
      <w:r>
        <w:rPr>
          <w:rFonts w:hint="eastAsia" w:ascii="Times New Roman" w:hAnsi="Times New Roman"/>
          <w:highlight w:val="none"/>
          <w:lang w:val="zh-CN"/>
        </w:rPr>
        <w:t>我局需在</w:t>
      </w:r>
      <w:r>
        <w:rPr>
          <w:rFonts w:hint="eastAsia" w:ascii="Times New Roman" w:hAnsi="Times New Roman"/>
          <w:highlight w:val="none"/>
          <w:lang w:val="en-US" w:eastAsia="zh-CN"/>
        </w:rPr>
        <w:t>规定时间内进行入库的</w:t>
      </w:r>
      <w:r>
        <w:rPr>
          <w:rFonts w:hint="eastAsia" w:ascii="Times New Roman" w:hAnsi="Times New Roman"/>
          <w:highlight w:val="none"/>
          <w:lang w:val="zh-CN"/>
        </w:rPr>
        <w:t>项目共有</w:t>
      </w:r>
      <w:r>
        <w:rPr>
          <w:rFonts w:hint="eastAsia" w:ascii="Times New Roman" w:hAnsi="Times New Roman" w:cs="Times New Roman"/>
          <w:color w:val="000000"/>
          <w:kern w:val="0"/>
          <w:szCs w:val="32"/>
          <w:highlight w:val="none"/>
          <w:shd w:val="clear" w:color="auto" w:fill="FFFFFF"/>
          <w:lang w:val="en-US" w:eastAsia="zh-CN"/>
        </w:rPr>
        <w:t>51</w:t>
      </w:r>
      <w:r>
        <w:rPr>
          <w:rFonts w:hint="eastAsia" w:ascii="Times New Roman" w:hAnsi="Times New Roman"/>
          <w:highlight w:val="none"/>
          <w:lang w:val="zh-CN"/>
        </w:rPr>
        <w:t>个，</w:t>
      </w:r>
      <w:r>
        <w:rPr>
          <w:rFonts w:hint="eastAsia" w:ascii="Times New Roman" w:hAnsi="Times New Roman"/>
          <w:highlight w:val="none"/>
          <w:lang w:val="en-US" w:eastAsia="zh-CN"/>
        </w:rPr>
        <w:t>均在规定时间内完成了项目入库。</w:t>
      </w:r>
    </w:p>
    <w:p w14:paraId="13B773AA">
      <w:pPr>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olor w:val="auto"/>
          <w:highlight w:val="none"/>
          <w:lang w:val="en-US" w:eastAsia="zh-CN"/>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13534352">
      <w:pPr>
        <w:pStyle w:val="3"/>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rPr>
      </w:pPr>
      <w:r>
        <w:rPr>
          <w:rFonts w:hint="default" w:ascii="Times New Roman" w:hAnsi="Times New Roman" w:cs="Times New Roman"/>
          <w:highlight w:val="none"/>
          <w:lang w:val="en-US" w:eastAsia="zh-CN"/>
        </w:rPr>
        <w:t>2</w:t>
      </w:r>
      <w:r>
        <w:rPr>
          <w:rFonts w:hint="eastAsia" w:ascii="Times New Roman" w:hAnsi="Times New Roman"/>
          <w:highlight w:val="none"/>
          <w:lang w:val="en-US" w:eastAsia="zh-CN"/>
        </w:rPr>
        <w:t>.项目执行</w:t>
      </w:r>
    </w:p>
    <w:p w14:paraId="40006484">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highlight w:val="none"/>
          <w:lang w:val="zh-CN"/>
        </w:rPr>
      </w:pPr>
      <w:r>
        <w:rPr>
          <w:rFonts w:hint="eastAsia" w:ascii="Times New Roman" w:hAnsi="Times New Roman"/>
          <w:highlight w:val="none"/>
          <w:lang w:val="zh-CN"/>
        </w:rPr>
        <w:t>（</w:t>
      </w:r>
      <w:r>
        <w:rPr>
          <w:rFonts w:hint="default" w:ascii="Times New Roman" w:hAnsi="Times New Roman" w:cs="Times New Roman"/>
          <w:highlight w:val="none"/>
          <w:lang w:val="en-US" w:eastAsia="zh-CN"/>
        </w:rPr>
        <w:t>1</w:t>
      </w:r>
      <w:r>
        <w:rPr>
          <w:rFonts w:hint="eastAsia" w:ascii="Times New Roman" w:hAnsi="Times New Roman"/>
          <w:highlight w:val="none"/>
          <w:lang w:val="zh-CN"/>
        </w:rPr>
        <w:t>）执行同向</w:t>
      </w:r>
    </w:p>
    <w:p w14:paraId="13B0E98C">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highlight w:val="none"/>
          <w:lang w:val="en-US" w:eastAsia="zh-CN"/>
        </w:rPr>
      </w:pPr>
      <w:r>
        <w:rPr>
          <w:rFonts w:hint="eastAsia" w:ascii="Times New Roman" w:hAnsi="Times New Roman"/>
          <w:highlight w:val="none"/>
          <w:lang w:val="en-US" w:eastAsia="zh-CN"/>
        </w:rPr>
        <w:t>我局严格按照部门预算项目批复内容实施项目，项目资金使用符合预算批复用途，与项目总体绩效目标设置方向相符，没有相悖或不合理之处。</w:t>
      </w:r>
    </w:p>
    <w:p w14:paraId="761F85E1">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color w:val="auto"/>
          <w:highlight w:val="none"/>
          <w:lang w:val="en-US" w:eastAsia="zh-CN"/>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27B5CC28">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highlight w:val="none"/>
          <w:lang w:val="zh-CN"/>
        </w:rPr>
      </w:pPr>
      <w:r>
        <w:rPr>
          <w:rFonts w:hint="eastAsia" w:ascii="Times New Roman" w:hAnsi="Times New Roman"/>
          <w:highlight w:val="none"/>
          <w:lang w:val="zh-CN"/>
        </w:rPr>
        <w:t>（</w:t>
      </w:r>
      <w:r>
        <w:rPr>
          <w:rFonts w:hint="default" w:ascii="Times New Roman" w:hAnsi="Times New Roman" w:cs="Times New Roman"/>
          <w:highlight w:val="none"/>
          <w:lang w:val="en-US" w:eastAsia="zh-CN"/>
        </w:rPr>
        <w:t>2</w:t>
      </w:r>
      <w:r>
        <w:rPr>
          <w:rFonts w:hint="eastAsia" w:ascii="Times New Roman" w:hAnsi="Times New Roman"/>
          <w:highlight w:val="none"/>
          <w:lang w:val="zh-CN"/>
        </w:rPr>
        <w:t>）项目调整</w:t>
      </w:r>
    </w:p>
    <w:p w14:paraId="6707401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cs="Times New Roman"/>
          <w:highlight w:val="none"/>
          <w:lang w:val="en-US" w:eastAsia="zh-CN"/>
        </w:rPr>
        <w:t>2025年</w:t>
      </w:r>
      <w:r>
        <w:rPr>
          <w:rFonts w:hint="eastAsia" w:ascii="Times New Roman" w:hAnsi="Times New Roman"/>
          <w:highlight w:val="none"/>
          <w:lang w:val="en-US" w:eastAsia="zh-CN"/>
        </w:rPr>
        <w:t>我局年初设置的部门项目预算较为合理，项目总体绩效目标设置较为科学合理，预算调整及时，与实际情况基本相符，不存在应采取但未采取收回预算、调整目标等处置措施的部门预算阶段项目，故不涉及收回预算、调整目标等处置措施。</w:t>
      </w:r>
    </w:p>
    <w:p w14:paraId="5DC8CB55">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7DB078EE">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2"/>
        <w:rPr>
          <w:rFonts w:hint="eastAsia" w:ascii="Times New Roman" w:hAnsi="Times New Roman"/>
          <w:highlight w:val="none"/>
          <w:lang w:val="zh-CN"/>
        </w:rPr>
      </w:pPr>
      <w:r>
        <w:rPr>
          <w:rFonts w:hint="eastAsia" w:ascii="Times New Roman" w:hAnsi="Times New Roman"/>
          <w:highlight w:val="none"/>
          <w:lang w:val="zh-CN"/>
        </w:rPr>
        <w:t>（</w:t>
      </w:r>
      <w:r>
        <w:rPr>
          <w:rFonts w:hint="default" w:ascii="Times New Roman" w:hAnsi="Times New Roman" w:cs="Times New Roman"/>
          <w:highlight w:val="none"/>
          <w:lang w:val="en-US" w:eastAsia="zh-CN"/>
        </w:rPr>
        <w:t>3</w:t>
      </w:r>
      <w:r>
        <w:rPr>
          <w:rFonts w:hint="eastAsia" w:ascii="Times New Roman" w:hAnsi="Times New Roman"/>
          <w:highlight w:val="none"/>
          <w:lang w:val="zh-CN"/>
        </w:rPr>
        <w:t>）执行结果</w:t>
      </w:r>
    </w:p>
    <w:p w14:paraId="1D4B05F0">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zh-CN"/>
        </w:rPr>
      </w:pPr>
      <w:r>
        <w:rPr>
          <w:rFonts w:hint="eastAsia" w:ascii="Times New Roman" w:hAnsi="Times New Roman" w:cs="Times New Roman"/>
          <w:highlight w:val="none"/>
          <w:lang w:val="en-US" w:eastAsia="zh-CN"/>
        </w:rPr>
        <w:t>2025年</w:t>
      </w:r>
      <w:r>
        <w:rPr>
          <w:rFonts w:hint="eastAsia" w:ascii="Times New Roman" w:hAnsi="Times New Roman"/>
          <w:highlight w:val="none"/>
          <w:lang w:val="en-US" w:eastAsia="zh-CN"/>
        </w:rPr>
        <w:t>我局</w:t>
      </w:r>
      <w:r>
        <w:rPr>
          <w:rFonts w:hint="eastAsia" w:ascii="Times New Roman" w:hAnsi="Times New Roman"/>
          <w:highlight w:val="none"/>
          <w:lang w:val="zh-CN"/>
        </w:rPr>
        <w:t>常年项目</w:t>
      </w:r>
      <w:r>
        <w:rPr>
          <w:rFonts w:hint="eastAsia" w:ascii="Times New Roman" w:hAnsi="Times New Roman"/>
          <w:highlight w:val="none"/>
          <w:lang w:val="en-US" w:eastAsia="zh-CN"/>
        </w:rPr>
        <w:t>共计</w:t>
      </w:r>
      <w:r>
        <w:rPr>
          <w:rFonts w:hint="eastAsia" w:ascii="Times New Roman" w:hAnsi="Times New Roman" w:cs="Times New Roman"/>
          <w:color w:val="000000"/>
          <w:kern w:val="0"/>
          <w:szCs w:val="32"/>
          <w:highlight w:val="none"/>
          <w:shd w:val="clear" w:color="auto" w:fill="FFFFFF"/>
          <w:lang w:val="en-US" w:eastAsia="zh-CN"/>
        </w:rPr>
        <w:t>21</w:t>
      </w:r>
      <w:r>
        <w:rPr>
          <w:rFonts w:hint="eastAsia" w:ascii="Times New Roman" w:hAnsi="Times New Roman"/>
          <w:highlight w:val="none"/>
          <w:lang w:val="zh-CN"/>
        </w:rPr>
        <w:t>个，预算结余率</w:t>
      </w:r>
      <w:r>
        <w:rPr>
          <w:rFonts w:hint="eastAsia" w:ascii="Times New Roman" w:hAnsi="Times New Roman"/>
          <w:highlight w:val="none"/>
          <w:lang w:val="en-US" w:eastAsia="zh-CN"/>
        </w:rPr>
        <w:t>小</w:t>
      </w:r>
      <w:r>
        <w:rPr>
          <w:rFonts w:hint="eastAsia" w:ascii="Times New Roman" w:hAnsi="Times New Roman"/>
          <w:highlight w:val="none"/>
          <w:lang w:val="zh-CN"/>
        </w:rPr>
        <w:t>于</w:t>
      </w:r>
      <w:r>
        <w:rPr>
          <w:rFonts w:hint="default" w:ascii="Times New Roman" w:hAnsi="Times New Roman" w:cs="Times New Roman"/>
          <w:highlight w:val="none"/>
          <w:lang w:val="zh-CN"/>
        </w:rPr>
        <w:t>10</w:t>
      </w:r>
      <w:r>
        <w:rPr>
          <w:rFonts w:hint="eastAsia" w:ascii="Times New Roman" w:hAnsi="Times New Roman"/>
          <w:highlight w:val="none"/>
          <w:lang w:val="zh-CN"/>
        </w:rPr>
        <w:t>%</w:t>
      </w:r>
      <w:r>
        <w:rPr>
          <w:rFonts w:hint="eastAsia" w:ascii="Times New Roman" w:hAnsi="Times New Roman"/>
          <w:highlight w:val="none"/>
          <w:lang w:val="en-US" w:eastAsia="zh-CN"/>
        </w:rPr>
        <w:t>的常年项目数量为21个</w:t>
      </w:r>
      <w:r>
        <w:rPr>
          <w:rFonts w:hint="eastAsia" w:ascii="Times New Roman" w:hAnsi="Times New Roman"/>
          <w:highlight w:val="none"/>
          <w:lang w:val="zh-CN"/>
        </w:rPr>
        <w:t>；阶段（一次性）项目</w:t>
      </w:r>
      <w:r>
        <w:rPr>
          <w:rFonts w:hint="eastAsia" w:ascii="Times New Roman" w:hAnsi="Times New Roman"/>
          <w:highlight w:val="none"/>
          <w:lang w:val="en-US" w:eastAsia="zh-CN"/>
        </w:rPr>
        <w:t>共计</w:t>
      </w:r>
      <w:r>
        <w:rPr>
          <w:rFonts w:hint="eastAsia" w:ascii="Times New Roman" w:hAnsi="Times New Roman" w:cs="Times New Roman"/>
          <w:color w:val="000000"/>
          <w:kern w:val="0"/>
          <w:szCs w:val="32"/>
          <w:highlight w:val="none"/>
          <w:shd w:val="clear" w:color="auto" w:fill="FFFFFF"/>
          <w:lang w:val="en-US" w:eastAsia="zh-CN"/>
        </w:rPr>
        <w:t>30</w:t>
      </w:r>
      <w:r>
        <w:rPr>
          <w:rFonts w:hint="eastAsia" w:ascii="Times New Roman" w:hAnsi="Times New Roman"/>
          <w:highlight w:val="none"/>
          <w:lang w:val="zh-CN"/>
        </w:rPr>
        <w:t>个，</w:t>
      </w:r>
      <w:r>
        <w:rPr>
          <w:rFonts w:hint="eastAsia" w:ascii="Times New Roman" w:hAnsi="Times New Roman" w:cs="Times New Roman"/>
          <w:color w:val="000000"/>
          <w:kern w:val="0"/>
          <w:szCs w:val="32"/>
          <w:highlight w:val="none"/>
          <w:shd w:val="clear" w:color="auto" w:fill="FFFFFF"/>
          <w:lang w:val="en-US" w:eastAsia="zh-CN"/>
        </w:rPr>
        <w:t>预算结余率小于10%的一次性项目和阶段项目数量为</w:t>
      </w:r>
      <w:r>
        <w:rPr>
          <w:rFonts w:hint="eastAsia" w:ascii="Times New Roman" w:hAnsi="Times New Roman"/>
          <w:highlight w:val="none"/>
          <w:lang w:val="en-US" w:eastAsia="zh-CN"/>
        </w:rPr>
        <w:t>30</w:t>
      </w:r>
      <w:r>
        <w:rPr>
          <w:rFonts w:hint="eastAsia" w:ascii="Times New Roman" w:hAnsi="Times New Roman" w:cs="Times New Roman"/>
          <w:color w:val="000000"/>
          <w:kern w:val="0"/>
          <w:szCs w:val="32"/>
          <w:highlight w:val="none"/>
          <w:shd w:val="clear" w:color="auto" w:fill="FFFFFF"/>
          <w:lang w:val="en-US" w:eastAsia="zh-CN"/>
        </w:rPr>
        <w:t>个</w:t>
      </w:r>
      <w:r>
        <w:rPr>
          <w:rFonts w:hint="eastAsia" w:ascii="Times New Roman" w:hAnsi="Times New Roman"/>
          <w:highlight w:val="none"/>
          <w:lang w:val="en-US" w:eastAsia="zh-CN"/>
        </w:rPr>
        <w:t>。</w:t>
      </w:r>
    </w:p>
    <w:p w14:paraId="5321902E">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Times New Roman" w:hAnsi="Times New Roman"/>
          <w:highlight w:val="none"/>
          <w:lang w:val="zh-CN"/>
        </w:rPr>
      </w:pPr>
      <w:r>
        <w:rPr>
          <w:rFonts w:hint="default" w:ascii="Times New Roman" w:hAnsi="Times New Roman"/>
          <w:highlight w:val="none"/>
          <w:lang w:val="en-US" w:eastAsia="zh-CN"/>
        </w:rPr>
        <w:t>根据评分标准，该项指标</w:t>
      </w:r>
      <w:r>
        <w:rPr>
          <w:rFonts w:hint="eastAsia" w:ascii="Times New Roman" w:hAnsi="Times New Roman"/>
          <w:highlight w:val="none"/>
          <w:lang w:val="en-US" w:eastAsia="zh-CN"/>
        </w:rPr>
        <w:t>不扣</w:t>
      </w:r>
      <w:r>
        <w:rPr>
          <w:rFonts w:hint="default" w:ascii="Times New Roman" w:hAnsi="Times New Roman"/>
          <w:highlight w:val="none"/>
          <w:lang w:val="en-US" w:eastAsia="zh-CN"/>
        </w:rPr>
        <w:t>分，得</w:t>
      </w:r>
      <w:r>
        <w:rPr>
          <w:rFonts w:hint="eastAsia" w:ascii="Times New Roman" w:hAnsi="Times New Roman"/>
          <w:highlight w:val="none"/>
          <w:lang w:val="en-US" w:eastAsia="zh-CN"/>
        </w:rPr>
        <w:t>4</w:t>
      </w:r>
      <w:r>
        <w:rPr>
          <w:rFonts w:hint="default" w:ascii="Times New Roman" w:hAnsi="Times New Roman"/>
          <w:highlight w:val="none"/>
          <w:lang w:val="en-US" w:eastAsia="zh-CN"/>
        </w:rPr>
        <w:t>分</w:t>
      </w:r>
      <w:r>
        <w:rPr>
          <w:rFonts w:hint="eastAsia" w:ascii="Times New Roman" w:hAnsi="Times New Roman"/>
          <w:highlight w:val="none"/>
          <w:lang w:val="en-US" w:eastAsia="zh-CN"/>
        </w:rPr>
        <w:t>。</w:t>
      </w:r>
    </w:p>
    <w:p w14:paraId="465FAF27">
      <w:pPr>
        <w:pStyle w:val="3"/>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highlight w:val="none"/>
          <w:lang w:val="en-US" w:eastAsia="zh-CN"/>
        </w:rPr>
      </w:pPr>
      <w:r>
        <w:rPr>
          <w:rFonts w:hint="default" w:ascii="Times New Roman" w:hAnsi="Times New Roman" w:cs="Times New Roman"/>
          <w:highlight w:val="none"/>
          <w:lang w:val="en-US" w:eastAsia="zh-CN"/>
        </w:rPr>
        <w:t>3</w:t>
      </w:r>
      <w:r>
        <w:rPr>
          <w:rFonts w:hint="eastAsia" w:ascii="Times New Roman" w:hAnsi="Times New Roman"/>
          <w:highlight w:val="none"/>
          <w:lang w:val="en-US" w:eastAsia="zh-CN"/>
        </w:rPr>
        <w:t>.</w:t>
      </w:r>
      <w:r>
        <w:rPr>
          <w:rFonts w:hint="eastAsia" w:ascii="Times New Roman" w:hAnsi="Times New Roman"/>
          <w:highlight w:val="none"/>
          <w:lang w:val="zh-CN"/>
        </w:rPr>
        <w:t>目标实现</w:t>
      </w:r>
    </w:p>
    <w:p w14:paraId="0D77087C">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eastAsia="仿宋_GB2312"/>
          <w:highlight w:val="none"/>
          <w:lang w:eastAsia="zh-CN"/>
        </w:rPr>
      </w:pPr>
      <w:r>
        <w:rPr>
          <w:rFonts w:hint="eastAsia" w:ascii="Times New Roman" w:hAnsi="Times New Roman"/>
          <w:highlight w:val="none"/>
          <w:lang w:eastAsia="zh-CN"/>
        </w:rPr>
        <w:t>（</w:t>
      </w:r>
      <w:r>
        <w:rPr>
          <w:rFonts w:hint="default" w:ascii="Times New Roman" w:hAnsi="Times New Roman" w:cs="Times New Roman"/>
          <w:highlight w:val="none"/>
          <w:lang w:val="en-US" w:eastAsia="zh-CN"/>
        </w:rPr>
        <w:t>1</w:t>
      </w:r>
      <w:r>
        <w:rPr>
          <w:rFonts w:hint="eastAsia" w:ascii="Times New Roman" w:hAnsi="Times New Roman"/>
          <w:highlight w:val="none"/>
          <w:lang w:eastAsia="zh-CN"/>
        </w:rPr>
        <w:t>）目标完成</w:t>
      </w:r>
    </w:p>
    <w:p w14:paraId="353BB009">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highlight w:val="none"/>
          <w:lang w:val="en-US" w:eastAsia="zh-CN"/>
        </w:rPr>
      </w:pPr>
      <w:r>
        <w:rPr>
          <w:rFonts w:hint="eastAsia" w:ascii="Times New Roman" w:hAnsi="Times New Roman" w:cs="Times New Roman"/>
          <w:highlight w:val="none"/>
          <w:lang w:eastAsia="zh-CN"/>
        </w:rPr>
        <w:t>2025年</w:t>
      </w:r>
      <w:r>
        <w:rPr>
          <w:rFonts w:hint="eastAsia" w:ascii="Times New Roman" w:hAnsi="Times New Roman"/>
          <w:highlight w:val="none"/>
          <w:lang w:eastAsia="zh-CN"/>
        </w:rPr>
        <w:t>部门预算阶段项目（含一次性项目）共有</w:t>
      </w:r>
      <w:r>
        <w:rPr>
          <w:rFonts w:hint="eastAsia" w:ascii="Times New Roman" w:hAnsi="Times New Roman"/>
          <w:highlight w:val="none"/>
          <w:lang w:val="en-US" w:eastAsia="zh-CN"/>
        </w:rPr>
        <w:t>51</w:t>
      </w:r>
      <w:r>
        <w:rPr>
          <w:rFonts w:hint="eastAsia" w:ascii="Times New Roman" w:hAnsi="Times New Roman"/>
          <w:highlight w:val="none"/>
          <w:lang w:eastAsia="zh-CN"/>
        </w:rPr>
        <w:t>个，</w:t>
      </w:r>
      <w:r>
        <w:rPr>
          <w:rFonts w:hint="eastAsia" w:ascii="Times New Roman" w:hAnsi="Times New Roman"/>
          <w:highlight w:val="none"/>
          <w:lang w:val="en-US" w:eastAsia="zh-CN"/>
        </w:rPr>
        <w:t>结合项目实施的实际情况，我局所涉及的</w:t>
      </w:r>
      <w:r>
        <w:rPr>
          <w:rFonts w:hint="eastAsia" w:ascii="Times New Roman" w:hAnsi="Times New Roman"/>
          <w:highlight w:val="none"/>
          <w:lang w:eastAsia="zh-CN"/>
        </w:rPr>
        <w:t>部门预算阶段项目（含一次性项目）</w:t>
      </w:r>
      <w:r>
        <w:rPr>
          <w:rFonts w:hint="eastAsia" w:ascii="Times New Roman" w:hAnsi="Times New Roman"/>
          <w:highlight w:val="none"/>
          <w:lang w:val="en-US" w:eastAsia="zh-CN"/>
        </w:rPr>
        <w:t>各数量指标全部完成的数量为51个。</w:t>
      </w:r>
    </w:p>
    <w:p w14:paraId="214E1580">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highlight w:val="none"/>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3338851D">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highlight w:val="none"/>
          <w:lang w:eastAsia="zh-CN"/>
        </w:rPr>
      </w:pPr>
      <w:r>
        <w:rPr>
          <w:rFonts w:hint="eastAsia" w:ascii="Times New Roman" w:hAnsi="Times New Roman"/>
          <w:highlight w:val="none"/>
          <w:lang w:eastAsia="zh-CN"/>
        </w:rPr>
        <w:t>（</w:t>
      </w:r>
      <w:r>
        <w:rPr>
          <w:rFonts w:hint="default" w:ascii="Times New Roman" w:hAnsi="Times New Roman" w:cs="Times New Roman"/>
          <w:highlight w:val="none"/>
          <w:lang w:val="en-US" w:eastAsia="zh-CN"/>
        </w:rPr>
        <w:t>2</w:t>
      </w:r>
      <w:r>
        <w:rPr>
          <w:rFonts w:hint="eastAsia" w:ascii="Times New Roman" w:hAnsi="Times New Roman"/>
          <w:highlight w:val="none"/>
          <w:lang w:eastAsia="zh-CN"/>
        </w:rPr>
        <w:t>）目标偏离</w:t>
      </w:r>
    </w:p>
    <w:p w14:paraId="60027174">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highlight w:val="none"/>
          <w:lang w:val="en-US" w:eastAsia="zh-CN"/>
        </w:rPr>
      </w:pPr>
      <w:r>
        <w:rPr>
          <w:rFonts w:hint="eastAsia" w:ascii="Times New Roman" w:hAnsi="Times New Roman" w:cs="Times New Roman"/>
          <w:highlight w:val="none"/>
          <w:lang w:eastAsia="zh-CN"/>
        </w:rPr>
        <w:t>2025年</w:t>
      </w:r>
      <w:r>
        <w:rPr>
          <w:rFonts w:hint="eastAsia" w:ascii="Times New Roman" w:hAnsi="Times New Roman"/>
          <w:highlight w:val="none"/>
          <w:lang w:eastAsia="zh-CN"/>
        </w:rPr>
        <w:t>我局部门预算项目（含</w:t>
      </w:r>
      <w:r>
        <w:rPr>
          <w:rFonts w:hint="default" w:ascii="Times New Roman" w:hAnsi="Times New Roman" w:cs="Times New Roman"/>
          <w:color w:val="000000"/>
          <w:kern w:val="0"/>
          <w:szCs w:val="32"/>
          <w:highlight w:val="none"/>
          <w:shd w:val="clear" w:color="auto" w:fill="FFFFFF"/>
          <w:lang w:val="en-US" w:eastAsia="zh-CN"/>
        </w:rPr>
        <w:t>常年项目</w:t>
      </w:r>
      <w:r>
        <w:rPr>
          <w:rFonts w:hint="eastAsia" w:ascii="Times New Roman" w:hAnsi="Times New Roman" w:cs="Times New Roman"/>
          <w:color w:val="000000"/>
          <w:kern w:val="0"/>
          <w:szCs w:val="32"/>
          <w:highlight w:val="none"/>
          <w:shd w:val="clear" w:color="auto" w:fill="FFFFFF"/>
          <w:lang w:val="en-US" w:eastAsia="zh-CN"/>
        </w:rPr>
        <w:t>和阶段项目及</w:t>
      </w:r>
      <w:r>
        <w:rPr>
          <w:rFonts w:hint="eastAsia" w:ascii="Times New Roman" w:hAnsi="Times New Roman"/>
          <w:highlight w:val="none"/>
          <w:lang w:eastAsia="zh-CN"/>
        </w:rPr>
        <w:t>一次性项目）共有</w:t>
      </w:r>
      <w:r>
        <w:rPr>
          <w:rFonts w:hint="eastAsia" w:ascii="Times New Roman" w:hAnsi="Times New Roman"/>
          <w:highlight w:val="none"/>
          <w:lang w:val="en-US" w:eastAsia="zh-CN"/>
        </w:rPr>
        <w:t>51</w:t>
      </w:r>
      <w:r>
        <w:rPr>
          <w:rFonts w:hint="eastAsia" w:ascii="Times New Roman" w:hAnsi="Times New Roman"/>
          <w:highlight w:val="none"/>
          <w:lang w:eastAsia="zh-CN"/>
        </w:rPr>
        <w:t>个，</w:t>
      </w:r>
      <w:r>
        <w:rPr>
          <w:rFonts w:hint="eastAsia" w:ascii="Times New Roman" w:hAnsi="Times New Roman"/>
          <w:highlight w:val="none"/>
          <w:lang w:val="en-US" w:eastAsia="zh-CN"/>
        </w:rPr>
        <w:t>各项目数量指标的完成值与设定预期指标值的偏离度在</w:t>
      </w:r>
      <w:r>
        <w:rPr>
          <w:rFonts w:hint="default" w:ascii="Times New Roman" w:hAnsi="Times New Roman" w:cs="Times New Roman"/>
          <w:highlight w:val="none"/>
          <w:lang w:val="en-US" w:eastAsia="zh-CN"/>
        </w:rPr>
        <w:t>30</w:t>
      </w:r>
      <w:r>
        <w:rPr>
          <w:rFonts w:hint="eastAsia" w:ascii="Times New Roman" w:hAnsi="Times New Roman"/>
          <w:highlight w:val="none"/>
          <w:lang w:val="en-US" w:eastAsia="zh-CN"/>
        </w:rPr>
        <w:t>%以内的个数为51个。</w:t>
      </w:r>
    </w:p>
    <w:p w14:paraId="26DF1D26">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highlight w:val="none"/>
        </w:rPr>
      </w:pPr>
      <w:r>
        <w:rPr>
          <w:rFonts w:hint="default" w:ascii="Times New Roman" w:hAnsi="Times New Roman"/>
          <w:highlight w:val="none"/>
          <w:lang w:val="en-US" w:eastAsia="zh-CN"/>
        </w:rPr>
        <w:t>根据评分标准，该项指标不扣分，得4分</w:t>
      </w:r>
      <w:r>
        <w:rPr>
          <w:rFonts w:hint="eastAsia" w:ascii="Times New Roman" w:hAnsi="Times New Roman"/>
          <w:highlight w:val="none"/>
          <w:lang w:val="en-US" w:eastAsia="zh-CN"/>
        </w:rPr>
        <w:t>。</w:t>
      </w:r>
    </w:p>
    <w:p w14:paraId="645582A8">
      <w:pPr>
        <w:pageBreakBefore w:val="0"/>
        <w:widowControl w:val="0"/>
        <w:kinsoku/>
        <w:wordWrap/>
        <w:overflowPunct/>
        <w:topLinePunct w:val="0"/>
        <w:autoSpaceDE/>
        <w:autoSpaceDN/>
        <w:bidi w:val="0"/>
        <w:adjustRightInd/>
        <w:snapToGrid/>
        <w:spacing w:line="600" w:lineRule="exact"/>
        <w:textAlignment w:val="auto"/>
        <w:outlineLvl w:val="2"/>
        <w:rPr>
          <w:rFonts w:hint="eastAsia" w:ascii="Times New Roman" w:hAnsi="Times New Roman"/>
          <w:highlight w:val="none"/>
          <w:lang w:eastAsia="zh-CN"/>
        </w:rPr>
      </w:pPr>
      <w:r>
        <w:rPr>
          <w:rFonts w:hint="eastAsia" w:ascii="Times New Roman" w:hAnsi="Times New Roman"/>
          <w:highlight w:val="none"/>
          <w:lang w:eastAsia="zh-CN"/>
        </w:rPr>
        <w:t>（</w:t>
      </w:r>
      <w:r>
        <w:rPr>
          <w:rFonts w:hint="default" w:ascii="Times New Roman" w:hAnsi="Times New Roman" w:cs="Times New Roman"/>
          <w:highlight w:val="none"/>
          <w:lang w:val="en-US" w:eastAsia="zh-CN"/>
        </w:rPr>
        <w:t>3</w:t>
      </w:r>
      <w:r>
        <w:rPr>
          <w:rFonts w:hint="eastAsia" w:ascii="Times New Roman" w:hAnsi="Times New Roman"/>
          <w:highlight w:val="none"/>
          <w:lang w:eastAsia="zh-CN"/>
        </w:rPr>
        <w:t>）实现效果</w:t>
      </w:r>
    </w:p>
    <w:p w14:paraId="5F5CF76A">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highlight w:val="none"/>
          <w:lang w:val="en-US" w:eastAsia="zh-CN"/>
        </w:rPr>
      </w:pPr>
      <w:r>
        <w:rPr>
          <w:rFonts w:hint="eastAsia" w:ascii="Times New Roman" w:hAnsi="Times New Roman" w:cs="Times New Roman"/>
          <w:highlight w:val="none"/>
          <w:lang w:eastAsia="zh-CN"/>
        </w:rPr>
        <w:t>2025年</w:t>
      </w:r>
      <w:r>
        <w:rPr>
          <w:rFonts w:hint="eastAsia" w:ascii="Times New Roman" w:hAnsi="Times New Roman"/>
          <w:highlight w:val="none"/>
          <w:lang w:eastAsia="zh-CN"/>
        </w:rPr>
        <w:t>我局需进行绩效目标管理的部门预算阶段项目共有</w:t>
      </w:r>
      <w:r>
        <w:rPr>
          <w:rFonts w:hint="eastAsia" w:ascii="Times New Roman" w:hAnsi="Times New Roman"/>
          <w:highlight w:val="none"/>
          <w:lang w:val="en-US" w:eastAsia="zh-CN"/>
        </w:rPr>
        <w:t>51</w:t>
      </w:r>
      <w:r>
        <w:rPr>
          <w:rFonts w:hint="eastAsia" w:ascii="Times New Roman" w:hAnsi="Times New Roman"/>
          <w:highlight w:val="none"/>
          <w:lang w:eastAsia="zh-CN"/>
        </w:rPr>
        <w:t>个</w:t>
      </w:r>
      <w:r>
        <w:rPr>
          <w:rFonts w:hint="eastAsia" w:ascii="Times New Roman" w:hAnsi="Times New Roman"/>
          <w:highlight w:val="none"/>
          <w:lang w:val="en-US" w:eastAsia="zh-CN"/>
        </w:rPr>
        <w:t>，预期效益指标均已完成的项目个数为51个。</w:t>
      </w:r>
    </w:p>
    <w:p w14:paraId="593805C9">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楷体_GB2312" w:cs="楷体_GB2312"/>
          <w:color w:val="000000"/>
          <w:kern w:val="0"/>
          <w:szCs w:val="32"/>
          <w:highlight w:val="none"/>
          <w:shd w:val="clear" w:color="auto" w:fill="FFFFFF"/>
          <w:lang w:val="zh-CN"/>
        </w:rPr>
      </w:pPr>
      <w:r>
        <w:rPr>
          <w:rFonts w:hint="default" w:ascii="Times New Roman" w:hAnsi="Times New Roman"/>
          <w:highlight w:val="none"/>
          <w:lang w:val="en-US" w:eastAsia="zh-CN"/>
        </w:rPr>
        <w:t>根据评分标准，该项指标不扣分，得3分</w:t>
      </w:r>
      <w:r>
        <w:rPr>
          <w:rFonts w:hint="eastAsia" w:ascii="Times New Roman" w:hAnsi="Times New Roman"/>
          <w:highlight w:val="none"/>
          <w:lang w:val="en-US" w:eastAsia="zh-CN"/>
        </w:rPr>
        <w:t>。</w:t>
      </w:r>
    </w:p>
    <w:p w14:paraId="546D4E55">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Cs w:val="32"/>
          <w:highlight w:val="none"/>
          <w:shd w:val="clear" w:color="auto" w:fill="FFFFFF"/>
          <w:lang w:val="zh-CN"/>
        </w:rPr>
        <w:t>（</w:t>
      </w:r>
      <w:r>
        <w:rPr>
          <w:rFonts w:hint="eastAsia" w:ascii="Times New Roman" w:hAnsi="Times New Roman" w:eastAsia="楷体_GB2312" w:cs="Times New Roman"/>
          <w:b/>
          <w:bCs/>
          <w:color w:val="000000"/>
          <w:kern w:val="0"/>
          <w:szCs w:val="32"/>
          <w:highlight w:val="none"/>
          <w:shd w:val="clear" w:color="auto" w:fill="FFFFFF"/>
          <w:lang w:val="zh-CN"/>
        </w:rPr>
        <w:t>三</w:t>
      </w:r>
      <w:r>
        <w:rPr>
          <w:rFonts w:hint="default" w:ascii="Times New Roman" w:hAnsi="Times New Roman" w:eastAsia="楷体_GB2312" w:cs="Times New Roman"/>
          <w:b/>
          <w:bCs/>
          <w:color w:val="000000"/>
          <w:kern w:val="0"/>
          <w:szCs w:val="32"/>
          <w:highlight w:val="none"/>
          <w:shd w:val="clear" w:color="auto" w:fill="FFFFFF"/>
          <w:lang w:val="zh-CN"/>
        </w:rPr>
        <w:t>）</w:t>
      </w:r>
      <w:r>
        <w:rPr>
          <w:rFonts w:hint="default" w:ascii="Times New Roman" w:hAnsi="Times New Roman" w:eastAsia="楷体_GB2312" w:cs="Times New Roman"/>
          <w:b/>
          <w:bCs/>
          <w:color w:val="000000"/>
          <w:kern w:val="0"/>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Cs w:val="32"/>
          <w:highlight w:val="none"/>
          <w:shd w:val="clear" w:color="auto" w:fill="FFFFFF"/>
          <w:lang w:val="zh-CN"/>
        </w:rPr>
        <w:t>绩效分析</w:t>
      </w:r>
      <w:r>
        <w:rPr>
          <w:rFonts w:hint="default" w:ascii="Times New Roman" w:hAnsi="Times New Roman" w:eastAsia="楷体_GB2312" w:cs="Times New Roman"/>
          <w:b/>
          <w:bCs/>
          <w:color w:val="000000"/>
          <w:kern w:val="0"/>
          <w:szCs w:val="32"/>
          <w:highlight w:val="none"/>
          <w:shd w:val="clear" w:color="auto" w:fill="FFFFFF"/>
          <w:lang w:val="zh-CN" w:eastAsia="zh-CN"/>
        </w:rPr>
        <w:t>。</w:t>
      </w:r>
    </w:p>
    <w:p w14:paraId="396DDC0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eastAsia" w:ascii="Times New Roman" w:hAnsi="Times New Roman" w:cs="Times New Roman"/>
          <w:sz w:val="32"/>
          <w:szCs w:val="32"/>
          <w:highlight w:val="none"/>
          <w:u w:val="none"/>
          <w:lang w:eastAsia="zh-CN"/>
        </w:rPr>
      </w:pPr>
      <w:r>
        <w:rPr>
          <w:rFonts w:hint="default" w:ascii="Times New Roman" w:hAnsi="Times New Roman" w:eastAsia="楷体_GB2312" w:cs="Times New Roman Regular"/>
          <w:b/>
          <w:bCs/>
          <w:color w:val="000000"/>
          <w:kern w:val="0"/>
          <w:szCs w:val="32"/>
          <w:highlight w:val="none"/>
          <w:shd w:val="clear" w:color="auto" w:fill="FFFFFF"/>
          <w:lang w:val="en-US" w:eastAsia="zh-CN"/>
        </w:rPr>
        <w:t>行政事业性国有资产绩效分析。</w:t>
      </w:r>
    </w:p>
    <w:p w14:paraId="6FE7B6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楷体_GB2312" w:cs="Times New Roman Regular"/>
          <w:b/>
          <w:bCs/>
          <w:color w:val="000000"/>
          <w:kern w:val="0"/>
          <w:szCs w:val="32"/>
          <w:highlight w:val="none"/>
          <w:shd w:val="clear" w:color="auto" w:fill="FFFFFF"/>
          <w:lang w:val="en-US" w:eastAsia="zh-CN"/>
        </w:rPr>
      </w:pPr>
      <w:r>
        <w:rPr>
          <w:rFonts w:hint="eastAsia" w:ascii="Times New Roman" w:hAnsi="Times New Roman" w:cs="Times New Roman"/>
          <w:sz w:val="32"/>
          <w:szCs w:val="32"/>
          <w:highlight w:val="none"/>
          <w:u w:val="none"/>
          <w:lang w:eastAsia="zh-CN"/>
        </w:rPr>
        <w:t>2025年度，我局</w:t>
      </w:r>
      <w:r>
        <w:rPr>
          <w:rFonts w:hint="eastAsia" w:ascii="Times New Roman" w:hAnsi="Times New Roman" w:cs="Times New Roman"/>
          <w:sz w:val="32"/>
          <w:szCs w:val="32"/>
          <w:highlight w:val="none"/>
          <w:u w:val="none"/>
          <w:lang w:val="en-US" w:eastAsia="zh-CN"/>
        </w:rPr>
        <w:t>无资产配置预算，但</w:t>
      </w:r>
      <w:r>
        <w:rPr>
          <w:rFonts w:hint="eastAsia" w:ascii="Times New Roman" w:hAnsi="Times New Roman" w:cs="Times New Roman"/>
          <w:sz w:val="32"/>
          <w:szCs w:val="32"/>
          <w:highlight w:val="none"/>
          <w:u w:val="none"/>
          <w:lang w:eastAsia="zh-CN"/>
        </w:rPr>
        <w:t>严格按照</w:t>
      </w:r>
      <w:r>
        <w:rPr>
          <w:rFonts w:hint="eastAsia" w:ascii="Times New Roman" w:hAnsi="Times New Roman" w:cs="Times New Roman"/>
          <w:sz w:val="32"/>
          <w:szCs w:val="32"/>
          <w:highlight w:val="none"/>
          <w:u w:val="none"/>
          <w:lang w:val="en-US" w:eastAsia="zh-CN"/>
        </w:rPr>
        <w:t>相关文件</w:t>
      </w:r>
      <w:r>
        <w:rPr>
          <w:rFonts w:hint="eastAsia" w:ascii="Times New Roman" w:hAnsi="Times New Roman" w:cs="Times New Roman"/>
          <w:sz w:val="32"/>
          <w:szCs w:val="32"/>
          <w:highlight w:val="none"/>
          <w:u w:val="none"/>
          <w:lang w:eastAsia="zh-CN"/>
        </w:rPr>
        <w:t>要求，做好国有资产的清理盘点、统计报告及日常监督检查工作，2025年度国有资产基础管理、日常管理、效率管理等方面整体效益较好，有效保障了国有资产安全，提高了国有资产利用率</w:t>
      </w:r>
      <w:r>
        <w:rPr>
          <w:rFonts w:hint="default" w:ascii="Times New Roman" w:hAnsi="Times New Roman" w:eastAsia="仿宋_GB2312" w:cs="Times New Roman Regular"/>
          <w:b w:val="0"/>
          <w:bCs w:val="0"/>
          <w:color w:val="000000"/>
          <w:kern w:val="0"/>
          <w:szCs w:val="32"/>
          <w:highlight w:val="none"/>
          <w:shd w:val="clear" w:color="auto" w:fill="FFFFFF"/>
          <w:lang w:val="en-US" w:eastAsia="zh-CN"/>
        </w:rPr>
        <w:t>。</w:t>
      </w:r>
    </w:p>
    <w:p w14:paraId="4073FBE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cs="Times New Roman Regular"/>
          <w:highlight w:val="none"/>
          <w:lang w:val="en-US" w:eastAsia="zh-CN"/>
        </w:rPr>
      </w:pPr>
      <w:r>
        <w:rPr>
          <w:rFonts w:hint="default" w:ascii="Times New Roman" w:hAnsi="Times New Roman" w:eastAsia="楷体_GB2312" w:cs="Times New Roman Regular"/>
          <w:b/>
          <w:bCs/>
          <w:szCs w:val="32"/>
          <w:highlight w:val="none"/>
          <w:lang w:val="zh-CN"/>
        </w:rPr>
        <w:t>（四）绩效结果应用情况。</w:t>
      </w:r>
    </w:p>
    <w:p w14:paraId="090AC7D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sz w:val="32"/>
          <w:szCs w:val="32"/>
          <w:highlight w:val="none"/>
          <w:lang w:eastAsia="zh-CN" w:bidi="ar"/>
        </w:rPr>
      </w:pPr>
      <w:r>
        <w:rPr>
          <w:rFonts w:hint="eastAsia" w:ascii="Times New Roman" w:hAnsi="Times New Roman" w:cs="Times New Roman Regular"/>
          <w:highlight w:val="none"/>
          <w:lang w:val="en-US" w:eastAsia="zh-CN"/>
        </w:rPr>
        <w:t>我局</w:t>
      </w:r>
      <w:r>
        <w:rPr>
          <w:rFonts w:hint="eastAsia" w:ascii="Times New Roman" w:hAnsi="Times New Roman" w:cs="Times New Roman"/>
          <w:color w:val="000000"/>
          <w:kern w:val="0"/>
          <w:szCs w:val="32"/>
          <w:highlight w:val="none"/>
          <w:shd w:val="clear" w:color="auto" w:fill="FFFFFF"/>
          <w:lang w:val="zh-CN" w:eastAsia="zh-CN"/>
        </w:rPr>
        <w:t>为进一步提高行政事业单位内部管理水平和风险防范能力，规范内部控制，加强廉政风险防控机制建设，我局在对预算、收支、政府采购、资产、建设项目、合同等各类经济业务活动流程梳理的基础上，明确业务环节，系统分析经济活动风险，确定风险点，选择应对策略，形成了内部控制制度</w:t>
      </w:r>
      <w:r>
        <w:rPr>
          <w:rFonts w:hint="eastAsia" w:ascii="Times New Roman" w:hAnsi="Times New Roman" w:cs="Times New Roman"/>
          <w:color w:val="000000"/>
          <w:kern w:val="0"/>
          <w:szCs w:val="32"/>
          <w:highlight w:val="none"/>
          <w:shd w:val="clear" w:color="auto" w:fill="FFFFFF"/>
          <w:lang w:val="en-US" w:eastAsia="zh-CN"/>
        </w:rPr>
        <w:t>手册</w:t>
      </w:r>
      <w:r>
        <w:rPr>
          <w:rFonts w:hint="eastAsia" w:ascii="Times New Roman" w:hAnsi="Times New Roman" w:cs="Times New Roman"/>
          <w:color w:val="000000"/>
          <w:kern w:val="0"/>
          <w:szCs w:val="32"/>
          <w:highlight w:val="none"/>
          <w:shd w:val="clear" w:color="auto" w:fill="FFFFFF"/>
          <w:lang w:val="zh-CN" w:eastAsia="zh-CN"/>
        </w:rPr>
        <w:t>，我局严格按照内控制度进行预算绩效管理，并按照相关要求将绩效信息随同</w:t>
      </w:r>
      <w:r>
        <w:rPr>
          <w:rFonts w:hint="eastAsia" w:ascii="Times New Roman" w:hAnsi="Times New Roman" w:cs="Times New Roman"/>
          <w:color w:val="000000"/>
          <w:kern w:val="0"/>
          <w:szCs w:val="32"/>
          <w:highlight w:val="none"/>
          <w:shd w:val="clear" w:color="auto" w:fill="FFFFFF"/>
          <w:lang w:val="en-US" w:eastAsia="zh-CN"/>
        </w:rPr>
        <w:t>预</w:t>
      </w:r>
      <w:r>
        <w:rPr>
          <w:rFonts w:hint="eastAsia" w:ascii="Times New Roman" w:hAnsi="Times New Roman" w:cs="Times New Roman"/>
          <w:color w:val="000000"/>
          <w:kern w:val="0"/>
          <w:szCs w:val="32"/>
          <w:highlight w:val="none"/>
          <w:shd w:val="clear" w:color="auto" w:fill="FFFFFF"/>
          <w:lang w:val="zh-CN" w:eastAsia="zh-CN"/>
        </w:rPr>
        <w:t>决算公开。</w:t>
      </w:r>
    </w:p>
    <w:p w14:paraId="271BDC1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0"/>
        <w:rPr>
          <w:rFonts w:hint="default" w:ascii="Times New Roman" w:hAnsi="Times New Roman" w:eastAsia="黑体" w:cs="Times New Roman"/>
          <w:color w:val="000000"/>
          <w:kern w:val="0"/>
          <w:szCs w:val="32"/>
          <w:highlight w:val="none"/>
          <w:shd w:val="clear" w:color="auto" w:fill="FFFFFF"/>
        </w:rPr>
      </w:pPr>
      <w:r>
        <w:rPr>
          <w:rFonts w:hint="default" w:ascii="Times New Roman" w:hAnsi="Times New Roman" w:eastAsia="黑体" w:cs="Times New Roman"/>
          <w:color w:val="000000"/>
          <w:kern w:val="0"/>
          <w:szCs w:val="32"/>
          <w:highlight w:val="none"/>
          <w:shd w:val="clear" w:color="auto" w:fill="FFFFFF"/>
          <w:lang w:eastAsia="zh-CN"/>
        </w:rPr>
        <w:t>四、</w:t>
      </w:r>
      <w:r>
        <w:rPr>
          <w:rFonts w:hint="default" w:ascii="Times New Roman" w:hAnsi="Times New Roman" w:eastAsia="黑体" w:cs="Times New Roman"/>
          <w:color w:val="000000"/>
          <w:kern w:val="0"/>
          <w:szCs w:val="32"/>
          <w:highlight w:val="none"/>
          <w:shd w:val="clear" w:color="auto" w:fill="FFFFFF"/>
        </w:rPr>
        <w:t>评价结论及建议</w:t>
      </w:r>
    </w:p>
    <w:p w14:paraId="60E1EEF1">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（一）评价结论。</w:t>
      </w:r>
    </w:p>
    <w:p w14:paraId="7D9DBB1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Times New Roman" w:hAnsi="Times New Roman" w:cs="Times New Roman"/>
          <w:b w:val="0"/>
          <w:bCs w:val="0"/>
          <w:kern w:val="0"/>
          <w:position w:val="0"/>
          <w:sz w:val="32"/>
          <w:szCs w:val="32"/>
          <w:highlight w:val="none"/>
          <w:lang w:val="en-US" w:eastAsia="zh-CN" w:bidi="ar-SA"/>
        </w:rPr>
        <w:t>我局针对</w:t>
      </w:r>
      <w:r>
        <w:rPr>
          <w:rFonts w:hint="default" w:ascii="Times New Roman" w:hAnsi="Times New Roman" w:eastAsia="仿宋_GB2312" w:cs="Times New Roman"/>
          <w:b w:val="0"/>
          <w:bCs w:val="0"/>
          <w:kern w:val="0"/>
          <w:position w:val="0"/>
          <w:sz w:val="32"/>
          <w:szCs w:val="32"/>
          <w:highlight w:val="none"/>
          <w:lang w:val="en-US" w:eastAsia="zh-CN" w:bidi="ar-SA"/>
        </w:rPr>
        <w:t>本次财政预算绩效自评工作，严格按照《预算绩效评价共性指标体系框架》及相关财务管理规定，</w:t>
      </w:r>
      <w:r>
        <w:rPr>
          <w:rFonts w:hint="eastAsia" w:ascii="Times New Roman" w:hAnsi="Times New Roman" w:cs="Times New Roman"/>
          <w:b w:val="0"/>
          <w:bCs w:val="0"/>
          <w:kern w:val="0"/>
          <w:position w:val="0"/>
          <w:sz w:val="32"/>
          <w:szCs w:val="32"/>
          <w:highlight w:val="none"/>
          <w:lang w:val="en-US" w:eastAsia="zh-CN" w:bidi="ar-SA"/>
        </w:rPr>
        <w:t>结合我局2025年度工作开展情况及履职情况，</w:t>
      </w:r>
      <w:r>
        <w:rPr>
          <w:rFonts w:hint="default" w:ascii="Times New Roman" w:hAnsi="Times New Roman" w:eastAsia="仿宋_GB2312" w:cs="Times New Roman"/>
          <w:b w:val="0"/>
          <w:bCs w:val="0"/>
          <w:kern w:val="0"/>
          <w:position w:val="0"/>
          <w:sz w:val="32"/>
          <w:szCs w:val="32"/>
          <w:highlight w:val="none"/>
          <w:lang w:val="en-US" w:eastAsia="zh-CN" w:bidi="ar-SA"/>
        </w:rPr>
        <w:t>对</w:t>
      </w:r>
      <w:r>
        <w:rPr>
          <w:rFonts w:hint="eastAsia" w:ascii="Times New Roman" w:hAnsi="Times New Roman" w:cs="Times New Roman"/>
          <w:b w:val="0"/>
          <w:bCs w:val="0"/>
          <w:kern w:val="0"/>
          <w:position w:val="0"/>
          <w:sz w:val="32"/>
          <w:szCs w:val="32"/>
          <w:highlight w:val="none"/>
          <w:lang w:val="en-US" w:eastAsia="zh-CN" w:bidi="ar-SA"/>
        </w:rPr>
        <w:t>2025年度部门</w:t>
      </w:r>
      <w:r>
        <w:rPr>
          <w:rFonts w:hint="default" w:ascii="Times New Roman" w:hAnsi="Times New Roman" w:eastAsia="仿宋_GB2312" w:cs="Times New Roman"/>
          <w:b w:val="0"/>
          <w:bCs w:val="0"/>
          <w:kern w:val="0"/>
          <w:position w:val="0"/>
          <w:sz w:val="32"/>
          <w:szCs w:val="32"/>
          <w:highlight w:val="none"/>
          <w:lang w:val="en-US" w:eastAsia="zh-CN" w:bidi="ar-SA"/>
        </w:rPr>
        <w:t>预算资金的使用情况进行了全面、深入的分析和评价。经过自评，我们得出以下结论</w:t>
      </w:r>
      <w:r>
        <w:rPr>
          <w:rFonts w:hint="eastAsia" w:ascii="Times New Roman" w:hAnsi="Times New Roman" w:cs="Times New Roman"/>
          <w:b w:val="0"/>
          <w:bCs w:val="0"/>
          <w:kern w:val="0"/>
          <w:position w:val="0"/>
          <w:sz w:val="32"/>
          <w:szCs w:val="32"/>
          <w:highlight w:val="none"/>
          <w:lang w:val="en-US" w:eastAsia="zh-CN" w:bidi="ar-SA"/>
        </w:rPr>
        <w:t>：2025年度，我局</w:t>
      </w:r>
      <w:r>
        <w:rPr>
          <w:rFonts w:hint="eastAsia" w:ascii="Times New Roman" w:hAnsi="Times New Roman" w:cs="仿宋_GB2312"/>
          <w:b w:val="0"/>
          <w:bCs w:val="0"/>
          <w:kern w:val="0"/>
          <w:position w:val="0"/>
          <w:sz w:val="32"/>
          <w:szCs w:val="32"/>
          <w:highlight w:val="none"/>
          <w:lang w:val="en-US" w:eastAsia="zh-CN" w:bidi="ar-SA"/>
        </w:rPr>
        <w:t>切实履行了部门职责，部门预算管理、财务管理、资产管理和采购管理等规范有序，较好地完成了各项年度任务，部门预算支出使用效益达到预期，但我局在年度预算项目绩效指标编制方面，其个别指标设置质量相对不高，按照部门预算绩效评价指标体系中指标评分标准要求，</w:t>
      </w:r>
      <w:r>
        <w:rPr>
          <w:rFonts w:hint="eastAsia" w:ascii="Times New Roman" w:hAnsi="Times New Roman" w:cs="Times New Roman"/>
          <w:b w:val="0"/>
          <w:bCs w:val="0"/>
          <w:kern w:val="0"/>
          <w:position w:val="0"/>
          <w:sz w:val="32"/>
          <w:szCs w:val="32"/>
          <w:highlight w:val="none"/>
          <w:lang w:val="en-US" w:eastAsia="zh-CN" w:bidi="ar-SA"/>
        </w:rPr>
        <w:t>2025年</w:t>
      </w:r>
      <w:r>
        <w:rPr>
          <w:rFonts w:hint="eastAsia" w:ascii="Times New Roman" w:hAnsi="Times New Roman" w:cs="仿宋_GB2312"/>
          <w:b w:val="0"/>
          <w:bCs w:val="0"/>
          <w:kern w:val="0"/>
          <w:position w:val="0"/>
          <w:sz w:val="32"/>
          <w:szCs w:val="32"/>
          <w:highlight w:val="none"/>
          <w:lang w:val="en-US" w:eastAsia="zh-CN" w:bidi="ar-SA"/>
        </w:rPr>
        <w:t>我局</w:t>
      </w:r>
      <w:r>
        <w:rPr>
          <w:rFonts w:hint="eastAsia" w:ascii="Times New Roman" w:hAnsi="Times New Roman" w:eastAsia="仿宋_GB2312" w:cs="仿宋_GB2312"/>
          <w:b w:val="0"/>
          <w:bCs w:val="0"/>
          <w:kern w:val="0"/>
          <w:position w:val="0"/>
          <w:sz w:val="32"/>
          <w:szCs w:val="32"/>
          <w:highlight w:val="none"/>
          <w:lang w:val="en-US" w:eastAsia="zh-CN" w:bidi="ar-SA"/>
        </w:rPr>
        <w:t>部门预算绩效评价综合得</w:t>
      </w:r>
      <w:r>
        <w:rPr>
          <w:rFonts w:hint="eastAsia" w:ascii="Times New Roman" w:hAnsi="Times New Roman" w:cs="仿宋_GB2312"/>
          <w:b w:val="0"/>
          <w:bCs w:val="0"/>
          <w:kern w:val="0"/>
          <w:position w:val="0"/>
          <w:sz w:val="32"/>
          <w:szCs w:val="32"/>
          <w:highlight w:val="none"/>
          <w:lang w:val="en-US" w:eastAsia="zh-CN" w:bidi="ar-SA"/>
        </w:rPr>
        <w:t>分93.96分。</w:t>
      </w:r>
    </w:p>
    <w:p w14:paraId="2AB1ECE2">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Cs w:val="32"/>
          <w:highlight w:val="none"/>
          <w:shd w:val="clear" w:color="auto" w:fill="FFFFFF"/>
          <w:lang w:val="zh-CN"/>
        </w:rPr>
        <w:t>（二）存在问题。</w:t>
      </w:r>
    </w:p>
    <w:p w14:paraId="6430860A">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bookmarkStart w:id="0" w:name="_Hlk110546638"/>
      <w:r>
        <w:rPr>
          <w:rFonts w:hint="eastAsia" w:ascii="Times New Roman" w:hAnsi="Times New Roman" w:eastAsia="仿宋_GB2312" w:cs="Times New Roman"/>
          <w:color w:val="auto"/>
          <w:kern w:val="2"/>
          <w:sz w:val="32"/>
          <w:szCs w:val="32"/>
          <w:lang w:val="en-US" w:eastAsia="zh-CN" w:bidi="ar-SA"/>
        </w:rPr>
        <w:t>一是资产基础信息管理不够规范。在对照资产卡片及相关原始资料开展自查工作时发现，部分资产卡片中配置标准等关键信息存在填写不完整、内容不准确、要素不齐全等问题，未能全面、真实、准确反映资产实际配置情况，一定程度上影响了资产核算与管理的规范性。</w:t>
      </w:r>
    </w:p>
    <w:p w14:paraId="11BC9D59">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是资产管理信息化、智能化水平有待提升。目前资产管理仍以传统方式为主，尚未应用条形码、二维码、电子标签等信息化、智能化技术手段，未能实现对资产从购置、使用、处置到盘点的全生命周期动态管理，资产盘点效率、实时监管能力有待进一步提高。</w:t>
      </w:r>
    </w:p>
    <w:p w14:paraId="5459BE57">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1"/>
        <w:rPr>
          <w:rFonts w:hint="default" w:ascii="Times New Roman" w:hAnsi="Times New Roman" w:cs="仿宋_GB2312"/>
          <w:b w:val="0"/>
          <w:bCs w:val="0"/>
          <w:kern w:val="0"/>
          <w:position w:val="0"/>
          <w:sz w:val="32"/>
          <w:szCs w:val="32"/>
          <w:highlight w:val="none"/>
          <w:lang w:val="en-US" w:eastAsia="zh-CN" w:bidi="ar-SA"/>
        </w:rPr>
      </w:pPr>
      <w:r>
        <w:rPr>
          <w:rFonts w:hint="default" w:ascii="Times New Roman" w:hAnsi="Times New Roman" w:eastAsia="楷体_GB2312" w:cs="Times New Roman"/>
          <w:b/>
          <w:bCs/>
          <w:color w:val="000000"/>
          <w:kern w:val="0"/>
          <w:szCs w:val="32"/>
          <w:highlight w:val="none"/>
          <w:shd w:val="clear" w:color="auto" w:fill="FFFFFF"/>
          <w:lang w:val="zh-CN" w:eastAsia="zh-CN"/>
        </w:rPr>
        <w:t>（三）改进建议。</w:t>
      </w:r>
    </w:p>
    <w:p w14:paraId="44E7454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cs="仿宋_GB2312"/>
          <w:b w:val="0"/>
          <w:bCs w:val="0"/>
          <w:kern w:val="0"/>
          <w:position w:val="0"/>
          <w:sz w:val="32"/>
          <w:szCs w:val="32"/>
          <w:highlight w:val="none"/>
          <w:lang w:val="en-US" w:eastAsia="zh-CN" w:bidi="ar-SA"/>
        </w:rPr>
      </w:pPr>
      <w:r>
        <w:rPr>
          <w:rFonts w:hint="eastAsia" w:ascii="Times New Roman" w:hAnsi="Times New Roman"/>
        </w:rPr>
        <w:t>后续将进一步规范资产卡片信息管理，严格按照资产配置标准及相关要求完善资产基础信息，确保信息完整准确、真实有效，同步健全资产信息审核机制；加快推进资产管理信息化建设，积极运用条形码、电子标签等现代化技术手段，实现资产全生命周期动态管理，提升资产管理规范化、精细化、智能化水平。</w:t>
      </w:r>
    </w:p>
    <w:p w14:paraId="3B27FF2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cs="仿宋_GB2312"/>
          <w:b w:val="0"/>
          <w:bCs w:val="0"/>
          <w:kern w:val="0"/>
          <w:position w:val="0"/>
          <w:sz w:val="32"/>
          <w:szCs w:val="32"/>
          <w:highlight w:val="none"/>
          <w:lang w:val="en-US" w:eastAsia="zh-CN" w:bidi="ar-SA"/>
        </w:rPr>
      </w:pPr>
    </w:p>
    <w:bookmarkEnd w:id="0"/>
    <w:p w14:paraId="122E9750">
      <w:pPr>
        <w:spacing w:line="578" w:lineRule="exact"/>
        <w:ind w:firstLine="640" w:firstLineChars="200"/>
        <w:jc w:val="left"/>
        <w:rPr>
          <w:szCs w:val="32"/>
        </w:rPr>
      </w:pPr>
      <w:r>
        <w:rPr>
          <w:color w:val="000000"/>
          <w:kern w:val="0"/>
          <w:szCs w:val="32"/>
          <w:shd w:val="clear" w:color="auto" w:fill="FFFFFF"/>
        </w:rPr>
        <w:t>附表：</w:t>
      </w:r>
      <w:r>
        <w:rPr>
          <w:rFonts w:hint="eastAsia"/>
          <w:color w:val="000000"/>
          <w:kern w:val="0"/>
          <w:szCs w:val="32"/>
          <w:shd w:val="clear" w:color="auto" w:fill="FFFFFF"/>
        </w:rPr>
        <w:t>1.</w:t>
      </w:r>
      <w:r>
        <w:rPr>
          <w:rFonts w:hint="eastAsia"/>
          <w:szCs w:val="32"/>
        </w:rPr>
        <w:t>部门预算绩效自评打分表</w:t>
      </w:r>
    </w:p>
    <w:p w14:paraId="20B5697D">
      <w:pPr>
        <w:spacing w:line="578" w:lineRule="exact"/>
        <w:ind w:firstLine="1600" w:firstLineChars="500"/>
        <w:jc w:val="left"/>
        <w:rPr>
          <w:color w:val="000000"/>
          <w:kern w:val="0"/>
          <w:szCs w:val="32"/>
          <w:shd w:val="clear" w:color="auto" w:fill="FFFFFF"/>
        </w:rPr>
      </w:pPr>
      <w:r>
        <w:rPr>
          <w:rFonts w:hint="eastAsia"/>
          <w:szCs w:val="32"/>
        </w:rPr>
        <w:t>2.</w:t>
      </w:r>
      <w:r>
        <w:rPr>
          <w:color w:val="000000"/>
          <w:kern w:val="0"/>
          <w:szCs w:val="32"/>
          <w:shd w:val="clear" w:color="auto" w:fill="FFFFFF"/>
        </w:rPr>
        <w:t>部门整体</w:t>
      </w:r>
      <w:r>
        <w:rPr>
          <w:rFonts w:hint="eastAsia"/>
          <w:color w:val="000000"/>
          <w:kern w:val="0"/>
          <w:szCs w:val="32"/>
          <w:shd w:val="clear" w:color="auto" w:fill="FFFFFF"/>
        </w:rPr>
        <w:t>支出</w:t>
      </w:r>
      <w:r>
        <w:rPr>
          <w:color w:val="000000"/>
          <w:kern w:val="0"/>
          <w:szCs w:val="32"/>
          <w:shd w:val="clear" w:color="auto" w:fill="FFFFFF"/>
        </w:rPr>
        <w:t>绩效目标完成情况自评表</w:t>
      </w:r>
    </w:p>
    <w:p w14:paraId="188D8545">
      <w:pPr>
        <w:spacing w:line="578" w:lineRule="exact"/>
        <w:ind w:firstLine="1600" w:firstLineChars="500"/>
        <w:jc w:val="left"/>
        <w:rPr>
          <w:szCs w:val="32"/>
        </w:rPr>
      </w:pPr>
      <w:r>
        <w:rPr>
          <w:rFonts w:hint="eastAsia"/>
          <w:color w:val="000000"/>
          <w:kern w:val="0"/>
          <w:szCs w:val="32"/>
          <w:shd w:val="clear" w:color="auto" w:fill="FFFFFF"/>
        </w:rPr>
        <w:t>3.</w:t>
      </w:r>
      <w:r>
        <w:rPr>
          <w:szCs w:val="32"/>
        </w:rPr>
        <w:t>部门预算项目支出绩效评价表（202</w:t>
      </w:r>
      <w:r>
        <w:rPr>
          <w:rFonts w:hint="eastAsia"/>
          <w:szCs w:val="32"/>
        </w:rPr>
        <w:t>5</w:t>
      </w:r>
      <w:r>
        <w:rPr>
          <w:szCs w:val="32"/>
        </w:rPr>
        <w:t>年度）</w:t>
      </w:r>
    </w:p>
    <w:p w14:paraId="603A930E">
      <w:pPr>
        <w:spacing w:line="578" w:lineRule="exact"/>
        <w:jc w:val="left"/>
        <w:rPr>
          <w:rFonts w:eastAsia="黑体"/>
        </w:rPr>
      </w:pPr>
      <w:r>
        <w:rPr>
          <w:color w:val="000000"/>
          <w:kern w:val="0"/>
          <w:szCs w:val="32"/>
          <w:shd w:val="clear" w:color="auto" w:fill="FFFFFF"/>
        </w:rPr>
        <w:br w:type="page"/>
      </w:r>
      <w:r>
        <w:rPr>
          <w:rFonts w:eastAsia="黑体"/>
        </w:rPr>
        <w:t>附表</w:t>
      </w:r>
      <w:r>
        <w:rPr>
          <w:rFonts w:hint="eastAsia" w:eastAsia="黑体"/>
        </w:rPr>
        <w:t>1</w:t>
      </w:r>
    </w:p>
    <w:p w14:paraId="7CC92566">
      <w:pPr>
        <w:widowControl/>
        <w:spacing w:line="600" w:lineRule="exact"/>
        <w:jc w:val="center"/>
        <w:textAlignment w:val="center"/>
        <w:rPr>
          <w:rFonts w:eastAsia="方正小标宋简体"/>
          <w:color w:val="000000"/>
          <w:kern w:val="0"/>
          <w:sz w:val="44"/>
          <w:szCs w:val="44"/>
        </w:rPr>
      </w:pPr>
      <w:r>
        <w:rPr>
          <w:rFonts w:hint="eastAsia" w:eastAsia="方正小标宋简体"/>
          <w:color w:val="000000"/>
          <w:kern w:val="0"/>
          <w:sz w:val="44"/>
          <w:szCs w:val="44"/>
        </w:rPr>
        <w:t>部门预算绩效自评打分表</w:t>
      </w:r>
    </w:p>
    <w:tbl>
      <w:tblPr>
        <w:tblStyle w:val="16"/>
        <w:tblW w:w="10912" w:type="dxa"/>
        <w:jc w:val="center"/>
        <w:tblLayout w:type="fixed"/>
        <w:tblCellMar>
          <w:top w:w="0" w:type="dxa"/>
          <w:left w:w="108" w:type="dxa"/>
          <w:bottom w:w="0" w:type="dxa"/>
          <w:right w:w="108" w:type="dxa"/>
        </w:tblCellMar>
      </w:tblPr>
      <w:tblGrid>
        <w:gridCol w:w="1097"/>
        <w:gridCol w:w="1201"/>
        <w:gridCol w:w="1929"/>
        <w:gridCol w:w="717"/>
        <w:gridCol w:w="4760"/>
        <w:gridCol w:w="730"/>
        <w:gridCol w:w="478"/>
      </w:tblGrid>
      <w:tr w14:paraId="3139E7C7">
        <w:tblPrEx>
          <w:tblCellMar>
            <w:top w:w="0" w:type="dxa"/>
            <w:left w:w="108" w:type="dxa"/>
            <w:bottom w:w="0" w:type="dxa"/>
            <w:right w:w="108" w:type="dxa"/>
          </w:tblCellMar>
        </w:tblPrEx>
        <w:trPr>
          <w:trHeight w:val="23" w:hRule="atLeast"/>
          <w:jc w:val="center"/>
        </w:trPr>
        <w:tc>
          <w:tcPr>
            <w:tcW w:w="4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EB59B">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绩效评价指标指标分值</w:t>
            </w:r>
          </w:p>
        </w:tc>
        <w:tc>
          <w:tcPr>
            <w:tcW w:w="4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6ED09">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指标解释</w:t>
            </w:r>
          </w:p>
        </w:tc>
        <w:tc>
          <w:tcPr>
            <w:tcW w:w="730" w:type="dxa"/>
            <w:vMerge w:val="restart"/>
            <w:tcBorders>
              <w:top w:val="single" w:color="000000" w:sz="4" w:space="0"/>
              <w:left w:val="single" w:color="000000" w:sz="4" w:space="0"/>
              <w:right w:val="single" w:color="000000" w:sz="4" w:space="0"/>
            </w:tcBorders>
            <w:shd w:val="clear" w:color="auto" w:fill="auto"/>
            <w:vAlign w:val="center"/>
          </w:tcPr>
          <w:p w14:paraId="204ECD54">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69E20B18">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备注</w:t>
            </w:r>
          </w:p>
        </w:tc>
      </w:tr>
      <w:tr w14:paraId="4E3D01D3">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nil"/>
            </w:tcBorders>
            <w:shd w:val="clear" w:color="auto" w:fill="auto"/>
            <w:vAlign w:val="center"/>
          </w:tcPr>
          <w:p w14:paraId="6C3FD1EB">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70A">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二级指标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0CEF">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三级指标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0F80">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指标</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分值</w:t>
            </w:r>
          </w:p>
        </w:tc>
        <w:tc>
          <w:tcPr>
            <w:tcW w:w="4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4B2E">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730" w:type="dxa"/>
            <w:vMerge w:val="continue"/>
            <w:tcBorders>
              <w:left w:val="single" w:color="000000" w:sz="4" w:space="0"/>
              <w:bottom w:val="single" w:color="000000" w:sz="4" w:space="0"/>
              <w:right w:val="single" w:color="000000" w:sz="4" w:space="0"/>
            </w:tcBorders>
            <w:shd w:val="clear" w:color="auto" w:fill="auto"/>
            <w:vAlign w:val="center"/>
          </w:tcPr>
          <w:p w14:paraId="2EF230DC">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5C5B2BC7">
            <w:pPr>
              <w:widowControl/>
              <w:spacing w:line="240" w:lineRule="exact"/>
              <w:ind w:firstLine="0" w:firstLineChars="0"/>
              <w:jc w:val="center"/>
              <w:textAlignment w:val="center"/>
              <w:rPr>
                <w:rFonts w:hint="eastAsia" w:ascii="宋体" w:hAnsi="宋体" w:eastAsia="宋体" w:cs="宋体"/>
                <w:b/>
                <w:color w:val="000000"/>
                <w:kern w:val="0"/>
                <w:sz w:val="24"/>
              </w:rPr>
            </w:pPr>
          </w:p>
        </w:tc>
      </w:tr>
      <w:tr w14:paraId="7A53BD78">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right w:val="single" w:color="000000" w:sz="4" w:space="0"/>
            </w:tcBorders>
            <w:shd w:val="clear" w:color="auto" w:fill="auto"/>
            <w:vAlign w:val="center"/>
          </w:tcPr>
          <w:p w14:paraId="7AB1FBF0">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总体绩效（65分）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BE83">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履职效能</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30A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XX履职效果</w:t>
            </w:r>
          </w:p>
        </w:tc>
        <w:tc>
          <w:tcPr>
            <w:tcW w:w="717" w:type="dxa"/>
            <w:tcBorders>
              <w:top w:val="nil"/>
              <w:left w:val="single" w:color="000000" w:sz="4" w:space="0"/>
              <w:bottom w:val="single" w:color="000000" w:sz="4" w:space="0"/>
              <w:right w:val="single" w:color="000000" w:sz="4" w:space="0"/>
            </w:tcBorders>
            <w:shd w:val="clear" w:color="auto" w:fill="auto"/>
            <w:vAlign w:val="center"/>
          </w:tcPr>
          <w:p w14:paraId="756C1DD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AA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部门整体绩效目标中选定3-5个核心职能目标，反映该项职能目标完成效果情况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3547">
            <w:pPr>
              <w:widowControl/>
              <w:spacing w:line="240" w:lineRule="exact"/>
              <w:ind w:firstLine="0" w:firstLineChars="0"/>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30C4">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7C69CE4E">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63A29477">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6DEC53EC">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预算管理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（25分）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DD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预算编制质量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84D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E8E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部门是否严格按要求编制年初部门预算，年初预算编制的科学性和准确性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1D7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4.85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B4D6">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626B0F7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FB6FE77">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left w:val="single" w:color="000000" w:sz="4" w:space="0"/>
              <w:right w:val="single" w:color="000000" w:sz="4" w:space="0"/>
            </w:tcBorders>
            <w:shd w:val="clear" w:color="auto" w:fill="auto"/>
            <w:vAlign w:val="center"/>
          </w:tcPr>
          <w:p w14:paraId="3DAB5E5B">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985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单位收入统筹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49B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249C">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部门统筹自有收入努力程度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1AF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BCA">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131ED0C8">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62F260C1">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left w:val="single" w:color="000000" w:sz="4" w:space="0"/>
              <w:right w:val="single" w:color="000000" w:sz="4" w:space="0"/>
            </w:tcBorders>
            <w:shd w:val="clear" w:color="auto" w:fill="auto"/>
            <w:vAlign w:val="center"/>
          </w:tcPr>
          <w:p w14:paraId="7035BCE2">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022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支出执行管理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80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F9B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部门1至6月、1至10月预算执行情况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BAB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DABB">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0BD0E94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91A1579">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left w:val="single" w:color="000000" w:sz="4" w:space="0"/>
              <w:right w:val="single" w:color="000000" w:sz="4" w:space="0"/>
            </w:tcBorders>
            <w:shd w:val="clear" w:color="auto" w:fill="auto"/>
            <w:vAlign w:val="center"/>
          </w:tcPr>
          <w:p w14:paraId="6C6528E7">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053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预算年终结余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F6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4F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部门整体年终预算结余情况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2F3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409B">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40A4F4CC">
        <w:tblPrEx>
          <w:tblCellMar>
            <w:top w:w="0" w:type="dxa"/>
            <w:left w:w="108" w:type="dxa"/>
            <w:bottom w:w="0" w:type="dxa"/>
            <w:right w:w="108" w:type="dxa"/>
          </w:tblCellMar>
        </w:tblPrEx>
        <w:trPr>
          <w:trHeight w:val="743" w:hRule="atLeast"/>
          <w:jc w:val="center"/>
        </w:trPr>
        <w:tc>
          <w:tcPr>
            <w:tcW w:w="1097" w:type="dxa"/>
            <w:vMerge w:val="continue"/>
            <w:tcBorders>
              <w:left w:val="single" w:color="000000" w:sz="4" w:space="0"/>
              <w:right w:val="single" w:color="000000" w:sz="4" w:space="0"/>
            </w:tcBorders>
            <w:shd w:val="clear" w:color="auto" w:fill="auto"/>
            <w:vAlign w:val="center"/>
          </w:tcPr>
          <w:p w14:paraId="47ABCFD4">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left w:val="single" w:color="000000" w:sz="4" w:space="0"/>
              <w:right w:val="single" w:color="000000" w:sz="4" w:space="0"/>
            </w:tcBorders>
            <w:shd w:val="clear" w:color="auto" w:fill="auto"/>
            <w:vAlign w:val="center"/>
          </w:tcPr>
          <w:p w14:paraId="44FD8374">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1AE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严控一般性支出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008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F90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部门严控“三公”经费、会议、培训、差旅、办节办展、办公设备购置、信息化建设和运维、课题经费、竞赛活动、规划编制一般性支出情况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ACE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4.11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D80F">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2F242F46">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0495B6E8">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52457">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财务管理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0E7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财务管理制度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3DB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7A5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部门财务管理制度建立情况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0C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3F8">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2F994A15">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76685C57">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4C74">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85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财务岗位设置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0BD3">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AF7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部门财务岗位设置是否符合相关财务管理制度要求</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D72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AF3A">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2A56CAE7">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055A5BDC">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D3C9">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9C3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资金使用规范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8B2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2C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部门资金使用是否符合相关财务管理制度规定</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E69">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AF5">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1DD7846C">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E7263D3">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34411">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06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人均资产变化率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C81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6F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部门人均资产变化情况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EB9">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13CE">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3FB4C987">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30F554B3">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88D9">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B0C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资产利用率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734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7C9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部门资产超最低使用年限情况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A90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BE17">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53811D3D">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A2CF0A7">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8818">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92F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资产盘活率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765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E29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部门闲置一年以上的资产盘活情况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237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54E7">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20C66CC7">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4FE800F9">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745EB">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采购管理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77A3">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支持中小企业发展</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2B6C">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57E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部门是否严格执行政府采购促进中小企业发展相关管理办法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B2D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726">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73ABD807">
        <w:tblPrEx>
          <w:tblCellMar>
            <w:top w:w="0" w:type="dxa"/>
            <w:left w:w="108" w:type="dxa"/>
            <w:bottom w:w="0" w:type="dxa"/>
            <w:right w:w="108" w:type="dxa"/>
          </w:tblCellMar>
        </w:tblPrEx>
        <w:trPr>
          <w:trHeight w:val="176" w:hRule="atLeast"/>
          <w:jc w:val="center"/>
        </w:trPr>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2E9B1E06">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BE9B">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D6D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采购执行率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BF63">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B49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部门政府采购项目资金支付比例情况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F8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4FCD">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7C86ED9C">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E2F3">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项目绩效（35分）</w:t>
            </w: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0C567549">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项目决策</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2A1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决策程序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35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A10">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部门预算项目设立是否按规定履行评估论证、申报程序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8A2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C6E1">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59882D83">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A7BB">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16AC0766">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A479">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目标设置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3FD3">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45B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部门预算项目绩效目标与计划期内的任务量、预算安排的资金量匹配情况，绩效目标设置是否科学合理、规范完整、量化细化、预算匹配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FC2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F3C">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5412A98E">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DAFE">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752F7B59">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6A9">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项目入库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9BB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917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部门预算项目是否在规定时间完成项目入库</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88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654A">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1FC11723">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3BB6">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692B5D15">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项目执行</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BF2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执行同向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035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35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部门预算项目实际列支内容是否与绩效目标设置方向相符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9EE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DA0A">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7DFED515">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E469">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19565072">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nil"/>
              <w:right w:val="single" w:color="000000" w:sz="4" w:space="0"/>
            </w:tcBorders>
            <w:shd w:val="clear" w:color="auto" w:fill="auto"/>
            <w:vAlign w:val="center"/>
          </w:tcPr>
          <w:p w14:paraId="2E554EB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项目调整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9F0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C45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部门预算项目是否采取对应调整措施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964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70EA">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30F143ED">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A6DC">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2E383B12">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BA3">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执行结果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64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2A2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部门预算项目预算执行情况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D1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2895">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53C3471F">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5744">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43D03">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目标实现</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（11分）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47A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目标完成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4D8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9B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部门预算项目绩效目标数量指标完成情况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7DF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4D43">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05F0CD1C">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7960">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AB19">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663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目标偏离</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AF7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3AB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部门预算项目绩效目标数量指标实现程度与预期目标的偏离情况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CE30">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2779">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34FB3CFE">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E7FD">
            <w:pPr>
              <w:widowControl/>
              <w:spacing w:line="240" w:lineRule="exact"/>
              <w:ind w:firstLine="0" w:firstLineChars="0"/>
              <w:jc w:val="center"/>
              <w:textAlignment w:val="center"/>
              <w:rPr>
                <w:rFonts w:hint="eastAsia" w:ascii="宋体" w:hAnsi="宋体" w:eastAsia="宋体" w:cs="宋体"/>
                <w:b/>
                <w:color w:val="000000"/>
                <w:kern w:val="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F955">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7E0C">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实现效果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3B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32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部门预算项目绩效目标效益指标实施效果</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5C70">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81E8">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29708D0A">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F4F">
            <w:pPr>
              <w:widowControl/>
              <w:spacing w:line="240" w:lineRule="exact"/>
              <w:ind w:firstLine="0" w:firstLineChars="0"/>
              <w:jc w:val="center"/>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扣分项</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7288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被评价部门配合度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B10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F7B0">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被评价对象工作配合情况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37DB">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A181">
            <w:pPr>
              <w:widowControl/>
              <w:spacing w:line="240" w:lineRule="exact"/>
              <w:ind w:firstLine="0" w:firstLineChars="0"/>
              <w:jc w:val="center"/>
              <w:textAlignment w:val="center"/>
              <w:rPr>
                <w:rFonts w:hint="eastAsia" w:ascii="宋体" w:hAnsi="宋体" w:eastAsia="宋体" w:cs="宋体"/>
                <w:color w:val="000000"/>
                <w:kern w:val="0"/>
                <w:sz w:val="24"/>
              </w:rPr>
            </w:pPr>
          </w:p>
        </w:tc>
      </w:tr>
    </w:tbl>
    <w:p w14:paraId="3580418C">
      <w:pPr>
        <w:pStyle w:val="21"/>
        <w:spacing w:line="20" w:lineRule="exact"/>
      </w:pPr>
    </w:p>
    <w:p w14:paraId="3742B34B">
      <w:pPr>
        <w:spacing w:line="578" w:lineRule="exact"/>
        <w:jc w:val="left"/>
        <w:rPr>
          <w:rFonts w:eastAsia="黑体"/>
        </w:rPr>
      </w:pPr>
      <w:r>
        <w:rPr>
          <w:rFonts w:eastAsia="黑体"/>
        </w:rPr>
        <w:t>附表</w:t>
      </w:r>
      <w:r>
        <w:rPr>
          <w:rFonts w:hint="eastAsia" w:eastAsia="黑体"/>
        </w:rPr>
        <w:t>2</w:t>
      </w:r>
    </w:p>
    <w:p w14:paraId="16F1A229">
      <w:pPr>
        <w:widowControl/>
        <w:spacing w:line="578" w:lineRule="exact"/>
        <w:jc w:val="center"/>
        <w:textAlignment w:val="center"/>
        <w:rPr>
          <w:rFonts w:eastAsia="方正小标宋简体"/>
          <w:color w:val="000000"/>
          <w:kern w:val="0"/>
          <w:sz w:val="44"/>
          <w:szCs w:val="44"/>
        </w:rPr>
      </w:pPr>
      <w:r>
        <w:rPr>
          <w:rFonts w:eastAsia="方正小标宋简体"/>
          <w:color w:val="000000"/>
          <w:kern w:val="0"/>
          <w:sz w:val="44"/>
          <w:szCs w:val="44"/>
        </w:rPr>
        <w:t>部门整体</w:t>
      </w:r>
      <w:r>
        <w:rPr>
          <w:rFonts w:hint="eastAsia" w:eastAsia="方正小标宋简体"/>
          <w:color w:val="000000"/>
          <w:kern w:val="0"/>
          <w:sz w:val="44"/>
          <w:szCs w:val="44"/>
        </w:rPr>
        <w:t>支出</w:t>
      </w:r>
      <w:r>
        <w:rPr>
          <w:rFonts w:eastAsia="方正小标宋简体"/>
          <w:color w:val="000000"/>
          <w:kern w:val="0"/>
          <w:sz w:val="44"/>
          <w:szCs w:val="44"/>
        </w:rPr>
        <w:t>绩效目标完成情况自评表</w:t>
      </w:r>
    </w:p>
    <w:tbl>
      <w:tblPr>
        <w:tblStyle w:val="16"/>
        <w:tblW w:w="9658" w:type="dxa"/>
        <w:jc w:val="center"/>
        <w:tblLayout w:type="fixed"/>
        <w:tblCellMar>
          <w:top w:w="0" w:type="dxa"/>
          <w:left w:w="108" w:type="dxa"/>
          <w:bottom w:w="0" w:type="dxa"/>
          <w:right w:w="108" w:type="dxa"/>
        </w:tblCellMar>
      </w:tblPr>
      <w:tblGrid>
        <w:gridCol w:w="331"/>
        <w:gridCol w:w="593"/>
        <w:gridCol w:w="803"/>
        <w:gridCol w:w="1246"/>
        <w:gridCol w:w="803"/>
        <w:gridCol w:w="777"/>
        <w:gridCol w:w="1018"/>
        <w:gridCol w:w="1045"/>
        <w:gridCol w:w="1111"/>
        <w:gridCol w:w="1931"/>
      </w:tblGrid>
      <w:tr w14:paraId="0F3DE85C">
        <w:tblPrEx>
          <w:tblCellMar>
            <w:top w:w="0" w:type="dxa"/>
            <w:left w:w="108" w:type="dxa"/>
            <w:bottom w:w="0" w:type="dxa"/>
            <w:right w:w="108" w:type="dxa"/>
          </w:tblCellMar>
        </w:tblPrEx>
        <w:trPr>
          <w:trHeight w:val="465" w:hRule="atLeast"/>
          <w:jc w:val="center"/>
        </w:trPr>
        <w:tc>
          <w:tcPr>
            <w:tcW w:w="1727" w:type="dxa"/>
            <w:gridSpan w:val="3"/>
            <w:tcBorders>
              <w:top w:val="single" w:color="000000" w:sz="4" w:space="0"/>
              <w:left w:val="single" w:color="000000" w:sz="4" w:space="0"/>
              <w:bottom w:val="single" w:color="auto" w:sz="4" w:space="0"/>
              <w:right w:val="single" w:color="000000" w:sz="4" w:space="0"/>
            </w:tcBorders>
            <w:noWrap/>
            <w:vAlign w:val="center"/>
          </w:tcPr>
          <w:p w14:paraId="4673CB59">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br w:type="page"/>
            </w:r>
            <w:r>
              <w:rPr>
                <w:rFonts w:hint="eastAsia" w:ascii="宋体" w:hAnsi="宋体" w:eastAsia="宋体" w:cs="宋体"/>
                <w:color w:val="000000"/>
                <w:kern w:val="0"/>
                <w:sz w:val="24"/>
              </w:rPr>
              <w:t>部门名称</w:t>
            </w:r>
          </w:p>
        </w:tc>
        <w:tc>
          <w:tcPr>
            <w:tcW w:w="7931" w:type="dxa"/>
            <w:gridSpan w:val="7"/>
            <w:tcBorders>
              <w:top w:val="single" w:color="000000" w:sz="4" w:space="0"/>
              <w:left w:val="single" w:color="000000" w:sz="4" w:space="0"/>
              <w:bottom w:val="single" w:color="000000" w:sz="4" w:space="0"/>
              <w:right w:val="single" w:color="000000" w:sz="4" w:space="0"/>
            </w:tcBorders>
            <w:noWrap/>
            <w:vAlign w:val="center"/>
          </w:tcPr>
          <w:p w14:paraId="383B302F">
            <w:pPr>
              <w:widowControl/>
              <w:spacing w:line="240" w:lineRule="exact"/>
              <w:ind w:firstLine="0" w:firstLineChars="0"/>
              <w:jc w:val="center"/>
              <w:textAlignment w:val="center"/>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阿坝藏族羌族自治州</w:t>
            </w:r>
            <w:r>
              <w:rPr>
                <w:rFonts w:hint="eastAsia" w:ascii="宋体" w:hAnsi="宋体" w:eastAsia="宋体" w:cs="宋体"/>
                <w:color w:val="000000"/>
                <w:kern w:val="0"/>
                <w:sz w:val="24"/>
                <w:lang w:val="en-US" w:eastAsia="zh-CN"/>
              </w:rPr>
              <w:t>市场监督管理局</w:t>
            </w:r>
          </w:p>
        </w:tc>
      </w:tr>
      <w:tr w14:paraId="68280013">
        <w:tblPrEx>
          <w:tblCellMar>
            <w:top w:w="0" w:type="dxa"/>
            <w:left w:w="108" w:type="dxa"/>
            <w:bottom w:w="0" w:type="dxa"/>
            <w:right w:w="108" w:type="dxa"/>
          </w:tblCellMar>
        </w:tblPrEx>
        <w:trPr>
          <w:trHeight w:val="239"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44B7194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年度部门整体预算</w:t>
            </w:r>
          </w:p>
        </w:tc>
        <w:tc>
          <w:tcPr>
            <w:tcW w:w="2049" w:type="dxa"/>
            <w:gridSpan w:val="2"/>
            <w:tcBorders>
              <w:top w:val="single" w:color="000000" w:sz="4" w:space="0"/>
              <w:left w:val="single" w:color="auto" w:sz="4" w:space="0"/>
              <w:bottom w:val="single" w:color="000000" w:sz="4" w:space="0"/>
              <w:right w:val="single" w:color="auto" w:sz="4" w:space="0"/>
            </w:tcBorders>
            <w:noWrap/>
            <w:vAlign w:val="center"/>
          </w:tcPr>
          <w:p w14:paraId="555AC07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资金总额</w:t>
            </w:r>
          </w:p>
        </w:tc>
        <w:tc>
          <w:tcPr>
            <w:tcW w:w="1795" w:type="dxa"/>
            <w:gridSpan w:val="2"/>
            <w:tcBorders>
              <w:top w:val="single" w:color="auto" w:sz="4" w:space="0"/>
              <w:left w:val="single" w:color="auto" w:sz="4" w:space="0"/>
              <w:bottom w:val="single" w:color="auto" w:sz="4" w:space="0"/>
              <w:right w:val="single" w:color="auto" w:sz="4" w:space="0"/>
            </w:tcBorders>
            <w:noWrap/>
            <w:vAlign w:val="center"/>
          </w:tcPr>
          <w:p w14:paraId="6C53B0C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财政拨款</w:t>
            </w:r>
          </w:p>
        </w:tc>
        <w:tc>
          <w:tcPr>
            <w:tcW w:w="4087" w:type="dxa"/>
            <w:gridSpan w:val="3"/>
            <w:tcBorders>
              <w:top w:val="single" w:color="auto" w:sz="4" w:space="0"/>
              <w:left w:val="single" w:color="auto" w:sz="4" w:space="0"/>
              <w:bottom w:val="single" w:color="auto" w:sz="4" w:space="0"/>
              <w:right w:val="single" w:color="auto" w:sz="4" w:space="0"/>
            </w:tcBorders>
            <w:noWrap/>
            <w:vAlign w:val="center"/>
          </w:tcPr>
          <w:p w14:paraId="4D0FA45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其他资金</w:t>
            </w:r>
          </w:p>
        </w:tc>
      </w:tr>
      <w:tr w14:paraId="4A3B586B">
        <w:tblPrEx>
          <w:tblCellMar>
            <w:top w:w="0" w:type="dxa"/>
            <w:left w:w="108" w:type="dxa"/>
            <w:bottom w:w="0" w:type="dxa"/>
            <w:right w:w="108" w:type="dxa"/>
          </w:tblCellMar>
        </w:tblPrEx>
        <w:trPr>
          <w:trHeight w:val="239"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7EC30AA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收入预算</w:t>
            </w:r>
          </w:p>
        </w:tc>
        <w:tc>
          <w:tcPr>
            <w:tcW w:w="2049" w:type="dxa"/>
            <w:gridSpan w:val="2"/>
            <w:tcBorders>
              <w:top w:val="single" w:color="000000" w:sz="4" w:space="0"/>
              <w:left w:val="single" w:color="auto" w:sz="4" w:space="0"/>
              <w:bottom w:val="single" w:color="000000" w:sz="4" w:space="0"/>
              <w:right w:val="single" w:color="auto" w:sz="4" w:space="0"/>
            </w:tcBorders>
            <w:noWrap/>
            <w:vAlign w:val="center"/>
          </w:tcPr>
          <w:p w14:paraId="65C82FD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0.00</w:t>
            </w:r>
          </w:p>
        </w:tc>
        <w:tc>
          <w:tcPr>
            <w:tcW w:w="1795" w:type="dxa"/>
            <w:gridSpan w:val="2"/>
            <w:tcBorders>
              <w:top w:val="single" w:color="auto" w:sz="4" w:space="0"/>
              <w:left w:val="single" w:color="auto" w:sz="4" w:space="0"/>
              <w:bottom w:val="single" w:color="auto" w:sz="4" w:space="0"/>
              <w:right w:val="single" w:color="auto" w:sz="4" w:space="0"/>
            </w:tcBorders>
            <w:noWrap/>
            <w:vAlign w:val="center"/>
          </w:tcPr>
          <w:p w14:paraId="0800BFF0">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0.00</w:t>
            </w:r>
          </w:p>
        </w:tc>
        <w:tc>
          <w:tcPr>
            <w:tcW w:w="4087" w:type="dxa"/>
            <w:gridSpan w:val="3"/>
            <w:tcBorders>
              <w:top w:val="single" w:color="auto" w:sz="4" w:space="0"/>
              <w:left w:val="single" w:color="auto" w:sz="4" w:space="0"/>
              <w:bottom w:val="single" w:color="auto" w:sz="4" w:space="0"/>
              <w:right w:val="single" w:color="auto" w:sz="4" w:space="0"/>
            </w:tcBorders>
            <w:noWrap/>
            <w:vAlign w:val="center"/>
          </w:tcPr>
          <w:p w14:paraId="647237B0">
            <w:pPr>
              <w:widowControl/>
              <w:spacing w:line="240" w:lineRule="exact"/>
              <w:ind w:firstLine="0" w:firstLineChars="0"/>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r>
      <w:tr w14:paraId="432A003F">
        <w:tblPrEx>
          <w:tblCellMar>
            <w:top w:w="0" w:type="dxa"/>
            <w:left w:w="108" w:type="dxa"/>
            <w:bottom w:w="0" w:type="dxa"/>
            <w:right w:w="108" w:type="dxa"/>
          </w:tblCellMar>
        </w:tblPrEx>
        <w:trPr>
          <w:trHeight w:val="331"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6E3E54D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支出预算</w:t>
            </w:r>
          </w:p>
        </w:tc>
        <w:tc>
          <w:tcPr>
            <w:tcW w:w="2049" w:type="dxa"/>
            <w:gridSpan w:val="2"/>
            <w:tcBorders>
              <w:top w:val="single" w:color="000000" w:sz="4" w:space="0"/>
              <w:left w:val="single" w:color="auto" w:sz="4" w:space="0"/>
              <w:bottom w:val="single" w:color="000000" w:sz="4" w:space="0"/>
              <w:right w:val="single" w:color="000000" w:sz="4" w:space="0"/>
            </w:tcBorders>
            <w:noWrap/>
            <w:vAlign w:val="center"/>
          </w:tcPr>
          <w:p w14:paraId="1B2CE3D2">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5,707.66</w:t>
            </w:r>
          </w:p>
        </w:tc>
        <w:tc>
          <w:tcPr>
            <w:tcW w:w="1795" w:type="dxa"/>
            <w:gridSpan w:val="2"/>
            <w:tcBorders>
              <w:top w:val="single" w:color="auto" w:sz="4" w:space="0"/>
              <w:left w:val="single" w:color="000000" w:sz="4" w:space="0"/>
              <w:bottom w:val="single" w:color="000000" w:sz="4" w:space="0"/>
              <w:right w:val="single" w:color="000000" w:sz="4" w:space="0"/>
            </w:tcBorders>
            <w:noWrap/>
            <w:vAlign w:val="center"/>
          </w:tcPr>
          <w:p w14:paraId="54C10D1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5,707.66</w:t>
            </w:r>
          </w:p>
        </w:tc>
        <w:tc>
          <w:tcPr>
            <w:tcW w:w="4087" w:type="dxa"/>
            <w:gridSpan w:val="3"/>
            <w:tcBorders>
              <w:top w:val="single" w:color="auto" w:sz="4" w:space="0"/>
              <w:left w:val="single" w:color="000000" w:sz="4" w:space="0"/>
              <w:bottom w:val="single" w:color="000000" w:sz="4" w:space="0"/>
              <w:right w:val="single" w:color="000000" w:sz="4" w:space="0"/>
            </w:tcBorders>
            <w:noWrap/>
            <w:vAlign w:val="center"/>
          </w:tcPr>
          <w:p w14:paraId="0FB2FA8D">
            <w:pPr>
              <w:widowControl/>
              <w:spacing w:line="240" w:lineRule="exact"/>
              <w:ind w:firstLine="0" w:firstLineChars="0"/>
              <w:jc w:val="center"/>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r>
      <w:tr w14:paraId="04B409AF">
        <w:tblPrEx>
          <w:tblCellMar>
            <w:top w:w="0" w:type="dxa"/>
            <w:left w:w="108" w:type="dxa"/>
            <w:bottom w:w="0" w:type="dxa"/>
            <w:right w:w="108" w:type="dxa"/>
          </w:tblCellMar>
        </w:tblPrEx>
        <w:trPr>
          <w:trHeight w:val="296" w:hRule="atLeast"/>
          <w:jc w:val="center"/>
        </w:trPr>
        <w:tc>
          <w:tcPr>
            <w:tcW w:w="1727" w:type="dxa"/>
            <w:gridSpan w:val="3"/>
            <w:tcBorders>
              <w:top w:val="single" w:color="auto" w:sz="4" w:space="0"/>
              <w:left w:val="single" w:color="000000" w:sz="4" w:space="0"/>
              <w:bottom w:val="single" w:color="000000" w:sz="4" w:space="0"/>
              <w:right w:val="single" w:color="000000" w:sz="4" w:space="0"/>
            </w:tcBorders>
            <w:noWrap/>
            <w:vAlign w:val="center"/>
          </w:tcPr>
          <w:p w14:paraId="342A291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年度总体目标</w:t>
            </w:r>
          </w:p>
        </w:tc>
        <w:tc>
          <w:tcPr>
            <w:tcW w:w="7931" w:type="dxa"/>
            <w:gridSpan w:val="7"/>
            <w:tcBorders>
              <w:top w:val="single" w:color="000000" w:sz="4" w:space="0"/>
              <w:left w:val="single" w:color="000000" w:sz="4" w:space="0"/>
              <w:bottom w:val="single" w:color="000000" w:sz="4" w:space="0"/>
              <w:right w:val="single" w:color="000000" w:sz="4" w:space="0"/>
            </w:tcBorders>
            <w:noWrap/>
            <w:vAlign w:val="center"/>
          </w:tcPr>
          <w:p w14:paraId="2F4C55E6">
            <w:pPr>
              <w:widowControl/>
              <w:spacing w:line="240" w:lineRule="exact"/>
              <w:ind w:firstLine="0" w:firstLineChars="0"/>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是全力以赴保安全。立足严的主基调，始终把保安全作为工作的重中之重，压实安全责任，织密安全网络，持续深化“三品一特”隐患排查治理，深入开展燃气安全专项整治，抓实抓好“三品一特”安全工作，确保全年全域不发生系统性、区域性安全事件，开展食品抽检1200批次、流通领域商品质量抽检400批次、获证企业工业产品监督抽查30批次。二是千方百计稳主体。持续深化简政放权、放管结合、优化服务，促进市场主体活力不断增强。深入开展助企纾困系列政策宣讲，推动各项政策直达快享、应享尽享。全力推进“个转企”换挡提速，确保“个转企”工作在“质和量”上实现新突破。三是用心用情惠民生。全力抓好旅游市场监管、农贸市场规范建设、商品监督抽检、“阳光厨房”数字监管项目建设、驻村帮扶等民生工作，不断擦亮各族群众、各方游客幸福底色。持续推进诚信计量专项整治行动，加强公平竞争审查工作，推进医疗领域腐败问题专项整治。组织好州县消委会换届工作。四是动真碰硬严监管。针对重点领域和关键环节加大监管执法力度，严厉打击扰乱市场秩序、侵害消费者权益等违法行为，深化“长江禁捕、打非断链”、市场领域扫黑除恶，让监管利剑出鞘、让违法者付出代价，维护公平竞争有序市场环境。五是多措并举增动能。围绕加快构建“三地共建、五业同优”产业新布局，聚焦“6+N”高原特色农牧业产业新体系，全力深化“质量强州”建设，不断强化“熊猫家园·净土阿坝”品牌培育，持续推进知识产权高标准保护。建立部门财务制度，财务岗位设置部门资金使用、符合相关财务制度。</w:t>
            </w:r>
          </w:p>
        </w:tc>
      </w:tr>
      <w:tr w14:paraId="1D743171">
        <w:tblPrEx>
          <w:tblCellMar>
            <w:top w:w="0" w:type="dxa"/>
            <w:left w:w="108" w:type="dxa"/>
            <w:bottom w:w="0" w:type="dxa"/>
            <w:right w:w="108" w:type="dxa"/>
          </w:tblCellMar>
        </w:tblPrEx>
        <w:trPr>
          <w:trHeight w:val="296" w:hRule="atLeast"/>
          <w:jc w:val="center"/>
        </w:trPr>
        <w:tc>
          <w:tcPr>
            <w:tcW w:w="331" w:type="dxa"/>
            <w:vMerge w:val="restart"/>
            <w:tcBorders>
              <w:top w:val="single" w:color="000000" w:sz="4" w:space="0"/>
              <w:left w:val="single" w:color="000000" w:sz="4" w:space="0"/>
              <w:bottom w:val="single" w:color="000000" w:sz="4" w:space="0"/>
              <w:right w:val="single" w:color="000000" w:sz="4" w:space="0"/>
            </w:tcBorders>
            <w:noWrap/>
            <w:vAlign w:val="center"/>
          </w:tcPr>
          <w:p w14:paraId="2B78C4B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管理效率</w:t>
            </w: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4657B515">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一级指标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7C267A6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二级指标</w:t>
            </w:r>
          </w:p>
        </w:tc>
        <w:tc>
          <w:tcPr>
            <w:tcW w:w="1246" w:type="dxa"/>
            <w:vMerge w:val="restart"/>
            <w:tcBorders>
              <w:top w:val="single" w:color="000000" w:sz="4" w:space="0"/>
              <w:left w:val="single" w:color="000000" w:sz="4" w:space="0"/>
              <w:bottom w:val="single" w:color="000000" w:sz="4" w:space="0"/>
              <w:right w:val="single" w:color="000000" w:sz="4" w:space="0"/>
            </w:tcBorders>
            <w:noWrap/>
            <w:vAlign w:val="center"/>
          </w:tcPr>
          <w:p w14:paraId="2F89970C">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三级指标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438CE41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指标值</w:t>
            </w:r>
          </w:p>
        </w:tc>
        <w:tc>
          <w:tcPr>
            <w:tcW w:w="3951" w:type="dxa"/>
            <w:gridSpan w:val="4"/>
            <w:tcBorders>
              <w:top w:val="single" w:color="000000" w:sz="4" w:space="0"/>
              <w:left w:val="single" w:color="000000" w:sz="4" w:space="0"/>
              <w:bottom w:val="single" w:color="000000" w:sz="4" w:space="0"/>
              <w:right w:val="single" w:color="000000" w:sz="4" w:space="0"/>
            </w:tcBorders>
            <w:noWrap/>
            <w:vAlign w:val="center"/>
          </w:tcPr>
          <w:p w14:paraId="5EB4791C">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指标设置参考值</w:t>
            </w:r>
          </w:p>
        </w:tc>
        <w:tc>
          <w:tcPr>
            <w:tcW w:w="1931" w:type="dxa"/>
            <w:vMerge w:val="restart"/>
            <w:tcBorders>
              <w:top w:val="single" w:color="000000" w:sz="4" w:space="0"/>
              <w:left w:val="single" w:color="000000" w:sz="4" w:space="0"/>
              <w:right w:val="single" w:color="000000" w:sz="4" w:space="0"/>
            </w:tcBorders>
            <w:noWrap/>
            <w:vAlign w:val="center"/>
          </w:tcPr>
          <w:p w14:paraId="24FDBA5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指标实际完成值</w:t>
            </w:r>
          </w:p>
        </w:tc>
      </w:tr>
      <w:tr w14:paraId="7044A651">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07686535">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CD320CC">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378DB252">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7044481A">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20BE3944">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777" w:type="dxa"/>
            <w:tcBorders>
              <w:top w:val="single" w:color="000000" w:sz="4" w:space="0"/>
              <w:left w:val="single" w:color="000000" w:sz="4" w:space="0"/>
              <w:right w:val="single" w:color="000000" w:sz="4" w:space="0"/>
            </w:tcBorders>
            <w:noWrap/>
            <w:vAlign w:val="center"/>
          </w:tcPr>
          <w:p w14:paraId="2013680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三年</w:t>
            </w:r>
          </w:p>
          <w:p w14:paraId="7ED02B03">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均值</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05AA196">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年</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55A25C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年</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1F16CB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202</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年</w:t>
            </w:r>
          </w:p>
        </w:tc>
        <w:tc>
          <w:tcPr>
            <w:tcW w:w="1931" w:type="dxa"/>
            <w:vMerge w:val="continue"/>
            <w:tcBorders>
              <w:left w:val="single" w:color="000000" w:sz="4" w:space="0"/>
              <w:right w:val="single" w:color="000000" w:sz="4" w:space="0"/>
            </w:tcBorders>
            <w:noWrap/>
            <w:vAlign w:val="center"/>
          </w:tcPr>
          <w:p w14:paraId="16D88586">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720BB46E">
        <w:tblPrEx>
          <w:tblCellMar>
            <w:top w:w="0" w:type="dxa"/>
            <w:left w:w="108" w:type="dxa"/>
            <w:bottom w:w="0" w:type="dxa"/>
            <w:right w:w="108" w:type="dxa"/>
          </w:tblCellMar>
        </w:tblPrEx>
        <w:trPr>
          <w:trHeight w:val="641"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441CFB08">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2F93D29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成本指标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75D74CE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预算管理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16EC4E1">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财政拨款预算编制偏离度</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77423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13.6%</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2A126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13.60%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9D965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39.26%</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E93E1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17.21%</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77AE3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-15.67%</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B22DA60">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18.84%</w:t>
            </w:r>
          </w:p>
        </w:tc>
      </w:tr>
      <w:tr w14:paraId="40B9B774">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0EA0D8E1">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C383C3B">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1AA61118">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08E558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单位收入统筹度</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F9AE8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97%</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68E93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96.80%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A597A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97.7%</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1A0F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99.4%</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A37C9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93.31%</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2F4DBA5">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14:paraId="1688F2D1">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4C8A3D1D">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6379C811">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5C652B06">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6CA522C7">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预算年终结余率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6142D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B514A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4.15%</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31F8B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2.26%</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7DA1C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2.51%</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58802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7.69%</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5B6954D3">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14:paraId="511C1C83">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78B6C0F5">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6FBE51EE">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23A65B23">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60831BB">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一般性支出金额</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5D0A3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671.3万元</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87AD9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671.33万元</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0D44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67287D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02CD7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671.33万元</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C3C6FAE">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315.39万元</w:t>
            </w:r>
          </w:p>
        </w:tc>
      </w:tr>
      <w:tr w14:paraId="4761D1D7">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3ED8A69D">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3BEA85AB">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47A0DD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财务管理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D58FFCC">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财务管理规范</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AFDF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465AD3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68E61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8290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1609C16">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7D29700B">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p>
        </w:tc>
      </w:tr>
      <w:tr w14:paraId="0EF759CB">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7FD71668">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10088728">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D5D0408">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资产管理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5F7B65C4">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资产配置预算偏离度</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C3AC2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0.1%</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08DD1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0.10%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61AEE7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0.1%</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93B65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0.1%</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A5D28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0.1%</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5801E075">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r>
      <w:tr w14:paraId="4E50BF09">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405CB14">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44461F61">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551923D">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采购管理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1ED9DA0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采购执行率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8DF75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9D796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89.27%</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FBD0D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95.89%</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FBC0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87.62%</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B0CF4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84.31%</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27F58D0">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20.01%</w:t>
            </w:r>
          </w:p>
        </w:tc>
      </w:tr>
      <w:tr w14:paraId="20FF1DEE">
        <w:tblPrEx>
          <w:tblCellMar>
            <w:top w:w="0" w:type="dxa"/>
            <w:left w:w="108" w:type="dxa"/>
            <w:bottom w:w="0" w:type="dxa"/>
            <w:right w:w="108" w:type="dxa"/>
          </w:tblCellMar>
        </w:tblPrEx>
        <w:trPr>
          <w:trHeight w:val="468" w:hRule="atLeast"/>
          <w:jc w:val="center"/>
        </w:trPr>
        <w:tc>
          <w:tcPr>
            <w:tcW w:w="331" w:type="dxa"/>
            <w:vMerge w:val="restart"/>
            <w:tcBorders>
              <w:top w:val="single" w:color="000000" w:sz="4" w:space="0"/>
              <w:left w:val="single" w:color="000000" w:sz="4" w:space="0"/>
              <w:right w:val="single" w:color="000000" w:sz="4" w:space="0"/>
            </w:tcBorders>
            <w:noWrap/>
            <w:vAlign w:val="center"/>
          </w:tcPr>
          <w:p w14:paraId="75932177">
            <w:pPr>
              <w:widowControl/>
              <w:spacing w:line="240" w:lineRule="exact"/>
              <w:ind w:firstLine="0" w:firstLineChars="0"/>
              <w:jc w:val="both"/>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履职效能</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60F23D50">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一级指标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150484A">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二级指标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5BFF37BE">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三级指标</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575E39EF">
            <w:pPr>
              <w:widowControl/>
              <w:spacing w:line="240" w:lineRule="exact"/>
              <w:ind w:firstLine="0" w:firstLineChars="0"/>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指标值（包含数字及文字描述）</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47EC693E">
            <w:pPr>
              <w:widowControl/>
              <w:spacing w:line="240" w:lineRule="exact"/>
              <w:ind w:firstLine="0" w:firstLineChars="0"/>
              <w:jc w:val="center"/>
              <w:textAlignment w:val="center"/>
              <w:rPr>
                <w:rFonts w:hint="eastAsia" w:ascii="宋体" w:hAnsi="宋体" w:eastAsia="宋体" w:cs="宋体"/>
                <w:color w:val="000000"/>
                <w:kern w:val="0"/>
                <w:sz w:val="24"/>
              </w:rPr>
            </w:pPr>
          </w:p>
        </w:tc>
      </w:tr>
      <w:tr w14:paraId="4E1B0F59">
        <w:tblPrEx>
          <w:tblCellMar>
            <w:top w:w="0" w:type="dxa"/>
            <w:left w:w="108" w:type="dxa"/>
            <w:bottom w:w="0" w:type="dxa"/>
            <w:right w:w="108" w:type="dxa"/>
          </w:tblCellMar>
        </w:tblPrEx>
        <w:trPr>
          <w:trHeight w:val="296" w:hRule="atLeast"/>
          <w:jc w:val="center"/>
        </w:trPr>
        <w:tc>
          <w:tcPr>
            <w:tcW w:w="331" w:type="dxa"/>
            <w:vMerge w:val="continue"/>
            <w:tcBorders>
              <w:left w:val="single" w:color="000000" w:sz="4" w:space="0"/>
              <w:right w:val="single" w:color="000000" w:sz="4" w:space="0"/>
            </w:tcBorders>
            <w:noWrap/>
            <w:vAlign w:val="center"/>
          </w:tcPr>
          <w:p w14:paraId="3A152529">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134B83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8E766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362AE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食品抽检及时率</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76876E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481">
            <w:pPr>
              <w:widowControl/>
              <w:spacing w:line="240" w:lineRule="exact"/>
              <w:ind w:firstLine="0" w:firstLineChars="0"/>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90%</w:t>
            </w:r>
          </w:p>
        </w:tc>
      </w:tr>
      <w:tr w14:paraId="1E3E2D25">
        <w:tblPrEx>
          <w:tblCellMar>
            <w:top w:w="0" w:type="dxa"/>
            <w:left w:w="108" w:type="dxa"/>
            <w:bottom w:w="0" w:type="dxa"/>
            <w:right w:w="108" w:type="dxa"/>
          </w:tblCellMar>
        </w:tblPrEx>
        <w:trPr>
          <w:trHeight w:val="296" w:hRule="atLeast"/>
          <w:jc w:val="center"/>
        </w:trPr>
        <w:tc>
          <w:tcPr>
            <w:tcW w:w="331" w:type="dxa"/>
            <w:vMerge w:val="continue"/>
            <w:tcBorders>
              <w:left w:val="single" w:color="000000" w:sz="4" w:space="0"/>
              <w:right w:val="single" w:color="000000" w:sz="4" w:space="0"/>
            </w:tcBorders>
            <w:noWrap/>
            <w:vAlign w:val="center"/>
          </w:tcPr>
          <w:p w14:paraId="37555F42">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0DB60A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349CE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6977E5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食品抽检批次</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123078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≥1200批次</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B513">
            <w:pPr>
              <w:widowControl/>
              <w:spacing w:line="240" w:lineRule="exact"/>
              <w:ind w:firstLine="0" w:firstLineChars="0"/>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1200批次</w:t>
            </w:r>
          </w:p>
        </w:tc>
      </w:tr>
      <w:tr w14:paraId="4A3606F3">
        <w:tblPrEx>
          <w:tblCellMar>
            <w:top w:w="0" w:type="dxa"/>
            <w:left w:w="108" w:type="dxa"/>
            <w:bottom w:w="0" w:type="dxa"/>
            <w:right w:w="108" w:type="dxa"/>
          </w:tblCellMar>
        </w:tblPrEx>
        <w:trPr>
          <w:trHeight w:val="296" w:hRule="atLeast"/>
          <w:jc w:val="center"/>
        </w:trPr>
        <w:tc>
          <w:tcPr>
            <w:tcW w:w="331" w:type="dxa"/>
            <w:vMerge w:val="continue"/>
            <w:tcBorders>
              <w:left w:val="single" w:color="000000" w:sz="4" w:space="0"/>
              <w:right w:val="single" w:color="000000" w:sz="4" w:space="0"/>
            </w:tcBorders>
            <w:noWrap/>
            <w:vAlign w:val="center"/>
          </w:tcPr>
          <w:p w14:paraId="6377C3BD">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4588AD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63D1E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2F1461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流通领域商品质量抽检（批次）</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4BB02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≥400批次</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A9EF">
            <w:pPr>
              <w:widowControl/>
              <w:spacing w:line="240" w:lineRule="exact"/>
              <w:ind w:firstLine="0" w:firstLineChars="0"/>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400批次</w:t>
            </w:r>
          </w:p>
        </w:tc>
      </w:tr>
      <w:tr w14:paraId="5F5600F3">
        <w:tblPrEx>
          <w:tblCellMar>
            <w:top w:w="0" w:type="dxa"/>
            <w:left w:w="108" w:type="dxa"/>
            <w:bottom w:w="0" w:type="dxa"/>
            <w:right w:w="108" w:type="dxa"/>
          </w:tblCellMar>
        </w:tblPrEx>
        <w:trPr>
          <w:trHeight w:val="296" w:hRule="atLeast"/>
          <w:jc w:val="center"/>
        </w:trPr>
        <w:tc>
          <w:tcPr>
            <w:tcW w:w="331" w:type="dxa"/>
            <w:vMerge w:val="continue"/>
            <w:tcBorders>
              <w:left w:val="single" w:color="000000" w:sz="4" w:space="0"/>
              <w:right w:val="single" w:color="000000" w:sz="4" w:space="0"/>
            </w:tcBorders>
            <w:noWrap/>
            <w:vAlign w:val="center"/>
          </w:tcPr>
          <w:p w14:paraId="3FAD3FC4">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7FEFD1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5728E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BC029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获证企业工业产品监督抽查（批次）</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5329B1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≥30批次</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C33C">
            <w:pPr>
              <w:widowControl/>
              <w:spacing w:line="240" w:lineRule="exact"/>
              <w:ind w:firstLine="0" w:firstLineChars="0"/>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30批次</w:t>
            </w:r>
          </w:p>
        </w:tc>
      </w:tr>
      <w:tr w14:paraId="3ED25317">
        <w:tblPrEx>
          <w:tblCellMar>
            <w:top w:w="0" w:type="dxa"/>
            <w:left w:w="108" w:type="dxa"/>
            <w:bottom w:w="0" w:type="dxa"/>
            <w:right w:w="108" w:type="dxa"/>
          </w:tblCellMar>
        </w:tblPrEx>
        <w:trPr>
          <w:trHeight w:val="296" w:hRule="atLeast"/>
          <w:jc w:val="center"/>
        </w:trPr>
        <w:tc>
          <w:tcPr>
            <w:tcW w:w="331" w:type="dxa"/>
            <w:vMerge w:val="continue"/>
            <w:tcBorders>
              <w:left w:val="single" w:color="000000" w:sz="4" w:space="0"/>
              <w:right w:val="single" w:color="000000" w:sz="4" w:space="0"/>
            </w:tcBorders>
            <w:noWrap/>
            <w:vAlign w:val="center"/>
          </w:tcPr>
          <w:p w14:paraId="7B6F8CF6">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49963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827F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ADB92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产品抽检应公布信息公布率</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415D1A57">
            <w:pPr>
              <w:widowControl/>
              <w:spacing w:line="240" w:lineRule="exact"/>
              <w:ind w:firstLine="0" w:firstLineChars="0"/>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ABE1">
            <w:pPr>
              <w:widowControl/>
              <w:spacing w:line="240" w:lineRule="exact"/>
              <w:ind w:firstLine="0" w:firstLineChars="0"/>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w:t>
            </w:r>
          </w:p>
        </w:tc>
      </w:tr>
      <w:tr w14:paraId="0AE335B9">
        <w:tblPrEx>
          <w:tblCellMar>
            <w:top w:w="0" w:type="dxa"/>
            <w:left w:w="108" w:type="dxa"/>
            <w:bottom w:w="0" w:type="dxa"/>
            <w:right w:w="108" w:type="dxa"/>
          </w:tblCellMar>
        </w:tblPrEx>
        <w:trPr>
          <w:trHeight w:val="306" w:hRule="atLeast"/>
          <w:jc w:val="center"/>
        </w:trPr>
        <w:tc>
          <w:tcPr>
            <w:tcW w:w="331" w:type="dxa"/>
            <w:vMerge w:val="continue"/>
            <w:tcBorders>
              <w:left w:val="single" w:color="000000" w:sz="4" w:space="0"/>
              <w:right w:val="single" w:color="000000" w:sz="4" w:space="0"/>
            </w:tcBorders>
            <w:noWrap/>
            <w:vAlign w:val="center"/>
          </w:tcPr>
          <w:p w14:paraId="758FB049">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01E07A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8F96A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63BD4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提高流通领域产品监管水平</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73AFA8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CF8F">
            <w:pPr>
              <w:widowControl/>
              <w:spacing w:line="240" w:lineRule="exact"/>
              <w:ind w:firstLine="0" w:firstLineChars="0"/>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逐步提高</w:t>
            </w:r>
          </w:p>
        </w:tc>
      </w:tr>
      <w:tr w14:paraId="272D0F80">
        <w:tblPrEx>
          <w:tblCellMar>
            <w:top w:w="0" w:type="dxa"/>
            <w:left w:w="108" w:type="dxa"/>
            <w:bottom w:w="0" w:type="dxa"/>
            <w:right w:w="108" w:type="dxa"/>
          </w:tblCellMar>
        </w:tblPrEx>
        <w:trPr>
          <w:trHeight w:val="306" w:hRule="atLeast"/>
          <w:jc w:val="center"/>
        </w:trPr>
        <w:tc>
          <w:tcPr>
            <w:tcW w:w="331" w:type="dxa"/>
            <w:vMerge w:val="continue"/>
            <w:tcBorders>
              <w:left w:val="single" w:color="000000" w:sz="4" w:space="0"/>
              <w:right w:val="single" w:color="000000" w:sz="4" w:space="0"/>
            </w:tcBorders>
            <w:noWrap/>
            <w:vAlign w:val="center"/>
          </w:tcPr>
          <w:p w14:paraId="238044D8">
            <w:pPr>
              <w:widowControl/>
              <w:spacing w:line="240" w:lineRule="exact"/>
              <w:ind w:firstLine="0" w:firstLineChars="0"/>
              <w:jc w:val="center"/>
              <w:textAlignment w:val="center"/>
              <w:rPr>
                <w:rFonts w:hint="eastAsia" w:ascii="宋体" w:hAnsi="宋体" w:eastAsia="宋体" w:cs="宋体"/>
                <w:color w:val="000000"/>
                <w:kern w:val="0"/>
                <w:sz w:val="24"/>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72212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C4EF1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28390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提高食品监管水平</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58A8DC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AEC4">
            <w:pPr>
              <w:widowControl/>
              <w:spacing w:line="240" w:lineRule="exact"/>
              <w:ind w:firstLine="0" w:firstLineChars="0"/>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逐步提高</w:t>
            </w:r>
          </w:p>
        </w:tc>
      </w:tr>
    </w:tbl>
    <w:p w14:paraId="65D991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黑体" w:hAnsi="黑体" w:eastAsia="黑体" w:cs="黑体"/>
          <w:b w:val="0"/>
          <w:bCs w:val="0"/>
          <w:kern w:val="0"/>
          <w:position w:val="0"/>
          <w:sz w:val="32"/>
          <w:szCs w:val="32"/>
          <w:highlight w:val="none"/>
          <w:lang w:val="en-US" w:eastAsia="zh-CN" w:bidi="ar-SA"/>
        </w:rPr>
        <w:sectPr>
          <w:headerReference r:id="rId5" w:type="default"/>
          <w:footerReference r:id="rId6" w:type="default"/>
          <w:pgSz w:w="11906" w:h="16838"/>
          <w:pgMar w:top="2098" w:right="1474" w:bottom="1984" w:left="1587" w:header="851" w:footer="992" w:gutter="0"/>
          <w:pgNumType w:fmt="numberInDash"/>
          <w:cols w:space="425" w:num="1"/>
          <w:docGrid w:type="lines" w:linePitch="435" w:charSpace="0"/>
        </w:sectPr>
      </w:pP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986"/>
        <w:gridCol w:w="1493"/>
        <w:gridCol w:w="1493"/>
        <w:gridCol w:w="986"/>
        <w:gridCol w:w="1240"/>
        <w:gridCol w:w="986"/>
        <w:gridCol w:w="1409"/>
        <w:gridCol w:w="1071"/>
        <w:gridCol w:w="1240"/>
        <w:gridCol w:w="986"/>
      </w:tblGrid>
      <w:tr w14:paraId="3CE0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306CE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378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9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DF3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51320021T000000057394-质量与安全抽检业务</w:t>
            </w:r>
          </w:p>
        </w:tc>
      </w:tr>
      <w:tr w14:paraId="37A5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D77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933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409" w:type="dxa"/>
            <w:tcBorders>
              <w:top w:val="nil"/>
              <w:left w:val="nil"/>
              <w:bottom w:val="nil"/>
              <w:right w:val="nil"/>
            </w:tcBorders>
            <w:shd w:val="clear" w:color="auto" w:fill="auto"/>
            <w:vAlign w:val="center"/>
          </w:tcPr>
          <w:p w14:paraId="614D07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258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1EE5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EC4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1F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F37D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6F0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D25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73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C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D65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食品党政同责考核及质量强州考核工作要求和根据2024年州委第二巡察组工作要求，校园抽检需达到4批次/千人，，校园食品抽检需增加500批次食品抽检。2、根据新《食品安全法》要求对食品生产企业及小作坊实现抽检全覆盖需增加500批次，2025年食品共需抽检1200批次。质量强州考核工作要求，为完成质量强州考核商品流通领域的抽检，流通领域抽检需400批次。获证企业工业产品监督抽查30批次</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302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完成食品抽检1200批次、流通领域商品抽检400批次、工业产品监督抽查30批次，信息公布率和抽检不合格产品核查处置率均达100%，项目按期完成。</w:t>
            </w:r>
          </w:p>
        </w:tc>
      </w:tr>
      <w:tr w14:paraId="218F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30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5A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55B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按照年度计划，组织开展食品、流通领域商品及工业产品质量抽检工作，确保抽检任务全面落实。加强抽检信息公示和不合格产品后续处置，提升监管效能。</w:t>
            </w:r>
          </w:p>
        </w:tc>
      </w:tr>
      <w:tr w14:paraId="4E11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EDB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08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08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F8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5A7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5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4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9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C3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82C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E0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0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DE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188.64</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2C8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188.64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3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91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7CB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57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DB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18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82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5D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188.64</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9A7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188.64</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7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6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27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A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89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30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B1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CD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1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6B1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A3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5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A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2F9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BF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13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7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DE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9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67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C0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E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A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7E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FC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1B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4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3C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74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03A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0B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C3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E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10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7D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F77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F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4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91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02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CB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7A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D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50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A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0607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62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D27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AE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6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获证企业工业产品监督抽查批次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B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F8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BF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5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C1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9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6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F9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AC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E1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EF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F5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食品抽检批次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C6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6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E2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E0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35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56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DD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C8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BF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0F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F5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流通领域商品质量抽检批次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F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8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1C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39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8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C6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9B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54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2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134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E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信息公布率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D3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58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3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F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C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4B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5E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3A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6C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032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85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抽检不合格产品核查处置率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9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3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A5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4B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76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E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80B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6A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7A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B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93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35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1C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BC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8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9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91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75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8CA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FBC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C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食品安全事件发生率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26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F7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逐年下降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6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3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逐年下降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6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3A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B3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C7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7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DE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EE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3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食品监管水平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F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3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7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4F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6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E9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57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FD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BA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0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流通领域产品监管水平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D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E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F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3F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12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40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63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41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5B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A4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2B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公平竞争的市场秩序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93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F0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C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9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61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15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79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9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A8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0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保障生命财产健康安全</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D3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影响良好</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71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69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影响良好</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A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E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2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6F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AC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68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23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FB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消费者对食品安全满意度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D3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BE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D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1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49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3A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D1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CA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5B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26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2BB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F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食品抽检监测成本（元/批次）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FD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04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1080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C5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1080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24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4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EF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85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473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E3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B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商品抽检监测成本（元/批次）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50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F2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1585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6D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1585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38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DD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4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DB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A2A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DE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2F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D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工业抽检监测成本（元/批次）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C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3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10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E5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E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D6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C4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EE68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4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C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F2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9D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5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426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35C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AB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725F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15B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2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9C5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549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E6D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426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291EF72">
      <w:pPr>
        <w:rPr>
          <w:rFonts w:hint="eastAsia" w:ascii="宋体" w:hAnsi="宋体" w:eastAsia="宋体" w:cs="宋体"/>
          <w:i w:val="0"/>
          <w:iCs w:val="0"/>
          <w:color w:val="000000"/>
          <w:sz w:val="18"/>
          <w:szCs w:val="18"/>
          <w:u w:val="none"/>
        </w:rPr>
        <w:sectPr>
          <w:headerReference r:id="rId7" w:type="default"/>
          <w:footerReference r:id="rId8" w:type="default"/>
          <w:pgSz w:w="16838" w:h="11906" w:orient="landscape"/>
          <w:pgMar w:top="1587" w:right="2098" w:bottom="1474" w:left="1984" w:header="851" w:footer="992" w:gutter="0"/>
          <w:pgNumType w:fmt="numberInDash"/>
          <w:cols w:space="425" w:num="1"/>
          <w:docGrid w:type="lines" w:linePitch="435" w:charSpace="0"/>
        </w:sectPr>
      </w:pP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986"/>
        <w:gridCol w:w="1493"/>
        <w:gridCol w:w="1493"/>
        <w:gridCol w:w="986"/>
        <w:gridCol w:w="1240"/>
        <w:gridCol w:w="986"/>
        <w:gridCol w:w="1409"/>
        <w:gridCol w:w="1071"/>
        <w:gridCol w:w="1240"/>
        <w:gridCol w:w="986"/>
      </w:tblGrid>
      <w:tr w14:paraId="68EC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6CEC5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492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0A9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B2B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51320021T000000057486-市场监管信息化建设及新闻宣传</w:t>
            </w:r>
          </w:p>
        </w:tc>
      </w:tr>
      <w:tr w14:paraId="0B44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B80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23A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409" w:type="dxa"/>
            <w:tcBorders>
              <w:top w:val="nil"/>
              <w:left w:val="nil"/>
              <w:bottom w:val="nil"/>
              <w:right w:val="nil"/>
            </w:tcBorders>
            <w:shd w:val="clear" w:color="auto" w:fill="auto"/>
            <w:vAlign w:val="center"/>
          </w:tcPr>
          <w:p w14:paraId="3E6C3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C9A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7449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D57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2BB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34F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7AE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A6A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9C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F7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9B4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对局机房的数据处理中心、办公网络等设施设备进行日常的软硬件维护，并提供日常巡检和应急保障，确保机房网络设施设备和办公网络长期稳定运行，提升市场监管效率和服务水平。</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8FF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完成机房网络设备维护、安全巡检、互联网接入等工作，网络运行稳定，故障响应及时，市场监管效率提升。</w:t>
            </w:r>
          </w:p>
        </w:tc>
      </w:tr>
      <w:tr w14:paraId="4153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C0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A6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CB66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对数据中心、办公网络等设施进行日常维护和应急保障，定期开展安全巡检，确保网络系统长期稳定运行，提升信息化服务水平。</w:t>
            </w:r>
          </w:p>
        </w:tc>
      </w:tr>
      <w:tr w14:paraId="1DDB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3DA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6D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F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C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2C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2D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B6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2D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916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E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D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E7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B2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8.41</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21E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8.41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D2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1C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C0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B22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CF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6F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4D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5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E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8.41</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340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8.41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C1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9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F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26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41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9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52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DF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5F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69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9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DA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F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AB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7D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62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4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AD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FA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E8C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7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5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7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8B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0B3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85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8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C8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B1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305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A4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6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B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EE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E6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6AB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A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9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C5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84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85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16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1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7B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2C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BD3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35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15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32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5A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互联网接入线路数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1A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C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CC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E9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1D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D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34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1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EF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D4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每月安全巡检次数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F9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E9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56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A4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3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B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C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42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9C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85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0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1A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网路安全设备防火墙维护数量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37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0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4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6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78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93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D5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2E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EC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9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8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互联网接入线路可用率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C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C7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8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5E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D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0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CC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43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43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38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673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67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运维服务周期覆盖率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3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BB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D2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02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74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BB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31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8B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E6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FE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79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一般故障恢复时间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39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88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小时</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01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C3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B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E5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0D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D5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5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16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57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服务响应时间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5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2C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6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小时</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E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67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5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9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C9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CE4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6B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41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F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F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14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5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8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4F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04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3C6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5B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4C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05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B1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市场监管效率和服务水平提升度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04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05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AB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E3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4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1B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6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3E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A8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8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1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A9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7D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7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4E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32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B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8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6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5D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1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5A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F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F9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年度设备维护成本</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3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D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3C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6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E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B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12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774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F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E5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70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F3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F9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751B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8B3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A3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6A1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669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9B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497D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AD9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EC9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CCA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9B86DC0">
      <w:pPr>
        <w:rPr>
          <w:rFonts w:hint="eastAsia" w:ascii="宋体" w:hAnsi="宋体" w:eastAsia="宋体" w:cs="宋体"/>
          <w:i w:val="0"/>
          <w:iCs w:val="0"/>
          <w:color w:val="000000"/>
          <w:sz w:val="18"/>
          <w:szCs w:val="18"/>
          <w:u w:val="none"/>
        </w:rPr>
        <w:sectPr>
          <w:pgSz w:w="16838" w:h="11906" w:orient="landscape"/>
          <w:pgMar w:top="1587" w:right="2098" w:bottom="1474" w:left="1984" w:header="851" w:footer="992" w:gutter="0"/>
          <w:pgNumType w:fmt="numberInDash"/>
          <w:cols w:space="425" w:num="1"/>
          <w:docGrid w:type="lines" w:linePitch="435" w:charSpace="0"/>
        </w:sectPr>
      </w:pP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986"/>
        <w:gridCol w:w="1493"/>
        <w:gridCol w:w="1493"/>
        <w:gridCol w:w="986"/>
        <w:gridCol w:w="1240"/>
        <w:gridCol w:w="986"/>
        <w:gridCol w:w="1409"/>
        <w:gridCol w:w="1071"/>
        <w:gridCol w:w="1240"/>
        <w:gridCol w:w="986"/>
      </w:tblGrid>
      <w:tr w14:paraId="29E9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F43C8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A59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5A3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C1CE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51320021T000000057593-市场秩序维护与监管经费</w:t>
            </w:r>
          </w:p>
        </w:tc>
      </w:tr>
      <w:tr w14:paraId="3AA0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12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251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409" w:type="dxa"/>
            <w:tcBorders>
              <w:top w:val="nil"/>
              <w:left w:val="nil"/>
              <w:bottom w:val="nil"/>
              <w:right w:val="nil"/>
            </w:tcBorders>
            <w:shd w:val="clear" w:color="auto" w:fill="auto"/>
            <w:vAlign w:val="center"/>
          </w:tcPr>
          <w:p w14:paraId="375FB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1F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77EE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4D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DF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0FA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19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364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73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1C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77A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全州工商、质监、食品、药品、物价、商标、专利、知识产权、反不正当竞争等执法办案工作。处理好有关市场监管方面的各类投诉工作。落实国家、省、州有关市场监督管理工作的方针政策。强化全州市场监管执法保障和协调，持续提升市场监管综合行政执法能力水平。开展专项价格监督检查，强化对各县（市）督导检查力度，进一步规范经营者收费行为，维护市场价格稳定序；进一步加大《中华人民共和国价格法》相关知识宣传，增强经营者守法、诚信经营意识。对州级相关部门公平竞争审查工作情况及州人民政府出台或提请州人民代表大会及其常务委员会审计的政策措施进行评估。</w:t>
            </w:r>
          </w:p>
        </w:tc>
        <w:tc>
          <w:tcPr>
            <w:tcW w:w="4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596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完成执法办案、投诉处理、公平竞争审查等工作，案件和投诉办结率均为100%，重大案件合规审查通过率达95%以上。</w:t>
            </w:r>
          </w:p>
        </w:tc>
      </w:tr>
      <w:tr w14:paraId="6E8E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92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2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460A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组织开展执法检查、公平竞争审查、价格监督等多项市场监管工作，强化执法保障，提升监管能力，维护市场秩序。</w:t>
            </w:r>
          </w:p>
        </w:tc>
      </w:tr>
      <w:tr w14:paraId="16D9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FF6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4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68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A9D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41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C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A1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08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397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0F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7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B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9D8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A6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23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D8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0A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BC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9A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8B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4C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5C8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22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3C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1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5C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3B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4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A3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B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62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575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6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D9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14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7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62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A5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9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33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0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53B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87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BD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C3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A4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4F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65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C2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E6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46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217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0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C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B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7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7E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92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BB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B7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5E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0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DD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9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9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5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E1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83E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CD8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65D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9C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B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公平竞争审查数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32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5C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3C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72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4F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4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54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A5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CC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9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74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E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重大节庆检查次数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F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1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3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3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E4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69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3F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4E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4D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91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16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公平竞争政策宣传次数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F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9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35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5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2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E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35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96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5F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6DB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2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案件办结率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68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3F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5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2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B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47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EFB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E4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68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9C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11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投诉、举报办结率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A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D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0E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32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7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39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ED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7A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82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7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A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4D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48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97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A7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8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4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9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C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18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AA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C1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77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AC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重大案件合规审查通过率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1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F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99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D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BE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E0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10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F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97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2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可持续发展指标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0E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市场监管长效机制健全程度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4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8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13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高</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D5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1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6A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8D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E6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26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D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B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监管单位满意度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49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25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2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6C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81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2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B1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45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4A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9B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348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5E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项目预算执行率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6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EA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2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94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F1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4B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F7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8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9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E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35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公平竞争审查成本</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8D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C7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元/个</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B4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2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73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0F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C7C6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6D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72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C0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12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7B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9D0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F31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7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6442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D0C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9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8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A79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352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55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F3D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77629D9">
      <w:pPr>
        <w:rPr>
          <w:rFonts w:hint="eastAsia" w:ascii="宋体" w:hAnsi="宋体" w:eastAsia="宋体" w:cs="宋体"/>
          <w:i w:val="0"/>
          <w:iCs w:val="0"/>
          <w:color w:val="000000"/>
          <w:sz w:val="18"/>
          <w:szCs w:val="18"/>
          <w:u w:val="none"/>
        </w:rPr>
        <w:sectPr>
          <w:pgSz w:w="16838" w:h="11906" w:orient="landscape"/>
          <w:pgMar w:top="1587" w:right="2098" w:bottom="1474" w:left="1984" w:header="851" w:footer="992" w:gutter="0"/>
          <w:pgNumType w:fmt="numberInDash"/>
          <w:cols w:space="425" w:num="1"/>
          <w:docGrid w:type="lines" w:linePitch="435" w:charSpace="0"/>
        </w:sectPr>
      </w:pP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1BE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12ECF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ED7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9A2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11A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51320021T000000057619-食品安全监管经费</w:t>
            </w:r>
          </w:p>
        </w:tc>
      </w:tr>
      <w:tr w14:paraId="29AE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3C8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88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05AF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655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377D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75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C14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257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1946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3E0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5"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9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7F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2C6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对辖区内13县（市）18至70周岁居住半年以上的常住居民随机进行调查，重点收集受访者对所在县（市）食品安全工作、食品安全状况等满意度评价，了解受访者对食品安全知识的认知和需求，并征集受访者对我州食品安全工作的意见和建议。通过满意度调查分析群众食品安全知识、态度、行为现状，探究群众食品安全知识、态度、行为对满意度的影响，引领公众树立正确的食品安全价值观，为有针对性地改进食品安全工作、提升食品安全保障水平提供依据。同时针对州内的群众，通过宣传活动次数≥2次”、宣传覆盖人数≥10000人，提高群众对食品安全工作的知晓度。餐饮服务单位食品安全量化分级管理覆盖率达到90%以上。食品安全管理责任。推动建立旅游景区餐饮食品安全综合治理机制，督促景区运营管理者落实管理责任，严格落实重大活动食品安全各方责任，采取驻点监管与全面巡查相结合，严控风险，做好应急处置备勤，防范食品安全事故。开展食品生产许可现场核查及食品生产企业质量体系检查。强化特殊食品生产经营使用单位监管，排查防范质量安全隐患，确保质量安全有效。</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CAC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完成食品安全监督检查、满意度调查、食品生产许可核查等任务，督查发现问题处置率100%，公众满意度达75%以上。</w:t>
            </w:r>
          </w:p>
        </w:tc>
      </w:tr>
      <w:tr w14:paraId="1772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41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E1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D14A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开展食品安全监督检查、满意度调查、许可核查及宣传活动，推动餐饮单位量化分级管理，提升食品安全保障水平。</w:t>
            </w:r>
          </w:p>
        </w:tc>
      </w:tr>
      <w:tr w14:paraId="73F0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48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D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7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1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8E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4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1B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47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1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3E7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3F1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8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B6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E1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D5D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2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F6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9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A38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40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24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F3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85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FE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DA5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5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DB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54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E5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FA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B2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AA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F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4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275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70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44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E5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66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13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E6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8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4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F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8E2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3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1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7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B8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1DE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FA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C0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E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895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0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C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C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11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79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B47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3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3F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68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7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E8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45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6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3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8B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56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2F3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29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CA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213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D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食品安全监督检查次数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3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4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D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A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05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67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4E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4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B5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9E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3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食品满意度调查次数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ED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30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01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2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7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2B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004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3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D9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4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食品生产现场许可核查数量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D1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4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09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C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3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C5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E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5E5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14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EE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5F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36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调查样本量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B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A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F2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6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9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47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D31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4F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D2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2E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4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宣传活动参与率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BB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5C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7A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1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EF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37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1B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B3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C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B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6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F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督查发现问题处置率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16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A4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4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C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6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93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08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13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62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54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E6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3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宣传活动按时完成率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5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6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30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1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6C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C0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D4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E2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27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3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A3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E6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94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B8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BF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B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AD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F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50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95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0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F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B6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食品监管水平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E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C0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达到较高水平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7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9A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达到较高水平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D6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1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A0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CE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4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F6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公众食品安全满意度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13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CF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B2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B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80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57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97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85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02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BE4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FC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B8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食品生产许可现场核查成本(每家)</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D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96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95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4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C4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58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3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F6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BF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2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食品满意度调查成本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3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84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12.88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20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F0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12.88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E6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A3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7E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A256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C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1E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23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AB7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3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8BF0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0264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A7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1A5C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E74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92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98B9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3A6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C55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6CFC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483D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C80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D6E5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部门预算项目支出绩效自评表（2025年度）</w:t>
            </w:r>
          </w:p>
        </w:tc>
      </w:tr>
      <w:tr w14:paraId="68D1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3F5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150C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51320021T000000057623-药品安全监督经费</w:t>
            </w:r>
          </w:p>
        </w:tc>
      </w:tr>
      <w:tr w14:paraId="05A1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43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9DA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05067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C1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5F92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03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925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1ED9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E14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FC8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E2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91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A38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两品一械”企业监管力度不断加强；监管人员专业水平和综合业务素质不断提高；“两品一械”科普宣传力度不断加强；假冒伪劣的打击力度不断加强，假冒伪劣药品制售行为不断降低。开展专项整治4次，宣传活动2次</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8A9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开展药品安全专项整治和科普宣传，完成4次专项行动和2次宣传活动，督导检查覆盖率达50%以上，无重大药品安全事故。</w:t>
            </w:r>
          </w:p>
        </w:tc>
      </w:tr>
      <w:tr w14:paraId="1631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6D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E1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E5B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组织开展药品安全监督检查、专项整治和宣传培训，强化基层监管能力，提升药品安全监管水平。</w:t>
            </w:r>
          </w:p>
        </w:tc>
      </w:tr>
      <w:tr w14:paraId="13B0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83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6E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38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8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140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0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52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1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30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5EF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8A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6A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7D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E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476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B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10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E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8BC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DE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34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B3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B3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BB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E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3B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27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04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F1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48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7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3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A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F2D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4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1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07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C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08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15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A7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7A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6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64C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4F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58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4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9C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3E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0C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1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A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2A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807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C7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BC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53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70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AF6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B6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C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14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78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C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82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7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4E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B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EF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214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21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80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6D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B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开展药械化安全科普知识宣传次数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C0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2A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7D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CC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46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6E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4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13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5B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17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46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C6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专项行动（检查）任务数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B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9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7C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6D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F6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0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4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9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1C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9B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E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D5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对县（市）督导检查覆盖率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F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3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5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7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02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F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AF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54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65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E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FD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1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F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62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25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B7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1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5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04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F4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D60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F3F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98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药品案件查处率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09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明显提高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5B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E6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明显提高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82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70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B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8D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F0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EF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39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药品执法监管水平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8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10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60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B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0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D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73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429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E2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E5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57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9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药品安全重大事故发生率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D1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B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DB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D5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D3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6C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05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81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E2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C0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45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7D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群众满意度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CF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4B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6F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80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62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E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37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EF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70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92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5B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药品监管成本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B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7E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82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BD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9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98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FE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6D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5D90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3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3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1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F40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21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2BD1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9B8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E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D9F1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A25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5FB8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8E9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925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61E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0C10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0E7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AFAF28">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05E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37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C4D7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51320021T000000057630-市场监管业务知识培训及人力资源</w:t>
            </w:r>
          </w:p>
        </w:tc>
      </w:tr>
      <w:tr w14:paraId="020C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73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55B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882C7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81D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66D0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59B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8D9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F41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BE1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D10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F5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FB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E4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共3期《基层法治计量监管人员实操能力提升培训》、《全州市场监管认证检验监管能力提升培训》、《食品安全工作》、《全州标准化工作业务培训》、《强制性国家标准宣贯培训》，培训人次286人次3期，提高干部依法行政能力、业务水平和沟通协调能力,提高市场监管的效率和有效性，降低市场违法行为发生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13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完成3期培训，培训286人次，培训合格率100%，干部综合素质和监管能力显著提升。</w:t>
            </w:r>
          </w:p>
        </w:tc>
      </w:tr>
      <w:tr w14:paraId="47FC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3B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B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B7F8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组织开展基层法治计量、认证检验、食品安全等专题培训，提升干部依法行政能力和业务水平。</w:t>
            </w:r>
          </w:p>
        </w:tc>
      </w:tr>
      <w:tr w14:paraId="4B4B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129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C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9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C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C0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3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F5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8C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FE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428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FD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6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9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9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12.16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C5A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12.16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1B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A2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6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B5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2F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54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68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C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91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12.16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C1F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12.16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8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8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AB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7C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9F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3C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8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78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7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31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C6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EC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12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18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41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3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79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68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767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C5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4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94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D5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FB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6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B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7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486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18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3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4A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1F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4F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CE3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3D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5E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E8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77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6B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5C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21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36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AD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AE6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1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71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F9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1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培训人次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43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3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ED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4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C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C9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44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08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93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6B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C7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培训期数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12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45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A5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期</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21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E3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3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7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D3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87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C8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9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D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20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1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C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E2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D7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3E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00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5F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358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A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2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4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42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EA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17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E1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B3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A4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AE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27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F1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DB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每期培训按时完成率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FD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7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E1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B7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B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BC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24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02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90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F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18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监管能力水平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2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进一步提高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A2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B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进一步提高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F9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1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F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4D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26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1B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E7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干部综合素质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F0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49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DF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1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4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4B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1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B4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CA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0A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87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CF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培训学员满意度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9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5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B6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4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DB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AF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5E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0D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4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D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EC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2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学员每天定额费用（元/人.天.）</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A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4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3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8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5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0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3A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768F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5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84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C0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9F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F8B6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D29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F0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2793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7F9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D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4EF4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80A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697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475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5D5C9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EA1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43AEDD">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8B5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E1F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8156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51320021T000000057636-质量与安全监管</w:t>
            </w:r>
          </w:p>
        </w:tc>
      </w:tr>
      <w:tr w14:paraId="6985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06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D08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F798E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588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323C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782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C2F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27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1E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C83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2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FF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755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目前，我州检验检测机构39家，食品、机动车、生态环境共16家，需全覆盖监督检查，其他领域检测机构23家，按30%抽查应检查7家，共需检查23家。维护检验检测市场秩序，提升认证质效助力高质量发展。完成涉及我州民生、法制、能源计量审查工作。保障人民群众的利益。开展民生计量、能源计量和法制计量监督检查,加强对贸易结算、安全防护、医疗卫生、环境监测等在用强检计量器具的备案管理和监督检查。牵头在全州范围内开展特种设备安全专项整治，及时除安全隐患、有效防范重特大安全事故的发生，确保全州经济社会稳定。</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3DC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完成检验检测机构检查、民生计量监督检查、特种设备隐患排查等任务，问题处置率和隐患排查率均为100%。</w:t>
            </w:r>
          </w:p>
        </w:tc>
      </w:tr>
      <w:tr w14:paraId="2612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1B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3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EFF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开展检验检测机构监督检查、计量审查、特种设备专项整治等工作，保障计量准确和特种设备安全运行。</w:t>
            </w:r>
          </w:p>
        </w:tc>
      </w:tr>
      <w:tr w14:paraId="232D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B9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89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05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77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4C8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0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4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00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CF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DCC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99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41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1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2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31C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2F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0B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59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03F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51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989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C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BF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66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E4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7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F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28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64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2D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39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3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C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73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99F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C6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A5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27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50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D1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CD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81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3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280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9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F24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C7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F5B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0A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30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1D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75C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9C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9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6B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58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C0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BC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5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B7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AC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D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8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DE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AA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2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C4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5FC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DF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79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C3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D1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检测机构检查数量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9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4B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D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E3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C4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50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E9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F6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92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F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C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重点用能企业审查数量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8D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F2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57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10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E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88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AD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0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C8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0E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36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认证及小微企业检查数量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33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1D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B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10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27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C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02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70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4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02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8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民生、能源、法制计量监督检查数量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9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F1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B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D1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75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0A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77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09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94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E4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ED9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3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民生、能源、法制计量检查问题处置率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C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6C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A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18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5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8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6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50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56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FA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52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B9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特种设备安全隐患排查率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AF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3E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6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60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C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5F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32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AE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D3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67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审查整改完成率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A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EE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8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C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8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A9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2F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F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51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D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C4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97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0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E8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F4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E7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5A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E5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82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D5D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53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D2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社会市场计量秩序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B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20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78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8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03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D3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EC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3F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15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B55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435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42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重点用能企业能源计量管理水平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A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1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D7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5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8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16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B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14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E0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4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3F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特种设备使用单位安全满意度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69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C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7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22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8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65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D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4E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FF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0A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FDD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6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专家劳务费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56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4E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A2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8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07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6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4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3D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9C4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88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0D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2F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重点用能企业审查单位成本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6E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A7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39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25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A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E7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A0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C2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00A5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0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A2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8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55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055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F55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61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A13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701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BB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47D1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D48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C23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0D69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045A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802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A25AA2">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B0D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020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056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51320022R000005202861-追加州级部门一次性抚恤金及丧葬费</w:t>
            </w:r>
          </w:p>
        </w:tc>
      </w:tr>
      <w:tr w14:paraId="77F2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D18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245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1A71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8FE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4188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9F2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41C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426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968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0D9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E6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D3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42B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9D0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按时足额发放抚恤金及丧葬费，发放覆盖率100%，保障政策落实到位。</w:t>
            </w:r>
          </w:p>
        </w:tc>
      </w:tr>
      <w:tr w14:paraId="534F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59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03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6E99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严格按照政策规定，完成相关人员的抚恤金和丧葬费核算与发放工作。</w:t>
            </w:r>
          </w:p>
        </w:tc>
      </w:tr>
      <w:tr w14:paraId="2E08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EC7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4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53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31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2F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A3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4B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5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21F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9C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E6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53.49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13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53.49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4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04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2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EB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66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A4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2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D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53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53.49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CEC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53.49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00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1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8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57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F1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0F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6C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F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8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BE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D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9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1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CC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1E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D1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69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FF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CD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6C4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16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1C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7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06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9B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B3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B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50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53B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7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6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3C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12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014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AE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9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73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9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51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D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CF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6B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8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2D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8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E14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C5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1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2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3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D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C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83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3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0D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0E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05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B7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3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FE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92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4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7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B4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0C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0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44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92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DFF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6F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C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F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ED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2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178B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AF8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0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046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A7F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E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9B52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C14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B8B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281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6F16D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0E5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763AF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ECBFB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6C517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E3D7B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B3B95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DA5BB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BF40A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97EC5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3C75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4470D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61303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40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B3A80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457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EA8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B06C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51320022R000005203810-追加州级部门建房补贴</w:t>
            </w:r>
          </w:p>
        </w:tc>
      </w:tr>
      <w:tr w14:paraId="13DE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A9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18D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B0E5D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32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1AB1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2F6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8A1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D5F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56F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A64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E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98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98E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E82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按时足额发放建房补贴，发放覆盖率100%，保障政策落实到位。</w:t>
            </w:r>
          </w:p>
        </w:tc>
      </w:tr>
      <w:tr w14:paraId="5492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C1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B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398F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根据相关政策，完成符合条件人员的建房补贴申报审核与发放工作。</w:t>
            </w:r>
          </w:p>
        </w:tc>
      </w:tr>
      <w:tr w14:paraId="6936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5FF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4C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B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C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235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90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3C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13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2A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320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2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9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05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6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8D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3D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EE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5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C27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0D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F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2B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2B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2B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2F6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30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21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A8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8F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0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0A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0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81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3A6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3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0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1D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E3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B8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47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1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AA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CD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C4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B9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F3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2D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CB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DC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66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32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7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4A6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02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40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9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41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6B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143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1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6D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A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13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AB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96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4F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C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3E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CC0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96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1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3B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C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0D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48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BB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73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4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C3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4E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0B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C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AA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B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7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11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23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61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9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53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9B00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D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9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3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1C1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6E4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408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12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7555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A49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3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49D8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328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2BC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F4E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1DFC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3DA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A375D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E14C5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79491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BF4B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A9678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17559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513F7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565F3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9AA3D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35927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ACE00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34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7C296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373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84F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0D0E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51320022T000000326175-网络交易定向监经费</w:t>
            </w:r>
          </w:p>
        </w:tc>
      </w:tr>
      <w:tr w14:paraId="2CAD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76D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E77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9C18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0EB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2E4A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7B0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0C3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0F5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3FF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370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41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3A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090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依据《电子商务法》《网络交易监督管理办法》法律法规，依法开展网络交易信息定向监测工作，不断规范电子商务经营行为，有效净化全州网络市场环境。</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613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完成网络交易定向监测2次，监测覆盖5个以上平台，监测覆盖率90%，网络交易环境持续优化。</w:t>
            </w:r>
          </w:p>
        </w:tc>
      </w:tr>
      <w:tr w14:paraId="5EBD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EF7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FB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10D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依据《电子商务法》，组织开展网络交易信息定向监测，规范电商经营行为，净化网络市场环境。</w:t>
            </w:r>
          </w:p>
        </w:tc>
      </w:tr>
      <w:tr w14:paraId="7BBD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C0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7E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64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89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5D6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1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F8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2D3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69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47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C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86F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01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5A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B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3ED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1E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46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4B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F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E6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388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E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E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B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68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37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45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64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DA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0D9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4F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1B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BA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D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DE0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51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DC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C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09A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A9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8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11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C49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88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AD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46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37D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7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A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C4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A1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7E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DAA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77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D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F3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20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86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FD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6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6A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E6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AB0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1C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089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769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8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网络交易定向监测服务次数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5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4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6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D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A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13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20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F9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5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2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7E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6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涵盖监测点数量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D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0B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E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41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60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8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A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B3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7D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19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85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76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参与活动商监测覆盖率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36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85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1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78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E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01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8D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E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5E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CE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0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4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A2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5F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92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2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71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B7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43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DD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D5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9C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公平竞争的市场秩序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98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4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0C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D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8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EB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2C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C8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BA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1B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5F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8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网络交易持续健康发展</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0E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A3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23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3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C2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2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6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2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01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0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AC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消费者对网络交易环境的满意度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AC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9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A2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72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F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EE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BD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D6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F1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5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69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A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定向监测成本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82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76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21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C6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D1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55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1D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F00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16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5B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1E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3B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30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61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6AF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4C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30C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DCB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7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E7D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F7D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B55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3955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97873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C1B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62B60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B0CD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EF15A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33AF0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0E096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A56D7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B7B98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D5600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8B13F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EB215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4D033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E9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390DE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BE9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484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EDF4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51320023R000009914893-工资性支出</w:t>
            </w:r>
          </w:p>
        </w:tc>
      </w:tr>
      <w:tr w14:paraId="5EEB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F5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5B8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7AFD9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15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6A65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EFF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4A1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A04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268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73D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C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1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C9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B1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按时足额发放职工工资，发放覆盖率100%，无拖欠、无差错。</w:t>
            </w:r>
          </w:p>
        </w:tc>
      </w:tr>
      <w:tr w14:paraId="65AE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27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6C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8C88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严格执行工资发放政策，按月核算并发放职工工资及相关补贴，保障职工合法权益。</w:t>
            </w:r>
          </w:p>
        </w:tc>
      </w:tr>
      <w:tr w14:paraId="4352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CCE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D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A5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AD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CE0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03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6F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A2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76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F6B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10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1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83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1,059.42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9E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1,054.37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9CA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1,054.37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DF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C1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3F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7B8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DD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7D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0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9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1,059.42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B1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1,054.37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491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1,054.37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F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A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3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8F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BE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65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A9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71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72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D2A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1C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6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E3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72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FA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9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E8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D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3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34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C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38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B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88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85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16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3F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0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8C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84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06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1C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BF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E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8D6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531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B1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52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C8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4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C6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A7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0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CB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98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A4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F5A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01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27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C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1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EC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AC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40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16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F3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D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8D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B9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9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C1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0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D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6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7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30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DD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52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ED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5E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7348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7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5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1A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5F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D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B3D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35F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3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D69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C8A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34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1D6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CAC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267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C7B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83F2E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7AA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9DB73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1FD90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75C27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E7238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01971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7C369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E1FD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CCACD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E0552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3F2CC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2C50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FC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461B6A">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2BC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710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5AEA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51320023R000009915221-单位缴费</w:t>
            </w:r>
          </w:p>
        </w:tc>
      </w:tr>
      <w:tr w14:paraId="0309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D74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0CF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D64E6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28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685A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483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809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5BB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48C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050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A1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B1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30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065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按时足额缴纳职工社保、公积金等，缴纳覆盖率100%，保障职工权益。</w:t>
            </w:r>
          </w:p>
        </w:tc>
      </w:tr>
      <w:tr w14:paraId="5D50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7E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0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6388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按规定完成职工社会保险、住房公积金等费用的核算与缴纳工作。</w:t>
            </w:r>
          </w:p>
        </w:tc>
      </w:tr>
      <w:tr w14:paraId="3645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64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D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A1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99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0E0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A3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6D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4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9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7BC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9D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D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FD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688.09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F0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647.93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EBF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647.93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70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03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5EC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1C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30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9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E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688.09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9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647.93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F6C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647.93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8A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0F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3F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6F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4C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98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1A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16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9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19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3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2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7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64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21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FD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08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D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0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DF1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B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9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C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3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54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6B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98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7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00D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5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3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3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A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E6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16C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3A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EE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35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89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9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D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92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6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42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93A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27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6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28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9E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E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C3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AE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C0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3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C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13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D5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7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20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66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A4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A6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F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5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F5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7198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2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40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8B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0F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E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5B1C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424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1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7EF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FE9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69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470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6FA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D8D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54E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4727B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916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EF62E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29798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DD794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27334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AB4C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B8DD2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6BA9A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8394F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70FE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D4E85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452F4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CD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77B3C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190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45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61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51320023R000009915925-聘用人员经费</w:t>
            </w:r>
          </w:p>
        </w:tc>
      </w:tr>
      <w:tr w14:paraId="07BA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7B8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0E5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A78AB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73C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292E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EF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80F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848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01E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0D2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42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F4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0A8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EC6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按时足额发放聘用人员工资及缴纳社保，发放覆盖率100%，保障聘用人员权益。</w:t>
            </w:r>
          </w:p>
        </w:tc>
      </w:tr>
      <w:tr w14:paraId="3351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73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B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B895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根据聘用合同和相关政策，完成聘用人员工资发放和社保缴纳工作。</w:t>
            </w:r>
          </w:p>
        </w:tc>
      </w:tr>
      <w:tr w14:paraId="5EF9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AA4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C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9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845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F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5F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B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D84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8E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37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5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56.39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60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46.76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6F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46.76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D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C4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385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B1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6C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F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5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56.39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2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46.76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2E7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46.76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C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2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34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3E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A9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2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BC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9E1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3B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15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89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3B5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79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30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69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17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74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846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41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28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29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6B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F5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91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CD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C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7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25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8C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A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B3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0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7F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E7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00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ED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6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2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7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E7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2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D8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43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91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319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25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DE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49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59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A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8D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1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0E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96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47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5A3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C2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1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0F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C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12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E9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C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30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5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9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02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68B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A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69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E5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4E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4C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F451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727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B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F975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831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A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444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4F7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499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10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B525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D59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BDC25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64F21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28632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6F81A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43F82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73448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7F8FE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B93D4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5DC1D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88456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75C9C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53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D9F95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57C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346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037E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51320023T000007878971-民营商广及知识产权</w:t>
            </w:r>
          </w:p>
        </w:tc>
      </w:tr>
      <w:tr w14:paraId="0EFE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BF7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18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72C9E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9E2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3005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78C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48A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E0C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C5D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23B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DF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6B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A2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推动市场主体积极、自觉年报。2.对全州市场监管领域相关部门开展联合双随机一公开检查，实现监管全覆盖、常态化，抽查比例不低于5%”。3.省、州“十四五”知识产权保护和运用规划重点任务持续推进。4.全州营商环境知识产权指标评价得分明显提升。5.城市县域知识产权工作进一步深化，企事业单位知识产权创造质量、运用效益、保护效果、管理水平进一步增强。6、省、州“十四五”民营经济发展规划重点任务持续推进。7、优化民营经济营商环境。8、持续推进“小个专”党建工作，发展非公有制经济党员，党员数有所提高，基层党组织有所提高。投诉处理率达到95%以上</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D0A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完成知识产权宣传、民营经济宣传、“双随机”抽查等工作，年报率达90%以上，企业满意度达80%。</w:t>
            </w:r>
          </w:p>
        </w:tc>
      </w:tr>
      <w:tr w14:paraId="61B9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29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6F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7E22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组织开展知识产权宣传、民营经济服务、“小个专”党建等工作，推动市场主体健康发展。</w:t>
            </w:r>
          </w:p>
        </w:tc>
      </w:tr>
      <w:tr w14:paraId="69F0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FE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71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A5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A1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895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B1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A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1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A9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064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08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9B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AD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6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F50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73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44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E5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853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01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353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B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87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0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08B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9F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7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AB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DE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DB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A8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AD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C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844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1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43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8A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C5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CC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0B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95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37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4C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A94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8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B8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6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10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83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4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C4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EAA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05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42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9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92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6C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E5A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F4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A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A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E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69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30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58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33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927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13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BF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D4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57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数量指标知识产权宣传数量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4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55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12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AF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2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6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5A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44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D3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BCD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56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民营经济、小个专党建宣传次数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2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4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7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EB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65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30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F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E16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9C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66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B60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3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每万人口高价值发明专利拥有量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EA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6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A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A1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9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04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2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EB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DA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9B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C0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D3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“双随机、一公开”企业抽查率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E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33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2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55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F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53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0E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D1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50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6C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A3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60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年报率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BC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BB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0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2B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1C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A0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13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26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E9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8A2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D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投诉处理及时率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94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A6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FC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BA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A8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24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1E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77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38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24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2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3D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18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6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6A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6E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D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02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B7B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22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知识产权营商环境</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8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9C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明显优化</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E6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明显优化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FE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0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74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D5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93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73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B5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85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公平竞争的市场秩序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FC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38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稳中向好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B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B6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稳中向好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F8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95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A4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A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A5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B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4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D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企业满意度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B4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D2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1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32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9B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CC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0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49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30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C4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4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60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项目预算执行率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E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EC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CA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9C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A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17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7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A1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AABA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06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38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07E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09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2B0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914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6E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955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8B3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C40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4F0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0C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BDC5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6B857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209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5DE2D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E68BC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E7CE7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A8A54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EBAD8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FE5FB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5C97F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B0C1C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61300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8BFD5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5453ED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35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6C073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6EC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AD5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8594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51320023T000008054761-弥补消委会经费补助</w:t>
            </w:r>
          </w:p>
        </w:tc>
      </w:tr>
      <w:tr w14:paraId="3973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D6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BF0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BAE65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3C5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1279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74C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25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FC7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A37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336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8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51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52D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年改善消费维权环境。坚持“有诉必接、快速反应、及时处置”的工作理念，受理咨询投诉举报6123件，投诉调解成功率77.96%，高于全国平均水平24.17%。2025年开展组织建设、宣传活动及到省、县（市)开展业务工作进一步完善组织建设，发挥桥梁纽带作用，通过宣传活动引导消费者科学、合理、环保消费，督促经营者诚信经营，及时化解消费纠纷，维护本州消费者及进州旅游消费者合法权益，营造安全放心的消费环境。</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3A7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受理消费投诉6000件以上，调解成功率77.96%，开展宣传活动2次，消费者满意度达90%。</w:t>
            </w:r>
          </w:p>
        </w:tc>
      </w:tr>
      <w:tr w14:paraId="2BDD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51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BE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5592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开展消费维权宣传、投诉受理与调解工作，提升消费环境和服务水平。</w:t>
            </w:r>
          </w:p>
        </w:tc>
      </w:tr>
      <w:tr w14:paraId="6E7B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E0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9F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EF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00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8FB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4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E0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C5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C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0DD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F7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B6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7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7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54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C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EE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7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882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87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FA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01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B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9F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906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A1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6D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D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A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C07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1D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41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DD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6B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71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D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B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06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6B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37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B2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B5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24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04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348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3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3A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7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1F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E8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3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9C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95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F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9BC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22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3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8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BB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BB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53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D8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9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E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B0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57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B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2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66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A1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D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1BA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E1D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2EE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947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DA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消费宣传教育、引导活动次数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BC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7F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64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FB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B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F8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55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D3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E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59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40B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34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受理消费投诉数量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A2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E1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F8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C5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2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A1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2C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5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97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EB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41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消费投诉调解成功率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5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2C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77.96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38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5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77.96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0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D7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C1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114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27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71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A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A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90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F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50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3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9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EE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1D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0A6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4D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C88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A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CC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消费者维权知识知晓率提升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C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5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F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6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B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1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7F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94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CC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95B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62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可持续发展指标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D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安全放心的消费环境</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55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6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明显改善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5F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D1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明显改善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EE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0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FE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25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39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80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8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消费者满意度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9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57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2A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E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1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A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DB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6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FAD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85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7E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项目预算执行率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A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F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F2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7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A8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4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3E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45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10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84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5F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宣传品成本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F5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7C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0A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13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9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1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A3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A4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90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CA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4C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4A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宣传资料成本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50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A0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3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元/张</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56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0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A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37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B2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58E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6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7D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8C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A6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8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BB01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3BF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A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2171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12F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82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5707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225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C1D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9E3F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C68D5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2F4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1FCA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273A6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B0A18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781E5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2B713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BCE12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87DDC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5A4C7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EF49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79562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73323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F6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36E57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0C9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069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389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51320023Y000009917272-日常公用经费</w:t>
            </w:r>
          </w:p>
        </w:tc>
      </w:tr>
      <w:tr w14:paraId="6ABA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993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4F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F64B1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F37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74F3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B9F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F0C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D9E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7A8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1C0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48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00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ED4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010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预算编制准确，科目调整控制在5次以内，“三公经费”控制率100%，单位运转保障有力。</w:t>
            </w:r>
          </w:p>
        </w:tc>
      </w:tr>
      <w:tr w14:paraId="1126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80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54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415B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严格执行预算，保障单位日常办公、会议、差旅等基本运转需求。</w:t>
            </w:r>
          </w:p>
        </w:tc>
      </w:tr>
      <w:tr w14:paraId="6DF7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54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9C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AA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F0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B91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C7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06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7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1E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AD2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3B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3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05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299.74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C5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299.74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E19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299.74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6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70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A0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262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80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99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6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B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299.74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87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299.74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80E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299.74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B6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D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DE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C8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F7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7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25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B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4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33C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B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4E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8A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C5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53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B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44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07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D43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C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E3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6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24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EF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55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7B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3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0C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FC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2C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D8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AE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FA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2E2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AB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E4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84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C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0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A7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C0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D7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7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236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40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60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1F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35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1E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5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67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68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C6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E4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6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B5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B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AC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1E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2F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C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8D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4B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3E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EC7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C5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15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79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FA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D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B1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F5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FB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3F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D8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FB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65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A1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A0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4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0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BD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7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83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47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87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4A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40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38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A6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AC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B2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E8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3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E04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C4D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9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BF8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552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4179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8F3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446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1C3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56649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037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B44AC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D6A1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8D3E5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B37E9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DDAF1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7EC24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E1D96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4B7A8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40D0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48F11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0922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04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74C9C8">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BC7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D0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F4F1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51320024R000010654621-退休人员经费</w:t>
            </w:r>
          </w:p>
        </w:tc>
      </w:tr>
      <w:tr w14:paraId="7B80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09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8B4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E6EF2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1E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2469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152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E50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C37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E9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583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F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C6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3C9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270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按时足额发放退休人员待遇，发放覆盖率100%，保障退休人员基本生活。</w:t>
            </w:r>
          </w:p>
        </w:tc>
      </w:tr>
      <w:tr w14:paraId="608C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4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C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402B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根据退休人员政策，完成退休金、补贴等费用的核算与发放工作。</w:t>
            </w:r>
          </w:p>
        </w:tc>
      </w:tr>
      <w:tr w14:paraId="6306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5AD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93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4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45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A6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F4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64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D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4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034E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8F7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D2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B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342.96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61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332.19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EBF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332.19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AC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23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B6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32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68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A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0C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A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342.96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4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332.19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098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332.19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6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8C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8C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E5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F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92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AC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43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D44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0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A3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D6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78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CC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DA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C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13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CBB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3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6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BB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3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5F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D6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58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11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7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807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14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B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9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9B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797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60F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6E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45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67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FC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6B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C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6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E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536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F2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A2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94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1A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D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5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21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C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2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C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01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77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7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F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0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2B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32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72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0D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2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37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2C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8FDA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B8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4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9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D3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0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AB22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F8E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0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9BB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C69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8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9D1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E69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543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66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5F69D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F33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2B775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05CED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113E3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4DB46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E917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970FC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EA90C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7A42F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7FDB8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91548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FFC9F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D4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CE3E15">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328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4E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C8DA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51320024R000010655518-目标绩效奖（行政按月随工资发放70%部分）</w:t>
            </w:r>
          </w:p>
        </w:tc>
      </w:tr>
      <w:tr w14:paraId="1571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A9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C1F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F7346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AF8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3D94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45E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25C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556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067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778B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69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73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271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2A5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按时足额发放目标绩效奖，发放覆盖率100%，保障干部职工积极性。</w:t>
            </w:r>
          </w:p>
        </w:tc>
      </w:tr>
      <w:tr w14:paraId="4D45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44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F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520D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根据绩效考核结果，按月完成目标绩效奖的核算与发放工作。</w:t>
            </w:r>
          </w:p>
        </w:tc>
      </w:tr>
      <w:tr w14:paraId="5C73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FCC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61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6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2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0F8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C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2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90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7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171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5D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2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A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425.48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0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425.48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759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425.48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F8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91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7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B68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E5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1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C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DF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425.48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A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425.48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F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425.48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0A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0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19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15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A9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8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2C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3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3A5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0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5C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F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0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68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6A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3D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4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1E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FB7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35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1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8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9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67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40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5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C0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E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494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FE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F4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C7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89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FB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261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5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4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D8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49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8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A2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6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6F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79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C9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CF3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7B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8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2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9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BE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38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2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1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E1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01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C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32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9B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8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5C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0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CB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D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8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15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7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E1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5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68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7A5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96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4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A4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E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0938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3A5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2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A4A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D63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3B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B5C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1EF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742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20F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E565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5BB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72EE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1502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426B0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CDB5A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0E7DB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30AB7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8CD0C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C6DBE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A20F2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BC314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03171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0D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052E76">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D3B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6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F2BA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51320024T000012032363-2024年市场监管专项资金</w:t>
            </w:r>
          </w:p>
        </w:tc>
      </w:tr>
      <w:tr w14:paraId="4E49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DC8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458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DD1A7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5AD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4701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BF7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09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1E7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2E0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C1D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DB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9C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73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2024年按照省市场监管局年度重点工作任务，完成食品抽检监测、工业产品质量安全监管、“铁拳”暨“春雷”行动、市场监管综合业务等工作。</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50F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完成食品抽检、特种设备检查、“铁拳”行动等任务，信息公布率和处置率均为100%，无重大安全事故。</w:t>
            </w:r>
          </w:p>
        </w:tc>
      </w:tr>
      <w:tr w14:paraId="03F9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B2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50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852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按照省局部署，完成食品抽检、特种设备检查、放心舒心消费创建等工作，提升市场监管效能。</w:t>
            </w:r>
          </w:p>
        </w:tc>
      </w:tr>
      <w:tr w14:paraId="7EE2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A1E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53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14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7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8C9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F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6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87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93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679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DE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6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E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D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14.28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6A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14.28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EC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DD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A8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1E0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39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2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C4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4B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5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14.28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921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14.28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AB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D0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A8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CA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AB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F9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0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03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1C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E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0B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2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4E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CF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F9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7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8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9D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D7E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1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7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1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22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58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E2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A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FE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29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CA1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4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5E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BC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1E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1D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FF3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16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CA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3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D7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F4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C4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24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C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C0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6A3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2D6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4CB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81B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A3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省级普通食品抽检监测任务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1F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78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458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71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458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A0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37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2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A7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1D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F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15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A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特种设备安全现场检查</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6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95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4B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6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53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8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A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64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48A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09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DA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F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“特拳”及“春雷”行动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F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9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B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C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36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B3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12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1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6C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FE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放心舒心消费示范单元提质升级的现场核查数量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8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8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D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户</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1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91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E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5C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E3C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70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8A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D3D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D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生产环节抽查合格率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0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5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05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87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A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A5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45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95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6B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1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46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95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食品抽检应公布信息公布率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60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37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2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4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31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7C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37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8F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71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16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D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1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抽检不合格食品核查处置率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4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4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47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23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D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A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3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585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8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52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8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51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F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D9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A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8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2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E5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0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A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2D5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FE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9C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辖区内与补助资金相关的重大食品安全监管责任事故发生数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1D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3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9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4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EA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CC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8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5C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E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E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9A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A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公平竞争的市场秩序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F7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B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稳中向好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5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C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稳中向好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D9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7B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2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1A8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90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13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6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E0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严守食品安全、工业产品安全、特种设备安全底线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B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6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F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5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42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A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24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1B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AA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53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A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4E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公众对食品安全的满意度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26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A1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03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45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2B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7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EF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9F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9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9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54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食品抽检检测成本（每批次）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3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4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9E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5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7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5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17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A5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CA7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5D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2D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DD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BF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2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06C8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C07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21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D88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46A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3A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052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5C9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816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1AFC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5B985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B0D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CFF21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1F61D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7813A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42C8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559B7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62E06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15BF6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1F935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4997B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9E965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05B19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2E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A447A">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9BF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9E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2AF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51320025R000012338995-追加人员工资性支出</w:t>
            </w:r>
          </w:p>
        </w:tc>
      </w:tr>
      <w:tr w14:paraId="5CEE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F3B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2A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94636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29A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2DC0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199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AD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D20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90A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0D9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33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AE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4B7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611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按时足额发放追加人员工资，发放覆盖率100%，保障人员待遇落实。</w:t>
            </w:r>
          </w:p>
        </w:tc>
      </w:tr>
      <w:tr w14:paraId="6F89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60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87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CB9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根据人事变动和政策调整，完成追加人员工资的核算与发放工作。</w:t>
            </w:r>
          </w:p>
        </w:tc>
      </w:tr>
      <w:tr w14:paraId="04C2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68A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B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2C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259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F9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5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2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0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04D1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E9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1C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28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2F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CD8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74.93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36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0E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4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5A2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28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86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3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28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58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774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74.93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15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33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5B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E7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5D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844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E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1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4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CDC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D1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84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73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79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36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CF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A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E0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BAA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B4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30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AF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82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49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05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CB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B3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B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D4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8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C4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EB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49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41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65F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2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D5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94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64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67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DD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B6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E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E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8D1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ED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B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1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A7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9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7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3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C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4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A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AC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42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00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6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97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62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94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B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02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8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15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38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BA7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80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32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9B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CA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2D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0EF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19C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55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63AC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F03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63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E231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DD9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F3A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76F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3BC4F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069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7854A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DDC6F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445B5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718B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BC66D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2F2CB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E179E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3833C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FC4B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FC9DA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E972A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8E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DE0A58">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602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825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9289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51320025R000012408768-年度考核奖（30%）</w:t>
            </w:r>
          </w:p>
        </w:tc>
      </w:tr>
      <w:tr w14:paraId="1754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3A9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685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71182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61F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55D3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20E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DE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1C8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2F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BA6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0E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4E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845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9EC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按时足额发放年度考核奖，发放覆盖率100%，激励干部职工积极作为。</w:t>
            </w:r>
          </w:p>
        </w:tc>
      </w:tr>
      <w:tr w14:paraId="35E8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19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D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0848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根据年度考核结果，完成考核奖的核算与发放工作。</w:t>
            </w:r>
          </w:p>
        </w:tc>
      </w:tr>
      <w:tr w14:paraId="4F03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ADC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1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1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F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12C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7E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E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C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ED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A0B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0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E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A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198.28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0F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198.28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D9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4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C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1D4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D9E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A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E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A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198.28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1CC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198.28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C9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9F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A9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41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B3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BE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4B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D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8F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971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7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7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4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38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25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49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65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96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8A9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D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D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5A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B1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92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9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6D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1A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645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3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1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41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4C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26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8C2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60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5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E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CD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D5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1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A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F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91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4D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402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72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1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1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A9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46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D3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F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4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6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DF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FF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B3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E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4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BF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D1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E9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51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B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5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8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3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CB6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3D87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B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B1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94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E9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522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97D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67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452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496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812D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199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02E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F28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F805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A56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A9921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D364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53D65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64E61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7483B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0E7A6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DB53F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8D094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5AB1B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001F4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E5A5F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5CF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DAA1C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222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29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BD7F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51320025T000012488942-标准综合监管经费</w:t>
            </w:r>
          </w:p>
        </w:tc>
      </w:tr>
      <w:tr w14:paraId="3E93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E24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340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B993C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392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452E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2B3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50D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EA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FA7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5D5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F9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90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A03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督促开展对标准实施的监督检查、组织开展企业标准、团体标准双随机抽查、强制性标准宣传贯彻、开展标准实施信息调查反馈和效果评估工作、开展州级地方标准复审、展地方标准审查备案工作、开展企业的对标达标工作。开展“天府名品”创建标准化、监督商品条码管理等工作。</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67C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完成地方标准复审20个、标准双随机抽查3项，标准引领作用持续增强。</w:t>
            </w:r>
          </w:p>
        </w:tc>
      </w:tr>
      <w:tr w14:paraId="221F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7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8E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DA6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组织开展地方标准复审、企业标准抽查、标准宣贯等工作，推动标准化战略实施。</w:t>
            </w:r>
          </w:p>
        </w:tc>
      </w:tr>
      <w:tr w14:paraId="0E93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0E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A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64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9B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7A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F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A9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B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5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F9A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B8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48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EB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F2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9.45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98C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9.45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44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A6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6D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829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483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97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95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B9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0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9.45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8C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9.45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7A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8A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A6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74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44E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14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86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34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C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652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AD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2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C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39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A8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19D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A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17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9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96C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0F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36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0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95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85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7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0D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C4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D03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80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8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7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D8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BB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286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B5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93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95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E6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F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F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82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4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6C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401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1B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110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58B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31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复审地方标准数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B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E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2E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A2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D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81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3F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40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03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2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B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标准双随机抽查数量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F2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9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C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62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1F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B4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D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FE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DD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DE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D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C6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标准抽查评价问题发现率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B8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8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5B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50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85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AA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A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27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C6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E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3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32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地方标准复审完成时间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1D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F5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A8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A3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A1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4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A4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3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55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标准引领产业高质量发展</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17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C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不断向好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75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53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不断向好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F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A7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2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07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58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4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CE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F2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标准化监管工作满意度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2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E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7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D4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1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27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49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C6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40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A5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10A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C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标准评价成本（每项）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4F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77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07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EF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2B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D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B4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61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A0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A3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92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A0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项目总成本控制率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14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3E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EB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4D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14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8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50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857A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9C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B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B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9A6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8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3E0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FDE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2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28D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1A8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A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DBD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AD9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A5C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A08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54D0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3B0C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C42C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D973E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87D9E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DEA55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0D6DE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F6B4D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1CE1B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FF886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627C0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2FE0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E5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21A96F">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41A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19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CD6B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51320025T000012881881-2024年中央食品监管专项资金</w:t>
            </w:r>
          </w:p>
        </w:tc>
      </w:tr>
      <w:tr w14:paraId="25B1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C61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143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A7137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BFB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112F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6C7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F5C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88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4E4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08B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7A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02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DE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深入开展食品风险隐患排查;强化食品抽检监测工作；加强基层食品监管人员能力建设工作培训；加强培训，提高监管人员专业水平和综合素质；监管及检验检测技术支持能力提升；委托聘请第三方机构开展2024年下半年食品生产企业许可现场核查工作。</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A0C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完成食品生产企业核查17家，不合格食品核查处置率100%，无重大食品安全事故。</w:t>
            </w:r>
          </w:p>
        </w:tc>
      </w:tr>
      <w:tr w14:paraId="5204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C4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8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1EE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组织开展食品生产企业许可核查、风险隐患排查和监管能力提升培训。</w:t>
            </w:r>
          </w:p>
        </w:tc>
      </w:tr>
      <w:tr w14:paraId="302F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0D6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4B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F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51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49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75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C5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2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FD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3BC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1A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0D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97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6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856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BE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C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B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03C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C1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06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0C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9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E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EEB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9F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D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44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C0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8C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F0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58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F2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EAD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E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5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2C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1E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FB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5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9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DB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F9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252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5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1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D5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2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4A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4A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B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0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3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BCA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6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82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D8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ED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28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D27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7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F1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0B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F8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A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39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7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12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42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C51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C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D39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F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7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生产核查数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81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E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A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A3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F1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E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C1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F8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BA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E1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3E3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0D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抽检不合格食品核查处置率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0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4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B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2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97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56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2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E1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CC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A0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56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FA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食品安全投诉举报处置率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46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7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CC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E0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23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5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F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45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5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46D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9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C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食品监管专项工作整体完成时间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9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A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81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0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67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F8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19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0B3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E08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C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49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辖区内与补助资金相关的重大食品安全监管责任事故发生数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EC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AB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4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41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AA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4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B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4F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453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AE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DD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0A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食品安全执法能力和监管能力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48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F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03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0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78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AC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E1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A6A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5C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A7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BE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43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重大活动食品安全保障对象满意度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B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73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4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4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05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1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19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8C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F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AE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1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食品监管业务培训成本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81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70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C0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元/人·次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AC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0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AF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85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A14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3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BD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10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04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8E01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65C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CF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B4A3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62B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0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9E43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C41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9F1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3A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6D37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B8A95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D762C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0617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C10CF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E6C60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79B27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5DF8C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68BE2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0529F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FCC12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46E40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F6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0257E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4C9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198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2DD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51320025T000013665248-职工交伙食费</w:t>
            </w:r>
          </w:p>
        </w:tc>
      </w:tr>
      <w:tr w14:paraId="42F4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6C1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530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DF47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CFB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04F1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32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94F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AA6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F75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CDB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23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3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CE0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BAE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按时完成职工伙食费收取与支付，预算执行准确，保障食堂正常运转。</w:t>
            </w:r>
          </w:p>
        </w:tc>
      </w:tr>
      <w:tr w14:paraId="0E3D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60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6B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2DA4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按月收取职工伙食费并支付食堂运营费用，确保食堂正常运转。</w:t>
            </w:r>
          </w:p>
        </w:tc>
      </w:tr>
      <w:tr w14:paraId="41F4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22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B5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C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F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931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E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A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FD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4B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5D4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FD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28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FB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44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06B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D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43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66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4CC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04E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8E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1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EB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3D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B89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68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C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C7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94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ACC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D5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A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E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F9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07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A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7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F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B6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E3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9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1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EC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FE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476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D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F7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77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A4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15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E0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C6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3B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F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1C3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92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EE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0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F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AF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557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0A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CF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A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D2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36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5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26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93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74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3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0C2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D5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503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A3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D4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3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7A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81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94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2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E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9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46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78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0D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74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55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4F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E1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35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D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E7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0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20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E7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05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BDE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F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5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支出率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FF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D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95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35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7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8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4B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D0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81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CC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0B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39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4B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FA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D4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9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A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E5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5643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B3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F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D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BA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7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83CE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5BB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E8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588C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62F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7B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9B9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D4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67E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C64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E9ECF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37C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44403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CAC70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0335D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BABC1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BCA84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917C9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2B28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B7C04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3C75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FF94B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01469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D0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25284A">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25C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D4C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15D0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51320025T000013665298-代扣水费</w:t>
            </w:r>
          </w:p>
        </w:tc>
      </w:tr>
      <w:tr w14:paraId="4B1E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339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B21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9C90B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FB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0D8E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70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5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1DD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B2EB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C7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D4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E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4C8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FDF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按时完成职工水费代扣代缴工作，预算执行准确，保障正常用水。</w:t>
            </w:r>
          </w:p>
        </w:tc>
      </w:tr>
      <w:tr w14:paraId="6AA2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98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B9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0B8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按月代扣职工水费并上缴财政代管，确保单位用水费用及时缴纳。</w:t>
            </w:r>
          </w:p>
        </w:tc>
      </w:tr>
      <w:tr w14:paraId="1D3F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F47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A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CF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39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4DF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D6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76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3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EF0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87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A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99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E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0.59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1FD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0.59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9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60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B32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7E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464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75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7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333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4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8F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D2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00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D5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71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C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0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30D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B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7A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39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13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BD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61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D9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5F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0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0.59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A5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0.59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9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E1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C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B2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4CB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1F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64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D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3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5A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4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7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C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52E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7E7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9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B3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81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1A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B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EA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C2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01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F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D5D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6D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837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B3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0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34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A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6E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32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2A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A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0E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29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76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27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1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6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08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D0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0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63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EC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0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64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0A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D8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31A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61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DA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支出率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48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5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AD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D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D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B3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EE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CC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67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6E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5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C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A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A6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5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1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77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CB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10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2108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A7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6F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F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48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2D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2BD1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889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A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3493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220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9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AE69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065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5C6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AF95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0EEC9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62B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63D70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A1C0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303DA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10082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75C89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FF22A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D6418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9F9A8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D1BE1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CF3E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A6DAC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05C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4197EF">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33E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B58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5F9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51320025T000013665363-质量保证金</w:t>
            </w:r>
          </w:p>
        </w:tc>
      </w:tr>
      <w:tr w14:paraId="3F96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529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E6F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32342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718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712B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81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C33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922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173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3B3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E7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F3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12A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开展单位办公缕维修,抽检项目,信息化建设等项目质量保证金,上缴财政代管,从一体化中退付.</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610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按规定完成质量保证金收缴与退还工作，预算执行准确，无资金浪费。</w:t>
            </w:r>
          </w:p>
        </w:tc>
      </w:tr>
      <w:tr w14:paraId="3709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BA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60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FBFC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根据合同约定，完成相关项目质量保证金的收取和退还工作。</w:t>
            </w:r>
          </w:p>
        </w:tc>
      </w:tr>
      <w:tr w14:paraId="4FE5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E74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3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6B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037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B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88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60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D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6BC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5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6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A9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1D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6D4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D6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3D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23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5B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B2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D6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F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7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0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172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B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58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50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E1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E2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B0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8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75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E5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7FE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32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6A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3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AD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61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79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5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B6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02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BF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FB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3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6F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77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9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4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1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623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F7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6E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7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41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1D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06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FB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7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06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5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C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F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46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3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DE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C33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54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50A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60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7B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7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6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4F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C0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E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D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F7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CA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19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6A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0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8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6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8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C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A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6D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85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01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39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7AF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308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CA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85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支出率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0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30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4E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6E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A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9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D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5A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C28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A9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46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4A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F1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9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DD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2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95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E7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38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4B21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CA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EF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AF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FA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D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BD4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653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C9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1FF2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AFF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9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AF61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1F0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457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A069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6569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EB2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68609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8FFFF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EC765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984D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E3DF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DD9F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E681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3047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3DD29D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5009D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C1FD0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92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97673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9AE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947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9EF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51320025T000013666083-2025年中央药品监管补助资金</w:t>
            </w:r>
          </w:p>
        </w:tc>
      </w:tr>
      <w:tr w14:paraId="5415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9A9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550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7175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9C4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4898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714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210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69F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40C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C56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77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BC6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2E9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通过组织实施药品（含医疗器械、化妆品）抽查检查、不良反应监测、专项整治（检查）等工作，严厉打击违规违法行为，切实落实强监管守底线目标任务。通过组织实施培训宣传，提升监管人员能力水平和素质，提升监管对象遵纪守法意识，切实落实企业主体责任。组织实施各类重点专项整治、检查工作，严厉打击违法违规行为；完善监管规范和监督机制，提升监管水平；开展业务能力提升培训，不断提高业务水平和技能；落实风险防控、应急管理、科普知识宣传等工作。</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6FA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完成药品监督检查、专项整治和宣传培训任务，无重大药品安全事故。</w:t>
            </w:r>
          </w:p>
        </w:tc>
      </w:tr>
      <w:tr w14:paraId="4645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0B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1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28A9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组织开展药品监督检查、专项整治、宣传培训等工作，提升药品安全监管能力。</w:t>
            </w:r>
          </w:p>
        </w:tc>
      </w:tr>
      <w:tr w14:paraId="60D6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17E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ED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EB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0E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701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B0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2F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CE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7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ECC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F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2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20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6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CE1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9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F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39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A8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09B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1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B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88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2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9F0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D1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AC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27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C7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A17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B2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F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5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AD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47E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8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6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19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2C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A1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1F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5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0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9C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0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88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51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72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3C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AC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17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D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15B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CD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B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8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BF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D9F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231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9A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42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C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1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1E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18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32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1B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75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1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5E1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15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31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003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5D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宣传培训数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68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60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06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2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8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1E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8C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14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D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D1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4B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药品监督检查数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7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B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FC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C4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F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8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C3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63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C3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D3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04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3B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专项整治数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7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9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0C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90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8B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9D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9C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47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2F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68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1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不合格检验处置率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5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7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2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D0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F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4B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E7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D3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79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6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B1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99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D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9A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EE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4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13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E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4C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DA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0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C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BB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辖区发生重大药品安全事故数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55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D0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42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C8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A7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7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A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8B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6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02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19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30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D2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FA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A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人/天</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D4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E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DB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9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CF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74B7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7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4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AE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93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0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0D53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AD2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45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71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CAF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E2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58C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D1C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7A3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713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986B9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9BD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BF202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B4421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4571B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7DCC4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0E340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2400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1B51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639BD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E38E4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923DC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7BBB5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3B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1CA026">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158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96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4B9D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51320025T000013666124-2024年知识产权专项资金</w:t>
            </w:r>
          </w:p>
        </w:tc>
      </w:tr>
      <w:tr w14:paraId="0A34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6B3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BC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953A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BD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6C34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EAB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88A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1C9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E02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16C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86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5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959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主要用于知识产权行政执法体系和知识产权保护能力建设、国家级知识产权试点示范、地理标志产业发展、专利密集型产业培育、推动知识产权贯标、完善知识产权融资体系等.</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263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完成知识产权行政保护案件10件，质押融资登记340万元，项目完成率95%以上。</w:t>
            </w:r>
          </w:p>
        </w:tc>
      </w:tr>
      <w:tr w14:paraId="7891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0B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4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C2F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组织开展知识产权保护、融资、宣传等工作，推动知识产权工作能力提升。</w:t>
            </w:r>
          </w:p>
        </w:tc>
      </w:tr>
      <w:tr w14:paraId="48E2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76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FD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B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E0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E3C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5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72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A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0C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CDE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F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6F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B7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A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5CF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F2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2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9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89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63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971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3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F8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7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2FF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0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35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45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CB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C4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08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A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D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0C4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D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F6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AF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8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F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E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9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D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57E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4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0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30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92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A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F7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3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35E5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3C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F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A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4B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4A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AD0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A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CA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C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68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E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D8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86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E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6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2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E78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3F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4B6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AA8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87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知识产权质押融资登记金额</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A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C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B9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7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5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E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2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B7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2F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3CD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D9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20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知识产权行政保护案件数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93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EF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C0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10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4E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0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F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DB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31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59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28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1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完善知识产权融资风险补偿金管理办法</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D4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0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份</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0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7F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5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6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3F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02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6F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D6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25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成立专利裁决工作站</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4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E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66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01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51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3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DA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40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12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D5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141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76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8F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6E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6A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B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F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9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13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44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EB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52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50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D8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1B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C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75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92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1F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8E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D8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674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37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B2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4C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A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73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66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18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2E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86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9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B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7C3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E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FC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D8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可持续发展指标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知识产权工作能力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进一步提升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F6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2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进一步提升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6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C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D4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F6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29D4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8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95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C5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1C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A6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4E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40B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E6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833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830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AD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BF5A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637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29D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20E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4A2A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D532B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F8B8A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2A261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A4EA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82E07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08940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279E4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941D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06CBD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56338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6713F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46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24072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A9F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A9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B228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51320025T000013697751-2025年省级市场监管专项资金</w:t>
            </w:r>
          </w:p>
        </w:tc>
      </w:tr>
      <w:tr w14:paraId="220D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4EA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60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C4FEC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E41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00CE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E2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A3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7A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C9B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3D8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C3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851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482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紧紧围绕省、州市场监管局确定的年度重点工作，深入实施质量强省战略，全面提升全省市场监管能力。严守食品、重要工业产品质量、特种设备三条安全底线。强化消费引导、深入推进放心舒心消费环境建设。开展“铁拳”暨“春雷行动”、加强反垄断和反不正当竞争执法、价格监管、广告监管、网络和合同监管、开展基层市场监管局(所)标准规范化建设示范创建，提高综合行政执法水平。</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9BD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完成食品抽检、认证检查、春雷行动等任务，信息公布率100%，无重大安全事故。</w:t>
            </w:r>
          </w:p>
        </w:tc>
      </w:tr>
      <w:tr w14:paraId="6501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C6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95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02B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按照省局部署，完成食品抽检、认证检查、春雷行动等工作，提升市场监管效能。</w:t>
            </w:r>
          </w:p>
        </w:tc>
      </w:tr>
      <w:tr w14:paraId="0C20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7EF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0E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51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70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A35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D5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F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B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C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FDA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7A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93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9F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8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134.19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7E6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134.19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C1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C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356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46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98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37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2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BE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134.19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5DC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134.19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77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E1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8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6D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3A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33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F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0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40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A4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F4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B9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28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CD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3A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7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4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6B5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9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1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2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A7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1B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CF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4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EC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7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8A3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3C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8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A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204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D4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12F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08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E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F5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E6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29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B1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9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C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F45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A3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735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D60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E7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老旧化工特种设备和电站锅炉隐患专项整治（家）</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24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2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9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C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8D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6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E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74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5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75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9E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80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春雷行动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C4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D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4A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B8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F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8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4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B01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B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DE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72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08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认证活动监督检查数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9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27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ED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0C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FD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40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6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06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79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3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省级普通食品抽检监测数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04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A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1B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0A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52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A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32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66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C5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8D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2E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小微企业质量提升数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3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3F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2E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77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9C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7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C3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D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C9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3D7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A9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抽检不合格食品核查处置率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AE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63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1A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9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5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F1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8C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78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F2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FE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生产环节抽检合格率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C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71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66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36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97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4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9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0C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0E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3B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B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7B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食品抽检应公布信息公布率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F1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2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CB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52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25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A5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66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BB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13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05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C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B8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F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B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3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74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BC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38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A5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8F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29D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11D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A6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辖区内与补助资金相关的重大食品安全事故发生数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8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B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1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6C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4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5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A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CF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11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63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E0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5B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公平竞争的市场秩序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4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B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稳中向好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2B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稳中向好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4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6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8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A37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78C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47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D0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6D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严守食品安全、工业产品安全、特种设备安全底线</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6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BE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3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6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长期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2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BA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6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71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4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A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11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D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公众对食品安全满意度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E9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11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8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B3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7B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6A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9E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1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9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C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5A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食品抽检监测成本（批次）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8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B4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1681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3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C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1681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F8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C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1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43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A2A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D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9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C5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B5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1826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690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A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E3C1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18A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AF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99E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B51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8A5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F47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6237F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6CB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89ECB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1EFB6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A44B0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D4582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E446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AADA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E1F0B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16C8A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6B86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67EEF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8E9D5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1C5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E5115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B2E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F3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3511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51320025T000013986311-2025年省级药品监管专项资金</w:t>
            </w:r>
          </w:p>
        </w:tc>
      </w:tr>
      <w:tr w14:paraId="45E9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72F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EB3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C2CBD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BA1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7C04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1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D1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592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A78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69E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3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B7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DC0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切实加强药品安全监管，守牢药品安全底线，进一步规范药品经营使用秩序；强化监督检查，加大对制售假劣药品违犯罪活动的打击力度；完成省级药品抽检任务，提高药品抽检质量，强化药品技术支撑；加强培训学习，提高监管人员专业水平和综合业务素质；加大“两品一械”科普宣传力度，提高公众识别防范风险意识；完善监督管理、应急管理等机制，提升风险防范能力水平。化妆品抽购样35批次，医疗器械抽样15批次</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B5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完成化妆品抽检35批次、医疗器械抽样15批次，不合格报告处置率100%，无重大药品安全事故。</w:t>
            </w:r>
          </w:p>
        </w:tc>
      </w:tr>
      <w:tr w14:paraId="3F6F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62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8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2A29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组织开展药品抽检、宣传培训、监督检查等工作，提升药品安全监管能力。</w:t>
            </w:r>
          </w:p>
        </w:tc>
      </w:tr>
      <w:tr w14:paraId="316D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4A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F0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F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AB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99B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24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2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9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4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3D9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F4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6A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B0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8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6BB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20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4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4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282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5A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9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1C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54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FC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2CF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5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F6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9C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1E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A92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1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7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54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0A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AA3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6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C8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B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72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83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6C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4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49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CC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602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78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13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2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4D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40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5F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0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DA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7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F15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DC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CA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E4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4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96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A75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54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83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FE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C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A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39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0A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30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66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786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15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91C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370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6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省级化妆品抽购样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7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A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A2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1D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B7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D7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C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33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F5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26A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C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03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省级医疗器械抽样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D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09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56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B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B2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D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9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75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8F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C8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8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4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不合格检验报告处置率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55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B1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86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0E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9E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36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3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A6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69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23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84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E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85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F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56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5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B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AE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C5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AC6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40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D2F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F7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6E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辖区内发生与补助资金相关的重大“两品一械”安全事故</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41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DE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2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E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4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3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EE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60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B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A9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F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4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“两品一械”安全监管能力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0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7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9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2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逐步提高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E1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53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12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1A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AA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C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3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0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9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78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元/天</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4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F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D3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6F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98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B6E8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81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9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80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5A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0A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147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A5B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25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4932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8BA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8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271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BCB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BBE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F33D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3EA2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49B548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CE4B6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5041A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FA2D0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04E60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F9DD1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B62C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C1A81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6521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13D88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F9DCE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6E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3F212D">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DC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ED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5EA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51320025T000013986378-2025年省级知识产权专项资金</w:t>
            </w:r>
          </w:p>
        </w:tc>
      </w:tr>
      <w:tr w14:paraId="51F6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E40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AAB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EC6D5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E81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4534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10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42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DC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D6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F59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F7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094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CCD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进一步加强和规范省局下达我州省级财政知识产权专项资金绩效管理，促进专项资金高效益运用，根据《四川省市场监督管理局关于做好2025年度省级财政知识产权专项资金使用及项目管理的通知》（川市监函〔2025〕170号）、《省级财政知识产权专项资金管理办法》，主要用于地理标志产业发展、知识产权行政执法体系和知识产权保护能力建设。</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2F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完成知识产权行政保护案件20件，专利产品备案10件，宣传培训2次，高价值发明专利拥有量达0.6件/万人。</w:t>
            </w:r>
          </w:p>
        </w:tc>
      </w:tr>
      <w:tr w14:paraId="3FED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4A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E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599D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组织开展知识产权保护、备案、宣传等工作，推动知识产权工作能力提升。</w:t>
            </w:r>
          </w:p>
        </w:tc>
      </w:tr>
      <w:tr w14:paraId="161A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EE8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1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D1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94A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3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9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63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BE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9EC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53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5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19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6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FBE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B1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7A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C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212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DA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88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F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0B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7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0F2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3.49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5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10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42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10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33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B9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5D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C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41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1CF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35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76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7E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03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DB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97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17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1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33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A52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D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A1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40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6E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F7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14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9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66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1DE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0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FD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E3D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C1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A3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68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81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56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5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5C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5C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14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EB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D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6A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053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B0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B5A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4B2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6C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知识产权行政保护案件数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3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0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AB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2C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81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D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11B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FE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44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C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8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年度专利产品备案数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87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36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1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8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5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10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FF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49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BD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A9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1F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A8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每万人口高价值发明专利拥有量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2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F1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A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1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2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04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0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96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84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EA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41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80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开展知识产权宣传、培训等活动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A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71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17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C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BB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EC8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D6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D7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2C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E8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年地理标志专用标志使用核准增长率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7F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74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B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68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0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79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8E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6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F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9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58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D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3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99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96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4C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8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B8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DD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240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360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6D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专利实施项目新增产值年增长率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D4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不低于全州GDP增长率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D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20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不低于全州GDP增长率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B0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E4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EB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27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4BC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81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62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4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专利实施项目新增利税年增长率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F0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不低于全州GDP增长率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2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6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不低于全州GDP增长率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C1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58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4E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F7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1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知识产权工作能力</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5C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9A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进一步提升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09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80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进一步提升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30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7E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9E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A96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2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D1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2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DC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18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7BE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CC4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0C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2C5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FCA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4B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A08D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FD2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2FA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EBEE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EBF2F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2F5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18C0E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BD863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E8D1B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F2F90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0FEF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49E1B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39A97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D5921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27B2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B28BC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A3098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C4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AD9DD0">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5A8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F4D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7AB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51320025Y000012974203-日常公用经费（其他运转类）</w:t>
            </w:r>
          </w:p>
        </w:tc>
      </w:tr>
      <w:tr w14:paraId="0479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82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9F6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FB302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5A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0628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FB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6CB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81E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FF6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396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0F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C2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BC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B0A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预算编制准确，科目调整控制在5次以内，“三公经费”控制率100%，单位运转保障有力。</w:t>
            </w:r>
          </w:p>
        </w:tc>
      </w:tr>
      <w:tr w14:paraId="078E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06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E6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50C7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严格执行预算，保障单位日常办公、会议、差旅等基本运转需求。</w:t>
            </w:r>
          </w:p>
        </w:tc>
      </w:tr>
      <w:tr w14:paraId="7AD1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037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5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8D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42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B59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E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07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C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E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719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6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A0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04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195.53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DF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195.53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B3C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195.53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CC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6B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1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008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7B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7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46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195.53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8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195.53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0F9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195.53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38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6B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A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6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D39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98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A3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D2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26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52C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9A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7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60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64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85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A8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FF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64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B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45A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C9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CF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C1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4D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C26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A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2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C7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90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799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4A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5F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07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FC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BC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BB8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98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D0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0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ED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5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F1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6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5E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1BC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67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77E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B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B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5B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E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BF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5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0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51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8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2C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C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92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B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6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CD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C1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9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4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E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7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85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18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185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07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02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1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AE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0C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38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3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CE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9E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DA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4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FE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3C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8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C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D5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82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E0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5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1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A3A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61C7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8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3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2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343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EF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709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E83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3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60B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644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CF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D3BD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292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B63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1812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4C556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9AA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23EF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72B5B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21438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A436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E1830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ABD7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A244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DFEC4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B36C5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8B1F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1809E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6B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5CE94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39F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86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162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51320025Y000013371712-财政代管资金</w:t>
            </w:r>
          </w:p>
        </w:tc>
      </w:tr>
      <w:tr w14:paraId="4EDB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D6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21D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2C665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081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335C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B90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81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51D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8A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45E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92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59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B07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64A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3334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D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A3B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4C0D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FB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56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16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F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568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8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CB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B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DF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075B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9B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3E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F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C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93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E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F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8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4B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C2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19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9E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9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F3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89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68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31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C6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72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AD4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B4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7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3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303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2F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D0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B9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F9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19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33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03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A1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9F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830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3E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A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D7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BC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27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2F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8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6D9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4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14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A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C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EF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751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F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D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A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6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87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F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C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C7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3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E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017D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A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99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C4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6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8E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E7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F8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DC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A1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92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7F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B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41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8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6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3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D0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63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5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81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6B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AB7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3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83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9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CC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A4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39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F1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5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6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5A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3D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4C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2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1F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E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6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8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B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6A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7003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0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AB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1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FE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4A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BC20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项目自评得分90分</w:t>
            </w:r>
          </w:p>
        </w:tc>
      </w:tr>
      <w:tr w14:paraId="6D2E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68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5B4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301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0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4EF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AA7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FC4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2943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41E77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A0E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55BE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B06C5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427B8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EC1FC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A24AB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625D5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CD239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1E32C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6E7AC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E1E1B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9206B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64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38A59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966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C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8C1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51320025Y000013840672-工作经费</w:t>
            </w:r>
          </w:p>
        </w:tc>
      </w:tr>
      <w:tr w14:paraId="5EC1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390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0B5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A45B0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2C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州市场监管局</w:t>
            </w:r>
          </w:p>
        </w:tc>
      </w:tr>
      <w:tr w14:paraId="7F04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07F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B1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E027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0C0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443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48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5F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CA5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694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预算执行准确，科目调整控制在5次以内，单位运转保障有力。</w:t>
            </w:r>
          </w:p>
        </w:tc>
      </w:tr>
      <w:tr w14:paraId="77FF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B1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F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5E97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严格执行预算，保障单位日常工作运转。</w:t>
            </w:r>
          </w:p>
        </w:tc>
      </w:tr>
      <w:tr w14:paraId="02AB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BC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F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21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37D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0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1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2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2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1B0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52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4C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5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11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24.76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C22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24.76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C9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39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A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391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9E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9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F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E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C8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24.76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7B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24.76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3E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D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F9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69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06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18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E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63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E3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7D9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F5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6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8E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99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6B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02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E4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C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2F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79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1C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88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9D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871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18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7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A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7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4D7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E9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C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BA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1D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89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8DF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9A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8D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0C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AD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82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D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82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29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5C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DB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8C3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7F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4E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A2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7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6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39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DF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2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95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9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F8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5D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B6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C0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78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F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4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2E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6A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1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C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22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7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9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BC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7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F4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FA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F3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0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EE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80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37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84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00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B6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FD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62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9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1C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54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7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69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68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9A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DC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250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7A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E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EA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2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D1AA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279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B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32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4A8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B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B5C3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D11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FEB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0E92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52461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0FB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DBEEB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FF2CF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E18E1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93556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BE877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B39D8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D57FB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CA65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D6ACB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6B134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BF1A0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A7D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5B1E1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A19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9D4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6D24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51320023R000007728618-目标绩效奖（按月随工资发放70%部分）</w:t>
            </w:r>
          </w:p>
        </w:tc>
      </w:tr>
      <w:tr w14:paraId="42BC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85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7AB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6AEA0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710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61C8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7A4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A1D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A9E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40E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EB9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3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53A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067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8B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按时足额发放目标绩效奖，发放覆盖率100%，保障干部职工积极性。</w:t>
            </w:r>
          </w:p>
        </w:tc>
      </w:tr>
      <w:tr w14:paraId="311F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40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F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714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根据绩效考核结果，按月完成目标绩效奖的核算与发放工作。</w:t>
            </w:r>
          </w:p>
        </w:tc>
      </w:tr>
      <w:tr w14:paraId="4FC2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89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0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8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5D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9DD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19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C7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8E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14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6EC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76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5D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E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74.78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F9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74.78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A77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74.78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35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4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4F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7E8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25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88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C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C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74.78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74.78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C2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74.78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1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7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AC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BF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9E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3D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4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D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0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8E7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7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6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12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157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92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45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A6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C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A6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1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41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D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1D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38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1E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1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0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5AB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29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B1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2F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3C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04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298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0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E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CE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A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4D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2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A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6C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D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6D5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1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1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F3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D5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E0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3E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04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C3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0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6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A8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ED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99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95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A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8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6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A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CA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1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7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1F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A9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6AB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C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6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24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39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F1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BB21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C59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30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9DBF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B58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75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4D17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0CC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698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AA70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48160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892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6E653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370AE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AF2C2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ED975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7E51D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3F854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2F764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CE553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B77B1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003A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E6E4A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E5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792B9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E3E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1BC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24B8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51320023R000009914893-工资性支出</w:t>
            </w:r>
          </w:p>
        </w:tc>
      </w:tr>
      <w:tr w14:paraId="2865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E6F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5D3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BF60F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F66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1C64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BF1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EB8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DC0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2DC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075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B0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E6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B17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CDD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按时足额发放职工工资，发放覆盖率100%，无拖欠、无差错。</w:t>
            </w:r>
          </w:p>
        </w:tc>
      </w:tr>
      <w:tr w14:paraId="6947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D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84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C9C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严格执行工资发放政策，按月核算并发放职工工资及相关补贴，保障职工合法权益。</w:t>
            </w:r>
          </w:p>
        </w:tc>
      </w:tr>
      <w:tr w14:paraId="34AE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4B4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3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6A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8F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4B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4F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95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26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B14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EA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4A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A0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182.13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D3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178.97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5F8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178.97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63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5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38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759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9B0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5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28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182.13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3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178.97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EF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178.97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0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9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47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41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21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B2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89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E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CA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414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3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4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4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E7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CD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3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2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B6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82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A6D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65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78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7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BF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49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0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1B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F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A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4C3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F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B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C1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275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70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0D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61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B6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9A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49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98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E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A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020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732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24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85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5C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8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2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58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46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66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6C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66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7C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3F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7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4F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A8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5A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A4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3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9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5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3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3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5E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F902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7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4B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17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0B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1A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150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895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7E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1C06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8EC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B5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A684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C32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69E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135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1FAD8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0DB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CAA12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E9AD4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ED2F1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4DA43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B4A60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4B3AA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BBAEB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F304C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6F7B2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02BB5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0CCA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63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EEB3A2">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995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99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189D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51320023R000009915221-单位缴费</w:t>
            </w:r>
          </w:p>
        </w:tc>
      </w:tr>
      <w:tr w14:paraId="51DE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78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8BD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E5800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718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4137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15C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32A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06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C443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77B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EF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F4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BBF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B4A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按时足额缴纳职工社保、公积金等，缴纳覆盖率100%，保障职工权益。</w:t>
            </w:r>
          </w:p>
        </w:tc>
      </w:tr>
      <w:tr w14:paraId="7DFD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A5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76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8DBB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按规定完成职工社会保险、住房公积金等费用的核算与缴纳工作。</w:t>
            </w:r>
          </w:p>
        </w:tc>
      </w:tr>
      <w:tr w14:paraId="3EE9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514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B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D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D8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859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6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A3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E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43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3BE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08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07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D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139.73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133.65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FC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133.65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D2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2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4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A5A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BA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FB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36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C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139.73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1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133.65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2A3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133.65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0D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3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E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D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B8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E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1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A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F8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29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2B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69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82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D2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CA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89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3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F8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43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55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21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C1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A6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6A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0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BF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337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8A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1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5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71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C0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F91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CB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A4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9A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40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0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3E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E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06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9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B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0C6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91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FC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6D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B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56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5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9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E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D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C6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D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2F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A4C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A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7C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7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12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E1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E5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F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37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A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0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F93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D01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1E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59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3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A28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00A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E5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8496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FBB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C5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38AC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75C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002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D5D9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DE2AD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E5B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2A24F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E3202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68C4C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17B21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2B395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FEDE7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FB031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F8ABF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35C4F1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29BF7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C8573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02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ABE26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2CA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77D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E4FD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51320023Y000009917272-日常公用经费</w:t>
            </w:r>
          </w:p>
        </w:tc>
      </w:tr>
      <w:tr w14:paraId="5826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D8B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5D0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DA881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65A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4A43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E81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66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37E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609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D38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15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9F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7A5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5EA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预算编制准确，科目调整控制在5次以内，“三公经费”控制率100%，单位运转保障有力。</w:t>
            </w:r>
          </w:p>
        </w:tc>
      </w:tr>
      <w:tr w14:paraId="1735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63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F8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200E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严格执行预算，保障单位日常办公、会议、差旅等基本运转需求。</w:t>
            </w:r>
          </w:p>
        </w:tc>
      </w:tr>
      <w:tr w14:paraId="5B1D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295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42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7F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271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60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0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7D6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FA4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7F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C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9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C46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CA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BF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CA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FBE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11B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44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8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F5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AE3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6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C6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5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92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88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EF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8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44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53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531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4F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67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8B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47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00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02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C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E7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2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6F4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5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18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27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04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91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41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7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9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8DF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4C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22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62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4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1E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B18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6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0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7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C4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1C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C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D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5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E3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36C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2F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013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23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5F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7C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E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92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25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8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1A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E3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35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DD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D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A2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B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4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2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B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54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D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C6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9AF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30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D9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F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7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2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70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8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E9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9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15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57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DD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2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1B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80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5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7E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51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A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4A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4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A5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2C1F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80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7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B5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FC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7A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1B1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6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9A5C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6BF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F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6DE7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3AB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73C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EA9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9E490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42C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29B10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8328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E20B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14DA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F0E42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6B2A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14BB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A661B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4881F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3C71A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941E4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21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2CCBF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4BB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9B1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C30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51320025R000012338995-追加人员工资性支出</w:t>
            </w:r>
          </w:p>
        </w:tc>
      </w:tr>
      <w:tr w14:paraId="5655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D83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08B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7940D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1B2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33A6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739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F61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285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F40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7AE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19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93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583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E52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按时足额发放追加人员工资，发放覆盖率100%，保障人员待遇落实。</w:t>
            </w:r>
          </w:p>
        </w:tc>
      </w:tr>
      <w:tr w14:paraId="2829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2C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5D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4B16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根据人事变动和政策调整，完成追加人员工资的核算与发放工作。</w:t>
            </w:r>
          </w:p>
        </w:tc>
      </w:tr>
      <w:tr w14:paraId="69ECD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662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CD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CE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7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678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67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8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E9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5E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126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55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B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5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178.78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97B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178.78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F6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F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63C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D4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F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02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1D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5C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178.78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57C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178.78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F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7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3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8D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8D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BC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F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89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B46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EB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C4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DA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20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0D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0B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D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C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1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5D2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9A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8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9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E3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0F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AB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BA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F3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B3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0D4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4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A9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CD9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E3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27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5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BA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9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76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66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87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E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7D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0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296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6E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0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B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7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F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B6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B5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11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B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3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6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4E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E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8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9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46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8C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C6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4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D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5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11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C2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1C74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89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88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04D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94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424E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0F5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4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752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FB2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1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8C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799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313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C6D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CF40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238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3E74B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B56AA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7CE63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6B611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5D692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44004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8FD8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66A9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AE6BB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BB391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998FF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96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2C940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FC5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0A5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E2FB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51320025R000012408768-年度考核奖（30%）</w:t>
            </w:r>
          </w:p>
        </w:tc>
      </w:tr>
      <w:tr w14:paraId="5B26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743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09C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1CF24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C88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368A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879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F95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03E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06D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A23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1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0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70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445E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按时足额发放年度考核奖，发放覆盖率100%，激励干部职工积极作为。</w:t>
            </w:r>
          </w:p>
        </w:tc>
      </w:tr>
      <w:tr w14:paraId="4D9E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C6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C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588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根据年度考核结果，完成考核奖的核算与发放工作。</w:t>
            </w:r>
          </w:p>
        </w:tc>
      </w:tr>
      <w:tr w14:paraId="29D7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620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EE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4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F0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B31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BB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4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03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43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6DD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77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EE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43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AE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26.76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EBD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26.76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5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9C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C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CDF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D1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B6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54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E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3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26.76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35A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26.76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5A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D3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6D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81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5D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3B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8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00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7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A2F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2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D4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831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BC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4C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A8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D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84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7A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2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ED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8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8B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19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86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0A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65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A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2A2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3C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1E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8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1C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D2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FFA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3E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15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9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CA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17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21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D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08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E1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7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6DF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3E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B4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F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9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E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99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1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CA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7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48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A9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1B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BE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8C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9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ED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8D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7B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91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36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5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2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94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4C1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B4C4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E8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D4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88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0A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D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0D2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231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B4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FA7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7BC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0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15A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B92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ED4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3A6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03C7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320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0EC67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61A38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71D1A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55122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C1A11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C63D9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6D51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834C9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293BD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44B44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F76F8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20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489582">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391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26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9B4D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51320025Y000012974203-日常公用经费（其他运转类）</w:t>
            </w:r>
          </w:p>
        </w:tc>
      </w:tr>
      <w:tr w14:paraId="111B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4E0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444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243FD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D4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州市场监督管理综合保障中心</w:t>
            </w:r>
          </w:p>
        </w:tc>
      </w:tr>
      <w:tr w14:paraId="5170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B34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DC5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3F6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884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17B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F7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75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F35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95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0F63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D9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42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6090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49BA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A18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4A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B9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F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684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65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0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6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62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825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32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9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0B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F3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F42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29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B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C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0A9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6B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9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2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1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4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DE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33.27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7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7C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DF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BA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75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36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65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6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4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BED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70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83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94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6F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C3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A8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9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A42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4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B1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8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C3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45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D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7B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A3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3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507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D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9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08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D0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5B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D6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68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73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C9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95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07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0F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6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8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F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8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6A0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5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FB8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6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5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9A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C8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CF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6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0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3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8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908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EA7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4D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43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0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B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6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6A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D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E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B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63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09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E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BBA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1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FA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4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0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C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D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C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3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4F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E5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32D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D0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8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4D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E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4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5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6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1A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01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75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AC25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3B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A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00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3B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1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ADC0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E22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9B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5977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909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6B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C50F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CDF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2C3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6A2D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AD1CD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546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CF5B0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30223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C38FD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9FBE0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0D41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DC7A8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67296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2FDA1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63559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5F828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C996B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4D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7851E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4A5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B0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1444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51320022R000005203810-追加州级部门建房补贴</w:t>
            </w:r>
          </w:p>
        </w:tc>
      </w:tr>
      <w:tr w14:paraId="4743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BDF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FC2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CBF0F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26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2F94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71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A79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2C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B20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2BB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1C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94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CA4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E936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49D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8F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BF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11DE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A22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5C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77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0C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4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8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B6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A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466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44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D4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09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19D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B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28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4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FA7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04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83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B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B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5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805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6C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4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3D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0C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7B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7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B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DF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15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D51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E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7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48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22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C0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6E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7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3E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F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CBF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2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5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B5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EA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A9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1D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7F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8EA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BF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CC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04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18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B3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50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F9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4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9C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B3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DA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7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B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00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7F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A50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EA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3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F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5A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4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2C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98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05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48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41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7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BD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8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1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B0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7B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EB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6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3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D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27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F00D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FB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AA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AE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73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1B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504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7AF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1A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F69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7DA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2F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B380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27A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13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C50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2EACC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C72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05CE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ABA45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A686A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CEA1E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C09D5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DE69D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97BD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47D43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510C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C6590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FDEDE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3E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1A37D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F2E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8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4A9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51320023R000007728618-目标绩效奖（按月随工资发放70%部分）</w:t>
            </w:r>
          </w:p>
        </w:tc>
      </w:tr>
      <w:tr w14:paraId="3833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C4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92A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8442C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445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3030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B40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650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6E91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B3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369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F9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51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9D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EDD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74A1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E5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6F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511D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0F31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DC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AA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12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86B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9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8E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4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F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F16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F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8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4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37.39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80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37.39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CC8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37.39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31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05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7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C2C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3E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1D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97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37.39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37.39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10A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37.39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0D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67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A6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91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44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07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64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11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481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16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1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648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60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A7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38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20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54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2AB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E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2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EA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7A1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FE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A7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7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8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1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26B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C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E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F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5C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F5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6AD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0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3F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C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2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3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5E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D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AB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8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0B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19D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668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D5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F0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36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0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4B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B5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9C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1C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1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B9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ED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E1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C5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47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64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6F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E6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30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0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A8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E9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E287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1A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1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99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07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BB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FDB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988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8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40CF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4F0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5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DE7E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2A1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E11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613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787AA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F62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69929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EBB3B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F4D1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6783A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2DC7C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E9BA3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EE2A0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093E7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EF923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16C54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DCD05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442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E7E68E">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533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DE6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4FAA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51320023R000009914893-工资性支出</w:t>
            </w:r>
          </w:p>
        </w:tc>
      </w:tr>
      <w:tr w14:paraId="6580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97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C6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CF377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AD1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79F3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0C1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5C5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2E3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9DB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E76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13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10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A6E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C8E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0727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9B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9D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EF17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5DF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DBA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18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DA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4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863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A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F8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7C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40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AAD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D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5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B4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92.45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1B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87.62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004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87.62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D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B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E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D7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A6A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F8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8B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17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92.45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BF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87.62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FD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87.62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A9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4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A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25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50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6C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8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CA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98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23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2E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86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8C9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35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2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5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A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F32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89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BB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9E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7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89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92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2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1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142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9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C3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12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67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D6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882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1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1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31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A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8B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B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A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40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B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C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21D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7E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3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F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D2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7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65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2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1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08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E9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7B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A5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5C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D1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A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B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27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4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B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B0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C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9D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F5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B3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7D85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0F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D2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28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AB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90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4211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BF2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A1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DA67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117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0F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FF1D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30A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D13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5962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22104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3E8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5475E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DE071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79FD0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95D3E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C796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FDC0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D9B34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95C78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81989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01C52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57F59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27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113F80">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B83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026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407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51320023R000009915221-单位缴费</w:t>
            </w:r>
          </w:p>
        </w:tc>
      </w:tr>
      <w:tr w14:paraId="2394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AF9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C7A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AA422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BB4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7A5F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44E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DC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CDB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B18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F97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109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B5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5594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1AB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1DD6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FE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33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681D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1A06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27C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9B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3B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27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5B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97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75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B3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2E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2CC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FD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EF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A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67.10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5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62.27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213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62.27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9B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62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1F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9E6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A33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C9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5A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53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67.10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62.27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101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62.27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4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4C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B1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8B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E5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B7E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B3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6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F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2F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93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4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CE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42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1E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69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C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95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DF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EF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46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1B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CA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57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3F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96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C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A3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09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603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0E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87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0F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B0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8E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4F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B3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2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D8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9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0B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E1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A8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1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4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F9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0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9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3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72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56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52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61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63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C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A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8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8B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FC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6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E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2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70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2E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D9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6E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0E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0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21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B1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755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D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D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9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C0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10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A92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338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21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BC3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3B5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B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DFE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209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13F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8FF2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105E2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409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77D1C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BFFBA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98BAA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29101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CCE38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43A8F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83E9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7384F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B17ED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1051D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8EC2D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8C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2DCB8F">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0A3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86A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7272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51320023R000009915925-聘用人员经费</w:t>
            </w:r>
          </w:p>
        </w:tc>
      </w:tr>
      <w:tr w14:paraId="190D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C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631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DAB8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8DD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455B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93F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4A3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838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140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8E4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57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03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412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872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严格执行相关政策，保障聘用人员工资及时、足额发放，社保及时、足额缴纳，发放覆盖率达100%，足额保障率达100%。</w:t>
            </w:r>
          </w:p>
        </w:tc>
      </w:tr>
      <w:tr w14:paraId="2979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F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91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7CF2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加强聘用人员管理，按时足额发放聘用人员工资及缴纳社保，保障聘用人员合法权益。合理控制聘用人员成本，提高聘用人员使用效益。</w:t>
            </w:r>
          </w:p>
        </w:tc>
      </w:tr>
      <w:tr w14:paraId="1904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4B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2A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7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E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C30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A3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B1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3F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3B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741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5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FF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A9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28.16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46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25.25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DAC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25.25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A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D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7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9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40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F4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4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6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28.16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4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25.25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299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25.25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8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57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6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54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69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6B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A1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F6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D1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02A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CF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C7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C8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D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68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F5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C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0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3BE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D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B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68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0A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39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D0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C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40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8C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C2A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E9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9F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E0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A2B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640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5F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C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56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2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17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D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8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4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0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20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1DF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0A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ED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E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8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96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62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A6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B7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54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F3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6C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93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B5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6C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C0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2A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4E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8B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B0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7C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D5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91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9A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B3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2CFE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F9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F2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6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6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856A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6EF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0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FE3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EEC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0B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12E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220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50E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56E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AB0DD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288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2F4B0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06050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0C2E8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AFEB0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43817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5361B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ED3BC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E86C7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10E1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C44E5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265F7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0C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E5D91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946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571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FEFF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51320023Y000009917272-日常公用经费</w:t>
            </w:r>
          </w:p>
        </w:tc>
      </w:tr>
      <w:tr w14:paraId="72A4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DDE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65E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2E574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7B9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4352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EF0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746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A4C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59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92E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EE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3D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9C9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3F0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090B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E6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91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F876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2D7C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05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C4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28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E4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FE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9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3D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0C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4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590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09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F3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A0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7DE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2D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CA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E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C4A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23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B0B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64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E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FD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DED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30.02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B6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1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5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17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38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334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7E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7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4D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43E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6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F7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8E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0F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7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48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D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37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37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07E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2C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6F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4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F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82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9E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1E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3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DB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45C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9F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C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46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2F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E8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D8A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A6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7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8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4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67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2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15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A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6A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E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089E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CE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D5F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AC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E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F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D7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60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FB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1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3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78A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30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E3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B9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11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8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0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A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EE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B0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E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CA2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80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B9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6D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88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5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D0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72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1E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A6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CC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79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F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3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EA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C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5B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F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0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67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A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9C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E742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4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3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98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FB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2C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FE88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C78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F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2B06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22B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C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87D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E99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7FB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D58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596A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CAC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CAA3F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3B181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78DB2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8CB06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722DB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22058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0C05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10D5B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0BC0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55943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118A5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38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72972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D91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96F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7FE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51320024R000010654621-退休人员经费</w:t>
            </w:r>
          </w:p>
        </w:tc>
      </w:tr>
      <w:tr w14:paraId="0FB1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FBA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D77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9288F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6F1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061B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492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FDA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0B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EA2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511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8C3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8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60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F6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严格执行相关政策，保障离休人员工资及时、足额发放，社保及时、足额缴纳，发放覆盖率达100%，足额保障率达100%，预算编制科学合理。</w:t>
            </w:r>
          </w:p>
        </w:tc>
      </w:tr>
      <w:tr w14:paraId="429E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3E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C4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53B5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按时足额发放离休人员工资及各项补贴，及时缴纳离休人员相关社保费用。加强离休人员服务管理，保障离休人员合法权益，确保离休人员待遇落实到位。</w:t>
            </w:r>
          </w:p>
        </w:tc>
      </w:tr>
      <w:tr w14:paraId="6696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48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4A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95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4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DD0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F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9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88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9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3DC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AB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C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8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57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B46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26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1E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C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41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3C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79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D8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6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48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426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95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C6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B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BA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8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E6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EA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88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44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1E7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1A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DA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D4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20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91B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0F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0A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B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79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972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AF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52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A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9F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11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E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2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F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64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03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7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E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27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D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C1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B3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0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4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39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4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09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2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F6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4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4A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2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92D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2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2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1E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BF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BA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DA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81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36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CE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F3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EF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5F7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3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0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43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D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1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5D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CE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8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E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02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62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5DD3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46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B3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6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15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BD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80B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408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0E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659D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865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FDA2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1CF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E77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8935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967CE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2FB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2AD25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BFC55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3EB1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6E253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E0A4B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7AE14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09DE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0CF1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59B28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364DD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587E59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DF2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16BFA6">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85E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08B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3052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51320024T000010424621-隐蔽式加油机检测系统采购</w:t>
            </w:r>
          </w:p>
        </w:tc>
      </w:tr>
      <w:tr w14:paraId="6DB6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90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E6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E4A8E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9B8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3114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58D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10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D6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B9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65D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B9D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8F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E11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为做好我州加油机检测工作，打击违法行为。我所计划2024年购置1套隐蔽式加油机检测系统，总计资金50万元。</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5D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完成购置隐蔽式加油机检测系统1套，验收合格率100%，项目完成时限1年以内，加油机作弊投诉数量控制在30次/年以内，计量检定能力范围持续影响，设备使用人员满意度优良，项目成本控制在50万元以内。</w:t>
            </w:r>
          </w:p>
        </w:tc>
      </w:tr>
      <w:tr w14:paraId="5C92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6E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7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082D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为做好全州加油机检测工作，打击违法行为，购置隐蔽式加油机检测系统1套。加强设备验收管理，确保设备质量合格。投入使用后有效提升加油机检测能力，维护市场计量秩序，保障消费者权益。</w:t>
            </w:r>
          </w:p>
        </w:tc>
      </w:tr>
      <w:tr w14:paraId="0A50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AE4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81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A6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3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22F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4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EC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5B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6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06C0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32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7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B2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8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EBB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D3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E0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5C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80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E0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FA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5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6D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A9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9CE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F1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26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2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1D5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85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8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1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8A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552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92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4D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54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F7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53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35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00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8A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5C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3A4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7D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C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0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4E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96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48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5C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3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E1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A5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2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54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01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2C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72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CC9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9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3E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3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E5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13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9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A0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50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F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EF8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17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9EE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82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购置隐蔽式加油机检测系统数量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1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6B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F6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3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E8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A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AD1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BC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98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B3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2B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96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3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46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D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15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13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2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442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38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C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D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D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2A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A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1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84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8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24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8E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CD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A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AF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加油机作弊投诉数量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0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3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AE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BA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9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F6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56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39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9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52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88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计量检定能力范围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1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1F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持续影响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5E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C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持续影响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F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06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4E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FA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81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0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36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E1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设备使用人员满意度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96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D9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1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A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E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3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1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EE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60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88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6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44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1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4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F9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3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4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7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EC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25F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6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95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D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42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21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E27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62E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12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1D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7D2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92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94B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F18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ACA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ECAE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2B34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1C9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80AEC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26C03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4A73A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A95B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B4A1B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569A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53718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34048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E601B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55D1B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57C732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CD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CAE140">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576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21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31B6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51320025R000012338995-追加人员工资性支出</w:t>
            </w:r>
          </w:p>
        </w:tc>
      </w:tr>
      <w:tr w14:paraId="0F38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AB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234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1CA7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DCF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0F7E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FB7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8C9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A67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B9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C75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B3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2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CB0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768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严格执行相关政策，保障追加人员工资及时、足额发放，社保及时、足额缴纳，发放覆盖率达100%，足额保障率达100%，预算编制科学合理。</w:t>
            </w:r>
          </w:p>
        </w:tc>
      </w:tr>
      <w:tr w14:paraId="6812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05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7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A60A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根据人员变动情况，及时追加人员工资预算，确保新增人员工资及时足额发放。加强人员经费管理，合理安排资金使用，保障人员经费支出需求。</w:t>
            </w:r>
          </w:p>
        </w:tc>
      </w:tr>
      <w:tr w14:paraId="1CD1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528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5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D0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B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C1D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C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0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A9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4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1B3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30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C0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71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F2D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D0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AF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62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0AD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8CD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5D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4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FD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48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3FA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8E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4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CE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C6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48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33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B5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B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CF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635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0B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45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3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2E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E0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7A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5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F3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82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B3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4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2A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17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71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2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D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0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D95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99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2A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4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8B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FE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FA5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66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65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FF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7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C4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9B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CD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3A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BE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B8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B89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FD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0D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84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D9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FF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1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71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6F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1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85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4E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51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4C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4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2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A5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E2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0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8B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96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7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F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BE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794D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5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17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4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7B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0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0937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91A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95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7CA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4E2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F2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45B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CB1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C53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A0D5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9D55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337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B4F33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67F0F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36007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370A0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5D0CA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5B69B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16337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57BD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F1FBD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1B30C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2E48B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461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E42D4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DAA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BE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A49F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51320025R000012408768-年度考核奖（30%）</w:t>
            </w:r>
          </w:p>
        </w:tc>
      </w:tr>
      <w:tr w14:paraId="3904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FD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4B8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F3522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7C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67F6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E05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E54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616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A4F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5AF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E6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E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ECE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AF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严格执行相关政策，保障年度考核奖（30%部分）及时、足额发放，发放覆盖率达100%，足额保障率达100%，预算编制科学合理。</w:t>
            </w:r>
          </w:p>
        </w:tc>
      </w:tr>
      <w:tr w14:paraId="7D5F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E4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E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E91B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按年度考核结果及时发放考核奖30%部分，严格执行考核奖发放政策。加强预算管理，确保资金及时到位，发挥考核奖激励作用。</w:t>
            </w:r>
          </w:p>
        </w:tc>
      </w:tr>
      <w:tr w14:paraId="7868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26B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2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E0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D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63E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0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6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3C3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07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8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E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6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14.87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F5B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14.87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A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FC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B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C3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40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50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5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0B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F5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14.87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5E5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14.87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86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6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B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F29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05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DB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5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0B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1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E9E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02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FA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62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EBF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9D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16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3F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40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357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5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90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7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14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0D7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E2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63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3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E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A60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2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B8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0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A2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35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E44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7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73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E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0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52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8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0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5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81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0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9B0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38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C1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5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C0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61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D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B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64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84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6F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0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7F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A0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1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20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24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8E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2A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E9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64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4A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8F32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9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0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D6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81A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8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A44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C4E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7D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77F8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F9E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3D9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1A0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0D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89A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5E2EF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502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E4DA0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0CDBE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6DD48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E51E9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7DB2E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AEB7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04EC5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87F22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2DA8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17DE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1E225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C8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09BECF">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60C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E2C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0B71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51320025T000012480134-2025年全州计量检定工作专项经费</w:t>
            </w:r>
          </w:p>
        </w:tc>
      </w:tr>
      <w:tr w14:paraId="66DB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23D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604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046A8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933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26F9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E63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671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1BD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6CE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357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55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4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49C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完成全州计量器具检定约20000台、件及计量器具校准2000台件，及州局下达的其他任务；按计划完成全州计量器具周期检定；保障了计量器具的量值准确可靠，维护广大群众的利益。</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F1B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完成全州计量器具检定约20000台、件及计量器具校准2000台件，及州局下达的其他任务；按计划完成全州计量器具周期检定；保障了计量器具的量值准确可靠，维护广大群众的利益。</w:t>
            </w:r>
          </w:p>
        </w:tc>
      </w:tr>
      <w:tr w14:paraId="541C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C39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1C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971F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完成全州计量器具检定约20000台、件及计量器具校准2000台件，及州局下达的其他任务；按计划完成全州计量器具周期检定；保障了计量器具的量值准确可靠，维护广大群众的利益。</w:t>
            </w:r>
          </w:p>
        </w:tc>
      </w:tr>
      <w:tr w14:paraId="76D6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DCB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E8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5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E9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F1F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CD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0A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ED7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59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83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DB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107.00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5A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93.97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442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93.97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27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5E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59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5DB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8B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C4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9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64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107.00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C2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93.97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B8B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93.97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0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9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0F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BF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FF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DE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53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2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93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344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F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33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D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E2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D06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17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A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F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17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325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04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E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0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60F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53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E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1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A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656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69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8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4A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7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21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32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9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5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FD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0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3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2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44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B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1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93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116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2F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C1C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366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46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完成全州计量器具检定数量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9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0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62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个（台、套、件、辆）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1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D3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6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5A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6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06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AF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D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完成计量器具校准数量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92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55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个（台、套、件、辆）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7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3A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61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D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0F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1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08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25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73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计量检定工作达标率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D2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64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0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6B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FC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D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EE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08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02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4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4D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检定报告出具及时率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C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2B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2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48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98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D9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B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A1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38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3DB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7C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维护市场公平交易秩序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34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E8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市场公平交易秩序稳定</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A9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市场公平交易秩序稳定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8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F1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2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7C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B2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C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8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6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保障全州计量器具的量值准确可靠</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2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95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持续影响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EC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F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持续影响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F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C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E5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D2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CB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D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5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D7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群众满意度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CD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2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3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2E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D0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C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A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DB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51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C4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9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00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76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118.2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A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118.2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72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5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65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BE1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56C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2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7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2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A5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1B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6885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8E9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2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BE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C80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C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3FC2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5BD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047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CCA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BC81A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A41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79273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9A96E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68D4F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FD789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BC987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EE98B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AA2E8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FC9F2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93515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1299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6A9E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BC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68EB8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C51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BC0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064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51320025T000012482952-民生类计量检测设备更新</w:t>
            </w:r>
          </w:p>
        </w:tc>
      </w:tr>
      <w:tr w14:paraId="00AC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C73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6C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806A0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DE6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2260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E8F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BD1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D04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5A4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D8E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C2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91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EAD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购置水表检定装置、燃气表检定装置各2套，提高检定工作效率，各2套，更好的向全州提供水表、气表检定服务，资金成本不超预算。</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E7F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购置水表检定装置、燃气表检定装置各2套，提高检定工作效率，各2套，更好的向全州提供水表、气表检定服务，资金成本不超预算。</w:t>
            </w:r>
          </w:p>
        </w:tc>
      </w:tr>
      <w:tr w14:paraId="7A0B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A9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E7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29D5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购置水表检定装置、燃气表检定装置各2套，提高检定工作效率，各2套，更好的向全州提供水表、气表检定服务，资金成本不超预算。</w:t>
            </w:r>
          </w:p>
        </w:tc>
      </w:tr>
      <w:tr w14:paraId="2116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CBE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8C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180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A8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32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5D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7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487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D1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A6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3D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14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99.58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234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99.58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29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90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52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80F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87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89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6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C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44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99.58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0B6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99.58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9F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C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67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7E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A7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43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4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E1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74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00B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76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A6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A5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A8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2B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C3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BC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BB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60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92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EC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F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6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2F1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67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5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C5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BF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5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2DD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7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39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07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D4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EB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DF8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30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1D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6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12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3F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C4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B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F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F29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8D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7E9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22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7B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民生类计量检测设备更新改造数量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A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1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F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6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B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7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6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60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2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D8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0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D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6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BB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0E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79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3F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4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9E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4A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C8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F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8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2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0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1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93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92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29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25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1E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76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AA8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30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D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提升水表、气表检定工作效率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8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71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显著提升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1A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FE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显著提升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5B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8D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1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95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32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8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44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水表/气表检定结果误差率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89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B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2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E2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A2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4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1F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DF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8F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A8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70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B6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设备使用者对设备的满意度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B7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93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1B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C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6A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0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F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11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18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1A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67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6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A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FA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1B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2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36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D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35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16B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B149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7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88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4C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5983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301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D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B648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B02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7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2A9C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897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FE1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F5E4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2F853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0AC4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B20FD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454A7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D6752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F624C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17BE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EAD16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0FC94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91028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476A8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7E8D6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6FAE8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0E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922938">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008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201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BAF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51320025Y000012974203-日常公用经费（其他运转类）</w:t>
            </w:r>
          </w:p>
        </w:tc>
      </w:tr>
      <w:tr w14:paraId="5C82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F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4D7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918B6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DC5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1854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279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78E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6D4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A01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351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05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69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30E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3AB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64AB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A64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54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6622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3A6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E0D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1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A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1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C65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2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EE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AA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95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677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CB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F8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1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15.21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4A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91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0F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ED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BE9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42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6A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6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68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15.21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0A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7E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53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B0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6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DC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0C0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98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C5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F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B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5A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53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0B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05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82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1D0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3E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ED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B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A5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698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0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56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4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38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D4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65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6B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D0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8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91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AA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1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1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2C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38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3B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C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3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24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A9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8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03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39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DB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D3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3A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E06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19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5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0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9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A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F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26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3C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D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E0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6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25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E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86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8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9C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BD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6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B0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45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EC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F1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50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4B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A2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07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9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CD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28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7F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92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F5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F4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74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7D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1FE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6C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3F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25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A0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38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C8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DA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C3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4F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D0E9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7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F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E4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FF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F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89FD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FF9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5C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5EF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50F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F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1FD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F7E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97C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BE4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42A87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7D5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BC2B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0A68C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4AEDF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89CC4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83A0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B7314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EB5D1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A6E9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5C024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D1F97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1098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630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C93936">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45EF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6A4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7A16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51320025Y000013371712-财政代管资金</w:t>
            </w:r>
          </w:p>
        </w:tc>
      </w:tr>
      <w:tr w14:paraId="2249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26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808C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0C6AE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C7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州计量检定测试所</w:t>
            </w:r>
          </w:p>
        </w:tc>
      </w:tr>
      <w:tr w14:paraId="13BD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3EA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E4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368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7CA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D9C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D5D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B4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9C0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1E5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4CAA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59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AD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F111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22F6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BD3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B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A2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D1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73C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81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44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6F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F40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9C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B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01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8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977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6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97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49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73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04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49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11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E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AE9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93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A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0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A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38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3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99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FE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9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8BC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3A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2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10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5B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E8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1A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10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0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7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15.01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9E4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D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D2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0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D0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83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B6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E6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8B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69E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F1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2A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36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54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546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44D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43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A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87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6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98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E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32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5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A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48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388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9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912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5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6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2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9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25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7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58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3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9D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63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B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B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9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5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75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D0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8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A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2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56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33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698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B6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C0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7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BB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46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6A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9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1D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3F2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3C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CA3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E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3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07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D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4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4D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35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15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B2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3FE2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9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8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9A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1B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81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FA06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CFB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EC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16C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C2D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1F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04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604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C6C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D09F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7543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B20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CAE58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02465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DDF02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B06D5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54315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C32C3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936B7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D6BDE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50D01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63CD6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961E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E5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7D481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F5600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014A5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B5994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88628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7B69C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D2B8A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F8802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6A616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C550B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63C8E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401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808DD8">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E1B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44F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3837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51320023R000007728618-目标绩效奖（按月随工资发放70%部分）</w:t>
            </w:r>
          </w:p>
        </w:tc>
      </w:tr>
      <w:tr w14:paraId="5A16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629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1E0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91228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55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4E0D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58A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46C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563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6B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A0B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3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79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B63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AEC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54F1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F6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B0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3478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1DC6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06D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6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7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F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06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26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E0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A4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8F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A87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CE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A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25.80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C8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48.31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8A4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48.31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BE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B6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8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3E3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2D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F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6C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F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25.80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31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48.31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071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48.31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C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19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C1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96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16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E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D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9BC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F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7F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C1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BC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19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04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71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A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28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94B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62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0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7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1F9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E8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8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8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0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02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1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2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C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5B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AA7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322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0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1D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D4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54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C6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E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2D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C8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F9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D31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90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17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FB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AE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C1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7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04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E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4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77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4D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0C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FA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E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AF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8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A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0F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00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6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5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7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BB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383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CF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11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89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D58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B56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43E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6E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2AA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F6D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4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6B0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D95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68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AE1F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65682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A79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A1B4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7D69A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C7A2D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7802E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30E0A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4A706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89815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6994C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4DA04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F013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0120A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CA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5043FF">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DE0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D0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EB03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51320023R000009914893-工资性支出</w:t>
            </w:r>
          </w:p>
        </w:tc>
      </w:tr>
      <w:tr w14:paraId="2478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23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F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072FE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F7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7567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6DD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C18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41E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A06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836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B0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6A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EF0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0CA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7836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8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1E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417F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5A49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8A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E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D3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8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2F6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D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5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45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0E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BC6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11F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2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0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62.52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A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144.66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466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144.66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C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5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B0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941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3C1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3E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A6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DC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62.52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11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144.66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837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144.66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C5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CB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30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BB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34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7DA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9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AF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C5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781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2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20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2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9A2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AA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68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C5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B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A4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347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BB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A7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B4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68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CF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98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0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DC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4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514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A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C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77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09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876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28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40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4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05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4E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7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91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38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B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0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97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4FD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66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AF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C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6E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C1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A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40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6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BD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36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C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B8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A7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8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1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8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BF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3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1F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0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1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DA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F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C9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F324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ED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63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00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FB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6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9612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A09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0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58AD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6C6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1D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08A7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551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6E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73F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B689C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1F3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407D2C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C26E4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9F5AB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40FA3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BFB87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44CBC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F446D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653DB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B352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85149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81567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BF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0C2A1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095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0CF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6E9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51320023R000009915221-单位缴费</w:t>
            </w:r>
          </w:p>
        </w:tc>
      </w:tr>
      <w:tr w14:paraId="708A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7EB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E6D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03F5C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085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27EA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E03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ACB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DB2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A10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856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C4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19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817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580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55BB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85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A1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1CAD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40DD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31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16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48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79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12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A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49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26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0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7CB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FC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CA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0D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45.08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A9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98.32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2D9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98.32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60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80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39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D45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58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B5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1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B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45.08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43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98.32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CFC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98.32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D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03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32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DB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AB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7D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F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CE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9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DD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4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61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32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C9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23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0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A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E7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0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67D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5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90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70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032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AA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C8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1C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4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AEF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E5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7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C8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FF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CD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614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7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53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B4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D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90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1D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9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21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D6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E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553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26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5F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D6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6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E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4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2D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B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46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D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B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5F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41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BA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5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A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3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1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89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A2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1C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CF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AA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2F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17D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2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7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4B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C08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BB18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BA7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28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0FC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D98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C7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B1D9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5ED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3B9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FD9C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3DDC4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955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0BF1A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427E4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2929D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6967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7B706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67B2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23C9C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5F0B4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8B5E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3D3D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E918F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490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2A280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DDF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E3A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501C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51320023R000009915925-聘用人员经费</w:t>
            </w:r>
          </w:p>
        </w:tc>
      </w:tr>
      <w:tr w14:paraId="3080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7F8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E64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21227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9E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512B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F5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772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7AF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9C0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1FE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B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C9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BA8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D71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7A2E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92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8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7D1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B31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1C8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84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50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B7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4F9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DB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FF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C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DB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D5D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58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0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17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2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7.79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6D7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7.79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D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B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23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AFA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CC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60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A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56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E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7.79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2A1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7.79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5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8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1E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7E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9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58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93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22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3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1A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9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C9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D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5E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60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74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13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8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37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8E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93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18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CD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61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42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14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A1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B1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E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47C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ED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AF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8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8F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6BA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C94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C7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47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95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1C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7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CF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49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C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EC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3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77F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0B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FA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36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0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6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8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95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B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11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C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00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BE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B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7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A8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7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96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5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D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FD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22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D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87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CAB3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A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0A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D2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2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38EB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B50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6E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AB2A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E2A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6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DF2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FD1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6CD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75A5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9C7A4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654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89145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FBE15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5F4C3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B7748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2D5E7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EE025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A2EBC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68D4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F333C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52A39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19913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091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E20C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CC4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531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CC82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51320023Y000009917272-日常公用经费</w:t>
            </w:r>
          </w:p>
        </w:tc>
      </w:tr>
      <w:tr w14:paraId="1A42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F0D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78D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EEA99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1C1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72EA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05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DF4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78E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AAF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613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C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FB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B43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6DC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228F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BE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4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F28B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07ED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C92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4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2E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6E4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B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A8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D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3E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986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CA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80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FA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11.62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6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18.38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91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18.38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36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E7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8D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B1C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59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28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A5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E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11.62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8A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18.38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225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18.38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D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73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C1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3A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88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F0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4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1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EE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C7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E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6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5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15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44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90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0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0F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32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34C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D0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5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49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6D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BF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6F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4A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F7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EA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7C8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2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C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91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F0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97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EC7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D2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99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45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55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B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59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FF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88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24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7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ACC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0B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D71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45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6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5C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F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5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10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68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D9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1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74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A4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0B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C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F1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EB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48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D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9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3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B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A18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82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5EF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66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01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2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43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96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F2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C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14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E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182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95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5F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0A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1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AA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87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25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14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04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B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75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A7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B28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AA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16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C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8F4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485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D3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6D3A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96A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50B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B82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C27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53BD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6208E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B90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4A3E2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02AE5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53B4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0EB77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8C6A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F934A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FA28D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2375B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D57A1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4CE4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DA93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54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350A5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6DD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0C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D944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51320025R000012338995-追加人员工资性支出</w:t>
            </w:r>
          </w:p>
        </w:tc>
      </w:tr>
      <w:tr w14:paraId="046D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E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CF4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FBF99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0A4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1E03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ADC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9D8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039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1AC4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D65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B6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B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E4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78E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2A7C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8C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2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E65E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500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67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BB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E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F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1A6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21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4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85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0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990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8B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49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0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CA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21.78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FEF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21.78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1E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B6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32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EF2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25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CC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5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8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05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21.78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12C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21.78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F2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55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77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21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6A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35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7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14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34B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A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E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8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5F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9E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E0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0A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B6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FAF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80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24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86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1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4C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B8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1D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42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7B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AE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CA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0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2F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F3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702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63E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4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9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48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B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14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7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9D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76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7ED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6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F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E7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8D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0E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32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1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0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80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D7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9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0C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2B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69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5A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C6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3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CC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04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4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8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D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04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57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86B5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17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29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1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38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79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FDEE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6F0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5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76A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271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A4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DDE6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91F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AE6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98BF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113E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F91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6BF7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0DB2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E52CF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33904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964BD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12F11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EB28B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35C78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3698A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B4EBF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573FC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43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8F8495">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CEC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CE7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B8F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51320025R000012408768-年度考核奖（30%）</w:t>
            </w:r>
          </w:p>
        </w:tc>
      </w:tr>
      <w:tr w14:paraId="44DF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6C6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4D7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87E3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E8B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211B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CF3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4E5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290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8F2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573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27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64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17A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7F3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06A1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6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4E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5115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58BA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7E7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20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E5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1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EA0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E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17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FB9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EC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87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9C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26.91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C5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26.91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5A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68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58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346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15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72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3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A9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5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26.91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198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26.91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D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3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91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94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6F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D1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27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2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05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F99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B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BB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AB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E6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F0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B5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C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0E0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17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DA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87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B8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9B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A5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1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4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B2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C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76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78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1A4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0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3C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7E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1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7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31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3B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81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45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A38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74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10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C8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C5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83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3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3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CA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E8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DC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F0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CB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23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30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A1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ED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6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5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BC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5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68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C3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87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FB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8BBD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32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15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27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50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A1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EA8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46C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F4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893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C5F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B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227A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E00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C1B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D363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4FF92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0B42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6302A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B85DD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C9FC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0445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F861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CDC19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C2AF6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C147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32EB8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F75F2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8708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27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45898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153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4DD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1552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51320025T000012607963-特种设备检验工作专项经费</w:t>
            </w:r>
          </w:p>
        </w:tc>
      </w:tr>
      <w:tr w14:paraId="0ABD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E2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99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8B606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D70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2369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239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F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29A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5E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387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79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9FD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0AB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C32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r>
      <w:tr w14:paraId="1137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19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F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7A3D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r>
      <w:tr w14:paraId="6DB1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DD2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D9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1B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7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B0B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F0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2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EC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6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929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0E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54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FE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2B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36.96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C9D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36.96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2B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61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CB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CBD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59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68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C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F0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A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36.96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8A3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36.96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4C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9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4E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43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BB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F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64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D1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B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6EF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75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2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CF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42F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15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2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F8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77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037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B8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3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B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00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6C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43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52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0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5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516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6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5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AA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99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203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2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00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1D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A3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B9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52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1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78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7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22C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D6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6A4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037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D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定检任务完成率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53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0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A6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F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AF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5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24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F4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F3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79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27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检验工作覆盖率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7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76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B0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0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1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A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23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13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55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00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1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C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检验报告合规率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93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27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24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0B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7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9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7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1A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0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08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9D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B2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法定检验任务按时完成率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7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92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64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F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9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B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F9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A1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00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08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D0B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FD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提升企业安全生产水平产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9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3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01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7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45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B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4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1A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E6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78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6D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5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保障经我所检定设备安全稳定运行</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8B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D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1E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A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A2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D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AA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DA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6BC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8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4D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特种设备使用单位满意度指标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E1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2D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C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15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E0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FF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2D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AB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34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04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4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项目总成本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A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4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6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B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07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25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3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5CE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5E98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9E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0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1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7AD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81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602F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F7E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0E8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B44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F7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3D49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81E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E09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E3E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42DF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43224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A189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DE5EB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BB059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71765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14F3D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91427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86E32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3FA95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7B164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5602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08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40592B">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B41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2E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EA1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51320025T000013727923-2025年质特所实验室设备购置</w:t>
            </w:r>
          </w:p>
        </w:tc>
      </w:tr>
      <w:tr w14:paraId="343C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BA6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134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175FA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025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33A5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C9D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46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E36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49C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B88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19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8A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B5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2024年专家评审建议，结合我所工作实际，我所拟在2025年新购购置实验室保险柜一台，预算2000元，摇筛机一台，预算4000元，恒温恒湿养护室设备一台，预算18000元，总共三台设备，预算合计24000元，旨在提高检验检测数据精确度、工作效率、安全性，完善实验室设备配置，强化我所检验检测能力。</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5BC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2024年专家评审建议，结合我所工作实际，我所拟在2025年新购购置实验室保险柜一台，预算2000元，摇筛机一台，预算4000元，恒温恒湿养护室设备一台，预算18000元，总共三台设备，预算合计24000元，旨在提高检验检测数据精确度、工作效率、安全性，完善实验室设备配置，强化我所检验检测能力。</w:t>
            </w:r>
          </w:p>
        </w:tc>
      </w:tr>
      <w:tr w14:paraId="66A2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F0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A7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95B8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2024年专家评审建议，结合我所工作实际，我所拟在2025年新购购置实验室保险柜一台，预算2000元，摇筛机一台，预算4000元，恒温恒湿养护室设备一台，预算18000元，总共三台设备，预算合计24000元，旨在提高检验检测数据精确度、工作效率、安全性，完善实验室设备配置，强化我所检验检测能力。</w:t>
            </w:r>
          </w:p>
        </w:tc>
      </w:tr>
      <w:tr w14:paraId="69A1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5FB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E9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26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F4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5A6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2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D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9F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53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332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87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8E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3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A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BB1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E4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D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8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957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6A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90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A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6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F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251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6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0C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0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39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BB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05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ED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5F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D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DD7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9F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7D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B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B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4F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17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5F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98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66C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D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A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3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52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31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31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5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C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7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1E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7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F0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24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11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060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11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E7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7D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5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3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2D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00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4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AF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5E5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5E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355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417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CE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购置恒温恒湿养护室设备数量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DA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4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AF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2C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8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1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02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2A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56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B2E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购置摇筛机数量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29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DD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72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C2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51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ED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06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59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F5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A3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6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购置实验室保险柜数量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9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F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F3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A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C1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31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D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28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D9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B1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FB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0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B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C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4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13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39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6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3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27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D2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58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D9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2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检验检测数据出错率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7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4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3A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AD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2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A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20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CA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43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2C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30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4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购买设备满足环保要求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AB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8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42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AD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25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9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70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9A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16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25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6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E5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6C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FD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5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54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48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09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DAA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C87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A7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服务水平提升程度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79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A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9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D4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05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05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1F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0FB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9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E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74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2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办公效率评级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7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DE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A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4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3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05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B4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00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3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D3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AE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设备使用人员满意度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10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C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15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50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9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11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32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DB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83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69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5F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1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F9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0B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E4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9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74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7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A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DAC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D035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1D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E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1E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2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F44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0FD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8A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C6E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8D4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A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6CF5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A23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3F8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95FC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46DB7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44B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E0686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CF701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B6F4B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D62DB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8651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91A45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D5E7E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DDE9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CDCEE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E65B5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2560A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3C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EFC3F5">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C7D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B0A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9B21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51320025T000013727957-2025年质特所办公室设备购置</w:t>
            </w:r>
          </w:p>
        </w:tc>
      </w:tr>
      <w:tr w14:paraId="3ED4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8DC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38F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525F0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525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2BF5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D50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48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CAF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02A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198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35C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E0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117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我所旨在通过有效利用2025年度部门预算资金2.08万元达到以下工作目标：2025年质检所办公室设备购置项目主要内容为购置便携式打印机一台，预算4000元，平板电脑一台，预算4000元，视频会议液晶显示屏一台，预算9200元，办公室保险柜一个，预算2000元，所长办公室碎纸机一台，预算800元，总共五台设备，预算合计20000元。</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B28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我所旨在通过有效利用2025年度部门预算资金2.08万元达到以下工作目标：2025年质检所办公室设备购置项目主要内容为购置便携式打印机一台，预算4000元，平板电脑一台，预算4000元，视频会议液晶显示屏一台，预算9200元，办公室保险柜一个，预算2000元，所长办公室碎纸机一台，预算800元，总共五台设备，预算合计20000元。</w:t>
            </w:r>
          </w:p>
        </w:tc>
      </w:tr>
      <w:tr w14:paraId="7D6E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C8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B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78B0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我所旨在通过有效利用2025年度部门预算资金2.08万元达到以下工作目标：2025年质检所办公室设备购置项目主要内容为购置便携式打印机一台，预算4000元，平板电脑一台，预算4000元，视频会议液晶显示屏一台，预算9200元，办公室保险柜一个，预算2000元，所长办公室碎纸机一台，预算800元，总共五台设备，预算合计20000元。</w:t>
            </w:r>
          </w:p>
        </w:tc>
      </w:tr>
      <w:tr w14:paraId="5D4A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8A7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8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7E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D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8C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1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6A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64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ED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05F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2E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47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53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74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369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0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98.51%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A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DD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9.85</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F24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EA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FF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60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30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39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3D6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1.90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98.51%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2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A8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C4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7E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03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F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B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A9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AA8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40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D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53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7E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78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0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7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1B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30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6C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CD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2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41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10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17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0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34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5D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C0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991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31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3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83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A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0E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E70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5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5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B5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5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BA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81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05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1F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8C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0E34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4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8DE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A43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4A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购置办公室保险柜</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FF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33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01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90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3D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D5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16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2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F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B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01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购置视频会议液晶显示屏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03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2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9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64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C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A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3D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9A4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90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EB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9C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D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购置平板电脑</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F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12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DD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3C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31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5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E3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44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6C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7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EA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99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购置便携式打印机</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AB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2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3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8D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99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B0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E8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7F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5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C3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E2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C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购置领导办公室碎纸机</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98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49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17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1A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7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AF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23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EC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8F1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F2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D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5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1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6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72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5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35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23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D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80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设备环保达标率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10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D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56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63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1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D30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C0D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AD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C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A8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4E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AA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A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D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3E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B6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16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1B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15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A81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13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可持续发展指标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B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办公效率持续提高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E1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1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82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80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A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68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A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B1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9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B3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2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3B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设备使用周期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5D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3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8A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E5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7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E8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19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70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AE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8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E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2B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设备使用人员满意度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7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91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EE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1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5E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1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AA3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8D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A0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A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D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7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8F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6B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C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0B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56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5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2D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A1D0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C8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E4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99.85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23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D5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5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A75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项目自评得分99.85分</w:t>
            </w:r>
          </w:p>
        </w:tc>
      </w:tr>
      <w:tr w14:paraId="6DE2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C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FC4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0C0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BE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6BD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151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780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655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0E68C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D6A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23B57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F5FBA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A7244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7E975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DA98C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1F499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6E8FA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2A274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567A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85483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5272A6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2B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9EA85">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42F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63A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FD4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51320025T000013734370-质特所2025年产品质量检验检测事业运行</w:t>
            </w:r>
          </w:p>
        </w:tc>
      </w:tr>
      <w:tr w14:paraId="516B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6D0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A2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11B68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6E0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6449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104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B36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DFF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02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AE1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42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2C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963B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我所旨在通过有效利用2025年度部门预算资金30万元达到以下工作目标：保质保量完成省局下达的监督抽查和风险监测相关任务，配合州局，联合县局开展产品质量监督抽查抽样工作，切实做好委托检验检测工作，积极宣贯产品质量安全相关知识，提供技术咨询，开展贵金属（金、银）产品质量检验检测工作，保证州内旅游沿线贵金属（金、银）产品质量，开展“钢管脚手架扣件检验项目”，填补阿坝州脚手架检测空白，更新产业新技术和升级检验检测设备，切实维护消费者利益；建立持续通过培训，提升单位职工技术能力；，提高检验检测数据的准确度及精确度，提高实验室综合业务能力，为行政部门执法提供强有力的可靠的技术支持。</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E85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我所旨在通过有效利用2025年度部门预算资金30万元达到以下工作目标：保质保量完成省局下达的监督抽查和风险监测相关任务，配合州局，联合县局开展产品质量监督抽查抽样工作，切实做好委托检验检测工作，积极宣贯产品质量安全相关知识，提供技术咨询，开展贵金属（金、银）产品质量检验检测工作，保证州内旅游沿线贵金属（金、银）产品质量，开展“钢管脚手架扣件检验项目”，填补阿坝州脚手架检测空白，更新产业新技术和升级检验检测设备，切实维护消费者利益；建立持续通过培训，提升单位职工技术能力；，提高检验检测数据的准确度及精确度，提高实验室综合业务能力，为行政部门执法提供强有力的可靠的技术支持。</w:t>
            </w:r>
          </w:p>
        </w:tc>
      </w:tr>
      <w:tr w14:paraId="3723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8A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4D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B007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我所旨在通过有效利用2025年度部门预算资金30万元达到以下工作目标：保质保量完成省局下达的监督抽查和风险监测相关任务，配合州局，联合县局开展产品质量监督抽查抽样工作，切实做好委托检验检测工作，积极宣贯产品质量安全相关知识，提供技术咨询，开展贵金属（金、银）产品质量检验检测工作，保证州内旅游沿线贵金属（金、银）产品质量，开展“钢管脚手架扣件检验项目”，填补阿坝州脚手架检测空白，更新产业新技术和升级检验检测设备，切实维护消费者利益；建立持续通过培训，提升单位职工技术能力；，提高检验检测数据的准确度及精确度，提高实验室综合业务能力，为行政部门执法提供强有力的可靠的技术支持。</w:t>
            </w:r>
          </w:p>
        </w:tc>
      </w:tr>
      <w:tr w14:paraId="1E12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89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5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3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A5E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3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59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F2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4D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899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66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BA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D1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4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17.68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856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3A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3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43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720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4B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CC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A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7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BD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17.68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E3E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E3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77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FE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00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B0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8E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8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23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A9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6D4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3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C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D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7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5A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DA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EA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0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3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987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54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5D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0D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EB3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4EE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D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93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A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20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A1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3F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06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E1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0E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C3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916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64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80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83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4D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D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00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CC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7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63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20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27F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66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F2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50B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1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完成抽样任务数量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2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6A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22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8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F3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99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C6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1C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F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47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E5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3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开展质量安全宣贯次数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B9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4D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6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场次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B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9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3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D00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D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DE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BA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92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开展钢管脚手架扣件、金银、建材等检验检测数量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C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DA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0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DF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1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2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FF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A6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BC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1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F5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8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随机抽查抽样单出错率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1C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CE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E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27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1C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9B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7D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C8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D5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0A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1C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2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检验检测报告出具时间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1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6F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工作日</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79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BC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05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4C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A7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A2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3A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D1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CB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在规定时间内完成任务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D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B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8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39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08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2F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43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2B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C5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41D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D11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6D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企业投诉数量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2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F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58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88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65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B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6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115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C83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8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4C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9D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发挥检验检测机构的质量监督检验作用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1B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CE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6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EC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0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C4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BC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9D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60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AB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生态效益指标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F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任务执行符合环保要求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0E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69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98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3F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FF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3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E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FC2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19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56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1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6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检验检测数据具有可持续性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6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6D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3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4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2B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F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50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57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A7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0F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A1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企业满意度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47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81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4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DB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51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B6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67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2B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67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16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3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严控成本支出</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10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84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5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08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1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5A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E3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AE41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3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D9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C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33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52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1B1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58D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0E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DC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3CC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1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9D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21C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2A9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9F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0A757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EC9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465B46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4DF30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B4C19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03EC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F4DCE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030BA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F06AF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8401C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CB2F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779CE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53F13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04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51200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EE2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887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E90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51320025T000013975942-2024年质检所设备购置尾款</w:t>
            </w:r>
          </w:p>
        </w:tc>
      </w:tr>
      <w:tr w14:paraId="101C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9A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5906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EE925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E86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22FE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782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C54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A3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D6E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A9A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56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39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4DB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2024年质检所设备购置尾款支付6925元。</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715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2024年质检所设备购置尾款支付6925元。</w:t>
            </w:r>
          </w:p>
        </w:tc>
      </w:tr>
      <w:tr w14:paraId="41A6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BF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F8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698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2024年质检所设备购置尾款支付6925元。</w:t>
            </w:r>
          </w:p>
        </w:tc>
      </w:tr>
      <w:tr w14:paraId="3FB2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AAD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E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9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18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398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5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6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AB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E7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A38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D1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8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8A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8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0.69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8F2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0.69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3C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DD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1B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0C7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A3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00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A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79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9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F5D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0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2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45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34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31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0D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9D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3F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D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155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9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D3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9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F6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70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9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E3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E9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0.69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62C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0.69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25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82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54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52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6C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679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4F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38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2E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4EA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4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AE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6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7D9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24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FE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9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9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F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88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D4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14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E9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0A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030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30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E55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74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0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支付2024年设备购置尾款</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17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B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D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46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E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B8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F7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3B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3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F0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52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05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保质保量完成支付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A5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6A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1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A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50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2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E1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04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89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1F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35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EC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在2025年完成支付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01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2C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42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49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09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7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A4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FD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0D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A0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10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32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无资金浪费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58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1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83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0B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F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C0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B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B8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0A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D5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41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投诉人次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05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1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5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8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0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77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DA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F5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5F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4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2A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F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按额完成支付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4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6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6925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E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A7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6925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44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F8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3F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526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FE66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72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5C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E5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0F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74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35D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70B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9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0FE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A01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D6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A874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9E1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4BB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77C9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F9905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2CB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6962C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AC3FD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15EA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A54EC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E3F06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828BE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0B6B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4246F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75A41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59116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06FDA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2D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C243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6BD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65B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54D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51320025Y000012974203-日常公用经费（其他运转类）</w:t>
            </w:r>
          </w:p>
        </w:tc>
      </w:tr>
      <w:tr w14:paraId="2822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216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62E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C240F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47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5C54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484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542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B79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0C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ED7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7D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45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11F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B17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14E8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14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28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82E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6DA7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06E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8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8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84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4C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1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4D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5E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7C7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F3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AA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2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10.99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FD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65F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C6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BA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7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25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98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2C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5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D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10.99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8D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974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17.26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0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A1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F6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9E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024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F4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3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18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6C1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0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B8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9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55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8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AB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AA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10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63B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7A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DD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7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80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31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A9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CF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51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9C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78E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BA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4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A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9D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11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809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21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E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01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7C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9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31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22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9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10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B81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F1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6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B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B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D8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23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D6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D2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A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F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FB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8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8BD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9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3E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7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0D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8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FB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99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9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E7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CD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EE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C58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AD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EF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A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06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03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72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7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46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F5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38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92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2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5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98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16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D1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D3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89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33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3A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69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D843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9F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2C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93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01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82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B163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4D8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C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719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E31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18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AFED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CF8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9F0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F48B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0985D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1A9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583E3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58BB8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6810C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A94F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74D23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B8FB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C966E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F5C31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D25E3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564C6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556617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EA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22D470">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985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0E2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16C3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51320026T000014344911-2025年省级监督抽查抽样项目</w:t>
            </w:r>
          </w:p>
        </w:tc>
      </w:tr>
      <w:tr w14:paraId="76D9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7F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F81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562F9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A8B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州产品质量和特种设备监督检验所</w:t>
            </w:r>
          </w:p>
        </w:tc>
      </w:tr>
      <w:tr w14:paraId="6E0C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66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6DC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CFA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413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F43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93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23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EA6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2025年我所省级监督抽查抽样项目资金主要用于工业产品质量监督抽查及风险监测工作，要求完成抽样采样任务不低于210批次。</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95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2025年我所省级监督抽查抽样项目资金主要用于工业产品质量监督抽查及风险监测工作，要求完成抽样采样任务不低于210批次。</w:t>
            </w:r>
          </w:p>
        </w:tc>
      </w:tr>
      <w:tr w14:paraId="22AA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EF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690E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2025年我所省级监督抽查抽样项目资金主要用于工业产品质量监督抽查及风险监测工作，要求完成抽样采样任务不低于210批次。</w:t>
            </w:r>
          </w:p>
        </w:tc>
      </w:tr>
      <w:tr w14:paraId="68DD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D16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2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4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F7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A8F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EF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6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1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E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763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A8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08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2A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F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E86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B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86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97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F44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95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5F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16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9E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3B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061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17.85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CC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E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2C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BA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A5D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F2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1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4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0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744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5A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6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0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C5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AE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4F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3C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8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50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BA4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D6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6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9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54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34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52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29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74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D4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3EB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0C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0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3B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7B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5D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07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76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9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85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B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5C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0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E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B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30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73A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9C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BB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63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A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完成省局下达监督抽查抽样和风险监测采样任务等不低于210批次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E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E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A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92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A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9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FA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62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1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F6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1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0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随机抽查抽样单出错率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D0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2B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DF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4B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0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47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F3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EE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9C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D8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94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在规定时间内完成任务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F1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C0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25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C6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61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EC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FB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C1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DA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CB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生态效益指标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7E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任务执行符合环保要求</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46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40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1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B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DE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8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9D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0B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EC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09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0E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可持续发展指标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4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此项工作社会影响具有可持续性</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0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1E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2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优良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8A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7F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96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C0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B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52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98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27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企业投诉数量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F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F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7E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96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C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0D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97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4C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98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12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08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7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25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B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6E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7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70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B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8F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EF4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E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5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23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9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FCF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D56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E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2C8C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CE9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B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732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A46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660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9A6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2EAB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A04DF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8D5E1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DAAD5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F840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1BA5C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32008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4164F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32643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475A9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B6FBB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312E2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56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A10000">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797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A64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0DC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51320021T000000057340-实验室维护、检定、校准、运行及功能改造经费</w:t>
            </w:r>
          </w:p>
        </w:tc>
      </w:tr>
      <w:tr w14:paraId="43BC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EDD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51A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C1EB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746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5B57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B3D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5C6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1FC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8ED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EC5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0A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8C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A7B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中华人民共和国计量法》第九条及《检验检测机构资质认定能力评价检验检测机构通用要求》第4.4条，我局需对实验室仪器设备及移液器检定校准以及实验室日常维护费及临时急需的小型仪器设备购置，实验室检验检测系统维护，从而保障实验室安全事故零发生及检验、检测数据准确率达到98%以上。</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45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中华人民共和国计量法》第九条及《检验检测机构资质认定能力评价检验检测机构通用要求》第4.4条，我局需对实验室仪器设备及移液器检定校准以及实验室日常维护费及临时急需的小型仪器设备购置，实验室检验检测系统维护，从而保障实验室安全事故零发生及检验、检测数据准确率达到98%以上。</w:t>
            </w:r>
          </w:p>
        </w:tc>
      </w:tr>
      <w:tr w14:paraId="3B03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D0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0E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764F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中华人民共和国计量法》第九条及《检验检测机构资质认定能力评价检验检测机构通用要求》第4.4条，我局需对实验室仪器设备及移液器检定校准以及实验室日常维护费及临时急需的小型仪器设备购置，实验室检验检测系统维护，从而保障实验室安全事故零发生及检验、检测数据准确率达到98%以上。</w:t>
            </w:r>
          </w:p>
        </w:tc>
      </w:tr>
      <w:tr w14:paraId="41881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4C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D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8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F4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077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95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9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E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197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6F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1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6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1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730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7E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F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F2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A1B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41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2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7C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5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90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96C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6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CB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1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A5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47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56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4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3F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2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8B6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6F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C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3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AD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4A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61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9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04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9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02F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A0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F2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41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B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91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D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D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81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C3C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69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4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99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FF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C66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16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E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B9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A7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FB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E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F7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BB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0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8F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DE2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7E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3E9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983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4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参加能力验证并通过次数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1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60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0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6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53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E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5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6B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3B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93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A4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C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仪器设备及检验监测系统维修（护）数量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F7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6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F5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C8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F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A9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58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75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1A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68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B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仪器设备、移液器检定校准数量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55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F9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43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F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49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CB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BA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99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12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24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45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小型仪器设备购置数量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E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7C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5F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05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AA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E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18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CE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3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D8E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A9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检验检测数据准确率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BB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C0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5F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D3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AD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9E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AD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91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0C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DD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3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7C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实验室质量体系人员培训合格率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43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0F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B7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6C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4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91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FF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D1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F9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DA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83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仪器设备购置合格率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7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4D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6A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B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0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B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F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F0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4E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2B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47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01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DE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7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2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58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DD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58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79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95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69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B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C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2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实验室安全事故发生次数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9A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8C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59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15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38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A3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5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D4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54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D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CD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A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检验检测人员对实验室场所满意度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87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2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BC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D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3D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9F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6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C6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67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B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EA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A9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项目成本金额</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B0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1D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4A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7F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61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8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58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E9FB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AA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53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F1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C0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3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E7C8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CEC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C5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272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76C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BA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C7E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142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B6E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2730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0716D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468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35DF8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2EE41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DB86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5A16A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29F31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1DF50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B3C25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416AD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2306AF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ACC34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8BEC8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EA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87210F">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6A0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07A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4290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51320021T000000057343-民族药物研究费</w:t>
            </w:r>
          </w:p>
        </w:tc>
      </w:tr>
      <w:tr w14:paraId="74E2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A72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ADD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DC9CF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91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6988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B89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71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8C0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81D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0E4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E3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0E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E88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考虑我州藏药、羌药品种多达480余种，然而无专业机构对质量标准进行研究和提高，生产工艺和质量标准不高，产品质量不高，微生物限度终无法控制，致使产品不被更多的大众所认可。根据州委编办的批复加挂“阿坝州民族药物研究所”牌子，赋予我局民族药物种植、制剂品种标准起草提升等研究工作。我局将开展中藏羌药材研究，提高中藏羌药标准制定的科学性和规范性。</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47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考虑我州藏药、羌药品种多达480余种，然而无专业机构对质量标准进行研究和提高，生产工艺和质量标准不高，产品质量不高，微生物限度终无法控制，致使产品不被更多的大众所认可。根据州委编办的批复加挂“阿坝州民族药物研究所”牌子，赋予我局民族药物种植、制剂品种标准起草提升等研究工作。我局将开展中藏羌药材研究，提高中藏羌药标准制定的科学性和规范性。</w:t>
            </w:r>
          </w:p>
        </w:tc>
      </w:tr>
      <w:tr w14:paraId="1DC2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2F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DD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6598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考虑我州藏药、羌药品种多达480余种，然而无专业机构对质量标准进行研究和提高，生产工艺和质量标准不高，产品质量不高，微生物限度终无法控制，致使产品不被更多的大众所认可。根据州委编办的批复加挂“阿坝州民族药物研究所”牌子，赋予我局民族药物种植、制剂品种标准起草提升等研究工作。我局将开展中藏羌药材研究，提高中藏羌药标准制定的科学性和规范性。</w:t>
            </w:r>
          </w:p>
        </w:tc>
      </w:tr>
      <w:tr w14:paraId="12D6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923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4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9E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4A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88A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6B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7E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D7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B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E13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45E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F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9D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D6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C5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B6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E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4D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F8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AF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6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62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4E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5FA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4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E0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B3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9E4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377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9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6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B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3D2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5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5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65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CD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5D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FF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5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14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BF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6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9C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C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7AA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34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C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6D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E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0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AC2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4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AE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C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ABA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B6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87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EF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1E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24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F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F9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1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ED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9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4A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C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ED8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B11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504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64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C3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发表论文数量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7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D3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B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CA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F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7E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B7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D1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05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47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4A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制定或修订藏羌药质量标准数量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4F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5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E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E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9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E4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D1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9A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9D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383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BA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DE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建立科研团队数量或人才培养数量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B5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2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1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E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E4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5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75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2B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E3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A2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28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科研项目验收合格率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2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9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7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6F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2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C4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7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6B4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25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EC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BB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89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70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7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9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CB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2C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D3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4C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D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F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63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5F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推动民族药标准提升影响年限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E5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24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D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E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5C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04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50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67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D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FC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49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服务藏羌药材种植户对技术服务的满意度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7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4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38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8E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6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F7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DB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F9D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AC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54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2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AD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项目成本金额</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4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8E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6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9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E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54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A55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03F7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2D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2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11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8F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C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C76D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46E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0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48E5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919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C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1E46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3A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7CA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DD5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F90AD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EBB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66C0E5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67F27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4B6F8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6D084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C1F0D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616E8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0B0B2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D4882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ED6FE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4A308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FA357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5E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F1CCC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28E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DB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66C7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51320022R000005969462-追加州级部门编内退休人员一次性退休补贴</w:t>
            </w:r>
          </w:p>
        </w:tc>
      </w:tr>
      <w:tr w14:paraId="29C2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E0F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DBB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0AA72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16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2C75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D82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B4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312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30E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E75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25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9B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274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50E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0899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3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65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A93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3684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7D1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5B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5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E7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DCE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0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FB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4F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BFF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CC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D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9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08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AAE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E0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FF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E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002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0E0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44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79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8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AC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23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6A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9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6E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B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68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AD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6D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C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103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21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89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5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14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87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D1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08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7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88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15D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45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9D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24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CA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5A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81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4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03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DE3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8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99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E8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9F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90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69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3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2B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A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7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DC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12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0F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8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0F6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B6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E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E3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1A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0D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A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2C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6A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A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A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B1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73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4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D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88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5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7A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9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85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7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1A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9DD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D8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F8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15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04E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C7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0D7F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398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E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0E79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A6B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6D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4C8C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1A5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266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DD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E95E6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2B8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FE97B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9BE40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7F434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49686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BFD10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6350C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70BF1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CA71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31C60D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9E388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F6C6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9A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7E032C">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1E4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FE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144F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51320022T000000340338-州本级药品抽检经费</w:t>
            </w:r>
          </w:p>
        </w:tc>
      </w:tr>
      <w:tr w14:paraId="6A26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7B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10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A70FC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A1C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4B1B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EC8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451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659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E7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8A1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B3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90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3F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照新《药品管理法》和新修订的《药品质量抽查检验管理办法》规定，完成州本级药品抽检任务，为尽快适应机构改革后药品质量监督管理的新常态。按照四川省药品管理局对各市州需要自行拟定药品抽验计划的总体要求，完成州本级50批次的药品抽验计划。为药品监管提供技术支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2D5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照新《药品管理法》和新修订的《药品质量抽查检验管理办法》规定，完成州本级药品抽检任务，为尽快适应机构改革后药品质量监督管理的新常态。按照四川省药品管理局对各市州需要自行拟定药品抽验计划的总体要求，完成州本级50批次的药品抽验计划。为药品监管提供技术支撑。</w:t>
            </w:r>
          </w:p>
        </w:tc>
      </w:tr>
      <w:tr w14:paraId="712D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E2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2F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D402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照新《药品管理法》和新修订的《药品质量抽查检验管理办法》规定，完成州本级药品抽检任务，为尽快适应机构改革后药品质量监督管理的新常态。按照四川省药品管理局对各市州需要自行拟定药品抽验计划的总体要求，完成州本级50批次的药品抽验计划。为药品监管提供技术支撑。</w:t>
            </w:r>
          </w:p>
        </w:tc>
      </w:tr>
      <w:tr w14:paraId="4196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0DC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20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47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2C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844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B6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A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CF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A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006B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51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23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C7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63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14D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1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92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2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3FC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3C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CC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9C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8E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0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72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F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7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F9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D2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C7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66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1E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5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1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836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6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74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47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AA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9C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A0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27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E8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CB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1B0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3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A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71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C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E51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49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0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65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8D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3BB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93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8B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F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E4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3E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017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8F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E1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44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E8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27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6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6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8E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B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575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B2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E3E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5D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71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药品抽验批次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17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5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49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2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11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94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FB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5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563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BC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2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检验报告书差错率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3E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2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2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C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E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84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0A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0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A9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81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CB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抽检任务按期完成率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1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3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51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7A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E7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1B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1D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C5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D4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58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C6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D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不合格检验报告移送执法部门处置率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1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5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0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6D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F2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EA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07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5C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62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4B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21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8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监管机构对药品抽检工作满意度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F8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DF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A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16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06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4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6F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F3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6B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FA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每批次药品抽检成本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F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5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5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9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A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00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1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8B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E0EC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E9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6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C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43C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15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1C41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8FD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00F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5FA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DB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473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B61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42D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35F8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D9C9A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82A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ED63D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5934A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6B52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7CF2D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6A224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5B128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B2E91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E711B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68CFE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C3E7F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3BD28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67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FAB02D">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878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BA3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812A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51320022T000000346226-州本级食品抽检专项</w:t>
            </w:r>
          </w:p>
        </w:tc>
      </w:tr>
      <w:tr w14:paraId="559A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07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886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6DAF4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71D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6665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4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8EA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B5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D09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AFA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0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5B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CF9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中华人民共和国食品安全法》第八条，县级以上人民政府应当将食品安全工作纳入本级国民经济和社会发展规划，将食品安全工作经费列入本级政府财政预算，加强食品安全监督管理建设，为食品安全工作提供保障。2025年将完成100批次的食品抽检工作。为食品监管提供技术支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C2C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中华人民共和国食品安全法》第八条，县级以上人民政府应当将食品安全工作纳入本级国民经济和社会发展规划，将食品安全工作经费列入本级政府财政预算，加强食品安全监督管理建设，为食品安全工作提供保障。2025年将完成100批次的食品抽检工作。为食品监管提供技术支撑。</w:t>
            </w:r>
          </w:p>
        </w:tc>
      </w:tr>
      <w:tr w14:paraId="2BAC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436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5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15C2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根据《中华人民共和国食品安全法》第八条，县级以上人民政府应当将食品安全工作纳入本级国民经济和社会发展规划，将食品安全工作经费列入本级政府财政预算，加强食品安全监督管理建设，为食品安全工作提供保障。2025年将完成100批次的食品抽检工作。为食品监管提供技术支撑。</w:t>
            </w:r>
          </w:p>
        </w:tc>
      </w:tr>
      <w:tr w14:paraId="73AE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711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B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4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7F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0ED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B5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68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9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ABD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FA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A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52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16.80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A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14.79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361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14.79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2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5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C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AC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EE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48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A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16.80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F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14.79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BD3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14.79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8E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7A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C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AF9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35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05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1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53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50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443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B0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8E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F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E2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A4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9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A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4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8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FDD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D1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7D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A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74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A61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43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57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57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14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7B5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1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6D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6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DA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2D5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5A4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9F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7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4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D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1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3B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2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2D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E4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C4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0B6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67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02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0E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1F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食品抽检批次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E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7D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5A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23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C6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5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63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24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5F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5E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2E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复检报告书差错份数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B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D3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44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份</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BA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4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69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8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AF8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4E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2F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5F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F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年度报告书差错份数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81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3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8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份</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F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F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C6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07F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C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FA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E4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6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A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9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F8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6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C4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1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9F2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C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FB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0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9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不合格检验报告移送执法部门处置率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67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38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CB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D0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E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B2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36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30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E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55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B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监管机构对药品抽检工作满意度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FA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B3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2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7D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6C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EE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7B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D1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00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76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88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CF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每批次食品抽检成本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4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59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1680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F0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D3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1680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EE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FB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62F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E3A2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E4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A0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FE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E33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E7F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787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3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4DD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6FB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ED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BFB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1AF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512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45B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1AC5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2F54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2FBB0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73E4E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9678E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2E888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6087F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1BE8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AD750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38E4C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901A9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9858D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71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57FD16">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E94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B6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DEE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51320022T000007339498-中央药品监管补助资金</w:t>
            </w:r>
          </w:p>
        </w:tc>
      </w:tr>
      <w:tr w14:paraId="4CEB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4DC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FFC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7C79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DF8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1699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FBE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082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45D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4BE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A0A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C5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FF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EA7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进一步加强我州药品安全监管工作，不断提升药品安全监管水平，促进药品监管事业持续健康发展。该资金用于开展药械化不良反应和药物滥用检测的收集、上报和数据分析工作、宣传工作；配合省评审中心开展监测工作；加强对县（市）药械化不良反应监测、药物滥用监测工作的指导。</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99C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进一步加强我州药品安全监管工作，不断提升药品安全监管水平，促进药品监管事业持续健康发展。该资金用于开展药械化不良反应和药物滥用检测的收集、上报和数据分析工作、宣传工作；配合省评审中心开展监测工作；加强对县（市）药械化不良反应监测、药物滥用监测工作的指导。</w:t>
            </w:r>
          </w:p>
        </w:tc>
      </w:tr>
      <w:tr w14:paraId="304B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10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4A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3EC0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进一步加强我州药品安全监管工作，不断提升药品安全监管水平，促进药品监管事业持续健康发展。该资金用于开展药械化不良反应和药物滥用检测的收集、上报和数据分析工作、宣传工作；配合省评审中心开展监测工作；加强对县（市）药械化不良反应监测、药物滥用监测工作的指导。</w:t>
            </w:r>
          </w:p>
        </w:tc>
      </w:tr>
      <w:tr w14:paraId="467A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3D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8A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5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A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D58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FA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7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8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C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E9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E9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E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7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F0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8F1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50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BE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10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464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5F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8F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9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7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EC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5CE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A5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B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84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74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C8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B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0D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BD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BB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623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40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3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4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20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4CA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59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E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A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B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FE0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C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4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4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F7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D3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59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F2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0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68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C2B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BB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E6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2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F9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FDB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751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18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D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FE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6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7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11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1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A7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9B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D92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4E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A9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9A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F0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宣传培训次数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01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F7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D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7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2A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3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3E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1F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4B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B6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C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0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监测任务完成率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0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A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E0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9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0B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C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32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B8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22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C1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D0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4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7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1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7F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份</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61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9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EE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1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D86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F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7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6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7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药品监管水平</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22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3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不断提高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55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25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不断提高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C4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B0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22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E6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24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D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22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7B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项目总成本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4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5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49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D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B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A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3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D7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B08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2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BE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8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CC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23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C2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5B8B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8932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D0E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90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61A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4DA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FF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1AE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B7918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E59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0576E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6132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DF430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4E72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08434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32DD1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51DE4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492C8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8CDD6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15B20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F380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59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9C0C4C">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213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9A1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BEF3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51320023R000007728618-目标绩效奖（按月随工资发放70%部分）</w:t>
            </w:r>
          </w:p>
        </w:tc>
      </w:tr>
      <w:tr w14:paraId="0EAF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45E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41D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A2F3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0AB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799A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96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E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337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14B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B68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F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D8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644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2EF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DE4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557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1C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DF87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50D8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891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0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58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A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5B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13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C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1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F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9B0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E8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CE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0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116.34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56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118.34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94F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118.34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99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0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BA9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D1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4B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4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8A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116.34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8A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118.34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E0B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118.34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D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2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1A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51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C55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5C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74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8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3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B23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BE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C6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3F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3BB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7E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F4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4C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FE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98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EA5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05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F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A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B2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A0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0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9D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52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C2E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19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A7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3D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A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9C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DB5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0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1E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FC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D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8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7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D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4B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71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4376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17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E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BA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A2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2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93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7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22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72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40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1E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20C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64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84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BB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A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86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FC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7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5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D1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6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51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97BE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D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B2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B8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D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4B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733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137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2E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D5E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1CE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A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45DD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7BA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3C1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39D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BE7F2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419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C7F0C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4A026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C6D6C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53A3DA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AC6D1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4EDAA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A503A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50E36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B0315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E8BAA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F079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274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C6B483">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C16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55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DACA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51320023R000009914893-工资性支出</w:t>
            </w:r>
          </w:p>
        </w:tc>
      </w:tr>
      <w:tr w14:paraId="218D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8DB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F10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55DB87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C3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39DB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3A8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032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878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477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D6C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6A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3F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97E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96A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3061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F2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DBE6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3F58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AC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7D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6B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A5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2FA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0A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2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1C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A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1423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51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65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F8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311.35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B6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298.50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3C1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298.50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3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FE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47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C28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19A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12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87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C4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311.35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E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298.50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48D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298.50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BC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8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1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81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95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91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84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F2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57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DA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0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B7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B5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07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6A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1E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4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3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12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79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0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5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93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48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3E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78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D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7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9A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A3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D4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7B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14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A0E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6BA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8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D0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2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D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8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8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00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CD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9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AE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E11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E3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6F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4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5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9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96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89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2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42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23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554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6F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EA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F5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8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E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B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3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1F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5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DD0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683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9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56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65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5F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0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458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6A8E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F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D28C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50E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3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006E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AC8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2BA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BBDD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A4E8D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6EA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9D16C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B1E51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02AC0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E7F8F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70B2C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31156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F079B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F5F28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39161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DC665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58A10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6A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5CBFC2">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ED2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E9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F437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51320023R000009915221-单位缴费</w:t>
            </w:r>
          </w:p>
        </w:tc>
      </w:tr>
      <w:tr w14:paraId="4CCA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A50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E96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A0DBF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378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56C6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FBF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6C7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F4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391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2FC9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B60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CE8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51F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857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对照年度目标，说明相关任务目标的完成情况（100字以内）</w:t>
            </w:r>
          </w:p>
        </w:tc>
      </w:tr>
      <w:tr w14:paraId="6212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F0E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D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0662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9C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3B7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F2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2E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9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B2D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7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7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5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59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E0A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10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59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44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221.76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A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213.28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7A4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213.28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F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90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F4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CC3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1691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53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F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93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221.76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8A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213.28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4E3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213.28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B8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F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C8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39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1C7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8C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30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2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EDE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F0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1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9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05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F94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0E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B2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9D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E0B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D9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E0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9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E3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450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04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B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F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5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564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51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F8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0E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14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6B1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8FC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82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82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4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57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AC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6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F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E9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6B5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4E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50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41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2B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D7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6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CC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56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68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A2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D2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30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A6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D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67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4C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A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A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D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F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80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66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6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859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44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4F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C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FB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8B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B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CFD9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DBE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B9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872B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56A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CF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9D6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1B52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693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CAA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88E34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514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3B630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67753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8B801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209F8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A6BF3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C5C1C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7329BB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659BA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52D7B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1B090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CC8B3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4F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22EF6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4AD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565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27B4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51320023R000009915925-聘用人员经费</w:t>
            </w:r>
          </w:p>
        </w:tc>
      </w:tr>
      <w:tr w14:paraId="4AC8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8E8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875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43928D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332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5C3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659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E0D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1DA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2E6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CB6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9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D76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8EA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C71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17DC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3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3D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AF5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1C8A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19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A3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DD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26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A33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E9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3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1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36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A0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0F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C6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23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7C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8B9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54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3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5E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680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4E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7F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A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4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A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20.09</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0A0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AA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7B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39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C9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3E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45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1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29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E5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9B3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1C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5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D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62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1C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0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A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82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CBB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07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A2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F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9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67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5E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1C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0E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F7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58D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E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0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19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CD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A6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C21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56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5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84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07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1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C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C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7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3E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AFD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CD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09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F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9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A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BC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8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E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94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FD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9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B3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06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B0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BB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2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4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AA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2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61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BE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26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A2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6C0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F509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3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E2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63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85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02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B05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2D5F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81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2CFE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22F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B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9E5D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985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51C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BC4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F1678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3CA5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2F742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CAEE3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1BB86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0020D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37D72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5B1A7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5F5F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392B3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3D2CDC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753CF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00CD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CC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1427C3">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E85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D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4A00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51320023R000009916588-其他支出</w:t>
            </w:r>
          </w:p>
        </w:tc>
      </w:tr>
      <w:tr w14:paraId="6555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C1A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7A6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89C89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499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8E3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1AA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5D5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563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1A6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410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FB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99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CB1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8EF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3290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B0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A3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984E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902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A6D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A5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F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6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B40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90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8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4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54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C19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70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DF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9C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E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0.41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FA0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0.41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87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0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F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EF3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C8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E0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8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64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6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0.41</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AA1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0.41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70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01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34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5E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97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48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F0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78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4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500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78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7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C6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F2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66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3F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2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82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5A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D5C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8E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9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05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1F1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E7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C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AE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C3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D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AAE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D3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1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E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57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13A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C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1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85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A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27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A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2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F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6C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C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308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B5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86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A9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8B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73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A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F1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4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92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0E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9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DA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3E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07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C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69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D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3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91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C7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0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EB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319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E8D0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FA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36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64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C5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6B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A4DE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534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E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C91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151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F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6C91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332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227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DD5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54347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3C0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1AD4E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0CC074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F2584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105D6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ECE12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60018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4E2C89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E8E82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3B28E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BBD5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2B2CA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F8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4019B4">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AE1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F6C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91F3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51320023T000009779009-阿坝州川贝母、羌活、党参等重点道地中药材基原鉴定与质量评价研究</w:t>
            </w:r>
          </w:p>
        </w:tc>
      </w:tr>
      <w:tr w14:paraId="0F62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A7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D37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2687B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C30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1D78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AD0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E3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C99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8F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EFF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DC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AB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172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阿坝州生产力促进中心申报的《阿坝州川贝母、羌活、党参等重点道地中药材基原鉴定与质量评价研究》科研项目，我局作为科研项目合作单位主要承担三种药材成分检测、重金属检测及质量评价工作，分配给我局17.50万元科研项目合作经费。</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C6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阿坝州生产力促进中心申报的《阿坝州川贝母、羌活、党参等重点道地中药材基原鉴定与质量评价研究》科研项目，我局作为科研项目合作单位主要承担三种药材成分检测、重金属检测及质量评价工作，分配给我局17.50万元科研项目合作经费。</w:t>
            </w:r>
          </w:p>
        </w:tc>
      </w:tr>
      <w:tr w14:paraId="18D5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43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9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EA99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阿坝州生产力促进中心申报的《阿坝州川贝母、羌活、党参等重点道地中药材基原鉴定与质量评价研究》科研项目，我局作为科研项目合作单位主要承担三种药材成分检测、重金属检测及质量评价工作，分配给我局17.50万元科研项目合作经费。</w:t>
            </w:r>
          </w:p>
        </w:tc>
      </w:tr>
      <w:tr w14:paraId="731E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D29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75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68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55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BF1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86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76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34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0E5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274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06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C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417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F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E6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66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1E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5C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53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1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0C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D2E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6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7A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1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82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EF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40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AA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FF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94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E00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CA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1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FE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61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76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9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02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0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BE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D9E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C6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B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7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DE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05C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FD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64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A2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BFC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2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91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18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10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DAC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4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A4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DC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CD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4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EA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26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EF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6D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BA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E1E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4E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3F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0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CB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药材成分检测、重金属检测及质量评价品种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4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2C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B0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DE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6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61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2B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79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99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9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D3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科研项目验收合格率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08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D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0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51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90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B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2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7D0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5F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E5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0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D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95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DC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4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96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5F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4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535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E3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5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F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B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推动民族药标准提升影响年限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A7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B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7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56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5F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07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D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CD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6D5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70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B8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E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42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6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7156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0F67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3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3A7A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AFA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E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B44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BB3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AF7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9AD1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C6DD1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8A6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04CCC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37D53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7E7CA8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8484A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13A487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BCE47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0900A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F4859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D726C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95483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BA2B3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14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31C2A1">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901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822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9A2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51320023T000009793169-优质高产羌活种质溯源及其绿色生态种植关键技术集成研究与示范应用（重点项目）</w:t>
            </w:r>
          </w:p>
        </w:tc>
      </w:tr>
      <w:tr w14:paraId="7D17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661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D41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89AC3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F9E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FE4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B72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538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D5F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44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14D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78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61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197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（1）筛选出适宜于规模化种植的羌活种质资源1-2份，并构建其DNA指纹图谱。</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（2）筛选出适宜于高品质发展的道地优良羌活品种（系）1-2个。</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（3）发表专业论文1篇。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3F3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（1）筛选出适宜于规模化种植的羌活种质资源1-2份，并构建其DNA指纹图谱。</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（2）筛选出适宜于高品质发展的道地优良羌活品种（系）1-2个。</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（3）发表专业论文1篇。</w:t>
            </w:r>
          </w:p>
        </w:tc>
      </w:tr>
      <w:tr w14:paraId="5196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20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B5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1EF0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（1）筛选出适宜于规模化种植的羌活种质资源1-2份，并构建其DNA指纹图谱。</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（2）筛选出适宜于高品质发展的道地优良羌活品种（系）1-2个。</w:t>
            </w:r>
            <w:r>
              <w:rPr>
                <w:rFonts w:hint="eastAsia" w:ascii="宋体" w:hAnsi="宋体" w:eastAsia="宋体" w:cs="宋体"/>
                <w:color w:val="000000"/>
                <w:kern w:val="0"/>
                <w:sz w:val="24"/>
                <w:lang w:val="en-US" w:eastAsia="zh-CN"/>
              </w:rPr>
              <w:br w:type="textWrapping"/>
            </w:r>
            <w:r>
              <w:rPr>
                <w:rFonts w:hint="eastAsia" w:ascii="宋体" w:hAnsi="宋体" w:eastAsia="宋体" w:cs="宋体"/>
                <w:color w:val="000000"/>
                <w:kern w:val="0"/>
                <w:sz w:val="24"/>
                <w:lang w:val="en-US" w:eastAsia="zh-CN"/>
              </w:rPr>
              <w:t>（3）发表专业论文1篇。</w:t>
            </w:r>
          </w:p>
        </w:tc>
      </w:tr>
      <w:tr w14:paraId="1C08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239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C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FE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1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BC7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5A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6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7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E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F5A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4A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1C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7E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18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6D6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B2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55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D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2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16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44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C2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36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0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9E7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4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A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6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67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B8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43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D3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72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1D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59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6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93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E1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22D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44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9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62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CB9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42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6C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23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6F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7C4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A3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3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C8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79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9EF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2D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F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7E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F9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92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9D7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4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3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F1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13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E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E8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F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12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C5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D6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A32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CA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DB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BA3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D7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筛选出适宜于高品质发展的道地优良羌活品种（系）个数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4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46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5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E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18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FD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0B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63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F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8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筛选出适宜于规模化种植的羌活种质资源份数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B6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FF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E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份</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E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BA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C5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3B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ED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0C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B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2E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EA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发表专业论文篇数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7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C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6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FF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25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7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5A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B6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E2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B2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3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科研项目验收合格率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8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9C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9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DF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1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1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8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722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63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CC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1E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91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FA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2025年8月26日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E8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7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2025年8月26日</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ED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B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42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6A9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B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F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1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2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筛选出适宜于规模化种植的羌活种质资源份数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67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23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A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AD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33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C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8A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43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66A6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EC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A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9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23C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CB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E755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406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6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21D8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27F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5B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3FA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6CB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A08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A1F2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5D51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43D74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C9229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07655E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09CBA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FED7D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06A2F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E9F89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5A4708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1E87F5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E335C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A782B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BCB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229DF6">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B70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F6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F475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51320023Y000009917272-日常公用经费</w:t>
            </w:r>
          </w:p>
        </w:tc>
      </w:tr>
      <w:tr w14:paraId="1EAC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677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C3F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58A84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EF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237C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8A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0F6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0D0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63D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38D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A5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E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D92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45F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6177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5E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B8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903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5667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282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B6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A89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A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D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1C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7A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2459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7F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BF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FC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38.97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9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31.18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EB1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31.18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52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ED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348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9C7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F3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0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83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38.97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76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31.18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E3A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31.18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E2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17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97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D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29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1D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59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3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D4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1D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4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9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F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C0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15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49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F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0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0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A36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23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5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6A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7E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B4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52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45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F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C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A6B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3D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E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5D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66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60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0E5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2F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D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0B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C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91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F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91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1B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D5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F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B31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C7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E6F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25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DA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EB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3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F4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B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2C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7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E5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FE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FA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99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97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B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8D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CE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C6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2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1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EF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F7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E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F7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5DB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B6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E2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5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ED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19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90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BA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B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9F5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5C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8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F2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4C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69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77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DD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AB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E0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16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82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D7CB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D7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1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ED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26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6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0F8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745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3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1C1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26E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FE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5BB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AD0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204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39B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F175690">
      <w:pPr>
        <w:widowControl/>
        <w:spacing w:line="240" w:lineRule="exact"/>
        <w:ind w:firstLine="536"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849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6F07649">
            <w:pPr>
              <w:widowControl/>
              <w:spacing w:line="240" w:lineRule="exact"/>
              <w:ind w:firstLine="536"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6E8EF8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02B70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6178F6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4B2BD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9F317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3331B1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6772C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A9DF3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EF7C3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74B6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92B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D63065">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E9F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BA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214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51320024R000010654282-离休人员经费</w:t>
            </w:r>
          </w:p>
        </w:tc>
      </w:tr>
      <w:tr w14:paraId="5433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7F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FA0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32192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CDD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9B0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6F9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FAE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DF6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E5F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0773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7E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0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AF8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526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43E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5D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D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9C8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431B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88B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8B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3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18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8D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3E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5E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BF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C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E1A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F8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39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9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C3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23.68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C77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12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46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2E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5A7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3B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05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DB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A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24.01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92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23.68</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81A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23.68</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5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B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C1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9B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DF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C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A6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75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60D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94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2D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71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AC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C6F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A2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95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DD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7A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373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AA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BA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C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5C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5B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A6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DA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B8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A7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3C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C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A5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8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2A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A4C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D5C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69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D0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F0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B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92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04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3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14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69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8C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AA4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C2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B3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E1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7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D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F3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1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AE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D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41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4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35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2F3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0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0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05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E0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C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6B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37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69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3B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07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EFD0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1C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5E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2C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90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40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520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AA1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C0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3518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CCF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9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DB54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213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6F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748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3534C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6A14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A8AF2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C6A3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2AC90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B4CAA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0B376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A6A99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947A1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D7139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710C7F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10BFE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693264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8C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4D709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236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A6E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A631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51320024R000010654621-退休人员经费</w:t>
            </w:r>
          </w:p>
        </w:tc>
      </w:tr>
      <w:tr w14:paraId="25F3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AA7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D89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65330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95E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317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22C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753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F44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73A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43D7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D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E8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544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98E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036E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DA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45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872A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0C0A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C3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E5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8E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15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903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78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65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2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86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C51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91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BE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EF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49.89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C6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49.56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B12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49.56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B1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65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E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9AD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7A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80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52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BA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49.89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7E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49.56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768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49.56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76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90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3E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06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C2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7F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F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D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0A4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D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5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2C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50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2CA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68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15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D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B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6DC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32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3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B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99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C9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8C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45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DA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4C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23A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60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D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F6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70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88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FD6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7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4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04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F4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8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5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C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8C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028D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99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1B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4A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7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2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1D1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E6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40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EC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B6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3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B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4C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D3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A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A0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A3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44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35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3D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B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52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B6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480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DC12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72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17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F1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B46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CE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0D4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7C1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45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0FF8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E6D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5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82C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601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307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C3C9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3A42DF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40C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976" w:type="dxa"/>
            <w:tcBorders>
              <w:top w:val="nil"/>
              <w:left w:val="nil"/>
              <w:bottom w:val="nil"/>
              <w:right w:val="nil"/>
            </w:tcBorders>
            <w:shd w:val="clear" w:color="auto" w:fill="auto"/>
            <w:vAlign w:val="center"/>
          </w:tcPr>
          <w:p w14:paraId="514C23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2561A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A4C7F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572C0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81EAF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749EC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30A98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308605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59DD1D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6A7AEC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AC8EA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0B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90D47D">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D92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4FF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4027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51320024T000012009726-阿坝州道地药材羌活ISO国际标准关键技术研究</w:t>
            </w:r>
          </w:p>
        </w:tc>
      </w:tr>
      <w:tr w14:paraId="5116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0AC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FFB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22401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A09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2FFD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F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633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D3A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513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180E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E3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02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B9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以羌活为例，通过对羌活野生药材和栽培药材开展系统的品质评价研究，启动阿坝州道地药材国际标准研究，完善阿坝州道地药材标准体系，通过标准化引领阿坝州道地中药材高质量发展。同时开展实验室比对研究，进行实验室检验检测能力验证，提高在建的“厅州共建藏羌药质量控制与品质评价四川省重点实验室”和阿坝州食品药品检验研究中心的检验检测能力和社会服务能力，加强阿坝州藏羌药材科研平台能力建设。</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49A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以羌活为例，通过对羌活野生药材和栽培药材开展系统的品质评价研究，启动阿坝州道地药材国际标准研究，完善阿坝州道地药材标准体系，通过标准化引领阿坝州道地中药材高质量发展。同时开展实验室比对研究，进行实验室检验检测能力验证，提高在建的“厅州共建藏羌药质量控制与品质评价四川省重点实验室”和阿坝州食品药品检验研究中心的检验检测能力和社会服务能力，加强阿坝州藏羌药材科研平台能力建设。</w:t>
            </w:r>
          </w:p>
        </w:tc>
      </w:tr>
      <w:tr w14:paraId="6776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0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C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0DF6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以羌活为例，通过对羌活野生药材和栽培药材开展系统的品质评价研究，启动阿坝州道地药材国际标准研究，完善阿坝州道地药材标准体系，通过标准化引领阿坝州道地中药材高质量发展。同时开展实验室比对研究，进行实验室检验检测能力验证，提高在建的“厅州共建藏羌药质量控制与品质评价四川省重点实验室”和阿坝州食品药品检验研究中心的检验检测能力和社会服务能力，加强阿坝州藏羌药材科研平台能力建设。</w:t>
            </w:r>
          </w:p>
        </w:tc>
      </w:tr>
      <w:tr w14:paraId="268A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C52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8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D7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5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89F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5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C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74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4C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007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0F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5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58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D2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5.86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8F9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5.86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C3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81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C9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16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22C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CC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A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F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64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5.86</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FBA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5.86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D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11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C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CD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A03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E3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2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D2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9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770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C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5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E1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ED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8F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CA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E5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7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55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4C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68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88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3A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177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A9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9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8D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9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B14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65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F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14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645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5B9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66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5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CF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C7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1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1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80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FF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F9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5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3D6A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4CD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06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01C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8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发表论文数量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6A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9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2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F2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B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36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3D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16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4B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9B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FA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6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申报ISO国际标准项</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7B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F3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CF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7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A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9E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C7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44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1C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E1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28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D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科研项目验收合格率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7A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A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E5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2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8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AA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452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AF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A2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ED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98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D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2026年4月30日前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7D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13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2026年4月30日前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2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0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58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7B3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70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D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培养人才数量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5B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1E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5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B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14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6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06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73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D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EB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科研合作单位满意度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5C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AA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28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7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53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BD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6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5C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B8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B5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7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3C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82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0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3F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6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0A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5A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A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EAE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0C0A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0B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9A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9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2D6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19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5F39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F91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9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987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2E9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1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6A14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9EC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042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EB38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r w14:paraId="4821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84FEC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5E0F63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31A47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0BD50D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9982A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3188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8F22E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4A252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5449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4ACE9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C9D07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D33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4C823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49B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C1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7F67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51320025R000012338995-追加人员工资性支出</w:t>
            </w:r>
          </w:p>
        </w:tc>
      </w:tr>
      <w:tr w14:paraId="620B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42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DD7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613738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E0D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1E9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507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546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F18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DB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576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24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C4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FE7F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28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4FFE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60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4A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D478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78D3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4D0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B6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EC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93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38B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F8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6D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9F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93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D8B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F47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B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5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4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F4E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5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55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9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CA1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B3E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5C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09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E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63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64.27</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771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64.27</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81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2C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5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39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5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BD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1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12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F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7C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A0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E3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66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D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86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06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9A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FA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77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1EE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0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5A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AF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3F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379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E5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C8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61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C5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70D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C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B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3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55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A0F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651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3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3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FA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5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6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A1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6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6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4D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25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1E0B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02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49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D3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8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EA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ED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5F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61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F5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B0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4B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D3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C8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77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F0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C6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3B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97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1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A3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D1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D5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74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5B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2C20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99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D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F2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3B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6E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7FB0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256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17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6869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A8E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0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5E8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022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BBE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A2DE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4EBEB0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1D6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24BA7D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2F4F38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3F2971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1397F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6566B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E9C21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9CF46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052250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2FEF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1BE8D5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4BF289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E82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A108BE">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DD5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8B5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5B51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51320025R000012408768-年度考核奖（30%）</w:t>
            </w:r>
          </w:p>
        </w:tc>
      </w:tr>
      <w:tr w14:paraId="34AE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DF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E0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61F38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AA4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4311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ED2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42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07A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C4D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7032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22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0D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66C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1E1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25CC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20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60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3FE5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严格执行相关政策，保障工资及时、足额发放或社保及时、足额缴纳，预算编制科学合理，减少结余资金</w:t>
            </w:r>
          </w:p>
        </w:tc>
      </w:tr>
      <w:tr w14:paraId="6500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B1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16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25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1A2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E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9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0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F6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5A4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91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0E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6E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3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54.80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CD9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54.80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0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68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04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F1D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77C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EB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9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2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2F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54.80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22E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54.80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B5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F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34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7E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37D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6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EC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74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B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D7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4F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0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CC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E3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E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6A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C9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A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526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D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203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76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F6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FE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AC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E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50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47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5E4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C2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8D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A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08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2A9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600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A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2F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6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9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90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F5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9B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C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57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4F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A16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33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F9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E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E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发放（缴纳）覆盖率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7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4F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F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7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3D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D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AC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12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EA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0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DD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C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足额保障率（参保率）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2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F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1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E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E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A2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6EC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DE5B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36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32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6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4AF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8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7C71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7A2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F5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9A3B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E92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D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0DD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3AD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489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4FF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1B63B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AA1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7E00C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711C67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DA77B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2E1ED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4D3749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C401F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2BBAD8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F0963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D8BEC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F798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03F74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58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DB6527">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752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FB3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0973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51320025T000012117357-2024年省级药品监督抽检专项</w:t>
            </w:r>
          </w:p>
        </w:tc>
      </w:tr>
      <w:tr w14:paraId="5219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63B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201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235B8F2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36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3C33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008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BB1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B27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A6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2474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CC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89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E4D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完成省级药品抽检任务，提高药品抽检质量，强化药品技术支撑，做好省级药品要求品种的地方抽检和日常监督抽检。省级药品监督抽检179批次，代抽样25批次。</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8F5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完成省级药品抽检任务，提高药品抽检质量，强化药品技术支撑，做好省级药品要求品种的地方抽检和日常监督抽检。省级药品监督抽检179批次，代抽样25批次。</w:t>
            </w:r>
          </w:p>
        </w:tc>
      </w:tr>
      <w:tr w14:paraId="5407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F1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4D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2E71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完成省级药品抽检任务，提高药品抽检质量，强化药品技术支撑，做好省级药品要求品种的地方抽检和日常监督抽检。省级药品监督抽检179批次，代抽样25批次。</w:t>
            </w:r>
          </w:p>
        </w:tc>
      </w:tr>
      <w:tr w14:paraId="1BD9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8F2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73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31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38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9EE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93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9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58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44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896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0B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56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64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5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07A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A3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B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8C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AB6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3B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83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7E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0A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B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2.64</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B6C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CA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AF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1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89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5B7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E27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4A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D0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E3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D53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AE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90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3D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27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F2B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3C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2B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87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63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2D7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D6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D4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4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8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D6C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7F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5F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F2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1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B65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4D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9C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D0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FE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05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074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A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E1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35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6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8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5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2C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9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D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5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0531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ED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B09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464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0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省级药品监督检验批次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6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F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35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87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179</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47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0C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6CC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593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18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79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00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44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省级药品监督购样批次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AF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28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BE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AB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00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47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2C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548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84B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61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CF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0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完成省抽任务及时率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CC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37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0F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6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2F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0B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1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14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2E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E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F1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2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年度检验报告书差错率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1F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0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66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02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D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D1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B8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3CD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21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3C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8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3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抽查检验成本（元/批次）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0C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9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1B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7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2800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7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6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6E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63CB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C5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17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6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A1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B4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ECE1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1504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4C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01F5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5866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12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C491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92A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7BB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FC2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1515C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44E6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C3AC4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B12E1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EA363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29E52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3C61D2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F1145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56215A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42397E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919E5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637F6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0DB442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11C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8CBEF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8FE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65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9510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51320025T000012117475-2024年省级药品标准提升研究项目</w:t>
            </w:r>
          </w:p>
        </w:tc>
      </w:tr>
      <w:tr w14:paraId="3637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AB6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9A9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6DDDB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3C6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0183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D1A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194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EF1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BA3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3D6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63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FC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A2F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落实《四川省贯彻中医药发展战略规划纲要（2016-2030年）实施方案》《四川省“十四五”药品安全及高质量发展规划》相关要求，开展药品标准提升研究项目，持续提高药品标准制定的科学性和规范性。完成藏药饮片标准起草项目样品收集20个。</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6A2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落实《四川省贯彻中医药发展战略规划纲要（2016-2030年）实施方案》《四川省“十四五”药品安全及高质量发展规划》相关要求，开展药品标准提升研究项目，持续提高药品标准制定的科学性和规范性。完成藏药饮片标准起草项目样品收集20个。</w:t>
            </w:r>
          </w:p>
        </w:tc>
      </w:tr>
      <w:tr w14:paraId="4653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86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3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48A1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落实《四川省贯彻中医药发展战略规划纲要（2016-2030年）实施方案》《四川省“十四五”药品安全及高质量发展规划》相关要求，开展药品标准提升研究项目，持续提高药品标准制定的科学性和规范性。完成藏药饮片标准起草项目样品收集20个。</w:t>
            </w:r>
          </w:p>
        </w:tc>
      </w:tr>
      <w:tr w14:paraId="77FF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AD4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4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A0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9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B46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98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CF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3D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E26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20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9E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44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6.53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C44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6.53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EB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3C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D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C5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BE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2A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3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B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C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6.53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413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6.53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0F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9E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C4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AA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86C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C5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C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91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7E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B6E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FD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9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2C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82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1E9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E4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EC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2F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83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6A4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E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72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79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B0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DD3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C45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0F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F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F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EBE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6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E1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0A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FF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49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7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0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54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466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E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8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3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B3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4E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87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8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66E4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EED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42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6F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64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四川省藏药饮片标准起草项目样品收集（个）</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1B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8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7F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54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9B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7D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4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76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AC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B1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C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B5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任务完成时间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E3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05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2025年12月底前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C4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F7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2025年12月底前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0CB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DA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12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187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8C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8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4D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32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中药民族药标准影响年限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5F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21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D5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07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37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6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3B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D83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94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3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05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9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培训成本（元/人/天）</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E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01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BC5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E1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5B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E2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9F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6C7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63B9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A0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92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01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73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6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7E57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494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7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C7AE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1C9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DF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31826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DE5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640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2C9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2D1A18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1DFC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016D6F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31C61F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127BA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67E07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04594D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946BF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2663C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2DCCBE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D98A8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4DABCED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3C6B0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972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95029E">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4B02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7F4A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094F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51320025T000012226460-2024年中央“三区”科技人才支持计划</w:t>
            </w:r>
          </w:p>
        </w:tc>
      </w:tr>
      <w:tr w14:paraId="7D58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35D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F82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7CF1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27F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6071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779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C67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370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C99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F48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CA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93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B4D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深入推进科技特派员制度，充分发挥科技人员在“三区”经济社会发展中的积极作用，根据中共中央办公厅国务院办公厅印发的《关于加快推进乡村人才振兴的意见》，按照《边远贫困地区、边疆民族地区和革命老区人才支持计划科技人员专项计划实施方案》及《财政部关于下达2024年“三区”科技人才支持计划预算的通知》等文件要求，中央财政经费按照每人每年2万元标准给予补助，主要用于选派科技人员到受援地的工作补助、交通差旅费用、保险和培训费用等。</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DD6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深入推进科技特派员制度，充分发挥科技人员在“三区”经济社会发展中的积极作用，根据中共中央办公厅国务院办公厅印发的《关于加快推进乡村人才振兴的意见》，按照《边远贫困地区、边疆民族地区和革命老区人才支持计划科技人员专项计划实施方案》及《财政部关于下达2024年“三区”科技人才支持计划预算的通知》等文件要求，中央财政经费按照每人每年2万元标准给予补助，主要用于选派科技人员到受援地的工作补助、交通差旅费用、保险和培训费用等。</w:t>
            </w:r>
          </w:p>
        </w:tc>
      </w:tr>
      <w:tr w14:paraId="23F9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D1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09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6A5B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为深入推进科技特派员制度，充分发挥科技人员在“三区”经济社会发展中的积极作用，根据中共中央办公厅国务院办公厅印发的《关于加快推进乡村人才振兴的意见》，按照《边远贫困地区、边疆民族地区和革命老区人才支持计划科技人员专项计划实施方案》及《财政部关于下达2024年“三区”科技人才支持计划预算的通知》等文件要求，中央财政经费按照每人每年2万元标准给予补助，主要用于选派科技人员到受援地的工作补助、交通差旅费用、保险和培训费用等。</w:t>
            </w:r>
          </w:p>
        </w:tc>
      </w:tr>
      <w:tr w14:paraId="64A7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F6A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5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E9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4F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6E0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0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9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F2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69F9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F3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4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9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A8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0.80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CB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EE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C0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AF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9A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0AB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83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2C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7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70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0.80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8A4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8B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D1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F8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F7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B91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A5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8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F3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F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BF2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A6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6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C48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FF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B5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20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F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1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5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A59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A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04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4D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07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8FE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F8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7E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E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89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9B1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19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03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9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FD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07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9F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82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6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F1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67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DCD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E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15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F6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37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7F7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FF8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D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C5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CB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选派科技人员</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B2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6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B04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6E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18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1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DA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C1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66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F4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CA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5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培养科技人才或科技团队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ED4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4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0E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89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C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86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EB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020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69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3F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E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A6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A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7B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8F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1B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8E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2E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07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300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52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74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FA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94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项目预算控制数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BE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80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3F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E4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A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BE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D7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D2D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9095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B2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8C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C7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A2E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629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7973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277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78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3D8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825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4D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D0B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AAD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965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8D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632C12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5764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4F31FB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1B80FE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298E02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1B5D80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2353E7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2B9E5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02857E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13CDDC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88214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328454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F3C38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AA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C2B53C">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515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1B3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F9C6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51320025T000012455981-职工健身场地维护改造</w:t>
            </w:r>
          </w:p>
        </w:tc>
      </w:tr>
      <w:tr w14:paraId="192D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DA5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A5E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31C0A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D77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199E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DD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88B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671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58D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6E33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9D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80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894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单位职工健身场地年久失修，已翻皮破败，严重影响环境面貌，需重新铺硅PU塑胶，总共410㎡,,概算7万元。</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42B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单位职工健身场地年久失修，已翻皮破败，严重影响环境面貌，需重新铺硅PU塑胶，总共410㎡,,概算7万元。</w:t>
            </w:r>
          </w:p>
        </w:tc>
      </w:tr>
      <w:tr w14:paraId="1035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9A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6CD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单位职工健身场地年久失修，已翻皮破败，严重影响环境面貌，需重新铺硅PU塑胶，总共410㎡,,概算7万元。</w:t>
            </w:r>
          </w:p>
        </w:tc>
      </w:tr>
      <w:tr w14:paraId="566A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473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1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CD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3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820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14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0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047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A7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5826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F0E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F69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BC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5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6.80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E5D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4D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7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D1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388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88A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03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61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A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D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6.80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9B56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6.80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C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28F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1C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01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F8B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4A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0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88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AB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3CD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56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3C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3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4A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4E6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61D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5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05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E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D11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0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53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5C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F0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FA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52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BE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7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B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D89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C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4C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3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98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7E7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424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2B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D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1B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EB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21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F5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14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C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E6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9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0D0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FC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84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C1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A4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维护改造面积</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E3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6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02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平方米</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8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5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6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F8F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23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32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19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A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项目维护改造验收合格率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2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6C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2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8F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49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79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A26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58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B8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62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DD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3B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项目完成时间</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118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定性</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AE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24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按时完成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2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52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942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EBF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4D7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5046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CE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2C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职工日均健身人次提升率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C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52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FC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6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0D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3F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0E4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61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C5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1C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36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可持续影响指标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F7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项目可持续发挥作用期限</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E5C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A2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B7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56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B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3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E0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82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CF6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07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58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服务对象满意度指标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B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职工满意度</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0C7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E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2B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0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F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C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86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522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15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09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2D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82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项目维护改造成本金额</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29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4E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A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万元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2D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1FD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58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E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5D6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FBD7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0E5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EC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3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419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1A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24E3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49D1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6F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52C4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6CE2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9E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5043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3254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B7E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3A79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106E0F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0504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1BEE97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EEFCC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55FC74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7ED0098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500336B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271A50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A209E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6B34FF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43DD4A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54DC3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2E2475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BFC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E54A99">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DC9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75C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13FF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51320025T000013656948-代收代付单位食堂餐费</w:t>
            </w:r>
          </w:p>
        </w:tc>
      </w:tr>
      <w:tr w14:paraId="40C7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0B8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99F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08E0F4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863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7D4C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DA76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576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CE0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12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9FF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DF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AD0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0C43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代收代付单位食堂餐费，每月按时收取就餐人员餐费及时上缴财政代管，从一体化中代付单位食堂餐费。</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83B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代收代付单位食堂餐费，每月按时收取就餐人员餐费及时上缴财政代管，从一体化中代付单位食堂餐费。</w:t>
            </w:r>
          </w:p>
        </w:tc>
      </w:tr>
      <w:tr w14:paraId="4895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1F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CE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30F9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代收代付单位食堂餐费，每月按时收取就餐人员餐费及时上缴财政代管，从一体化中代付单位食堂餐费。</w:t>
            </w:r>
          </w:p>
        </w:tc>
      </w:tr>
      <w:tr w14:paraId="714D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5F8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CF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D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F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9C3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91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DA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27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10E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30A8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DC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68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B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2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F6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F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4D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608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24B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E4E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41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E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A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73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D6EF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C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A78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9F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A8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F43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F0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F6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CA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7B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EA7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5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D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66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5D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149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77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74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CF3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31F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2.93</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9AB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2.93</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B3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6C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C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0F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8E9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2A2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A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6B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95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B82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48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1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C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6D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91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280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611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B1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C4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D2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E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8E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8C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1AB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50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3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5E58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4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0E0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D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3F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E6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63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AD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2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09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1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E3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374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543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21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60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F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2B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D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5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21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4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3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1C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F40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60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223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B9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854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CF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2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00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DD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B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C0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E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E99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64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F1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F2F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0A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B2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C4B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7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E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E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62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B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C3D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6161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C0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93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7DF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872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19A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32E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F6B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43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64CC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C3D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3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DDB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B2E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7E9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FB0E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714C29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77F6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50F44F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554E7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4989161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22501C2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7AB19F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7D76C9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193B12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77E18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6831B93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04B48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15EB8E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6C8C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BDF7AE">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FF3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13C7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851A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51320025T000013986270-2025年省级药品安全抽查检验项目</w:t>
            </w:r>
          </w:p>
        </w:tc>
      </w:tr>
      <w:tr w14:paraId="6732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0A7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5CCD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7B6347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987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259B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B9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F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9B65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8AF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5F11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A7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70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9AC0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完成省级药品抽检任务，提高药品抽检质量，强化药品技术支撑，做好省级药品要求品种的地方抽检和日常监督抽检。完成省级药品监督检验179批次。</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359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完成省级药品抽检任务，提高药品抽检质量，强化药品技术支撑，做好省级药品要求品种的地方抽检和日常监督抽检。完成省级药品监督检验179批次。</w:t>
            </w:r>
          </w:p>
        </w:tc>
      </w:tr>
      <w:tr w14:paraId="6C81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104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8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55B4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完成省级药品抽检任务，提高药品抽检质量，强化药品技术支撑，做好省级药品要求品种的地方抽检和日常监督抽检。完成省级药品监督检验179批次。</w:t>
            </w:r>
          </w:p>
        </w:tc>
      </w:tr>
      <w:tr w14:paraId="1A40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5300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9E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A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66A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2A6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04C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17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75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14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448B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CD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73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697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AB3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26.35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DE72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26.35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BF8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2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B4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FE53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BC0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9F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4A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C2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0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26.35</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586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26.35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B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22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9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DFB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C7D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DD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C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02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72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11B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40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06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CA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60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C1B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11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62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2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DA0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E771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3A8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F17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1E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67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C7A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4E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BD2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9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5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77D0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D0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943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435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DF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DF5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013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01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6C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C7A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03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6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9B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33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33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F5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5F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22E9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5C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B5A2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0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8F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省级药品检验（批次）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7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C1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01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批次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1E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179</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F5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0B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8D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1A5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85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7AF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B5D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9E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完成任务及时率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B94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7B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091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576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9B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F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39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2A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B01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955C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B50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CF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不合格报告复查结果推翻率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2A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16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1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81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15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02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28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31B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5D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E1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E0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6C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随机抽查留样结果推翻率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59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C4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AF5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750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36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DFB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A38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073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6A38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A58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62A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F1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人均培训成本</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36C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E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B2E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元/天</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188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D3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3B2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67A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91F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8B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B3C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4F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57B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检验成本（元/批次）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45D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D5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78A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元</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8D5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F7C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C1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4A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041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0AC15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D43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E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D31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0BE7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8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5FFE7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74E0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ED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C9976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4211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3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C08A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02B8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BC80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5C419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5807466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br w:type="page"/>
      </w:r>
    </w:p>
    <w:tbl>
      <w:tblPr>
        <w:tblStyle w:val="16"/>
        <w:tblW w:w="12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976"/>
        <w:gridCol w:w="1482"/>
        <w:gridCol w:w="1536"/>
        <w:gridCol w:w="967"/>
        <w:gridCol w:w="1225"/>
        <w:gridCol w:w="984"/>
        <w:gridCol w:w="1396"/>
        <w:gridCol w:w="1053"/>
        <w:gridCol w:w="1225"/>
        <w:gridCol w:w="1056"/>
      </w:tblGrid>
      <w:tr w14:paraId="22E1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6" w:type="dxa"/>
            <w:tcBorders>
              <w:top w:val="nil"/>
              <w:left w:val="nil"/>
              <w:bottom w:val="nil"/>
              <w:right w:val="nil"/>
            </w:tcBorders>
            <w:shd w:val="clear" w:color="auto" w:fill="auto"/>
            <w:vAlign w:val="center"/>
          </w:tcPr>
          <w:p w14:paraId="72E498E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nil"/>
              <w:left w:val="nil"/>
              <w:bottom w:val="nil"/>
              <w:right w:val="nil"/>
            </w:tcBorders>
            <w:shd w:val="clear" w:color="auto" w:fill="auto"/>
            <w:vAlign w:val="center"/>
          </w:tcPr>
          <w:p w14:paraId="442D675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nil"/>
              <w:left w:val="nil"/>
              <w:bottom w:val="nil"/>
              <w:right w:val="nil"/>
            </w:tcBorders>
            <w:shd w:val="clear" w:color="auto" w:fill="auto"/>
            <w:vAlign w:val="center"/>
          </w:tcPr>
          <w:p w14:paraId="69980B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nil"/>
              <w:left w:val="nil"/>
              <w:bottom w:val="nil"/>
              <w:right w:val="nil"/>
            </w:tcBorders>
            <w:shd w:val="clear" w:color="auto" w:fill="auto"/>
            <w:vAlign w:val="center"/>
          </w:tcPr>
          <w:p w14:paraId="34ECC1A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67" w:type="dxa"/>
            <w:tcBorders>
              <w:top w:val="nil"/>
              <w:left w:val="nil"/>
              <w:bottom w:val="nil"/>
              <w:right w:val="nil"/>
            </w:tcBorders>
            <w:shd w:val="clear" w:color="auto" w:fill="auto"/>
            <w:vAlign w:val="center"/>
          </w:tcPr>
          <w:p w14:paraId="68EB294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552E2C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84" w:type="dxa"/>
            <w:tcBorders>
              <w:top w:val="nil"/>
              <w:left w:val="nil"/>
              <w:bottom w:val="nil"/>
              <w:right w:val="nil"/>
            </w:tcBorders>
            <w:shd w:val="clear" w:color="auto" w:fill="auto"/>
            <w:vAlign w:val="center"/>
          </w:tcPr>
          <w:p w14:paraId="674D5A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nil"/>
              <w:left w:val="nil"/>
              <w:bottom w:val="nil"/>
              <w:right w:val="nil"/>
            </w:tcBorders>
            <w:shd w:val="clear" w:color="auto" w:fill="auto"/>
            <w:vAlign w:val="center"/>
          </w:tcPr>
          <w:p w14:paraId="711D7F0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nil"/>
              <w:left w:val="nil"/>
              <w:bottom w:val="nil"/>
              <w:right w:val="nil"/>
            </w:tcBorders>
            <w:shd w:val="clear" w:color="auto" w:fill="auto"/>
            <w:vAlign w:val="center"/>
          </w:tcPr>
          <w:p w14:paraId="0F429D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225" w:type="dxa"/>
            <w:tcBorders>
              <w:top w:val="nil"/>
              <w:left w:val="nil"/>
              <w:bottom w:val="nil"/>
              <w:right w:val="nil"/>
            </w:tcBorders>
            <w:shd w:val="clear" w:color="auto" w:fill="auto"/>
            <w:vAlign w:val="center"/>
          </w:tcPr>
          <w:p w14:paraId="0FCF72B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6" w:type="dxa"/>
            <w:tcBorders>
              <w:top w:val="nil"/>
              <w:left w:val="nil"/>
              <w:bottom w:val="nil"/>
              <w:right w:val="nil"/>
            </w:tcBorders>
            <w:shd w:val="clear" w:color="auto" w:fill="auto"/>
            <w:vAlign w:val="center"/>
          </w:tcPr>
          <w:p w14:paraId="701797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749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A24BF8">
            <w:pPr>
              <w:keepNext w:val="0"/>
              <w:keepLines w:val="0"/>
              <w:widowControl/>
              <w:suppressLineNumbers w:val="0"/>
              <w:jc w:val="center"/>
              <w:textAlignment w:val="center"/>
              <w:rPr>
                <w:rFonts w:hint="eastAsia" w:ascii="宋体" w:hAnsi="宋体" w:eastAsia="宋体" w:cs="宋体"/>
                <w:color w:val="000000"/>
                <w:kern w:val="0"/>
                <w:sz w:val="24"/>
                <w:lang w:val="en-US" w:eastAsia="zh-CN"/>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23B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4B0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项目名称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1445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51320025Y000012974203-日常公用经费（其他运转类）</w:t>
            </w:r>
          </w:p>
        </w:tc>
      </w:tr>
      <w:tr w14:paraId="4CC0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952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主管部门</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E7C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州市场监督管理局部门</w:t>
            </w:r>
          </w:p>
        </w:tc>
        <w:tc>
          <w:tcPr>
            <w:tcW w:w="1396" w:type="dxa"/>
            <w:tcBorders>
              <w:top w:val="nil"/>
              <w:left w:val="nil"/>
              <w:bottom w:val="nil"/>
              <w:right w:val="nil"/>
            </w:tcBorders>
            <w:shd w:val="clear" w:color="auto" w:fill="auto"/>
            <w:vAlign w:val="center"/>
          </w:tcPr>
          <w:p w14:paraId="12029B4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实施单位（盖章）</w:t>
            </w:r>
          </w:p>
        </w:tc>
        <w:tc>
          <w:tcPr>
            <w:tcW w:w="3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762D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州食药检研中心</w:t>
            </w:r>
          </w:p>
        </w:tc>
      </w:tr>
      <w:tr w14:paraId="5F4C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EDC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项目基本情况</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348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1.项目年度目标完成情况</w:t>
            </w: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4CAC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项目年度目标</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6DFE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年度目标完成情况</w:t>
            </w:r>
          </w:p>
        </w:tc>
      </w:tr>
      <w:tr w14:paraId="3806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58E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298C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61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492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FA7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1F71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56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88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2.项目实施内容及过程概述</w:t>
            </w:r>
          </w:p>
        </w:tc>
        <w:tc>
          <w:tcPr>
            <w:tcW w:w="10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BEB98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提高预算编制质量，严格执行预算，保障单位日常运转。</w:t>
            </w:r>
          </w:p>
        </w:tc>
      </w:tr>
      <w:tr w14:paraId="0990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8E2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预算执行情况（10分）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7AC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2C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年初预算</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031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调整后预算数</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AE05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预算执行数</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9CF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预算执行率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54A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A6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7D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原因</w:t>
            </w:r>
          </w:p>
        </w:tc>
      </w:tr>
      <w:tr w14:paraId="7FE2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652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8A3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5CE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56.33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CC8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48.02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A541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48.02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D1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EC1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A4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EC6A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2BE9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8A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E0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E2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56.33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D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48.02</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94FE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48.02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CE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E73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BA2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8B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43A8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0D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C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9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DDF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2850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F1E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FC0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7A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DB6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0CB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961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C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C3C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F8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6087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2AF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C58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564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5B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DF5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04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F1D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BC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44E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844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468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40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4F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29D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CCD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440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绩效指标（90分）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175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F4C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二级指标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DE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84A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指标性质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8E6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3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度量单位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BFB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完成值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1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权重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8949">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B1C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未完成原因分析</w:t>
            </w:r>
          </w:p>
        </w:tc>
      </w:tr>
      <w:tr w14:paraId="7B0C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A51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2D0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B26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42FF">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科目调整次数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19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CF5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5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次</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18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7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0E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E1D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3687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F8F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8C2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86D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299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预算编制准确率（计算方法为：∣（执行数-预算数）/预算数∣）</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34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7C4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BDF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21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24ED">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479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57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7813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86B2">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D9A9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C1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经济效益指标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83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“三公经费”控制率[计算方法为：（三公经费实际支出数/预算安排数]×100%）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07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4A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D09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22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49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3B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DEB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FF5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A7A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F9A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AF7C">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B353">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运转保障率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9FA4">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77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6FD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82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9A78">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0CEA">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0E0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5601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70F95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330">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04D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7A3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p>
        </w:tc>
      </w:tr>
      <w:tr w14:paraId="197B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69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评价结论</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2832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项目执行情况良好，资金使用效率高</w:t>
            </w:r>
          </w:p>
        </w:tc>
      </w:tr>
      <w:tr w14:paraId="3605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5F45">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存在问题</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CEAEF7">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7CD9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9CEB">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改进措施</w:t>
            </w:r>
          </w:p>
        </w:tc>
        <w:tc>
          <w:tcPr>
            <w:tcW w:w="1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0997E">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无</w:t>
            </w:r>
          </w:p>
        </w:tc>
      </w:tr>
      <w:tr w14:paraId="2173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FAF01">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项目负责人：</w:t>
            </w:r>
          </w:p>
        </w:tc>
        <w:tc>
          <w:tcPr>
            <w:tcW w:w="6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D415F6">
            <w:pPr>
              <w:widowControl/>
              <w:spacing w:line="240" w:lineRule="exact"/>
              <w:ind w:firstLine="0" w:firstLineChars="0"/>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财务负责人：</w:t>
            </w:r>
          </w:p>
        </w:tc>
      </w:tr>
    </w:tbl>
    <w:p w14:paraId="094D83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黑体" w:cs="黑体"/>
          <w:b w:val="0"/>
          <w:bCs w:val="0"/>
          <w:kern w:val="0"/>
          <w:position w:val="0"/>
          <w:sz w:val="32"/>
          <w:szCs w:val="32"/>
          <w:highlight w:val="none"/>
          <w:lang w:val="en-US" w:eastAsia="zh-CN" w:bidi="ar-SA"/>
        </w:rPr>
      </w:pPr>
    </w:p>
    <w:bookmarkEnd w:id="1"/>
    <w:sectPr>
      <w:pgSz w:w="16838" w:h="11906" w:orient="landscape"/>
      <w:pgMar w:top="1587" w:right="2098" w:bottom="1474" w:left="1984"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4F1DD-D447-4837-BEDD-A236A1EC32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1D500D6-DAF5-4DE5-A3A1-929DF3EC8766}"/>
  </w:font>
  <w:font w:name="方正小标宋简体">
    <w:panose1 w:val="03000509000000000000"/>
    <w:charset w:val="86"/>
    <w:family w:val="auto"/>
    <w:pitch w:val="default"/>
    <w:sig w:usb0="00000001" w:usb1="080E0000" w:usb2="00000000" w:usb3="00000000" w:csb0="00040000" w:csb1="00000000"/>
    <w:embedRegular r:id="rId3" w:fontKey="{40B895A0-5F60-431F-BE73-A0CFA1A487DE}"/>
  </w:font>
  <w:font w:name="楷体_GB2312">
    <w:panose1 w:val="02010609030101010101"/>
    <w:charset w:val="86"/>
    <w:family w:val="auto"/>
    <w:pitch w:val="default"/>
    <w:sig w:usb0="00000001" w:usb1="080E0000" w:usb2="00000000" w:usb3="00000000" w:csb0="00040000" w:csb1="00000000"/>
    <w:embedRegular r:id="rId4" w:fontKey="{7B36AF2D-AA06-4336-8665-7F2C20224412}"/>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方正仿宋简体">
    <w:panose1 w:val="03000509000000000000"/>
    <w:charset w:val="86"/>
    <w:family w:val="script"/>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embedRegular r:id="rId5" w:fontKey="{C2B80940-D0D1-438A-8C81-44C321B09F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751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35369">
                          <w:pPr>
                            <w:pStyle w:val="10"/>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268F35B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0C35369">
                    <w:pPr>
                      <w:pStyle w:val="10"/>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268F35B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309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EE972">
                          <w:pPr>
                            <w:pStyle w:val="10"/>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1389C97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9EE972">
                    <w:pPr>
                      <w:pStyle w:val="10"/>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14:paraId="1389C97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E99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3622">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WMxZWRjNWIzMTcyMzIyZWVhNTkxMzg0YmRmNWM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0B57"/>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74E"/>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E7797"/>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111"/>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784A0B"/>
    <w:rsid w:val="020C008E"/>
    <w:rsid w:val="0261662C"/>
    <w:rsid w:val="038500F8"/>
    <w:rsid w:val="03A34A22"/>
    <w:rsid w:val="03A37E51"/>
    <w:rsid w:val="03BB7FBE"/>
    <w:rsid w:val="03C36E72"/>
    <w:rsid w:val="048C2511"/>
    <w:rsid w:val="04BC5D9C"/>
    <w:rsid w:val="05035B67"/>
    <w:rsid w:val="05124C74"/>
    <w:rsid w:val="05776166"/>
    <w:rsid w:val="059C5BCD"/>
    <w:rsid w:val="063127B9"/>
    <w:rsid w:val="0640277B"/>
    <w:rsid w:val="070F4658"/>
    <w:rsid w:val="074B78AB"/>
    <w:rsid w:val="07577FFE"/>
    <w:rsid w:val="07FB65A9"/>
    <w:rsid w:val="085D1644"/>
    <w:rsid w:val="0865499C"/>
    <w:rsid w:val="089112ED"/>
    <w:rsid w:val="08C6543B"/>
    <w:rsid w:val="091A7535"/>
    <w:rsid w:val="09387D51"/>
    <w:rsid w:val="0955056D"/>
    <w:rsid w:val="0A2148F3"/>
    <w:rsid w:val="0A740EC6"/>
    <w:rsid w:val="0B332B30"/>
    <w:rsid w:val="0B980BE5"/>
    <w:rsid w:val="0BF10C67"/>
    <w:rsid w:val="0BF64289"/>
    <w:rsid w:val="0C0C5EDD"/>
    <w:rsid w:val="0C1438E7"/>
    <w:rsid w:val="0C760F26"/>
    <w:rsid w:val="0D662D48"/>
    <w:rsid w:val="0DC31556"/>
    <w:rsid w:val="0E4A266A"/>
    <w:rsid w:val="10CF32FA"/>
    <w:rsid w:val="10E24DDC"/>
    <w:rsid w:val="11203B56"/>
    <w:rsid w:val="11F33019"/>
    <w:rsid w:val="11FF551A"/>
    <w:rsid w:val="12105979"/>
    <w:rsid w:val="1232769D"/>
    <w:rsid w:val="128679E9"/>
    <w:rsid w:val="1289075F"/>
    <w:rsid w:val="12BB0262"/>
    <w:rsid w:val="12C549B5"/>
    <w:rsid w:val="12ED7A68"/>
    <w:rsid w:val="133E02C4"/>
    <w:rsid w:val="13692AB4"/>
    <w:rsid w:val="137837D5"/>
    <w:rsid w:val="14350274"/>
    <w:rsid w:val="14691370"/>
    <w:rsid w:val="14771CDF"/>
    <w:rsid w:val="148E0DD7"/>
    <w:rsid w:val="157601E9"/>
    <w:rsid w:val="15F5110D"/>
    <w:rsid w:val="16414353"/>
    <w:rsid w:val="16A13043"/>
    <w:rsid w:val="16D01B7A"/>
    <w:rsid w:val="173739A8"/>
    <w:rsid w:val="17E4768B"/>
    <w:rsid w:val="185540E5"/>
    <w:rsid w:val="18A0775D"/>
    <w:rsid w:val="18EF2307"/>
    <w:rsid w:val="19516FA3"/>
    <w:rsid w:val="19C72DC1"/>
    <w:rsid w:val="1A3D6143"/>
    <w:rsid w:val="1A58610F"/>
    <w:rsid w:val="1AAB4490"/>
    <w:rsid w:val="1BA3160C"/>
    <w:rsid w:val="1C013801"/>
    <w:rsid w:val="1C940F54"/>
    <w:rsid w:val="1CC950A2"/>
    <w:rsid w:val="1D2C53C4"/>
    <w:rsid w:val="1DA358F3"/>
    <w:rsid w:val="1DB573D4"/>
    <w:rsid w:val="1DBB0293"/>
    <w:rsid w:val="1DFD8D3B"/>
    <w:rsid w:val="1F185E6D"/>
    <w:rsid w:val="1FB79DC9"/>
    <w:rsid w:val="1FBFC3F2"/>
    <w:rsid w:val="1FFFE033"/>
    <w:rsid w:val="201314B8"/>
    <w:rsid w:val="20766AEC"/>
    <w:rsid w:val="20837548"/>
    <w:rsid w:val="20887022"/>
    <w:rsid w:val="20937EA1"/>
    <w:rsid w:val="20AC0F62"/>
    <w:rsid w:val="219D08AB"/>
    <w:rsid w:val="22421B7E"/>
    <w:rsid w:val="22B440FE"/>
    <w:rsid w:val="22C407E5"/>
    <w:rsid w:val="22D2790D"/>
    <w:rsid w:val="235C6C70"/>
    <w:rsid w:val="241412F8"/>
    <w:rsid w:val="24507E57"/>
    <w:rsid w:val="24903E14"/>
    <w:rsid w:val="24973CD7"/>
    <w:rsid w:val="253F23A5"/>
    <w:rsid w:val="267A11BB"/>
    <w:rsid w:val="26EF3957"/>
    <w:rsid w:val="27716A62"/>
    <w:rsid w:val="27B32BD6"/>
    <w:rsid w:val="27D1006E"/>
    <w:rsid w:val="27F352A6"/>
    <w:rsid w:val="284877C3"/>
    <w:rsid w:val="28CB21A2"/>
    <w:rsid w:val="294F4B81"/>
    <w:rsid w:val="298A4BC1"/>
    <w:rsid w:val="29FF0355"/>
    <w:rsid w:val="2A15067B"/>
    <w:rsid w:val="2A4D7312"/>
    <w:rsid w:val="2A7F7EDF"/>
    <w:rsid w:val="2AC1385C"/>
    <w:rsid w:val="2B0F6376"/>
    <w:rsid w:val="2B674404"/>
    <w:rsid w:val="2B8E1816"/>
    <w:rsid w:val="2BC5737C"/>
    <w:rsid w:val="2CDC033B"/>
    <w:rsid w:val="2D527252"/>
    <w:rsid w:val="2D9214E0"/>
    <w:rsid w:val="2DC01BA9"/>
    <w:rsid w:val="2DDC1740"/>
    <w:rsid w:val="2EAE55F2"/>
    <w:rsid w:val="2ECE4B91"/>
    <w:rsid w:val="2EDF4302"/>
    <w:rsid w:val="2EFE1A04"/>
    <w:rsid w:val="2F320885"/>
    <w:rsid w:val="2F527179"/>
    <w:rsid w:val="2F5527C5"/>
    <w:rsid w:val="2F974B8C"/>
    <w:rsid w:val="2FB90FA6"/>
    <w:rsid w:val="2FEA5603"/>
    <w:rsid w:val="314239BA"/>
    <w:rsid w:val="315E0057"/>
    <w:rsid w:val="31856978"/>
    <w:rsid w:val="31B77416"/>
    <w:rsid w:val="31C3435E"/>
    <w:rsid w:val="328533C1"/>
    <w:rsid w:val="32BC6250"/>
    <w:rsid w:val="3353526D"/>
    <w:rsid w:val="338C2989"/>
    <w:rsid w:val="33D36E9B"/>
    <w:rsid w:val="350478CF"/>
    <w:rsid w:val="353F1F4D"/>
    <w:rsid w:val="357C6CFE"/>
    <w:rsid w:val="35BBF80F"/>
    <w:rsid w:val="365E6403"/>
    <w:rsid w:val="36E87048"/>
    <w:rsid w:val="36F921FB"/>
    <w:rsid w:val="37160A8C"/>
    <w:rsid w:val="371D1E1A"/>
    <w:rsid w:val="377072AF"/>
    <w:rsid w:val="37DF17C6"/>
    <w:rsid w:val="386D6DD1"/>
    <w:rsid w:val="38832151"/>
    <w:rsid w:val="38B467AE"/>
    <w:rsid w:val="38B642D4"/>
    <w:rsid w:val="38EF77E6"/>
    <w:rsid w:val="3A3A67FD"/>
    <w:rsid w:val="3A742699"/>
    <w:rsid w:val="3A7E3975"/>
    <w:rsid w:val="3ADC3D9A"/>
    <w:rsid w:val="3B247C1B"/>
    <w:rsid w:val="3B736F08"/>
    <w:rsid w:val="3BB45E27"/>
    <w:rsid w:val="3BC61166"/>
    <w:rsid w:val="3BE3D531"/>
    <w:rsid w:val="3BFD2C90"/>
    <w:rsid w:val="3C97441D"/>
    <w:rsid w:val="3CE55188"/>
    <w:rsid w:val="3CED04E1"/>
    <w:rsid w:val="3D2A5291"/>
    <w:rsid w:val="3D431A40"/>
    <w:rsid w:val="3D4A148F"/>
    <w:rsid w:val="3D6A2C37"/>
    <w:rsid w:val="3DA74C10"/>
    <w:rsid w:val="3DCD16D3"/>
    <w:rsid w:val="3E444130"/>
    <w:rsid w:val="3EFF42CA"/>
    <w:rsid w:val="3F325973"/>
    <w:rsid w:val="3F6FCA38"/>
    <w:rsid w:val="3FBB6674"/>
    <w:rsid w:val="3FD5AF3D"/>
    <w:rsid w:val="3FFED8BE"/>
    <w:rsid w:val="3FFF43BB"/>
    <w:rsid w:val="40077B0C"/>
    <w:rsid w:val="40302BBE"/>
    <w:rsid w:val="4057639D"/>
    <w:rsid w:val="40584DAA"/>
    <w:rsid w:val="40632F94"/>
    <w:rsid w:val="406752D9"/>
    <w:rsid w:val="40D043A1"/>
    <w:rsid w:val="418D0FC3"/>
    <w:rsid w:val="425F59DD"/>
    <w:rsid w:val="42B5384F"/>
    <w:rsid w:val="42D812EB"/>
    <w:rsid w:val="42F26851"/>
    <w:rsid w:val="433C7ACC"/>
    <w:rsid w:val="433DCF8E"/>
    <w:rsid w:val="43874C54"/>
    <w:rsid w:val="43C875B2"/>
    <w:rsid w:val="43CA332A"/>
    <w:rsid w:val="43CD4BC8"/>
    <w:rsid w:val="440C56F0"/>
    <w:rsid w:val="448636F5"/>
    <w:rsid w:val="44CC5C25"/>
    <w:rsid w:val="45024AFA"/>
    <w:rsid w:val="45321187"/>
    <w:rsid w:val="45CE5353"/>
    <w:rsid w:val="45FF973D"/>
    <w:rsid w:val="46364CA7"/>
    <w:rsid w:val="464A2500"/>
    <w:rsid w:val="46C027C2"/>
    <w:rsid w:val="46EC35B7"/>
    <w:rsid w:val="46FB303D"/>
    <w:rsid w:val="471843AC"/>
    <w:rsid w:val="47413903"/>
    <w:rsid w:val="47550EBA"/>
    <w:rsid w:val="478A52AA"/>
    <w:rsid w:val="47ED3A8B"/>
    <w:rsid w:val="48233009"/>
    <w:rsid w:val="484216E1"/>
    <w:rsid w:val="489857A5"/>
    <w:rsid w:val="48B87809"/>
    <w:rsid w:val="48C04CFB"/>
    <w:rsid w:val="49750231"/>
    <w:rsid w:val="49F27137"/>
    <w:rsid w:val="4A07674E"/>
    <w:rsid w:val="4A325785"/>
    <w:rsid w:val="4A9B33AD"/>
    <w:rsid w:val="4AA76173"/>
    <w:rsid w:val="4AAE2043"/>
    <w:rsid w:val="4B3A6FE7"/>
    <w:rsid w:val="4B502367"/>
    <w:rsid w:val="4BF7E09D"/>
    <w:rsid w:val="4C247811"/>
    <w:rsid w:val="4C6D6F48"/>
    <w:rsid w:val="4C8C73CE"/>
    <w:rsid w:val="4C8F5111"/>
    <w:rsid w:val="4CA60131"/>
    <w:rsid w:val="4D477477"/>
    <w:rsid w:val="4E8F13F8"/>
    <w:rsid w:val="4F165675"/>
    <w:rsid w:val="4F310701"/>
    <w:rsid w:val="4F6C798B"/>
    <w:rsid w:val="4F822D0B"/>
    <w:rsid w:val="4F8A5D9E"/>
    <w:rsid w:val="4FA90297"/>
    <w:rsid w:val="4FB8497E"/>
    <w:rsid w:val="4FF04118"/>
    <w:rsid w:val="4FFE6835"/>
    <w:rsid w:val="4FFFFC3E"/>
    <w:rsid w:val="50DB0924"/>
    <w:rsid w:val="51166825"/>
    <w:rsid w:val="511B3417"/>
    <w:rsid w:val="51984A67"/>
    <w:rsid w:val="51E573F3"/>
    <w:rsid w:val="52021EE1"/>
    <w:rsid w:val="5253098E"/>
    <w:rsid w:val="536F3F57"/>
    <w:rsid w:val="53784B50"/>
    <w:rsid w:val="53980D4F"/>
    <w:rsid w:val="53BB74FC"/>
    <w:rsid w:val="5415414D"/>
    <w:rsid w:val="54B43966"/>
    <w:rsid w:val="54D13CB7"/>
    <w:rsid w:val="557F4E44"/>
    <w:rsid w:val="55EE2EA8"/>
    <w:rsid w:val="55FA7A9F"/>
    <w:rsid w:val="55FDDF92"/>
    <w:rsid w:val="55FFBC03"/>
    <w:rsid w:val="56CDA72E"/>
    <w:rsid w:val="56DB092C"/>
    <w:rsid w:val="570448AC"/>
    <w:rsid w:val="575B27BF"/>
    <w:rsid w:val="576F0018"/>
    <w:rsid w:val="576F5916"/>
    <w:rsid w:val="577FDAE2"/>
    <w:rsid w:val="57805D82"/>
    <w:rsid w:val="57D165DD"/>
    <w:rsid w:val="57FBE2C7"/>
    <w:rsid w:val="585A4825"/>
    <w:rsid w:val="591A3FB4"/>
    <w:rsid w:val="59854B07"/>
    <w:rsid w:val="5991071A"/>
    <w:rsid w:val="59A321FB"/>
    <w:rsid w:val="5A5128AA"/>
    <w:rsid w:val="5A9009D2"/>
    <w:rsid w:val="5AB0697E"/>
    <w:rsid w:val="5B2331EC"/>
    <w:rsid w:val="5B294982"/>
    <w:rsid w:val="5B3255E5"/>
    <w:rsid w:val="5B335734"/>
    <w:rsid w:val="5B646B27"/>
    <w:rsid w:val="5B7F322F"/>
    <w:rsid w:val="5B9718EC"/>
    <w:rsid w:val="5BCAB023"/>
    <w:rsid w:val="5BFE7BBD"/>
    <w:rsid w:val="5C245875"/>
    <w:rsid w:val="5C471564"/>
    <w:rsid w:val="5D042FB1"/>
    <w:rsid w:val="5D0D6309"/>
    <w:rsid w:val="5D0E3E30"/>
    <w:rsid w:val="5D81328C"/>
    <w:rsid w:val="5DA84284"/>
    <w:rsid w:val="5DDA9B94"/>
    <w:rsid w:val="5DED38CA"/>
    <w:rsid w:val="5E113BD7"/>
    <w:rsid w:val="5E483371"/>
    <w:rsid w:val="5E581806"/>
    <w:rsid w:val="5EA467FA"/>
    <w:rsid w:val="5EAB810D"/>
    <w:rsid w:val="5EAC3900"/>
    <w:rsid w:val="5EF86B45"/>
    <w:rsid w:val="5EFF9DA6"/>
    <w:rsid w:val="5F7751B9"/>
    <w:rsid w:val="5F950838"/>
    <w:rsid w:val="5F954394"/>
    <w:rsid w:val="5F9F7232"/>
    <w:rsid w:val="5F9F9588"/>
    <w:rsid w:val="5FBD32D2"/>
    <w:rsid w:val="5FBF10D2"/>
    <w:rsid w:val="5FD450B0"/>
    <w:rsid w:val="5FEF60CD"/>
    <w:rsid w:val="5FFB203D"/>
    <w:rsid w:val="5FFB8CF9"/>
    <w:rsid w:val="60522916"/>
    <w:rsid w:val="60A24FBB"/>
    <w:rsid w:val="61333E65"/>
    <w:rsid w:val="61412DDC"/>
    <w:rsid w:val="617F70AA"/>
    <w:rsid w:val="61AD00BB"/>
    <w:rsid w:val="61BA6334"/>
    <w:rsid w:val="61C15914"/>
    <w:rsid w:val="61FE0917"/>
    <w:rsid w:val="623E6F65"/>
    <w:rsid w:val="626F35C2"/>
    <w:rsid w:val="62713E78"/>
    <w:rsid w:val="62EE098B"/>
    <w:rsid w:val="632223E3"/>
    <w:rsid w:val="63DBAF21"/>
    <w:rsid w:val="6401649C"/>
    <w:rsid w:val="650347D8"/>
    <w:rsid w:val="651144BD"/>
    <w:rsid w:val="659A4B3F"/>
    <w:rsid w:val="65B10CEF"/>
    <w:rsid w:val="6636451A"/>
    <w:rsid w:val="663E2ADC"/>
    <w:rsid w:val="666D3AFB"/>
    <w:rsid w:val="667B6ABE"/>
    <w:rsid w:val="66AB0941"/>
    <w:rsid w:val="67D87514"/>
    <w:rsid w:val="67DE80AA"/>
    <w:rsid w:val="684F3C7A"/>
    <w:rsid w:val="68A11FFC"/>
    <w:rsid w:val="68A35D74"/>
    <w:rsid w:val="697E3B47"/>
    <w:rsid w:val="69BF132E"/>
    <w:rsid w:val="6A341D6C"/>
    <w:rsid w:val="6A503CD9"/>
    <w:rsid w:val="6AF44665"/>
    <w:rsid w:val="6B260059"/>
    <w:rsid w:val="6B6D4417"/>
    <w:rsid w:val="6BE92BB6"/>
    <w:rsid w:val="6BF6265F"/>
    <w:rsid w:val="6BFEE5F3"/>
    <w:rsid w:val="6C4E249B"/>
    <w:rsid w:val="6C574B45"/>
    <w:rsid w:val="6C59633D"/>
    <w:rsid w:val="6CAFF34E"/>
    <w:rsid w:val="6CFFCF4F"/>
    <w:rsid w:val="6D043B59"/>
    <w:rsid w:val="6D4B386A"/>
    <w:rsid w:val="6DEF070F"/>
    <w:rsid w:val="6DFFF8B6"/>
    <w:rsid w:val="6E096679"/>
    <w:rsid w:val="6E162B44"/>
    <w:rsid w:val="6E9F2B3A"/>
    <w:rsid w:val="6E9FE641"/>
    <w:rsid w:val="6EEDE807"/>
    <w:rsid w:val="6EEE4BE4"/>
    <w:rsid w:val="6EF62913"/>
    <w:rsid w:val="6EF65E9C"/>
    <w:rsid w:val="6F3D9197"/>
    <w:rsid w:val="6F911E87"/>
    <w:rsid w:val="6FAB3EC4"/>
    <w:rsid w:val="6FB6AF41"/>
    <w:rsid w:val="6FD894C8"/>
    <w:rsid w:val="6FE36A9E"/>
    <w:rsid w:val="6FEFB2D1"/>
    <w:rsid w:val="6FFF97E6"/>
    <w:rsid w:val="705D4A5A"/>
    <w:rsid w:val="71397E03"/>
    <w:rsid w:val="71C46E53"/>
    <w:rsid w:val="71FB5B08"/>
    <w:rsid w:val="71FE226D"/>
    <w:rsid w:val="72367C59"/>
    <w:rsid w:val="723A51C8"/>
    <w:rsid w:val="726E11A1"/>
    <w:rsid w:val="72A2709C"/>
    <w:rsid w:val="732B6C1C"/>
    <w:rsid w:val="73434A68"/>
    <w:rsid w:val="73487C44"/>
    <w:rsid w:val="73682094"/>
    <w:rsid w:val="73FB87D9"/>
    <w:rsid w:val="74617E77"/>
    <w:rsid w:val="749C246E"/>
    <w:rsid w:val="753919E7"/>
    <w:rsid w:val="753C7334"/>
    <w:rsid w:val="756C46A5"/>
    <w:rsid w:val="75EF0FBA"/>
    <w:rsid w:val="7607C293"/>
    <w:rsid w:val="763E0E8A"/>
    <w:rsid w:val="766F54E7"/>
    <w:rsid w:val="76A07D97"/>
    <w:rsid w:val="76C34768"/>
    <w:rsid w:val="76DFA4E8"/>
    <w:rsid w:val="773504DF"/>
    <w:rsid w:val="778139C7"/>
    <w:rsid w:val="778720BD"/>
    <w:rsid w:val="77A7D615"/>
    <w:rsid w:val="77E93077"/>
    <w:rsid w:val="77FF366A"/>
    <w:rsid w:val="77FF8C96"/>
    <w:rsid w:val="77FFA8F9"/>
    <w:rsid w:val="787F3DA2"/>
    <w:rsid w:val="788C606F"/>
    <w:rsid w:val="789456D9"/>
    <w:rsid w:val="78B761A7"/>
    <w:rsid w:val="791C3053"/>
    <w:rsid w:val="792612F9"/>
    <w:rsid w:val="7976604B"/>
    <w:rsid w:val="79AC5C1E"/>
    <w:rsid w:val="79D71415"/>
    <w:rsid w:val="79E63D12"/>
    <w:rsid w:val="79F3BC78"/>
    <w:rsid w:val="7A08012D"/>
    <w:rsid w:val="7A5B6CAA"/>
    <w:rsid w:val="7A9314AC"/>
    <w:rsid w:val="7A971B9E"/>
    <w:rsid w:val="7AEF4E49"/>
    <w:rsid w:val="7B4F6850"/>
    <w:rsid w:val="7B827A6B"/>
    <w:rsid w:val="7B89704B"/>
    <w:rsid w:val="7B915F00"/>
    <w:rsid w:val="7BABD5C4"/>
    <w:rsid w:val="7BB12055"/>
    <w:rsid w:val="7BBFADBA"/>
    <w:rsid w:val="7BD76009"/>
    <w:rsid w:val="7BDD1145"/>
    <w:rsid w:val="7BFF492D"/>
    <w:rsid w:val="7C631402"/>
    <w:rsid w:val="7C945CA8"/>
    <w:rsid w:val="7C978C63"/>
    <w:rsid w:val="7CA35AD0"/>
    <w:rsid w:val="7CDF8BC3"/>
    <w:rsid w:val="7CEB237E"/>
    <w:rsid w:val="7CEB72A5"/>
    <w:rsid w:val="7CFA1DC8"/>
    <w:rsid w:val="7D18750B"/>
    <w:rsid w:val="7DDFDC39"/>
    <w:rsid w:val="7DFF53A3"/>
    <w:rsid w:val="7E114DDB"/>
    <w:rsid w:val="7E140770"/>
    <w:rsid w:val="7E5D92FB"/>
    <w:rsid w:val="7EAB552B"/>
    <w:rsid w:val="7EE831A2"/>
    <w:rsid w:val="7EF51D64"/>
    <w:rsid w:val="7EFFF488"/>
    <w:rsid w:val="7F5160D2"/>
    <w:rsid w:val="7F574612"/>
    <w:rsid w:val="7F7F4920"/>
    <w:rsid w:val="7F975EF2"/>
    <w:rsid w:val="7FB7C299"/>
    <w:rsid w:val="7FBFFB92"/>
    <w:rsid w:val="7FD76ACB"/>
    <w:rsid w:val="7FD89DA2"/>
    <w:rsid w:val="7FDB599C"/>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spacing w:line="500" w:lineRule="exact"/>
      <w:jc w:val="center"/>
      <w:outlineLvl w:val="0"/>
    </w:pPr>
    <w:rPr>
      <w:rFonts w:eastAsia="方正小标宋简体"/>
      <w:bCs/>
      <w:kern w:val="44"/>
      <w:sz w:val="44"/>
      <w:szCs w:val="44"/>
    </w:rPr>
  </w:style>
  <w:style w:type="paragraph" w:styleId="3">
    <w:name w:val="heading 3"/>
    <w:basedOn w:val="1"/>
    <w:next w:val="1"/>
    <w:unhideWhenUsed/>
    <w:qFormat/>
    <w:uiPriority w:val="0"/>
    <w:pPr>
      <w:keepNext/>
      <w:keepLines/>
      <w:spacing w:beforeLines="0" w:beforeAutospacing="0" w:afterLines="0" w:afterAutospacing="0" w:line="578" w:lineRule="exact"/>
      <w:outlineLvl w:val="2"/>
    </w:pPr>
    <w:rPr>
      <w:rFonts w:eastAsia="楷体_GB2312"/>
    </w:rPr>
  </w:style>
  <w:style w:type="paragraph" w:styleId="4">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6">
    <w:name w:val="Document Map"/>
    <w:basedOn w:val="1"/>
    <w:link w:val="24"/>
    <w:qFormat/>
    <w:uiPriority w:val="0"/>
    <w:rPr>
      <w:rFonts w:ascii="宋体" w:eastAsia="宋体"/>
      <w:sz w:val="18"/>
      <w:szCs w:val="18"/>
    </w:r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Chars="200"/>
    </w:pPr>
    <w:rPr>
      <w:rFonts w:ascii="仿宋_GB2312"/>
      <w:szCs w:val="32"/>
    </w:rPr>
  </w:style>
  <w:style w:type="paragraph" w:styleId="9">
    <w:name w:val="Balloon Text"/>
    <w:basedOn w:val="1"/>
    <w:semiHidden/>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rFonts w:eastAsia="宋体"/>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Normal (Web)"/>
    <w:basedOn w:val="1"/>
    <w:qFormat/>
    <w:uiPriority w:val="0"/>
    <w:rPr>
      <w:sz w:val="24"/>
    </w:rPr>
  </w:style>
  <w:style w:type="paragraph" w:styleId="15">
    <w:name w:val="Body Text First Indent 2"/>
    <w:basedOn w:val="8"/>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otnote reference"/>
    <w:basedOn w:val="18"/>
    <w:qFormat/>
    <w:uiPriority w:val="0"/>
    <w:rPr>
      <w:vertAlign w:val="superscript"/>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2">
    <w:name w:val="四号正文"/>
    <w:basedOn w:val="1"/>
    <w:link w:val="23"/>
    <w:qFormat/>
    <w:uiPriority w:val="0"/>
    <w:pPr>
      <w:spacing w:line="360" w:lineRule="auto"/>
    </w:pPr>
    <w:rPr>
      <w:rFonts w:ascii="??" w:hAnsi="??" w:eastAsia="宋体" w:cs="宋体"/>
      <w:color w:val="000000"/>
      <w:kern w:val="0"/>
      <w:sz w:val="28"/>
      <w:szCs w:val="21"/>
    </w:rPr>
  </w:style>
  <w:style w:type="character" w:customStyle="1" w:styleId="23">
    <w:name w:val="四号正文 Char"/>
    <w:basedOn w:val="18"/>
    <w:link w:val="22"/>
    <w:qFormat/>
    <w:uiPriority w:val="0"/>
    <w:rPr>
      <w:rFonts w:ascii="??" w:hAnsi="??" w:eastAsia="宋体" w:cs="宋体"/>
      <w:color w:val="000000"/>
      <w:sz w:val="28"/>
      <w:szCs w:val="21"/>
      <w:lang w:val="en-US" w:eastAsia="zh-CN" w:bidi="ar-SA"/>
    </w:rPr>
  </w:style>
  <w:style w:type="character" w:customStyle="1" w:styleId="24">
    <w:name w:val="文档结构图 Char"/>
    <w:basedOn w:val="18"/>
    <w:link w:val="6"/>
    <w:qFormat/>
    <w:uiPriority w:val="0"/>
    <w:rPr>
      <w:rFonts w:ascii="宋体"/>
      <w:kern w:val="2"/>
      <w:sz w:val="18"/>
      <w:szCs w:val="18"/>
    </w:rPr>
  </w:style>
  <w:style w:type="paragraph" w:customStyle="1" w:styleId="25">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6">
    <w:name w:val="页脚 Char"/>
    <w:basedOn w:val="18"/>
    <w:link w:val="10"/>
    <w:qFormat/>
    <w:uiPriority w:val="99"/>
    <w:rPr>
      <w:kern w:val="2"/>
      <w:sz w:val="18"/>
      <w:szCs w:val="18"/>
    </w:rPr>
  </w:style>
  <w:style w:type="character" w:customStyle="1" w:styleId="27">
    <w:name w:val="font31"/>
    <w:basedOn w:val="18"/>
    <w:qFormat/>
    <w:uiPriority w:val="0"/>
    <w:rPr>
      <w:rFonts w:hint="eastAsia" w:ascii="宋体" w:hAnsi="宋体" w:eastAsia="宋体" w:cs="宋体"/>
      <w:color w:val="000000"/>
      <w:sz w:val="24"/>
      <w:szCs w:val="24"/>
      <w:u w:val="none"/>
    </w:rPr>
  </w:style>
  <w:style w:type="character" w:customStyle="1" w:styleId="28">
    <w:name w:val="font51"/>
    <w:basedOn w:val="18"/>
    <w:qFormat/>
    <w:uiPriority w:val="0"/>
    <w:rPr>
      <w:rFonts w:hint="default" w:ascii="Wingdings 2" w:hAnsi="Wingdings 2" w:eastAsia="Wingdings 2" w:cs="Wingdings 2"/>
      <w:color w:val="000000"/>
      <w:sz w:val="18"/>
      <w:szCs w:val="18"/>
      <w:u w:val="none"/>
    </w:rPr>
  </w:style>
  <w:style w:type="character" w:customStyle="1" w:styleId="29">
    <w:name w:val="font01"/>
    <w:basedOn w:val="18"/>
    <w:qFormat/>
    <w:uiPriority w:val="0"/>
    <w:rPr>
      <w:rFonts w:ascii="宋体" w:hAnsi="宋体" w:eastAsia="宋体" w:cs="宋体"/>
      <w:color w:val="000000"/>
      <w:sz w:val="18"/>
      <w:szCs w:val="18"/>
      <w:u w:val="none"/>
    </w:rPr>
  </w:style>
  <w:style w:type="character" w:customStyle="1" w:styleId="30">
    <w:name w:val="font41"/>
    <w:basedOn w:val="18"/>
    <w:qFormat/>
    <w:uiPriority w:val="0"/>
    <w:rPr>
      <w:rFonts w:ascii="宋体" w:hAnsi="宋体" w:eastAsia="宋体" w:cs="宋体"/>
      <w:color w:val="000000"/>
      <w:sz w:val="18"/>
      <w:szCs w:val="18"/>
      <w:u w:val="none"/>
    </w:rPr>
  </w:style>
  <w:style w:type="character" w:customStyle="1" w:styleId="31">
    <w:name w:val="font11"/>
    <w:basedOn w:val="18"/>
    <w:qFormat/>
    <w:uiPriority w:val="0"/>
    <w:rPr>
      <w:rFonts w:hint="eastAsia" w:ascii="仿宋_GB2312" w:eastAsia="仿宋_GB2312" w:cs="仿宋_GB2312"/>
      <w:color w:val="000000"/>
      <w:sz w:val="24"/>
      <w:szCs w:val="24"/>
      <w:u w:val="none"/>
    </w:rPr>
  </w:style>
  <w:style w:type="paragraph" w:customStyle="1" w:styleId="32">
    <w:name w:val="常用样式（方正仿宋简）"/>
    <w:qFormat/>
    <w:uiPriority w:val="99"/>
    <w:pPr>
      <w:widowControl w:val="0"/>
      <w:spacing w:line="560" w:lineRule="exact"/>
      <w:ind w:firstLine="640" w:firstLineChars="200"/>
      <w:jc w:val="both"/>
    </w:pPr>
    <w:rPr>
      <w:rFonts w:ascii="Times New Roman" w:hAnsi="Times New Roman"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226</Pages>
  <Words>9477</Words>
  <Characters>10569</Characters>
  <Lines>2</Lines>
  <Paragraphs>1</Paragraphs>
  <TotalTime>63</TotalTime>
  <ScaleCrop>false</ScaleCrop>
  <LinksUpToDate>false</LinksUpToDate>
  <CharactersWithSpaces>10569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2019-05-28T19:06:00Z</dcterms:created>
  <dc:creator>陈萍</dc:creator>
  <cp:lastModifiedBy>55%</cp:lastModifiedBy>
  <cp:lastPrinted>2016-02-15T08:25:00Z</cp:lastPrinted>
  <dcterms:modified xsi:type="dcterms:W3CDTF">2026-03-27T01:27:54Z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4466EDF2AE7347B18F09CF6988DC7D4D_13</vt:lpwstr>
  </property>
  <property fmtid="{D5CDD505-2E9C-101B-9397-08002B2CF9AE}" pid="4" name="KSOTemplateDocerSaveRecord">
    <vt:lpwstr>eyJoZGlkIjoiMzM5NzViODI3MTRhOTNlMTc1ZjI5YjFmMTU4M2NjNGIiLCJ1c2VySWQiOiIxNjQ1OTgwNTQzIn0=</vt:lpwstr>
  </property>
</Properties>
</file>