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1E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附表4</w:t>
      </w:r>
    </w:p>
    <w:p w14:paraId="21F528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年市县市场秩序维护监管经费（因素法）重点工作任务完成情况表</w:t>
      </w:r>
    </w:p>
    <w:tbl>
      <w:tblPr>
        <w:tblStyle w:val="4"/>
        <w:tblpPr w:leftFromText="180" w:rightFromText="180" w:vertAnchor="text" w:horzAnchor="page" w:tblpXSpec="center" w:tblpY="338"/>
        <w:tblOverlap w:val="never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30"/>
        <w:gridCol w:w="1746"/>
        <w:gridCol w:w="1678"/>
        <w:gridCol w:w="5124"/>
      </w:tblGrid>
      <w:tr w14:paraId="7B5E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7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0E4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绩效目标(工作任务）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6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F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8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未完成原因</w:t>
            </w:r>
          </w:p>
        </w:tc>
      </w:tr>
      <w:tr w14:paraId="6D66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6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9A0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动态汽车衡计量监督检查（台）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794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CA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已完成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356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B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223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定量包装监督抽查（批次）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1E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D41F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已完成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2F5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0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A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072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民生计量器具智慧化平台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B1F1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4ED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已完成前期采购，等待平台升级完成后验收。预计2026年4月完成验收并投入使用。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D5751"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因资金下达时间（2025年11月）较晚，采购程序耗时较长，未在2025年度内完成履约验收。</w:t>
            </w:r>
          </w:p>
          <w:p w14:paraId="08171A8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193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E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69A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C7A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F6F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461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20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5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354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078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783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FDA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0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5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186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26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196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3F7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B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8CD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D81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A45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AC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D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1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073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320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B4E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0CE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B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D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23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67C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889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67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3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3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1FE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388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A62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B68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0E8C2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</w:pPr>
    </w:p>
    <w:p w14:paraId="184636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firstLine="640" w:firstLineChars="200"/>
    </w:pPr>
    <w:rPr>
      <w:rFonts w:ascii="仿宋" w:hAnsi="仿宋" w:eastAsia="仿宋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2026-03-26T07:34:38Z</dcterms:created>
  <dc:creator>Administrator</dc:creator>
  <cp:lastModifiedBy>谢海艳</cp:lastModifiedBy>
  <dcterms:modified xsi:type="dcterms:W3CDTF">2026-03-26T07:34:51Z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eyJoZGlkIjoiNWIwZjMwNTUzOGMzYjBlYTRhZjQ3ZjY1ZTFkNjg5NzciLCJ1c2VySWQiOiIxMjAzMzc2MDU5In0=</vt:lpwstr>
  </property>
  <property fmtid="{D5CDD505-2E9C-101B-9397-08002B2CF9AE}" pid="4" name="ICV">
    <vt:lpwstr>A8A22AED8F214FB6912712693B01E625_12</vt:lpwstr>
  </property>
</Properties>
</file>