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1F1C">
      <w:pPr>
        <w:keepNext w:val="0"/>
        <w:keepLines w:val="0"/>
        <w:pageBreakBefore w:val="0"/>
        <w:widowControl/>
        <w:kinsoku/>
        <w:wordWrap/>
        <w:overflowPunct/>
        <w:topLinePunct w:val="0"/>
        <w:autoSpaceDE/>
        <w:autoSpaceDN/>
        <w:bidi w:val="0"/>
        <w:adjustRightInd/>
        <w:snapToGrid/>
        <w:spacing w:line="600" w:lineRule="exact"/>
        <w:ind w:firstLine="0" w:firstLineChars="0"/>
        <w:contextualSpacing/>
        <w:jc w:val="center"/>
        <w:textAlignment w:val="auto"/>
        <w:outlineLvl w:val="9"/>
        <w:rPr>
          <w:rFonts w:hint="eastAsia" w:ascii="方正小标宋简体" w:hAnsi="方正小标宋简体" w:eastAsia="方正小标宋简体" w:cs="方正小标宋简体"/>
          <w:b w:val="0"/>
          <w:bCs/>
          <w:caps w:val="0"/>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caps w:val="0"/>
          <w:color w:val="auto"/>
          <w:sz w:val="44"/>
          <w:szCs w:val="44"/>
          <w:highlight w:val="none"/>
          <w:shd w:val="clear" w:color="auto" w:fill="FFFFFF"/>
          <w:lang w:val="en-US" w:eastAsia="zh-CN"/>
        </w:rPr>
        <w:t>阿坝藏族羌族自治州</w:t>
      </w:r>
    </w:p>
    <w:p w14:paraId="3258C5A9">
      <w:pPr>
        <w:keepNext w:val="0"/>
        <w:keepLines w:val="0"/>
        <w:pageBreakBefore w:val="0"/>
        <w:widowControl/>
        <w:kinsoku/>
        <w:wordWrap/>
        <w:overflowPunct/>
        <w:topLinePunct w:val="0"/>
        <w:autoSpaceDE/>
        <w:autoSpaceDN/>
        <w:bidi w:val="0"/>
        <w:adjustRightInd/>
        <w:snapToGrid/>
        <w:spacing w:line="600" w:lineRule="exact"/>
        <w:ind w:firstLine="0" w:firstLineChars="0"/>
        <w:contextualSpacing/>
        <w:jc w:val="center"/>
        <w:textAlignment w:val="auto"/>
        <w:outlineLvl w:val="9"/>
        <w:rPr>
          <w:rFonts w:hint="eastAsia" w:ascii="方正小标宋简体" w:hAnsi="方正小标宋简体" w:eastAsia="方正小标宋简体" w:cs="方正小标宋简体"/>
          <w:b w:val="0"/>
          <w:bCs/>
          <w:caps w:val="0"/>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caps w:val="0"/>
          <w:color w:val="auto"/>
          <w:sz w:val="44"/>
          <w:szCs w:val="44"/>
          <w:highlight w:val="none"/>
          <w:shd w:val="clear" w:color="auto" w:fill="FFFFFF"/>
          <w:lang w:val="en-US" w:eastAsia="zh-CN"/>
        </w:rPr>
        <w:t>市场监督管理综合保障中心</w:t>
      </w:r>
    </w:p>
    <w:p w14:paraId="42934D60">
      <w:pPr>
        <w:keepNext w:val="0"/>
        <w:keepLines w:val="0"/>
        <w:pageBreakBefore w:val="0"/>
        <w:widowControl/>
        <w:kinsoku/>
        <w:wordWrap/>
        <w:overflowPunct/>
        <w:topLinePunct w:val="0"/>
        <w:autoSpaceDE/>
        <w:autoSpaceDN/>
        <w:bidi w:val="0"/>
        <w:adjustRightInd/>
        <w:snapToGrid/>
        <w:spacing w:line="600" w:lineRule="exact"/>
        <w:ind w:firstLine="0" w:firstLineChars="0"/>
        <w:contextualSpacing/>
        <w:jc w:val="center"/>
        <w:textAlignment w:val="auto"/>
        <w:outlineLvl w:val="9"/>
        <w:rPr>
          <w:rFonts w:hint="eastAsia" w:ascii="方正小标宋简体" w:hAnsi="方正小标宋简体" w:eastAsia="方正小标宋简体" w:cs="方正小标宋简体"/>
          <w:b w:val="0"/>
          <w:bCs/>
          <w:caps w:val="0"/>
          <w:color w:val="auto"/>
          <w:sz w:val="44"/>
          <w:szCs w:val="44"/>
          <w:highlight w:val="none"/>
          <w:shd w:val="clear" w:color="auto" w:fill="FFFFFF"/>
        </w:rPr>
      </w:pPr>
      <w:r>
        <w:rPr>
          <w:rFonts w:hint="eastAsia" w:ascii="方正小标宋简体" w:hAnsi="方正小标宋简体" w:eastAsia="方正小标宋简体" w:cs="方正小标宋简体"/>
          <w:b w:val="0"/>
          <w:bCs/>
          <w:caps w:val="0"/>
          <w:color w:val="auto"/>
          <w:sz w:val="44"/>
          <w:szCs w:val="44"/>
          <w:highlight w:val="none"/>
          <w:shd w:val="clear" w:color="auto" w:fill="FFFFFF"/>
          <w:lang w:val="en-US" w:eastAsia="zh-CN"/>
        </w:rPr>
        <w:t>2025年度</w:t>
      </w:r>
      <w:r>
        <w:rPr>
          <w:rFonts w:hint="eastAsia" w:ascii="方正小标宋简体" w:hAnsi="方正小标宋简体" w:eastAsia="方正小标宋简体" w:cs="方正小标宋简体"/>
          <w:b w:val="0"/>
          <w:bCs/>
          <w:caps w:val="0"/>
          <w:color w:val="auto"/>
          <w:sz w:val="44"/>
          <w:szCs w:val="44"/>
          <w:highlight w:val="none"/>
          <w:shd w:val="clear" w:color="auto" w:fill="FFFFFF"/>
          <w:lang w:eastAsia="zh-CN"/>
        </w:rPr>
        <w:t>部</w:t>
      </w:r>
      <w:r>
        <w:rPr>
          <w:rFonts w:hint="eastAsia" w:ascii="方正小标宋简体" w:hAnsi="方正小标宋简体" w:eastAsia="方正小标宋简体" w:cs="方正小标宋简体"/>
          <w:b w:val="0"/>
          <w:bCs/>
          <w:caps w:val="0"/>
          <w:color w:val="auto"/>
          <w:sz w:val="44"/>
          <w:szCs w:val="44"/>
          <w:highlight w:val="none"/>
          <w:shd w:val="clear" w:color="auto" w:fill="FFFFFF"/>
        </w:rPr>
        <w:t>门</w:t>
      </w:r>
      <w:r>
        <w:rPr>
          <w:rFonts w:hint="eastAsia" w:ascii="方正小标宋简体" w:hAnsi="方正小标宋简体" w:eastAsia="方正小标宋简体" w:cs="方正小标宋简体"/>
          <w:b w:val="0"/>
          <w:bCs/>
          <w:caps w:val="0"/>
          <w:color w:val="auto"/>
          <w:sz w:val="44"/>
          <w:szCs w:val="44"/>
          <w:highlight w:val="none"/>
          <w:shd w:val="clear" w:color="auto" w:fill="FFFFFF"/>
          <w:lang w:eastAsia="zh-CN"/>
        </w:rPr>
        <w:t>预算</w:t>
      </w:r>
      <w:r>
        <w:rPr>
          <w:rFonts w:hint="eastAsia" w:ascii="方正小标宋简体" w:hAnsi="方正小标宋简体" w:eastAsia="方正小标宋简体" w:cs="方正小标宋简体"/>
          <w:b w:val="0"/>
          <w:bCs/>
          <w:caps w:val="0"/>
          <w:color w:val="auto"/>
          <w:sz w:val="44"/>
          <w:szCs w:val="44"/>
          <w:highlight w:val="none"/>
          <w:shd w:val="clear" w:color="auto" w:fill="FFFFFF"/>
        </w:rPr>
        <w:t>绩效</w:t>
      </w:r>
      <w:r>
        <w:rPr>
          <w:rFonts w:hint="eastAsia" w:ascii="方正小标宋简体" w:hAnsi="方正小标宋简体" w:eastAsia="方正小标宋简体" w:cs="方正小标宋简体"/>
          <w:b w:val="0"/>
          <w:bCs/>
          <w:caps w:val="0"/>
          <w:color w:val="auto"/>
          <w:sz w:val="44"/>
          <w:szCs w:val="44"/>
          <w:highlight w:val="none"/>
          <w:shd w:val="clear" w:color="auto" w:fill="FFFFFF"/>
          <w:lang w:eastAsia="zh-CN"/>
        </w:rPr>
        <w:t>自评</w:t>
      </w:r>
      <w:r>
        <w:rPr>
          <w:rFonts w:hint="eastAsia" w:ascii="方正小标宋简体" w:hAnsi="方正小标宋简体" w:eastAsia="方正小标宋简体" w:cs="方正小标宋简体"/>
          <w:b w:val="0"/>
          <w:bCs/>
          <w:caps w:val="0"/>
          <w:color w:val="auto"/>
          <w:sz w:val="44"/>
          <w:szCs w:val="44"/>
          <w:highlight w:val="none"/>
          <w:shd w:val="clear" w:color="auto" w:fill="FFFFFF"/>
        </w:rPr>
        <w:t>报告</w:t>
      </w:r>
    </w:p>
    <w:p w14:paraId="60D48CA7">
      <w:pPr>
        <w:keepNext w:val="0"/>
        <w:keepLines w:val="0"/>
        <w:pageBreakBefore w:val="0"/>
        <w:widowControl/>
        <w:kinsoku/>
        <w:wordWrap/>
        <w:overflowPunct/>
        <w:topLinePunct w:val="0"/>
        <w:autoSpaceDE/>
        <w:autoSpaceDN/>
        <w:bidi w:val="0"/>
        <w:adjustRightInd w:val="0"/>
        <w:snapToGrid w:val="0"/>
        <w:spacing w:line="578" w:lineRule="exact"/>
        <w:ind w:left="0" w:leftChars="0" w:firstLine="420" w:firstLineChars="0"/>
        <w:contextualSpacing/>
        <w:jc w:val="both"/>
        <w:textAlignment w:val="auto"/>
        <w:outlineLvl w:val="9"/>
        <w:rPr>
          <w:rFonts w:hint="eastAsia" w:ascii="Times New Roman" w:hAnsi="Times New Roman" w:cs="Times New Roman"/>
          <w:color w:val="auto"/>
          <w:szCs w:val="32"/>
          <w:highlight w:val="none"/>
          <w:lang w:val="en-US" w:eastAsia="zh-CN"/>
        </w:rPr>
      </w:pPr>
    </w:p>
    <w:p w14:paraId="33825BC8">
      <w:pPr>
        <w:keepNext w:val="0"/>
        <w:keepLines w:val="0"/>
        <w:pageBreakBefore w:val="0"/>
        <w:widowControl/>
        <w:kinsoku/>
        <w:wordWrap/>
        <w:overflowPunct/>
        <w:topLinePunct w:val="0"/>
        <w:autoSpaceDE/>
        <w:autoSpaceDN/>
        <w:bidi w:val="0"/>
        <w:adjustRightInd w:val="0"/>
        <w:snapToGrid w:val="0"/>
        <w:spacing w:line="578" w:lineRule="exact"/>
        <w:ind w:left="0" w:leftChars="0" w:firstLine="0" w:firstLineChars="0"/>
        <w:contextualSpacing/>
        <w:jc w:val="both"/>
        <w:textAlignment w:val="auto"/>
        <w:outlineLvl w:val="9"/>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阿坝州财政局:</w:t>
      </w:r>
    </w:p>
    <w:p w14:paraId="1C9E33C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default"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按照《阿坝州财政局关于开展202</w:t>
      </w:r>
      <w:r>
        <w:rPr>
          <w:rFonts w:hint="eastAsia" w:cs="Times New Roman"/>
          <w:color w:val="auto"/>
          <w:szCs w:val="32"/>
          <w:highlight w:val="none"/>
          <w:lang w:val="en-US" w:eastAsia="zh-CN"/>
        </w:rPr>
        <w:t>6</w:t>
      </w:r>
      <w:r>
        <w:rPr>
          <w:rFonts w:hint="eastAsia" w:ascii="Times New Roman" w:hAnsi="Times New Roman" w:cs="Times New Roman"/>
          <w:color w:val="auto"/>
          <w:szCs w:val="32"/>
          <w:highlight w:val="none"/>
          <w:lang w:val="en-US" w:eastAsia="zh-CN"/>
        </w:rPr>
        <w:t>年州级部门预算绩效自评工作的通知》（阿州财监绩〔202</w:t>
      </w:r>
      <w:r>
        <w:rPr>
          <w:rFonts w:hint="eastAsia" w:cs="Times New Roman"/>
          <w:color w:val="auto"/>
          <w:szCs w:val="32"/>
          <w:highlight w:val="none"/>
          <w:lang w:val="en-US" w:eastAsia="zh-CN"/>
        </w:rPr>
        <w:t>6</w:t>
      </w:r>
      <w:r>
        <w:rPr>
          <w:rFonts w:hint="eastAsia" w:ascii="Times New Roman" w:hAnsi="Times New Roman" w:cs="Times New Roman"/>
          <w:color w:val="auto"/>
          <w:szCs w:val="32"/>
          <w:highlight w:val="none"/>
          <w:lang w:val="en-US" w:eastAsia="zh-CN"/>
        </w:rPr>
        <w:t>〕</w:t>
      </w:r>
      <w:r>
        <w:rPr>
          <w:rFonts w:hint="eastAsia" w:cs="Times New Roman"/>
          <w:color w:val="auto"/>
          <w:szCs w:val="32"/>
          <w:highlight w:val="none"/>
          <w:lang w:val="en-US" w:eastAsia="zh-CN"/>
        </w:rPr>
        <w:t>3</w:t>
      </w:r>
      <w:r>
        <w:rPr>
          <w:rFonts w:hint="eastAsia" w:ascii="Times New Roman" w:hAnsi="Times New Roman" w:cs="Times New Roman"/>
          <w:color w:val="auto"/>
          <w:szCs w:val="32"/>
          <w:highlight w:val="none"/>
          <w:lang w:val="en-US" w:eastAsia="zh-CN"/>
        </w:rPr>
        <w:t>号），现将</w:t>
      </w:r>
      <w:r>
        <w:rPr>
          <w:rFonts w:hint="eastAsia" w:cs="Times New Roman"/>
          <w:color w:val="auto"/>
          <w:szCs w:val="32"/>
          <w:highlight w:val="none"/>
          <w:lang w:val="en-US" w:eastAsia="zh-CN"/>
        </w:rPr>
        <w:t>我中心</w:t>
      </w:r>
      <w:r>
        <w:rPr>
          <w:rFonts w:hint="eastAsia" w:ascii="Times New Roman" w:hAnsi="Times New Roman" w:cs="Times New Roman"/>
          <w:color w:val="auto"/>
          <w:szCs w:val="32"/>
          <w:highlight w:val="none"/>
          <w:lang w:val="en-US" w:eastAsia="zh-CN"/>
        </w:rPr>
        <w:t>202</w:t>
      </w:r>
      <w:r>
        <w:rPr>
          <w:rFonts w:hint="eastAsia" w:cs="Times New Roman"/>
          <w:color w:val="auto"/>
          <w:szCs w:val="32"/>
          <w:highlight w:val="none"/>
          <w:lang w:val="en-US" w:eastAsia="zh-CN"/>
        </w:rPr>
        <w:t>5</w:t>
      </w:r>
      <w:r>
        <w:rPr>
          <w:rFonts w:hint="eastAsia" w:ascii="Times New Roman" w:hAnsi="Times New Roman" w:cs="Times New Roman"/>
          <w:color w:val="auto"/>
          <w:szCs w:val="32"/>
          <w:highlight w:val="none"/>
          <w:lang w:val="en-US" w:eastAsia="zh-CN"/>
        </w:rPr>
        <w:t>年度部门预算绩效情况报告如下：</w:t>
      </w:r>
    </w:p>
    <w:p w14:paraId="38B3EFB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cs="Times New Roman"/>
          <w:caps w:val="0"/>
          <w:color w:val="auto"/>
          <w:szCs w:val="32"/>
          <w:highlight w:val="none"/>
        </w:rPr>
      </w:pPr>
      <w:r>
        <w:rPr>
          <w:rFonts w:hint="eastAsia" w:ascii="Times New Roman" w:hAnsi="Times New Roman" w:eastAsia="黑体" w:cs="Times New Roman"/>
          <w:caps w:val="0"/>
          <w:color w:val="auto"/>
          <w:kern w:val="0"/>
          <w:szCs w:val="32"/>
          <w:highlight w:val="none"/>
          <w:shd w:val="clear" w:color="auto" w:fill="FFFFFF"/>
          <w:lang w:val="zh-CN"/>
        </w:rPr>
        <w:t>一、</w:t>
      </w:r>
      <w:r>
        <w:rPr>
          <w:rFonts w:hint="default" w:ascii="Times New Roman" w:hAnsi="Times New Roman" w:eastAsia="黑体" w:cs="Times New Roman"/>
          <w:caps w:val="0"/>
          <w:color w:val="auto"/>
          <w:kern w:val="0"/>
          <w:szCs w:val="32"/>
          <w:highlight w:val="none"/>
          <w:shd w:val="clear" w:color="auto" w:fill="FFFFFF"/>
          <w:lang w:val="zh-CN"/>
        </w:rPr>
        <w:t>部门（单位）基本情况</w:t>
      </w:r>
    </w:p>
    <w:p w14:paraId="33CB9F9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aps w:val="0"/>
          <w:color w:val="auto"/>
          <w:kern w:val="0"/>
          <w:szCs w:val="32"/>
          <w:highlight w:val="none"/>
          <w:shd w:val="clear" w:color="auto" w:fill="FFFFFF"/>
          <w:lang w:val="zh-CN"/>
        </w:rPr>
      </w:pPr>
      <w:r>
        <w:rPr>
          <w:rFonts w:hint="eastAsia" w:ascii="Times New Roman" w:hAnsi="Times New Roman" w:eastAsia="楷体_GB2312" w:cs="Times New Roman"/>
          <w:b/>
          <w:bCs/>
          <w:caps w:val="0"/>
          <w:color w:val="auto"/>
          <w:kern w:val="0"/>
          <w:szCs w:val="32"/>
          <w:highlight w:val="none"/>
          <w:shd w:val="clear" w:color="auto" w:fill="FFFFFF"/>
          <w:lang w:val="zh-CN"/>
        </w:rPr>
        <w:t>（一）</w:t>
      </w:r>
      <w:r>
        <w:rPr>
          <w:rFonts w:hint="default" w:ascii="Times New Roman" w:hAnsi="Times New Roman" w:eastAsia="楷体_GB2312" w:cs="Times New Roman"/>
          <w:b/>
          <w:bCs/>
          <w:caps w:val="0"/>
          <w:color w:val="auto"/>
          <w:kern w:val="0"/>
          <w:szCs w:val="32"/>
          <w:highlight w:val="none"/>
          <w:shd w:val="clear" w:color="auto" w:fill="FFFFFF"/>
          <w:lang w:val="zh-CN"/>
        </w:rPr>
        <w:t>机构组成</w:t>
      </w:r>
    </w:p>
    <w:p w14:paraId="43DF147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仿宋_GB2312" w:cs="仿宋_GB2312"/>
          <w:caps w:val="0"/>
          <w:color w:val="auto"/>
          <w:sz w:val="32"/>
          <w:szCs w:val="32"/>
          <w:highlight w:val="none"/>
          <w:lang w:eastAsia="zh-CN"/>
        </w:rPr>
      </w:pPr>
      <w:r>
        <w:rPr>
          <w:rFonts w:hint="eastAsia" w:cs="仿宋_GB2312"/>
          <w:caps w:val="0"/>
          <w:color w:val="auto"/>
          <w:sz w:val="32"/>
          <w:szCs w:val="32"/>
          <w:highlight w:val="none"/>
          <w:lang w:eastAsia="zh-CN"/>
        </w:rPr>
        <w:t>阿坝藏族羌族自治州市场监督管理综合保障中心由州市场监督管理综合保障中心、州知识产权服务促进中心、州消委会服务中心3个事业单位合并1套账务。</w:t>
      </w:r>
    </w:p>
    <w:p w14:paraId="01F8807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eastAsia" w:ascii="Times New Roman" w:hAnsi="Times New Roman" w:eastAsia="楷体_GB2312" w:cs="Times New Roman"/>
          <w:b/>
          <w:bCs/>
          <w:caps w:val="0"/>
          <w:color w:val="auto"/>
          <w:kern w:val="0"/>
          <w:szCs w:val="32"/>
          <w:highlight w:val="none"/>
          <w:shd w:val="clear" w:color="auto" w:fill="FFFFFF"/>
          <w:lang w:val="zh-CN"/>
        </w:rPr>
      </w:pPr>
      <w:r>
        <w:rPr>
          <w:rFonts w:hint="eastAsia" w:ascii="Times New Roman" w:hAnsi="Times New Roman" w:eastAsia="楷体_GB2312" w:cs="Times New Roman"/>
          <w:b/>
          <w:bCs/>
          <w:caps w:val="0"/>
          <w:color w:val="auto"/>
          <w:kern w:val="0"/>
          <w:szCs w:val="32"/>
          <w:highlight w:val="none"/>
          <w:shd w:val="clear" w:color="auto" w:fill="FFFFFF"/>
          <w:lang w:val="zh-CN"/>
        </w:rPr>
        <w:t>（</w:t>
      </w:r>
      <w:r>
        <w:rPr>
          <w:rFonts w:hint="eastAsia" w:ascii="Times New Roman" w:hAnsi="Times New Roman" w:eastAsia="楷体_GB2312" w:cs="Times New Roman"/>
          <w:b/>
          <w:bCs/>
          <w:caps w:val="0"/>
          <w:color w:val="auto"/>
          <w:kern w:val="0"/>
          <w:szCs w:val="32"/>
          <w:highlight w:val="none"/>
          <w:shd w:val="clear" w:color="auto" w:fill="FFFFFF"/>
          <w:lang w:val="en-US" w:eastAsia="zh-CN"/>
        </w:rPr>
        <w:t>二）</w:t>
      </w:r>
      <w:r>
        <w:rPr>
          <w:rFonts w:hint="default" w:ascii="Times New Roman" w:hAnsi="Times New Roman" w:eastAsia="楷体_GB2312" w:cs="Times New Roman"/>
          <w:b/>
          <w:bCs/>
          <w:caps w:val="0"/>
          <w:color w:val="auto"/>
          <w:kern w:val="0"/>
          <w:szCs w:val="32"/>
          <w:highlight w:val="none"/>
          <w:shd w:val="clear" w:color="auto" w:fill="FFFFFF"/>
          <w:lang w:val="zh-CN"/>
        </w:rPr>
        <w:t>机构职能</w:t>
      </w:r>
    </w:p>
    <w:p w14:paraId="7D0DA30E">
      <w:pPr>
        <w:pageBreakBefore w:val="0"/>
        <w:numPr>
          <w:ilvl w:val="0"/>
          <w:numId w:val="0"/>
        </w:numPr>
        <w:kinsoku/>
        <w:wordWrap/>
        <w:overflowPunct/>
        <w:topLinePunct w:val="0"/>
        <w:autoSpaceDE/>
        <w:bidi w:val="0"/>
        <w:spacing w:line="600" w:lineRule="exact"/>
        <w:ind w:firstLine="640" w:firstLineChars="200"/>
        <w:outlineLvl w:val="9"/>
        <w:rPr>
          <w:rFonts w:hint="eastAsia" w:ascii="Times New Roman" w:hAnsi="Times New Roman" w:cs="Times New Roman"/>
          <w:caps w:val="0"/>
          <w:color w:val="auto"/>
          <w:szCs w:val="32"/>
          <w:highlight w:val="none"/>
          <w:lang w:val="en-US" w:eastAsia="zh-CN"/>
        </w:rPr>
      </w:pPr>
      <w:r>
        <w:rPr>
          <w:rFonts w:hint="eastAsia"/>
          <w:caps w:val="0"/>
          <w:color w:val="auto"/>
          <w:sz w:val="32"/>
          <w:szCs w:val="32"/>
          <w:highlight w:val="none"/>
          <w:lang w:val="en-US" w:eastAsia="zh-CN"/>
        </w:rPr>
        <w:t>我中心</w:t>
      </w:r>
      <w:r>
        <w:rPr>
          <w:rFonts w:hint="eastAsia" w:ascii="Times New Roman" w:hAnsi="Times New Roman" w:cs="Times New Roman"/>
          <w:caps w:val="0"/>
          <w:color w:val="auto"/>
          <w:szCs w:val="32"/>
          <w:highlight w:val="none"/>
          <w:lang w:val="en-US" w:eastAsia="zh-CN"/>
        </w:rPr>
        <w:t>主要承担以下职责和功能：</w:t>
      </w:r>
    </w:p>
    <w:p w14:paraId="406ADC01">
      <w:pPr>
        <w:pageBreakBefore w:val="0"/>
        <w:numPr>
          <w:ilvl w:val="0"/>
          <w:numId w:val="1"/>
        </w:numPr>
        <w:kinsoku/>
        <w:wordWrap/>
        <w:overflowPunct/>
        <w:topLinePunct w:val="0"/>
        <w:autoSpaceDE/>
        <w:bidi w:val="0"/>
        <w:spacing w:line="600" w:lineRule="exact"/>
        <w:rPr>
          <w:rFonts w:hint="eastAsia" w:ascii="Times New Roman" w:hAnsi="Times New Roman" w:cs="Times New Roman"/>
          <w:caps w:val="0"/>
          <w:color w:val="auto"/>
          <w:sz w:val="32"/>
          <w:szCs w:val="32"/>
          <w:highlight w:val="none"/>
          <w:lang w:val="en-US" w:eastAsia="zh-CN" w:bidi="ar-SA"/>
        </w:rPr>
      </w:pPr>
      <w:r>
        <w:rPr>
          <w:rFonts w:hint="eastAsia" w:ascii="Times New Roman" w:hAnsi="Times New Roman" w:cs="Times New Roman"/>
          <w:caps w:val="0"/>
          <w:color w:val="auto"/>
          <w:sz w:val="32"/>
          <w:szCs w:val="32"/>
          <w:highlight w:val="none"/>
          <w:lang w:val="en-US" w:eastAsia="zh-CN" w:bidi="ar-SA"/>
        </w:rPr>
        <w:t>负责全州知识产权创造、运用、服务等行政辅助工作；负责知识产权宣传教育并培育知识产权文化、促进知识产权创造、运用、维权援助和知识产权服务业发展；对县（市）知识产权服务促进工作进行业务指导。</w:t>
      </w:r>
    </w:p>
    <w:p w14:paraId="5FC95DFF">
      <w:pPr>
        <w:pageBreakBefore w:val="0"/>
        <w:numPr>
          <w:ilvl w:val="0"/>
          <w:numId w:val="1"/>
        </w:numPr>
        <w:kinsoku/>
        <w:wordWrap/>
        <w:overflowPunct/>
        <w:topLinePunct w:val="0"/>
        <w:autoSpaceDE/>
        <w:bidi w:val="0"/>
        <w:spacing w:line="600" w:lineRule="exact"/>
        <w:rPr>
          <w:rFonts w:hint="eastAsia" w:ascii="Times New Roman" w:hAnsi="Times New Roman" w:cs="Times New Roman"/>
          <w:caps w:val="0"/>
          <w:color w:val="auto"/>
          <w:sz w:val="32"/>
          <w:szCs w:val="32"/>
          <w:highlight w:val="none"/>
          <w:lang w:val="en-US" w:eastAsia="zh-CN" w:bidi="ar-SA"/>
        </w:rPr>
      </w:pPr>
      <w:r>
        <w:rPr>
          <w:rFonts w:hint="eastAsia" w:ascii="Times New Roman" w:hAnsi="Times New Roman" w:cs="Times New Roman"/>
          <w:caps w:val="0"/>
          <w:color w:val="auto"/>
          <w:sz w:val="32"/>
          <w:szCs w:val="32"/>
          <w:highlight w:val="none"/>
          <w:lang w:val="en-US" w:eastAsia="zh-CN" w:bidi="ar-SA"/>
        </w:rPr>
        <w:t>依据国家有关法律法规，对商品和服务进行社会监督；开展消费宣传教育，引导消费者合理、科学消费；依法受理消费投诉，保护消费者合法权益，协助指挥调度全州12315投诉举报网络运行；承担全州知识产权举报投诉与维权援助工作。</w:t>
      </w:r>
    </w:p>
    <w:p w14:paraId="49AA8915">
      <w:pPr>
        <w:pageBreakBefore w:val="0"/>
        <w:numPr>
          <w:ilvl w:val="0"/>
          <w:numId w:val="1"/>
        </w:numPr>
        <w:kinsoku/>
        <w:wordWrap/>
        <w:overflowPunct/>
        <w:topLinePunct w:val="0"/>
        <w:autoSpaceDE/>
        <w:bidi w:val="0"/>
        <w:spacing w:line="600" w:lineRule="exact"/>
        <w:rPr>
          <w:rFonts w:hint="eastAsia" w:ascii="Times New Roman" w:hAnsi="Times New Roman" w:cs="Times New Roman"/>
          <w:caps w:val="0"/>
          <w:color w:val="auto"/>
          <w:sz w:val="32"/>
          <w:szCs w:val="32"/>
          <w:highlight w:val="none"/>
          <w:lang w:val="en-US" w:eastAsia="zh-CN" w:bidi="ar-SA"/>
        </w:rPr>
      </w:pPr>
      <w:r>
        <w:rPr>
          <w:rFonts w:hint="eastAsia" w:ascii="Times New Roman" w:hAnsi="Times New Roman" w:cs="Times New Roman"/>
          <w:caps w:val="0"/>
          <w:color w:val="auto"/>
          <w:sz w:val="32"/>
          <w:szCs w:val="32"/>
          <w:highlight w:val="none"/>
          <w:lang w:val="en-US" w:eastAsia="zh-CN" w:bidi="ar-SA"/>
        </w:rPr>
        <w:t>负责阿坝州市场监督管理事务综合保障工作；承担州市场监管局信息化建设的技术支撑及数据资源的管理，为局机关信息化建设提供技术保障和信息服务；开展企业登记档案资料管理、信息查询以及数据统计、分析、加工、共享、报送等工作；开展登记注册、质量发展、品牌建设和知识产权保护，食品、药品（医疗器械、化妆品）、特种设备、重点工业产品安全监管等市场监管业务辅助工作；配合开展市场监管领域的执法行动，打击制售假冒伪劣商品、侵犯知识产权等违法行为，维护市场的正常秩序；完成阿坝州市场监督管理局安排的其他工作。</w:t>
      </w:r>
    </w:p>
    <w:p w14:paraId="5C19CB7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aps w:val="0"/>
          <w:color w:val="auto"/>
          <w:kern w:val="0"/>
          <w:szCs w:val="32"/>
          <w:highlight w:val="none"/>
          <w:shd w:val="clear" w:color="auto" w:fill="FFFFFF"/>
          <w:lang w:val="zh-CN"/>
        </w:rPr>
      </w:pPr>
      <w:r>
        <w:rPr>
          <w:rFonts w:hint="default" w:ascii="Times New Roman" w:hAnsi="Times New Roman" w:eastAsia="楷体_GB2312" w:cs="Times New Roman"/>
          <w:b/>
          <w:bCs/>
          <w:caps w:val="0"/>
          <w:color w:val="auto"/>
          <w:kern w:val="0"/>
          <w:szCs w:val="32"/>
          <w:highlight w:val="none"/>
          <w:shd w:val="clear" w:color="auto" w:fill="FFFFFF"/>
          <w:lang w:val="zh-CN"/>
        </w:rPr>
        <w:t>（</w:t>
      </w:r>
      <w:r>
        <w:rPr>
          <w:rFonts w:hint="eastAsia" w:ascii="Times New Roman" w:hAnsi="Times New Roman" w:eastAsia="楷体_GB2312" w:cs="Times New Roman"/>
          <w:b/>
          <w:bCs/>
          <w:caps w:val="0"/>
          <w:color w:val="auto"/>
          <w:kern w:val="0"/>
          <w:szCs w:val="32"/>
          <w:highlight w:val="none"/>
          <w:shd w:val="clear" w:color="auto" w:fill="FFFFFF"/>
          <w:lang w:val="zh-CN"/>
        </w:rPr>
        <w:t>三</w:t>
      </w:r>
      <w:r>
        <w:rPr>
          <w:rFonts w:hint="default" w:ascii="Times New Roman" w:hAnsi="Times New Roman" w:eastAsia="楷体_GB2312" w:cs="Times New Roman"/>
          <w:b/>
          <w:bCs/>
          <w:caps w:val="0"/>
          <w:color w:val="auto"/>
          <w:kern w:val="0"/>
          <w:szCs w:val="32"/>
          <w:highlight w:val="none"/>
          <w:shd w:val="clear" w:color="auto" w:fill="FFFFFF"/>
          <w:lang w:val="zh-CN"/>
        </w:rPr>
        <w:t>）人员概况</w:t>
      </w:r>
    </w:p>
    <w:p w14:paraId="51861D2F">
      <w:pPr>
        <w:pageBreakBefore w:val="0"/>
        <w:numPr>
          <w:ilvl w:val="0"/>
          <w:numId w:val="0"/>
        </w:numPr>
        <w:kinsoku/>
        <w:wordWrap/>
        <w:overflowPunct/>
        <w:topLinePunct w:val="0"/>
        <w:autoSpaceDE/>
        <w:bidi w:val="0"/>
        <w:spacing w:line="600" w:lineRule="exact"/>
        <w:ind w:firstLine="640" w:firstLineChars="200"/>
        <w:rPr>
          <w:rFonts w:hint="default" w:ascii="Times New Roman" w:hAnsi="Times New Roman" w:cs="Times New Roman"/>
          <w:caps w:val="0"/>
          <w:color w:val="auto"/>
          <w:sz w:val="32"/>
          <w:szCs w:val="32"/>
          <w:highlight w:val="none"/>
          <w:lang w:val="en-US" w:eastAsia="zh-CN" w:bidi="ar-SA"/>
        </w:rPr>
      </w:pPr>
      <w:r>
        <w:rPr>
          <w:rFonts w:hint="eastAsia" w:ascii="Times New Roman" w:hAnsi="Times New Roman" w:cs="Times New Roman"/>
          <w:caps w:val="0"/>
          <w:color w:val="auto"/>
          <w:sz w:val="32"/>
          <w:szCs w:val="32"/>
          <w:highlight w:val="none"/>
          <w:lang w:val="en-US" w:eastAsia="zh-CN" w:bidi="ar-SA"/>
        </w:rPr>
        <w:t>截至2025年末，</w:t>
      </w:r>
      <w:r>
        <w:rPr>
          <w:rFonts w:hint="eastAsia" w:cs="Times New Roman"/>
          <w:caps w:val="0"/>
          <w:color w:val="auto"/>
          <w:sz w:val="32"/>
          <w:szCs w:val="32"/>
          <w:highlight w:val="none"/>
          <w:lang w:val="en-US" w:eastAsia="zh-CN" w:bidi="ar-SA"/>
        </w:rPr>
        <w:t>我中心</w:t>
      </w:r>
      <w:r>
        <w:rPr>
          <w:rFonts w:hint="eastAsia" w:ascii="Times New Roman" w:hAnsi="Times New Roman" w:cs="Times New Roman"/>
          <w:caps w:val="0"/>
          <w:color w:val="auto"/>
          <w:sz w:val="32"/>
          <w:szCs w:val="32"/>
          <w:highlight w:val="none"/>
          <w:lang w:val="en-US" w:eastAsia="zh-CN" w:bidi="ar-SA"/>
        </w:rPr>
        <w:t>在职职工</w:t>
      </w:r>
      <w:r>
        <w:rPr>
          <w:rFonts w:hint="eastAsia" w:cs="Times New Roman"/>
          <w:caps w:val="0"/>
          <w:color w:val="auto"/>
          <w:sz w:val="32"/>
          <w:szCs w:val="32"/>
          <w:highlight w:val="none"/>
          <w:lang w:val="en-US" w:eastAsia="zh-CN" w:bidi="ar-SA"/>
        </w:rPr>
        <w:t>33</w:t>
      </w:r>
      <w:r>
        <w:rPr>
          <w:rFonts w:hint="eastAsia" w:ascii="Times New Roman" w:hAnsi="Times New Roman" w:cs="Times New Roman"/>
          <w:caps w:val="0"/>
          <w:color w:val="auto"/>
          <w:sz w:val="32"/>
          <w:szCs w:val="32"/>
          <w:highlight w:val="none"/>
          <w:lang w:val="en-US" w:eastAsia="zh-CN" w:bidi="ar-SA"/>
        </w:rPr>
        <w:t>人，其中：公务员</w:t>
      </w:r>
      <w:r>
        <w:rPr>
          <w:rFonts w:hint="eastAsia" w:cs="Times New Roman"/>
          <w:caps w:val="0"/>
          <w:color w:val="auto"/>
          <w:sz w:val="32"/>
          <w:szCs w:val="32"/>
          <w:highlight w:val="none"/>
          <w:lang w:val="en-US" w:eastAsia="zh-CN" w:bidi="ar-SA"/>
        </w:rPr>
        <w:t>0</w:t>
      </w:r>
      <w:r>
        <w:rPr>
          <w:rFonts w:hint="eastAsia" w:ascii="Times New Roman" w:hAnsi="Times New Roman" w:cs="Times New Roman"/>
          <w:caps w:val="0"/>
          <w:color w:val="auto"/>
          <w:sz w:val="32"/>
          <w:szCs w:val="32"/>
          <w:highlight w:val="none"/>
          <w:lang w:val="en-US" w:eastAsia="zh-CN" w:bidi="ar-SA"/>
        </w:rPr>
        <w:t>人、事业管理人员和专业技术人员</w:t>
      </w:r>
      <w:r>
        <w:rPr>
          <w:rFonts w:hint="eastAsia" w:cs="Times New Roman"/>
          <w:caps w:val="0"/>
          <w:color w:val="auto"/>
          <w:sz w:val="32"/>
          <w:szCs w:val="32"/>
          <w:highlight w:val="none"/>
          <w:lang w:val="en-US" w:eastAsia="zh-CN" w:bidi="ar-SA"/>
        </w:rPr>
        <w:t>32</w:t>
      </w:r>
      <w:r>
        <w:rPr>
          <w:rFonts w:hint="eastAsia" w:ascii="Times New Roman" w:hAnsi="Times New Roman" w:cs="Times New Roman"/>
          <w:caps w:val="0"/>
          <w:color w:val="auto"/>
          <w:sz w:val="32"/>
          <w:szCs w:val="32"/>
          <w:highlight w:val="none"/>
          <w:lang w:val="en-US" w:eastAsia="zh-CN" w:bidi="ar-SA"/>
        </w:rPr>
        <w:t>人、机关和事业工人</w:t>
      </w:r>
      <w:r>
        <w:rPr>
          <w:rFonts w:hint="eastAsia" w:cs="Times New Roman"/>
          <w:caps w:val="0"/>
          <w:color w:val="auto"/>
          <w:sz w:val="32"/>
          <w:szCs w:val="32"/>
          <w:highlight w:val="none"/>
          <w:lang w:val="en-US" w:eastAsia="zh-CN" w:bidi="ar-SA"/>
        </w:rPr>
        <w:t>1</w:t>
      </w:r>
      <w:r>
        <w:rPr>
          <w:rFonts w:hint="eastAsia" w:ascii="Times New Roman" w:hAnsi="Times New Roman" w:cs="Times New Roman"/>
          <w:caps w:val="0"/>
          <w:color w:val="auto"/>
          <w:sz w:val="32"/>
          <w:szCs w:val="32"/>
          <w:highlight w:val="none"/>
          <w:lang w:val="en-US" w:eastAsia="zh-CN" w:bidi="ar-SA"/>
        </w:rPr>
        <w:t>人。</w:t>
      </w:r>
    </w:p>
    <w:p w14:paraId="70A2645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aps w:val="0"/>
          <w:color w:val="auto"/>
          <w:kern w:val="0"/>
          <w:szCs w:val="32"/>
          <w:highlight w:val="none"/>
          <w:shd w:val="clear" w:color="auto" w:fill="FFFFFF"/>
        </w:rPr>
      </w:pPr>
      <w:r>
        <w:rPr>
          <w:rFonts w:hint="default" w:ascii="Times New Roman" w:hAnsi="Times New Roman" w:eastAsia="黑体" w:cs="Times New Roman"/>
          <w:caps w:val="0"/>
          <w:color w:val="auto"/>
          <w:kern w:val="0"/>
          <w:szCs w:val="32"/>
          <w:highlight w:val="none"/>
          <w:shd w:val="clear" w:color="auto" w:fill="FFFFFF"/>
        </w:rPr>
        <w:t>二、</w:t>
      </w:r>
      <w:r>
        <w:rPr>
          <w:rFonts w:hint="default" w:ascii="Times New Roman" w:hAnsi="Times New Roman" w:eastAsia="黑体" w:cs="Times New Roman"/>
          <w:caps w:val="0"/>
          <w:color w:val="auto"/>
          <w:kern w:val="0"/>
          <w:szCs w:val="32"/>
          <w:highlight w:val="none"/>
          <w:shd w:val="clear" w:color="auto" w:fill="FFFFFF"/>
          <w:lang w:eastAsia="zh-CN"/>
        </w:rPr>
        <w:t>部门</w:t>
      </w:r>
      <w:r>
        <w:rPr>
          <w:rFonts w:hint="default" w:ascii="Times New Roman" w:hAnsi="Times New Roman" w:eastAsia="黑体" w:cs="Times New Roman"/>
          <w:caps w:val="0"/>
          <w:color w:val="auto"/>
          <w:kern w:val="0"/>
          <w:szCs w:val="32"/>
          <w:highlight w:val="none"/>
          <w:shd w:val="clear" w:color="auto" w:fill="FFFFFF"/>
        </w:rPr>
        <w:t>资金收支情况</w:t>
      </w:r>
    </w:p>
    <w:p w14:paraId="0969265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aps w:val="0"/>
          <w:color w:val="auto"/>
          <w:kern w:val="0"/>
          <w:szCs w:val="32"/>
          <w:highlight w:val="none"/>
          <w:shd w:val="clear" w:color="auto" w:fill="FFFFFF"/>
          <w:lang w:val="zh-CN"/>
        </w:rPr>
      </w:pPr>
      <w:r>
        <w:rPr>
          <w:rFonts w:hint="default" w:ascii="Times New Roman" w:hAnsi="Times New Roman" w:eastAsia="楷体_GB2312" w:cs="Times New Roman"/>
          <w:b/>
          <w:bCs/>
          <w:caps w:val="0"/>
          <w:color w:val="auto"/>
          <w:kern w:val="0"/>
          <w:szCs w:val="32"/>
          <w:highlight w:val="none"/>
          <w:shd w:val="clear" w:color="auto" w:fill="FFFFFF"/>
          <w:lang w:val="zh-CN"/>
        </w:rPr>
        <w:t>（一）</w:t>
      </w:r>
      <w:r>
        <w:rPr>
          <w:rFonts w:hint="eastAsia" w:ascii="Times New Roman" w:hAnsi="Times New Roman" w:eastAsia="楷体_GB2312" w:cs="Times New Roman"/>
          <w:b/>
          <w:bCs/>
          <w:caps w:val="0"/>
          <w:color w:val="auto"/>
          <w:kern w:val="0"/>
          <w:szCs w:val="32"/>
          <w:highlight w:val="none"/>
          <w:shd w:val="clear" w:color="auto" w:fill="FFFFFF"/>
          <w:lang w:val="zh-CN"/>
        </w:rPr>
        <w:t>收入情况</w:t>
      </w:r>
      <w:bookmarkStart w:id="1" w:name="_GoBack"/>
      <w:bookmarkEnd w:id="1"/>
    </w:p>
    <w:p w14:paraId="4F29E833">
      <w:pPr>
        <w:pageBreakBefore w:val="0"/>
        <w:kinsoku/>
        <w:wordWrap/>
        <w:overflowPunct/>
        <w:topLinePunct w:val="0"/>
        <w:autoSpaceDE/>
        <w:bidi w:val="0"/>
        <w:spacing w:line="600" w:lineRule="exact"/>
        <w:ind w:firstLine="640" w:firstLineChars="200"/>
        <w:rPr>
          <w:rFonts w:hint="eastAsia" w:ascii="Times New Roman" w:hAnsi="Times New Roman" w:eastAsia="仿宋_GB2312" w:cs="Times New Roman"/>
          <w:caps w:val="0"/>
          <w:color w:val="auto"/>
          <w:sz w:val="32"/>
          <w:highlight w:val="none"/>
          <w:lang w:val="en-US" w:eastAsia="zh-CN"/>
        </w:rPr>
      </w:pPr>
      <w:r>
        <w:rPr>
          <w:rFonts w:hint="eastAsia" w:cs="Times New Roman"/>
          <w:caps w:val="0"/>
          <w:color w:val="auto"/>
          <w:sz w:val="32"/>
          <w:highlight w:val="none"/>
          <w:lang w:val="en-US" w:eastAsia="zh-CN"/>
        </w:rPr>
        <w:t>我中心</w:t>
      </w:r>
      <w:r>
        <w:rPr>
          <w:rFonts w:hint="eastAsia" w:ascii="Times New Roman" w:hAnsi="Times New Roman" w:eastAsia="仿宋_GB2312" w:cs="Times New Roman"/>
          <w:caps w:val="0"/>
          <w:color w:val="auto"/>
          <w:kern w:val="2"/>
          <w:sz w:val="32"/>
          <w:szCs w:val="24"/>
          <w:highlight w:val="none"/>
          <w:lang w:val="en-US" w:eastAsia="zh-CN" w:bidi="ar-SA"/>
        </w:rPr>
        <w:t>202</w:t>
      </w:r>
      <w:r>
        <w:rPr>
          <w:rFonts w:hint="eastAsia" w:cs="Times New Roman"/>
          <w:caps w:val="0"/>
          <w:color w:val="auto"/>
          <w:kern w:val="2"/>
          <w:sz w:val="32"/>
          <w:szCs w:val="24"/>
          <w:highlight w:val="none"/>
          <w:lang w:val="en-US" w:eastAsia="zh-CN" w:bidi="ar-SA"/>
        </w:rPr>
        <w:t>5</w:t>
      </w:r>
      <w:r>
        <w:rPr>
          <w:rFonts w:hint="default" w:ascii="Times New Roman" w:hAnsi="Times New Roman" w:eastAsia="仿宋_GB2312" w:cs="Times New Roman"/>
          <w:caps w:val="0"/>
          <w:color w:val="auto"/>
          <w:sz w:val="32"/>
          <w:highlight w:val="none"/>
          <w:lang w:val="en-US"/>
        </w:rPr>
        <w:t>年年初收入预算数为</w:t>
      </w:r>
      <w:r>
        <w:rPr>
          <w:rFonts w:hint="eastAsia" w:cs="Times New Roman"/>
          <w:caps w:val="0"/>
          <w:color w:val="auto"/>
          <w:kern w:val="2"/>
          <w:sz w:val="32"/>
          <w:szCs w:val="24"/>
          <w:highlight w:val="none"/>
          <w:lang w:val="en-US" w:eastAsia="zh-CN" w:bidi="ar-SA"/>
        </w:rPr>
        <w:t>447</w:t>
      </w:r>
      <w:r>
        <w:rPr>
          <w:rFonts w:hint="eastAsia" w:ascii="Times New Roman" w:hAnsi="Times New Roman" w:cs="Times New Roman"/>
          <w:caps w:val="0"/>
          <w:color w:val="auto"/>
          <w:kern w:val="2"/>
          <w:sz w:val="32"/>
          <w:szCs w:val="24"/>
          <w:highlight w:val="none"/>
          <w:lang w:val="en-US" w:eastAsia="zh-CN" w:bidi="ar-SA"/>
        </w:rPr>
        <w:t>.</w:t>
      </w:r>
      <w:r>
        <w:rPr>
          <w:rFonts w:hint="eastAsia" w:cs="Times New Roman"/>
          <w:caps w:val="0"/>
          <w:color w:val="auto"/>
          <w:kern w:val="2"/>
          <w:sz w:val="32"/>
          <w:szCs w:val="24"/>
          <w:highlight w:val="none"/>
          <w:lang w:val="en-US" w:eastAsia="zh-CN" w:bidi="ar-SA"/>
        </w:rPr>
        <w:t>12</w:t>
      </w:r>
      <w:r>
        <w:rPr>
          <w:rFonts w:hint="default" w:ascii="Times New Roman" w:hAnsi="Times New Roman" w:eastAsia="仿宋_GB2312" w:cs="Times New Roman"/>
          <w:caps w:val="0"/>
          <w:color w:val="auto"/>
          <w:sz w:val="32"/>
          <w:highlight w:val="none"/>
          <w:lang w:val="en-US"/>
        </w:rPr>
        <w:t>万元，</w:t>
      </w:r>
      <w:r>
        <w:rPr>
          <w:rFonts w:hint="eastAsia" w:ascii="Times New Roman" w:hAnsi="Times New Roman" w:eastAsia="仿宋_GB2312" w:cs="Times New Roman"/>
          <w:caps w:val="0"/>
          <w:color w:val="auto"/>
          <w:sz w:val="32"/>
          <w:highlight w:val="none"/>
          <w:lang w:val="en-US" w:eastAsia="zh-CN"/>
        </w:rPr>
        <w:t>其中：</w:t>
      </w:r>
      <w:r>
        <w:rPr>
          <w:rFonts w:hint="default" w:ascii="Times New Roman" w:hAnsi="Times New Roman" w:eastAsia="仿宋_GB2312" w:cs="Times New Roman"/>
          <w:caps w:val="0"/>
          <w:color w:val="auto"/>
          <w:sz w:val="32"/>
          <w:highlight w:val="none"/>
          <w:lang w:val="en-US"/>
        </w:rPr>
        <w:t>一般公共预算财政拨款收入</w:t>
      </w:r>
      <w:r>
        <w:rPr>
          <w:rFonts w:hint="eastAsia" w:cs="Times New Roman"/>
          <w:caps w:val="0"/>
          <w:color w:val="auto"/>
          <w:kern w:val="2"/>
          <w:sz w:val="32"/>
          <w:szCs w:val="24"/>
          <w:highlight w:val="none"/>
          <w:lang w:val="en-US" w:eastAsia="zh-CN" w:bidi="ar-SA"/>
        </w:rPr>
        <w:t>447</w:t>
      </w:r>
      <w:r>
        <w:rPr>
          <w:rFonts w:hint="eastAsia" w:ascii="Times New Roman" w:hAnsi="Times New Roman" w:cs="Times New Roman"/>
          <w:caps w:val="0"/>
          <w:color w:val="auto"/>
          <w:kern w:val="2"/>
          <w:sz w:val="32"/>
          <w:szCs w:val="24"/>
          <w:highlight w:val="none"/>
          <w:lang w:val="en-US" w:eastAsia="zh-CN" w:bidi="ar-SA"/>
        </w:rPr>
        <w:t>.</w:t>
      </w:r>
      <w:r>
        <w:rPr>
          <w:rFonts w:hint="eastAsia" w:cs="Times New Roman"/>
          <w:caps w:val="0"/>
          <w:color w:val="auto"/>
          <w:kern w:val="2"/>
          <w:sz w:val="32"/>
          <w:szCs w:val="24"/>
          <w:highlight w:val="none"/>
          <w:lang w:val="en-US" w:eastAsia="zh-CN" w:bidi="ar-SA"/>
        </w:rPr>
        <w:t>12</w:t>
      </w:r>
      <w:r>
        <w:rPr>
          <w:rFonts w:hint="eastAsia" w:ascii="Times New Roman" w:hAnsi="Times New Roman" w:eastAsia="仿宋_GB2312" w:cs="Times New Roman"/>
          <w:caps w:val="0"/>
          <w:color w:val="auto"/>
          <w:sz w:val="32"/>
          <w:highlight w:val="none"/>
          <w:lang w:val="en-US" w:eastAsia="zh-CN"/>
        </w:rPr>
        <w:t>万元，占总预算的</w:t>
      </w:r>
      <w:r>
        <w:rPr>
          <w:rFonts w:hint="eastAsia" w:ascii="Times New Roman" w:hAnsi="Times New Roman" w:cs="Times New Roman"/>
          <w:caps w:val="0"/>
          <w:color w:val="auto"/>
          <w:sz w:val="32"/>
          <w:highlight w:val="none"/>
          <w:lang w:val="en-US" w:eastAsia="zh-CN"/>
        </w:rPr>
        <w:t>100.00</w:t>
      </w:r>
      <w:r>
        <w:rPr>
          <w:rFonts w:hint="eastAsia" w:ascii="Times New Roman" w:hAnsi="Times New Roman" w:eastAsia="仿宋_GB2312" w:cs="Times New Roman"/>
          <w:caps w:val="0"/>
          <w:color w:val="auto"/>
          <w:sz w:val="32"/>
          <w:highlight w:val="none"/>
          <w:lang w:val="en-US" w:eastAsia="zh-CN"/>
        </w:rPr>
        <w:t>%</w:t>
      </w:r>
      <w:r>
        <w:rPr>
          <w:rFonts w:hint="eastAsia" w:cs="Times New Roman"/>
          <w:caps w:val="0"/>
          <w:color w:val="auto"/>
          <w:sz w:val="32"/>
          <w:highlight w:val="none"/>
          <w:lang w:val="en-US" w:eastAsia="zh-CN"/>
        </w:rPr>
        <w:t>。</w:t>
      </w:r>
    </w:p>
    <w:p w14:paraId="68CB8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aps w:val="0"/>
          <w:color w:val="auto"/>
          <w:highlight w:val="none"/>
        </w:rPr>
      </w:pPr>
      <w:r>
        <w:rPr>
          <w:rFonts w:hint="eastAsia" w:cs="Times New Roman"/>
          <w:caps w:val="0"/>
          <w:color w:val="auto"/>
          <w:sz w:val="32"/>
          <w:highlight w:val="none"/>
          <w:lang w:val="en-US" w:eastAsia="zh-CN"/>
        </w:rPr>
        <w:t>我中心</w:t>
      </w:r>
      <w:r>
        <w:rPr>
          <w:rFonts w:hint="eastAsia" w:ascii="Times New Roman" w:hAnsi="Times New Roman" w:eastAsia="仿宋_GB2312" w:cs="Times New Roman"/>
          <w:caps w:val="0"/>
          <w:color w:val="auto"/>
          <w:kern w:val="2"/>
          <w:sz w:val="32"/>
          <w:szCs w:val="24"/>
          <w:highlight w:val="none"/>
          <w:lang w:val="en-US" w:eastAsia="zh-CN" w:bidi="ar-SA"/>
        </w:rPr>
        <w:t>202</w:t>
      </w:r>
      <w:r>
        <w:rPr>
          <w:rFonts w:hint="eastAsia" w:cs="Times New Roman"/>
          <w:caps w:val="0"/>
          <w:color w:val="auto"/>
          <w:kern w:val="2"/>
          <w:sz w:val="32"/>
          <w:szCs w:val="24"/>
          <w:highlight w:val="none"/>
          <w:lang w:val="en-US" w:eastAsia="zh-CN" w:bidi="ar-SA"/>
        </w:rPr>
        <w:t>5</w:t>
      </w:r>
      <w:r>
        <w:rPr>
          <w:rFonts w:hint="default" w:ascii="Times New Roman" w:hAnsi="Times New Roman" w:eastAsia="仿宋_GB2312" w:cs="Times New Roman"/>
          <w:caps w:val="0"/>
          <w:color w:val="auto"/>
          <w:sz w:val="32"/>
          <w:highlight w:val="none"/>
          <w:lang w:val="en-US"/>
        </w:rPr>
        <w:t>年收入决算数为</w:t>
      </w:r>
      <w:r>
        <w:rPr>
          <w:rFonts w:hint="eastAsia" w:cs="Times New Roman"/>
          <w:caps w:val="0"/>
          <w:color w:val="auto"/>
          <w:kern w:val="2"/>
          <w:sz w:val="32"/>
          <w:szCs w:val="24"/>
          <w:highlight w:val="none"/>
          <w:lang w:val="en-US" w:eastAsia="zh-CN" w:bidi="ar-SA"/>
        </w:rPr>
        <w:t>643.44</w:t>
      </w:r>
      <w:r>
        <w:rPr>
          <w:rFonts w:hint="default" w:ascii="Times New Roman" w:hAnsi="Times New Roman" w:eastAsia="仿宋_GB2312" w:cs="Times New Roman"/>
          <w:caps w:val="0"/>
          <w:color w:val="auto"/>
          <w:sz w:val="32"/>
          <w:highlight w:val="none"/>
          <w:lang w:val="en-US"/>
        </w:rPr>
        <w:t>万元，</w:t>
      </w:r>
      <w:r>
        <w:rPr>
          <w:rFonts w:hint="eastAsia" w:ascii="Times New Roman" w:hAnsi="Times New Roman" w:eastAsia="仿宋_GB2312" w:cs="Times New Roman"/>
          <w:caps w:val="0"/>
          <w:color w:val="auto"/>
          <w:sz w:val="32"/>
          <w:highlight w:val="none"/>
          <w:lang w:val="en-US" w:eastAsia="zh-CN"/>
        </w:rPr>
        <w:t>其中：</w:t>
      </w:r>
      <w:r>
        <w:rPr>
          <w:rFonts w:hint="default" w:ascii="Times New Roman" w:hAnsi="Times New Roman" w:eastAsia="仿宋_GB2312" w:cs="Times New Roman"/>
          <w:caps w:val="0"/>
          <w:color w:val="auto"/>
          <w:sz w:val="32"/>
          <w:highlight w:val="none"/>
          <w:lang w:val="en-US"/>
        </w:rPr>
        <w:t>一般公共预算财政拨款收入</w:t>
      </w:r>
      <w:r>
        <w:rPr>
          <w:rFonts w:hint="eastAsia" w:cs="Times New Roman"/>
          <w:caps w:val="0"/>
          <w:color w:val="auto"/>
          <w:kern w:val="2"/>
          <w:sz w:val="32"/>
          <w:szCs w:val="24"/>
          <w:highlight w:val="none"/>
          <w:lang w:val="en-US" w:eastAsia="zh-CN" w:bidi="ar-SA"/>
        </w:rPr>
        <w:t>643.44</w:t>
      </w:r>
      <w:r>
        <w:rPr>
          <w:rFonts w:hint="eastAsia" w:ascii="Times New Roman" w:hAnsi="Times New Roman" w:eastAsia="仿宋_GB2312" w:cs="Times New Roman"/>
          <w:caps w:val="0"/>
          <w:color w:val="auto"/>
          <w:sz w:val="32"/>
          <w:highlight w:val="none"/>
          <w:lang w:val="en-US" w:eastAsia="zh-CN"/>
        </w:rPr>
        <w:t>万元，</w:t>
      </w:r>
      <w:r>
        <w:rPr>
          <w:rFonts w:hint="eastAsia" w:ascii="Times New Roman" w:hAnsi="Times New Roman" w:cs="Times New Roman"/>
          <w:caps w:val="0"/>
          <w:color w:val="auto"/>
          <w:sz w:val="32"/>
          <w:highlight w:val="none"/>
          <w:lang w:val="en-US" w:eastAsia="zh-CN"/>
        </w:rPr>
        <w:t>占总决算的100.00%</w:t>
      </w:r>
      <w:r>
        <w:rPr>
          <w:rFonts w:hint="eastAsia" w:cs="Times New Roman"/>
          <w:caps w:val="0"/>
          <w:color w:val="auto"/>
          <w:sz w:val="32"/>
          <w:highlight w:val="none"/>
          <w:lang w:val="en-US" w:eastAsia="zh-CN"/>
        </w:rPr>
        <w:t>。</w:t>
      </w:r>
    </w:p>
    <w:p w14:paraId="5C1742C0">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aps w:val="0"/>
          <w:color w:val="auto"/>
          <w:kern w:val="0"/>
          <w:sz w:val="32"/>
          <w:szCs w:val="32"/>
          <w:highlight w:val="none"/>
          <w:shd w:val="clear" w:color="auto" w:fill="FFFFFF"/>
          <w:lang w:val="zh-CN"/>
        </w:rPr>
      </w:pPr>
      <w:r>
        <w:rPr>
          <w:rFonts w:hint="default" w:ascii="Times New Roman" w:hAnsi="Times New Roman" w:eastAsia="楷体_GB2312" w:cs="Times New Roman"/>
          <w:b/>
          <w:bCs/>
          <w:caps w:val="0"/>
          <w:color w:val="auto"/>
          <w:kern w:val="0"/>
          <w:sz w:val="32"/>
          <w:szCs w:val="32"/>
          <w:highlight w:val="none"/>
          <w:shd w:val="clear" w:color="auto" w:fill="FFFFFF"/>
          <w:lang w:val="zh-CN"/>
        </w:rPr>
        <w:t>（</w:t>
      </w:r>
      <w:r>
        <w:rPr>
          <w:rFonts w:hint="eastAsia" w:ascii="Times New Roman" w:hAnsi="Times New Roman" w:eastAsia="楷体_GB2312" w:cs="Times New Roman"/>
          <w:b/>
          <w:bCs/>
          <w:caps w:val="0"/>
          <w:color w:val="auto"/>
          <w:kern w:val="0"/>
          <w:sz w:val="32"/>
          <w:szCs w:val="32"/>
          <w:highlight w:val="none"/>
          <w:shd w:val="clear" w:color="auto" w:fill="FFFFFF"/>
          <w:lang w:val="zh-CN"/>
        </w:rPr>
        <w:t>二</w:t>
      </w:r>
      <w:r>
        <w:rPr>
          <w:rFonts w:hint="default" w:ascii="Times New Roman" w:hAnsi="Times New Roman" w:eastAsia="楷体_GB2312" w:cs="Times New Roman"/>
          <w:b/>
          <w:bCs/>
          <w:caps w:val="0"/>
          <w:color w:val="auto"/>
          <w:kern w:val="0"/>
          <w:sz w:val="32"/>
          <w:szCs w:val="32"/>
          <w:highlight w:val="none"/>
          <w:shd w:val="clear" w:color="auto" w:fill="FFFFFF"/>
          <w:lang w:val="zh-CN"/>
        </w:rPr>
        <w:t>）</w:t>
      </w:r>
      <w:r>
        <w:rPr>
          <w:rFonts w:hint="eastAsia" w:ascii="Times New Roman" w:hAnsi="Times New Roman" w:eastAsia="楷体_GB2312" w:cs="Times New Roman"/>
          <w:b/>
          <w:bCs/>
          <w:caps w:val="0"/>
          <w:color w:val="auto"/>
          <w:kern w:val="0"/>
          <w:sz w:val="32"/>
          <w:szCs w:val="32"/>
          <w:highlight w:val="none"/>
          <w:shd w:val="clear" w:color="auto" w:fill="FFFFFF"/>
          <w:lang w:val="zh-CN"/>
        </w:rPr>
        <w:t>支出情况</w:t>
      </w:r>
    </w:p>
    <w:p w14:paraId="00F7DE2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Times New Roman"/>
          <w:caps w:val="0"/>
          <w:color w:val="auto"/>
          <w:sz w:val="32"/>
          <w:szCs w:val="32"/>
          <w:highlight w:val="none"/>
          <w:lang w:val="en-US" w:eastAsia="zh-CN"/>
        </w:rPr>
      </w:pPr>
      <w:r>
        <w:rPr>
          <w:rFonts w:hint="eastAsia" w:cs="Times New Roman"/>
          <w:caps w:val="0"/>
          <w:color w:val="auto"/>
          <w:sz w:val="32"/>
          <w:szCs w:val="32"/>
          <w:highlight w:val="none"/>
          <w:lang w:val="en-US" w:eastAsia="zh-CN"/>
        </w:rPr>
        <w:t>我中心</w:t>
      </w:r>
      <w:r>
        <w:rPr>
          <w:rFonts w:hint="eastAsia" w:ascii="Times New Roman" w:hAnsi="Times New Roman" w:eastAsia="仿宋_GB2312" w:cs="Times New Roman"/>
          <w:caps w:val="0"/>
          <w:color w:val="auto"/>
          <w:kern w:val="2"/>
          <w:sz w:val="32"/>
          <w:szCs w:val="24"/>
          <w:highlight w:val="none"/>
          <w:lang w:val="en-US" w:eastAsia="zh-CN" w:bidi="ar-SA"/>
        </w:rPr>
        <w:t>202</w:t>
      </w:r>
      <w:r>
        <w:rPr>
          <w:rFonts w:hint="eastAsia" w:cs="Times New Roman"/>
          <w:caps w:val="0"/>
          <w:color w:val="auto"/>
          <w:kern w:val="2"/>
          <w:sz w:val="32"/>
          <w:szCs w:val="24"/>
          <w:highlight w:val="none"/>
          <w:lang w:val="en-US" w:eastAsia="zh-CN" w:bidi="ar-SA"/>
        </w:rPr>
        <w:t>5</w:t>
      </w:r>
      <w:r>
        <w:rPr>
          <w:rFonts w:hint="eastAsia" w:ascii="Times New Roman" w:hAnsi="Times New Roman" w:eastAsia="仿宋_GB2312" w:cs="Times New Roman"/>
          <w:caps w:val="0"/>
          <w:color w:val="auto"/>
          <w:sz w:val="32"/>
          <w:szCs w:val="32"/>
          <w:highlight w:val="none"/>
          <w:lang w:val="en-US" w:eastAsia="zh-CN"/>
        </w:rPr>
        <w:t>年年初支出预算数为</w:t>
      </w:r>
      <w:r>
        <w:rPr>
          <w:rFonts w:hint="eastAsia" w:cs="Times New Roman"/>
          <w:caps w:val="0"/>
          <w:color w:val="auto"/>
          <w:kern w:val="2"/>
          <w:sz w:val="32"/>
          <w:szCs w:val="24"/>
          <w:highlight w:val="none"/>
          <w:lang w:val="en-US" w:eastAsia="zh-CN" w:bidi="ar-SA"/>
        </w:rPr>
        <w:t>447</w:t>
      </w:r>
      <w:r>
        <w:rPr>
          <w:rFonts w:hint="eastAsia" w:ascii="Times New Roman" w:hAnsi="Times New Roman" w:cs="Times New Roman"/>
          <w:caps w:val="0"/>
          <w:color w:val="auto"/>
          <w:kern w:val="2"/>
          <w:sz w:val="32"/>
          <w:szCs w:val="24"/>
          <w:highlight w:val="none"/>
          <w:lang w:val="en-US" w:eastAsia="zh-CN" w:bidi="ar-SA"/>
        </w:rPr>
        <w:t>.</w:t>
      </w:r>
      <w:r>
        <w:rPr>
          <w:rFonts w:hint="eastAsia" w:cs="Times New Roman"/>
          <w:caps w:val="0"/>
          <w:color w:val="auto"/>
          <w:kern w:val="2"/>
          <w:sz w:val="32"/>
          <w:szCs w:val="24"/>
          <w:highlight w:val="none"/>
          <w:lang w:val="en-US" w:eastAsia="zh-CN" w:bidi="ar-SA"/>
        </w:rPr>
        <w:t>12</w:t>
      </w:r>
      <w:r>
        <w:rPr>
          <w:rFonts w:hint="eastAsia" w:ascii="Times New Roman" w:hAnsi="Times New Roman" w:eastAsia="仿宋_GB2312" w:cs="Times New Roman"/>
          <w:caps w:val="0"/>
          <w:color w:val="auto"/>
          <w:sz w:val="32"/>
          <w:szCs w:val="32"/>
          <w:highlight w:val="none"/>
          <w:lang w:val="en-US" w:eastAsia="zh-CN"/>
        </w:rPr>
        <w:t>万元，其中：基本支出</w:t>
      </w:r>
      <w:r>
        <w:rPr>
          <w:rFonts w:hint="eastAsia" w:cs="Times New Roman"/>
          <w:caps w:val="0"/>
          <w:color w:val="auto"/>
          <w:kern w:val="2"/>
          <w:sz w:val="32"/>
          <w:szCs w:val="24"/>
          <w:highlight w:val="none"/>
          <w:lang w:val="en-US" w:eastAsia="zh-CN" w:bidi="ar-SA"/>
        </w:rPr>
        <w:t>447</w:t>
      </w:r>
      <w:r>
        <w:rPr>
          <w:rFonts w:hint="eastAsia" w:ascii="Times New Roman" w:hAnsi="Times New Roman" w:cs="Times New Roman"/>
          <w:caps w:val="0"/>
          <w:color w:val="auto"/>
          <w:kern w:val="2"/>
          <w:sz w:val="32"/>
          <w:szCs w:val="24"/>
          <w:highlight w:val="none"/>
          <w:lang w:val="en-US" w:eastAsia="zh-CN" w:bidi="ar-SA"/>
        </w:rPr>
        <w:t>.</w:t>
      </w:r>
      <w:r>
        <w:rPr>
          <w:rFonts w:hint="eastAsia" w:cs="Times New Roman"/>
          <w:caps w:val="0"/>
          <w:color w:val="auto"/>
          <w:kern w:val="2"/>
          <w:sz w:val="32"/>
          <w:szCs w:val="24"/>
          <w:highlight w:val="none"/>
          <w:lang w:val="en-US" w:eastAsia="zh-CN" w:bidi="ar-SA"/>
        </w:rPr>
        <w:t>12</w:t>
      </w:r>
      <w:r>
        <w:rPr>
          <w:rFonts w:hint="eastAsia" w:ascii="Times New Roman" w:hAnsi="Times New Roman" w:eastAsia="仿宋_GB2312" w:cs="Times New Roman"/>
          <w:caps w:val="0"/>
          <w:color w:val="auto"/>
          <w:sz w:val="32"/>
          <w:szCs w:val="32"/>
          <w:highlight w:val="none"/>
          <w:lang w:val="en-US" w:eastAsia="zh-CN"/>
        </w:rPr>
        <w:t>万元，占支出总额的</w:t>
      </w:r>
      <w:r>
        <w:rPr>
          <w:rFonts w:hint="eastAsia" w:cs="Times New Roman"/>
          <w:caps w:val="0"/>
          <w:color w:val="auto"/>
          <w:sz w:val="32"/>
          <w:szCs w:val="32"/>
          <w:highlight w:val="none"/>
          <w:lang w:val="en-US" w:eastAsia="zh-CN"/>
        </w:rPr>
        <w:t>100.00</w:t>
      </w:r>
      <w:r>
        <w:rPr>
          <w:rFonts w:hint="eastAsia" w:ascii="Times New Roman" w:hAnsi="Times New Roman" w:eastAsia="仿宋_GB2312" w:cs="Times New Roman"/>
          <w:caps w:val="0"/>
          <w:color w:val="auto"/>
          <w:sz w:val="32"/>
          <w:szCs w:val="32"/>
          <w:highlight w:val="none"/>
          <w:lang w:val="en-US" w:eastAsia="zh-CN"/>
        </w:rPr>
        <w:t>%；项目支出</w:t>
      </w:r>
      <w:r>
        <w:rPr>
          <w:rFonts w:hint="eastAsia" w:cs="Times New Roman"/>
          <w:caps w:val="0"/>
          <w:color w:val="auto"/>
          <w:sz w:val="32"/>
          <w:szCs w:val="32"/>
          <w:highlight w:val="none"/>
          <w:lang w:val="en-US" w:eastAsia="zh-CN"/>
        </w:rPr>
        <w:t>0</w:t>
      </w:r>
      <w:r>
        <w:rPr>
          <w:rFonts w:hint="eastAsia" w:ascii="Times New Roman" w:hAnsi="Times New Roman" w:eastAsia="仿宋_GB2312" w:cs="Times New Roman"/>
          <w:caps w:val="0"/>
          <w:color w:val="auto"/>
          <w:sz w:val="32"/>
          <w:szCs w:val="32"/>
          <w:highlight w:val="none"/>
          <w:lang w:val="en-US" w:eastAsia="zh-CN"/>
        </w:rPr>
        <w:t>万元，占支出总额的</w:t>
      </w:r>
      <w:r>
        <w:rPr>
          <w:rFonts w:hint="eastAsia" w:cs="Times New Roman"/>
          <w:caps w:val="0"/>
          <w:color w:val="auto"/>
          <w:sz w:val="32"/>
          <w:szCs w:val="32"/>
          <w:highlight w:val="none"/>
          <w:lang w:val="en-US" w:eastAsia="zh-CN"/>
        </w:rPr>
        <w:t>0</w:t>
      </w:r>
      <w:r>
        <w:rPr>
          <w:rFonts w:hint="eastAsia" w:ascii="Times New Roman" w:hAnsi="Times New Roman" w:eastAsia="仿宋_GB2312" w:cs="Times New Roman"/>
          <w:caps w:val="0"/>
          <w:color w:val="auto"/>
          <w:sz w:val="32"/>
          <w:szCs w:val="32"/>
          <w:highlight w:val="none"/>
          <w:lang w:val="en-US" w:eastAsia="zh-CN"/>
        </w:rPr>
        <w:t>%。</w:t>
      </w:r>
    </w:p>
    <w:p w14:paraId="1D076A0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Times New Roman"/>
          <w:caps w:val="0"/>
          <w:color w:val="auto"/>
          <w:sz w:val="32"/>
          <w:szCs w:val="32"/>
          <w:highlight w:val="none"/>
          <w:lang w:val="en-US" w:eastAsia="zh-CN"/>
        </w:rPr>
      </w:pPr>
      <w:r>
        <w:rPr>
          <w:rFonts w:hint="eastAsia" w:cs="Times New Roman"/>
          <w:caps w:val="0"/>
          <w:color w:val="auto"/>
          <w:sz w:val="32"/>
          <w:szCs w:val="32"/>
          <w:highlight w:val="none"/>
          <w:lang w:val="en-US" w:eastAsia="zh-CN"/>
        </w:rPr>
        <w:t>我中心</w:t>
      </w:r>
      <w:r>
        <w:rPr>
          <w:rFonts w:hint="eastAsia" w:ascii="Times New Roman" w:hAnsi="Times New Roman" w:eastAsia="仿宋_GB2312" w:cs="Times New Roman"/>
          <w:caps w:val="0"/>
          <w:color w:val="auto"/>
          <w:kern w:val="2"/>
          <w:sz w:val="32"/>
          <w:szCs w:val="24"/>
          <w:highlight w:val="none"/>
          <w:lang w:val="en-US" w:eastAsia="zh-CN" w:bidi="ar-SA"/>
        </w:rPr>
        <w:t>202</w:t>
      </w:r>
      <w:r>
        <w:rPr>
          <w:rFonts w:hint="eastAsia" w:cs="Times New Roman"/>
          <w:caps w:val="0"/>
          <w:color w:val="auto"/>
          <w:kern w:val="2"/>
          <w:sz w:val="32"/>
          <w:szCs w:val="24"/>
          <w:highlight w:val="none"/>
          <w:lang w:val="en-US" w:eastAsia="zh-CN" w:bidi="ar-SA"/>
        </w:rPr>
        <w:t>5</w:t>
      </w:r>
      <w:r>
        <w:rPr>
          <w:rFonts w:hint="eastAsia" w:ascii="Times New Roman" w:hAnsi="Times New Roman" w:eastAsia="仿宋_GB2312" w:cs="Times New Roman"/>
          <w:caps w:val="0"/>
          <w:color w:val="auto"/>
          <w:sz w:val="32"/>
          <w:szCs w:val="32"/>
          <w:highlight w:val="none"/>
          <w:lang w:val="en-US" w:eastAsia="zh-CN"/>
        </w:rPr>
        <w:t>年支出决算数为</w:t>
      </w:r>
      <w:r>
        <w:rPr>
          <w:rFonts w:hint="eastAsia" w:cs="Times New Roman"/>
          <w:caps w:val="0"/>
          <w:color w:val="auto"/>
          <w:kern w:val="2"/>
          <w:sz w:val="32"/>
          <w:szCs w:val="24"/>
          <w:highlight w:val="none"/>
          <w:lang w:val="en-US" w:eastAsia="zh-CN" w:bidi="ar-SA"/>
        </w:rPr>
        <w:t>643.44</w:t>
      </w:r>
      <w:r>
        <w:rPr>
          <w:rFonts w:hint="eastAsia" w:ascii="Times New Roman" w:hAnsi="Times New Roman" w:eastAsia="仿宋_GB2312" w:cs="Times New Roman"/>
          <w:caps w:val="0"/>
          <w:color w:val="auto"/>
          <w:sz w:val="32"/>
          <w:szCs w:val="32"/>
          <w:highlight w:val="none"/>
          <w:lang w:val="en-US" w:eastAsia="zh-CN"/>
        </w:rPr>
        <w:t>万元，其中：基本支出</w:t>
      </w:r>
      <w:r>
        <w:rPr>
          <w:rFonts w:hint="eastAsia" w:cs="Times New Roman"/>
          <w:caps w:val="0"/>
          <w:color w:val="auto"/>
          <w:kern w:val="2"/>
          <w:sz w:val="32"/>
          <w:szCs w:val="24"/>
          <w:highlight w:val="none"/>
          <w:lang w:val="en-US" w:eastAsia="zh-CN" w:bidi="ar-SA"/>
        </w:rPr>
        <w:t>643.44</w:t>
      </w:r>
      <w:r>
        <w:rPr>
          <w:rFonts w:hint="eastAsia" w:ascii="Times New Roman" w:hAnsi="Times New Roman" w:eastAsia="仿宋_GB2312" w:cs="Times New Roman"/>
          <w:caps w:val="0"/>
          <w:color w:val="auto"/>
          <w:sz w:val="32"/>
          <w:szCs w:val="32"/>
          <w:highlight w:val="none"/>
          <w:lang w:val="en-US" w:eastAsia="zh-CN"/>
        </w:rPr>
        <w:t>万元，占支出总额的</w:t>
      </w:r>
      <w:r>
        <w:rPr>
          <w:rFonts w:hint="eastAsia" w:cs="Times New Roman"/>
          <w:caps w:val="0"/>
          <w:color w:val="auto"/>
          <w:sz w:val="32"/>
          <w:szCs w:val="32"/>
          <w:highlight w:val="none"/>
          <w:lang w:val="en-US" w:eastAsia="zh-CN"/>
        </w:rPr>
        <w:t>100.00</w:t>
      </w:r>
      <w:r>
        <w:rPr>
          <w:rFonts w:hint="eastAsia" w:ascii="Times New Roman" w:hAnsi="Times New Roman" w:eastAsia="仿宋_GB2312" w:cs="Times New Roman"/>
          <w:caps w:val="0"/>
          <w:color w:val="auto"/>
          <w:sz w:val="32"/>
          <w:szCs w:val="32"/>
          <w:highlight w:val="none"/>
          <w:lang w:val="en-US" w:eastAsia="zh-CN"/>
        </w:rPr>
        <w:t>%；项目支出</w:t>
      </w:r>
      <w:r>
        <w:rPr>
          <w:rFonts w:hint="eastAsia" w:cs="Times New Roman"/>
          <w:caps w:val="0"/>
          <w:color w:val="auto"/>
          <w:sz w:val="32"/>
          <w:szCs w:val="32"/>
          <w:highlight w:val="none"/>
          <w:lang w:val="en-US" w:eastAsia="zh-CN"/>
        </w:rPr>
        <w:t>0</w:t>
      </w:r>
      <w:r>
        <w:rPr>
          <w:rFonts w:hint="eastAsia" w:ascii="Times New Roman" w:hAnsi="Times New Roman" w:eastAsia="仿宋_GB2312" w:cs="Times New Roman"/>
          <w:caps w:val="0"/>
          <w:color w:val="auto"/>
          <w:sz w:val="32"/>
          <w:szCs w:val="32"/>
          <w:highlight w:val="none"/>
          <w:lang w:val="en-US" w:eastAsia="zh-CN"/>
        </w:rPr>
        <w:t>万元，占支出总额的</w:t>
      </w:r>
      <w:r>
        <w:rPr>
          <w:rFonts w:hint="eastAsia" w:cs="Times New Roman"/>
          <w:caps w:val="0"/>
          <w:color w:val="auto"/>
          <w:sz w:val="32"/>
          <w:szCs w:val="32"/>
          <w:highlight w:val="none"/>
          <w:lang w:val="en-US" w:eastAsia="zh-CN"/>
        </w:rPr>
        <w:t>0</w:t>
      </w:r>
      <w:r>
        <w:rPr>
          <w:rFonts w:hint="eastAsia" w:ascii="Times New Roman" w:hAnsi="Times New Roman" w:eastAsia="仿宋_GB2312" w:cs="Times New Roman"/>
          <w:caps w:val="0"/>
          <w:color w:val="auto"/>
          <w:sz w:val="32"/>
          <w:szCs w:val="32"/>
          <w:highlight w:val="none"/>
          <w:lang w:val="en-US" w:eastAsia="zh-CN"/>
        </w:rPr>
        <w:t>%。</w:t>
      </w:r>
    </w:p>
    <w:p w14:paraId="454F89A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eastAsia" w:ascii="Times New Roman" w:hAnsi="Times New Roman" w:eastAsia="楷体_GB2312" w:cs="Times New Roman"/>
          <w:b/>
          <w:caps w:val="0"/>
          <w:color w:val="auto"/>
          <w:sz w:val="32"/>
          <w:szCs w:val="32"/>
          <w:highlight w:val="none"/>
          <w:lang w:eastAsia="zh-CN"/>
        </w:rPr>
      </w:pPr>
      <w:r>
        <w:rPr>
          <w:rFonts w:hint="default" w:ascii="Times New Roman" w:hAnsi="Times New Roman" w:eastAsia="楷体_GB2312" w:cs="Times New Roman"/>
          <w:b/>
          <w:bCs/>
          <w:caps w:val="0"/>
          <w:color w:val="auto"/>
          <w:kern w:val="0"/>
          <w:sz w:val="32"/>
          <w:szCs w:val="32"/>
          <w:highlight w:val="none"/>
          <w:shd w:val="clear" w:color="auto" w:fill="FFFFFF"/>
          <w:lang w:val="zh-CN"/>
        </w:rPr>
        <w:t>（</w:t>
      </w:r>
      <w:r>
        <w:rPr>
          <w:rFonts w:hint="eastAsia" w:ascii="Times New Roman" w:hAnsi="Times New Roman" w:eastAsia="楷体_GB2312" w:cs="Times New Roman"/>
          <w:b/>
          <w:bCs/>
          <w:caps w:val="0"/>
          <w:color w:val="auto"/>
          <w:kern w:val="0"/>
          <w:sz w:val="32"/>
          <w:szCs w:val="32"/>
          <w:highlight w:val="none"/>
          <w:shd w:val="clear" w:color="auto" w:fill="FFFFFF"/>
          <w:lang w:val="zh-CN"/>
        </w:rPr>
        <w:t>三</w:t>
      </w:r>
      <w:r>
        <w:rPr>
          <w:rFonts w:hint="default" w:ascii="Times New Roman" w:hAnsi="Times New Roman" w:eastAsia="楷体_GB2312" w:cs="Times New Roman"/>
          <w:b/>
          <w:bCs/>
          <w:caps w:val="0"/>
          <w:color w:val="auto"/>
          <w:kern w:val="0"/>
          <w:sz w:val="32"/>
          <w:szCs w:val="32"/>
          <w:highlight w:val="none"/>
          <w:shd w:val="clear" w:color="auto" w:fill="FFFFFF"/>
          <w:lang w:val="zh-CN"/>
        </w:rPr>
        <w:t>）</w:t>
      </w:r>
      <w:r>
        <w:rPr>
          <w:rFonts w:hint="default" w:ascii="Times New Roman" w:hAnsi="Times New Roman" w:eastAsia="楷体_GB2312" w:cs="Times New Roman"/>
          <w:b/>
          <w:caps w:val="0"/>
          <w:color w:val="auto"/>
          <w:sz w:val="32"/>
          <w:szCs w:val="32"/>
          <w:highlight w:val="none"/>
        </w:rPr>
        <w:t>结余分配和结转结余情况</w:t>
      </w:r>
    </w:p>
    <w:p w14:paraId="65DA983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cs="Times New Roman"/>
          <w:caps w:val="0"/>
          <w:color w:val="auto"/>
          <w:kern w:val="2"/>
          <w:sz w:val="32"/>
          <w:szCs w:val="24"/>
          <w:highlight w:val="none"/>
          <w:lang w:val="en-US" w:eastAsia="zh-CN" w:bidi="ar-SA"/>
        </w:rPr>
      </w:pPr>
      <w:r>
        <w:rPr>
          <w:rFonts w:hint="eastAsia" w:cs="Times New Roman"/>
          <w:kern w:val="2"/>
          <w:sz w:val="32"/>
          <w:szCs w:val="24"/>
          <w:highlight w:val="none"/>
          <w:lang w:val="en-US" w:eastAsia="zh-CN" w:bidi="ar-SA"/>
        </w:rPr>
        <w:t>我中心</w:t>
      </w:r>
      <w:r>
        <w:rPr>
          <w:rFonts w:hint="default" w:ascii="Times New Roman" w:hAnsi="Times New Roman" w:eastAsia="仿宋_GB2312" w:cs="Times New Roman"/>
          <w:kern w:val="2"/>
          <w:sz w:val="32"/>
          <w:szCs w:val="24"/>
          <w:highlight w:val="none"/>
          <w:lang w:val="en-US" w:eastAsia="zh-CN" w:bidi="ar-SA"/>
        </w:rPr>
        <w:t>2025年决算报表</w:t>
      </w:r>
      <w:r>
        <w:rPr>
          <w:rFonts w:hint="default" w:ascii="Times New Roman" w:hAnsi="Times New Roman" w:eastAsia="仿宋_GB2312" w:cs="Times New Roman"/>
          <w:color w:val="auto"/>
          <w:sz w:val="32"/>
          <w:szCs w:val="32"/>
          <w:highlight w:val="none"/>
          <w:lang w:val="en-US" w:eastAsia="zh-CN"/>
        </w:rPr>
        <w:t>无结转结余</w:t>
      </w:r>
      <w:r>
        <w:rPr>
          <w:rFonts w:hint="eastAsia" w:ascii="Times New Roman" w:hAnsi="Times New Roman" w:cs="Times New Roman"/>
          <w:caps w:val="0"/>
          <w:color w:val="auto"/>
          <w:kern w:val="2"/>
          <w:sz w:val="32"/>
          <w:szCs w:val="24"/>
          <w:highlight w:val="none"/>
          <w:lang w:val="en-US" w:eastAsia="zh-CN" w:bidi="ar-SA"/>
        </w:rPr>
        <w:t>。</w:t>
      </w:r>
    </w:p>
    <w:p w14:paraId="10A2FDB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aps w:val="0"/>
          <w:color w:val="auto"/>
          <w:kern w:val="0"/>
          <w:szCs w:val="32"/>
          <w:highlight w:val="none"/>
          <w:shd w:val="clear" w:color="auto" w:fill="FFFFFF"/>
        </w:rPr>
      </w:pPr>
      <w:r>
        <w:rPr>
          <w:rFonts w:hint="default" w:ascii="Times New Roman" w:hAnsi="Times New Roman" w:eastAsia="黑体" w:cs="Times New Roman"/>
          <w:caps w:val="0"/>
          <w:color w:val="auto"/>
          <w:kern w:val="0"/>
          <w:szCs w:val="32"/>
          <w:highlight w:val="none"/>
          <w:shd w:val="clear" w:color="auto" w:fill="FFFFFF"/>
        </w:rPr>
        <w:t>三、</w:t>
      </w:r>
      <w:r>
        <w:rPr>
          <w:rFonts w:hint="default" w:ascii="Times New Roman" w:hAnsi="Times New Roman" w:eastAsia="黑体" w:cs="Times New Roman"/>
          <w:caps w:val="0"/>
          <w:color w:val="auto"/>
          <w:kern w:val="0"/>
          <w:szCs w:val="32"/>
          <w:highlight w:val="none"/>
          <w:u w:val="none"/>
          <w:shd w:val="clear" w:color="auto" w:fill="FFFFFF"/>
        </w:rPr>
        <w:t>部门</w:t>
      </w:r>
      <w:r>
        <w:rPr>
          <w:rFonts w:hint="default" w:ascii="Times New Roman" w:hAnsi="Times New Roman" w:eastAsia="黑体" w:cs="Times New Roman"/>
          <w:caps w:val="0"/>
          <w:color w:val="auto"/>
          <w:kern w:val="0"/>
          <w:szCs w:val="32"/>
          <w:highlight w:val="none"/>
          <w:u w:val="none"/>
          <w:shd w:val="clear" w:color="auto" w:fill="FFFFFF"/>
          <w:lang w:eastAsia="zh-CN"/>
        </w:rPr>
        <w:t>预算</w:t>
      </w:r>
      <w:r>
        <w:rPr>
          <w:rFonts w:hint="default" w:ascii="Times New Roman" w:hAnsi="Times New Roman" w:eastAsia="黑体" w:cs="Times New Roman"/>
          <w:caps w:val="0"/>
          <w:color w:val="auto"/>
          <w:kern w:val="0"/>
          <w:szCs w:val="32"/>
          <w:highlight w:val="none"/>
          <w:u w:val="none"/>
          <w:shd w:val="clear" w:color="auto" w:fill="FFFFFF"/>
        </w:rPr>
        <w:t>绩效</w:t>
      </w:r>
      <w:r>
        <w:rPr>
          <w:rFonts w:hint="default" w:ascii="Times New Roman" w:hAnsi="Times New Roman" w:eastAsia="黑体" w:cs="Times New Roman"/>
          <w:caps w:val="0"/>
          <w:color w:val="auto"/>
          <w:kern w:val="0"/>
          <w:szCs w:val="32"/>
          <w:highlight w:val="none"/>
          <w:u w:val="none"/>
          <w:shd w:val="clear" w:color="auto" w:fill="FFFFFF"/>
          <w:lang w:eastAsia="zh-CN"/>
        </w:rPr>
        <w:t>分析</w:t>
      </w:r>
    </w:p>
    <w:p w14:paraId="0D55BA3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cs="Times New Roman"/>
          <w:caps w:val="0"/>
          <w:color w:val="auto"/>
          <w:kern w:val="0"/>
          <w:szCs w:val="32"/>
          <w:highlight w:val="none"/>
          <w:shd w:val="clear" w:color="auto" w:fill="FFFFFF"/>
          <w:lang w:val="zh-CN"/>
        </w:rPr>
      </w:pPr>
      <w:r>
        <w:rPr>
          <w:rFonts w:hint="default" w:ascii="Times New Roman" w:hAnsi="Times New Roman" w:eastAsia="楷体_GB2312" w:cs="Times New Roman"/>
          <w:b/>
          <w:bCs/>
          <w:caps w:val="0"/>
          <w:color w:val="auto"/>
          <w:kern w:val="0"/>
          <w:szCs w:val="32"/>
          <w:highlight w:val="none"/>
          <w:shd w:val="clear" w:color="auto" w:fill="FFFFFF"/>
          <w:lang w:val="zh-CN"/>
        </w:rPr>
        <w:t>（一）</w:t>
      </w:r>
      <w:r>
        <w:rPr>
          <w:rFonts w:hint="eastAsia" w:ascii="Times New Roman" w:hAnsi="Times New Roman" w:eastAsia="楷体_GB2312" w:cs="Times New Roman"/>
          <w:b/>
          <w:bCs/>
          <w:caps w:val="0"/>
          <w:color w:val="auto"/>
          <w:kern w:val="0"/>
          <w:szCs w:val="32"/>
          <w:highlight w:val="none"/>
          <w:shd w:val="clear" w:color="auto" w:fill="FFFFFF"/>
          <w:lang w:val="zh-CN"/>
        </w:rPr>
        <w:t>部门预算</w:t>
      </w:r>
      <w:r>
        <w:rPr>
          <w:rFonts w:hint="default" w:ascii="Times New Roman" w:hAnsi="Times New Roman" w:eastAsia="楷体_GB2312" w:cs="Times New Roman"/>
          <w:b/>
          <w:bCs/>
          <w:caps w:val="0"/>
          <w:color w:val="auto"/>
          <w:kern w:val="0"/>
          <w:szCs w:val="32"/>
          <w:highlight w:val="none"/>
          <w:shd w:val="clear" w:color="auto" w:fill="FFFFFF"/>
          <w:lang w:val="zh-CN"/>
        </w:rPr>
        <w:t>总体绩效分析</w:t>
      </w:r>
    </w:p>
    <w:p w14:paraId="79470DE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2"/>
        <w:rPr>
          <w:rFonts w:hint="eastAsia" w:ascii="Times New Roman" w:hAnsi="Times New Roman" w:eastAsia="楷体_GB2312" w:cs="楷体_GB2312"/>
          <w:caps w:val="0"/>
          <w:color w:val="auto"/>
          <w:kern w:val="0"/>
          <w:szCs w:val="32"/>
          <w:highlight w:val="none"/>
          <w:shd w:val="clear" w:color="auto" w:fill="FFFFFF"/>
          <w:lang w:val="zh-CN"/>
        </w:rPr>
      </w:pPr>
      <w:r>
        <w:rPr>
          <w:rFonts w:hint="default" w:ascii="Times New Roman" w:hAnsi="Times New Roman" w:eastAsia="楷体_GB2312" w:cs="Times New Roman"/>
          <w:caps w:val="0"/>
          <w:color w:val="auto"/>
          <w:kern w:val="0"/>
          <w:szCs w:val="32"/>
          <w:highlight w:val="none"/>
          <w:shd w:val="clear" w:color="auto" w:fill="FFFFFF"/>
          <w:lang w:val="en-US" w:eastAsia="zh-CN"/>
        </w:rPr>
        <w:t>1</w:t>
      </w:r>
      <w:r>
        <w:rPr>
          <w:rFonts w:hint="eastAsia" w:ascii="Times New Roman" w:hAnsi="Times New Roman" w:eastAsia="楷体_GB2312" w:cs="Times New Roman"/>
          <w:caps w:val="0"/>
          <w:color w:val="auto"/>
          <w:kern w:val="0"/>
          <w:szCs w:val="32"/>
          <w:highlight w:val="none"/>
          <w:shd w:val="clear" w:color="auto" w:fill="FFFFFF"/>
          <w:lang w:val="en-US" w:eastAsia="zh-CN"/>
        </w:rPr>
        <w:t>．</w:t>
      </w:r>
      <w:r>
        <w:rPr>
          <w:rFonts w:hint="eastAsia" w:ascii="Times New Roman" w:hAnsi="Times New Roman" w:eastAsia="楷体_GB2312" w:cs="楷体_GB2312"/>
          <w:caps w:val="0"/>
          <w:color w:val="auto"/>
          <w:kern w:val="0"/>
          <w:szCs w:val="32"/>
          <w:highlight w:val="none"/>
          <w:shd w:val="clear" w:color="auto" w:fill="FFFFFF"/>
          <w:lang w:val="zh-CN"/>
        </w:rPr>
        <w:t>履职效能</w:t>
      </w:r>
    </w:p>
    <w:p w14:paraId="74F91D02">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Times New Roman"/>
          <w:caps w:val="0"/>
          <w:color w:val="auto"/>
          <w:kern w:val="0"/>
          <w:szCs w:val="32"/>
          <w:highlight w:val="none"/>
          <w:shd w:val="clear" w:color="auto" w:fill="FFFFFF"/>
          <w:lang w:val="en-US" w:eastAsia="zh-CN"/>
        </w:rPr>
      </w:pPr>
      <w:r>
        <w:rPr>
          <w:rFonts w:hint="eastAsia" w:ascii="Times New Roman" w:hAnsi="Times New Roman" w:cs="Times New Roman"/>
          <w:caps w:val="0"/>
          <w:color w:val="auto"/>
          <w:kern w:val="0"/>
          <w:szCs w:val="32"/>
          <w:highlight w:val="none"/>
          <w:shd w:val="clear" w:color="auto" w:fill="FFFFFF"/>
          <w:lang w:val="en-US" w:eastAsia="zh-CN"/>
        </w:rPr>
        <w:t>我中心作为阿坝州</w:t>
      </w:r>
      <w:r>
        <w:rPr>
          <w:rFonts w:hint="eastAsia" w:cs="Times New Roman"/>
          <w:caps w:val="0"/>
          <w:color w:val="auto"/>
          <w:kern w:val="0"/>
          <w:szCs w:val="32"/>
          <w:highlight w:val="none"/>
          <w:shd w:val="clear" w:color="auto" w:fill="FFFFFF"/>
          <w:lang w:val="en-US" w:eastAsia="zh-CN"/>
        </w:rPr>
        <w:t>市场监督管理局</w:t>
      </w:r>
      <w:r>
        <w:rPr>
          <w:rFonts w:hint="eastAsia" w:ascii="Times New Roman" w:hAnsi="Times New Roman" w:cs="Times New Roman"/>
          <w:caps w:val="0"/>
          <w:color w:val="auto"/>
          <w:kern w:val="0"/>
          <w:szCs w:val="32"/>
          <w:highlight w:val="none"/>
          <w:shd w:val="clear" w:color="auto" w:fill="FFFFFF"/>
          <w:lang w:val="en-US" w:eastAsia="zh-CN"/>
        </w:rPr>
        <w:t>下属二级预算单位，不涉及部门整体支出绩效目标的独立设置，但在2025年度预算执行过程中，始终坚持以预算为引领，强化资金统筹与过程管控，实现了全年预算执行率达到100%的既定目标。通过科学调度与精细管理，有效保障了各项工作的有序推进和重点任务的全面落实，圆满完成了年度各项工作任务。基于良好的预算执行成效和任务完成质量，本项指标得</w:t>
      </w:r>
      <w:r>
        <w:rPr>
          <w:rFonts w:hint="eastAsia" w:cs="Times New Roman"/>
          <w:caps w:val="0"/>
          <w:color w:val="auto"/>
          <w:kern w:val="0"/>
          <w:szCs w:val="32"/>
          <w:highlight w:val="none"/>
          <w:shd w:val="clear" w:color="auto" w:fill="FFFFFF"/>
          <w:lang w:val="en-US" w:eastAsia="zh-CN"/>
        </w:rPr>
        <w:t>15</w:t>
      </w:r>
      <w:r>
        <w:rPr>
          <w:rFonts w:hint="eastAsia" w:ascii="Times New Roman" w:hAnsi="Times New Roman" w:cs="Times New Roman"/>
          <w:caps w:val="0"/>
          <w:color w:val="auto"/>
          <w:kern w:val="0"/>
          <w:szCs w:val="32"/>
          <w:highlight w:val="none"/>
          <w:shd w:val="clear" w:color="auto" w:fill="FFFFFF"/>
          <w:lang w:val="en-US" w:eastAsia="zh-CN"/>
        </w:rPr>
        <w:t>分。</w:t>
      </w:r>
    </w:p>
    <w:p w14:paraId="0768149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ascii="Times New Roman" w:hAnsi="Times New Roman" w:cs="Times New Roman"/>
          <w:caps w:val="0"/>
          <w:color w:val="auto"/>
          <w:kern w:val="0"/>
          <w:szCs w:val="32"/>
          <w:highlight w:val="none"/>
          <w:shd w:val="clear" w:color="auto" w:fill="FFFFFF"/>
          <w:lang w:val="en-US" w:eastAsia="zh-CN"/>
        </w:rPr>
        <w:t>综上，根据评分标准，</w:t>
      </w:r>
      <w:r>
        <w:rPr>
          <w:rFonts w:hint="eastAsia" w:cs="Times New Roman"/>
          <w:caps w:val="0"/>
          <w:color w:val="auto"/>
          <w:kern w:val="0"/>
          <w:szCs w:val="32"/>
          <w:highlight w:val="none"/>
          <w:shd w:val="clear" w:color="auto" w:fill="FFFFFF"/>
          <w:lang w:val="en-US" w:eastAsia="zh-CN"/>
        </w:rPr>
        <w:t>我中心</w:t>
      </w:r>
      <w:r>
        <w:rPr>
          <w:rFonts w:hint="eastAsia" w:ascii="Times New Roman" w:hAnsi="Times New Roman" w:cs="Times New Roman"/>
          <w:caps w:val="0"/>
          <w:color w:val="auto"/>
          <w:kern w:val="0"/>
          <w:szCs w:val="32"/>
          <w:highlight w:val="none"/>
          <w:shd w:val="clear" w:color="auto" w:fill="FFFFFF"/>
          <w:lang w:val="en-US" w:eastAsia="zh-CN"/>
        </w:rPr>
        <w:t>履职效能指标不扣分，得15分</w:t>
      </w:r>
      <w:r>
        <w:rPr>
          <w:rFonts w:hint="eastAsia" w:ascii="Times New Roman" w:hAnsi="Times New Roman"/>
          <w:caps w:val="0"/>
          <w:color w:val="auto"/>
          <w:highlight w:val="none"/>
          <w:lang w:val="en-US" w:eastAsia="zh-CN"/>
        </w:rPr>
        <w:t>。</w:t>
      </w:r>
    </w:p>
    <w:p w14:paraId="09966069">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eastAsia="楷体_GB2312" w:cs="楷体_GB2312"/>
          <w:caps w:val="0"/>
          <w:color w:val="auto"/>
          <w:kern w:val="0"/>
          <w:szCs w:val="32"/>
          <w:highlight w:val="none"/>
          <w:shd w:val="clear" w:color="auto" w:fill="FFFFFF"/>
          <w:lang w:val="zh-CN"/>
        </w:rPr>
      </w:pPr>
      <w:r>
        <w:rPr>
          <w:rFonts w:hint="default" w:ascii="Times New Roman" w:hAnsi="Times New Roman" w:eastAsia="楷体_GB2312" w:cs="Times New Roman"/>
          <w:caps w:val="0"/>
          <w:color w:val="auto"/>
          <w:kern w:val="0"/>
          <w:szCs w:val="32"/>
          <w:highlight w:val="none"/>
          <w:shd w:val="clear" w:color="auto" w:fill="FFFFFF"/>
          <w:lang w:val="en-US" w:eastAsia="zh-CN"/>
        </w:rPr>
        <w:t>2</w:t>
      </w:r>
      <w:r>
        <w:rPr>
          <w:rFonts w:hint="eastAsia" w:ascii="Times New Roman" w:hAnsi="Times New Roman" w:eastAsia="楷体_GB2312" w:cs="Times New Roman"/>
          <w:caps w:val="0"/>
          <w:color w:val="auto"/>
          <w:kern w:val="0"/>
          <w:szCs w:val="32"/>
          <w:highlight w:val="none"/>
          <w:shd w:val="clear" w:color="auto" w:fill="FFFFFF"/>
          <w:lang w:val="en-US" w:eastAsia="zh-CN"/>
        </w:rPr>
        <w:t>．</w:t>
      </w:r>
      <w:r>
        <w:rPr>
          <w:rFonts w:hint="default" w:ascii="Times New Roman" w:hAnsi="Times New Roman" w:eastAsia="楷体_GB2312" w:cs="楷体_GB2312"/>
          <w:caps w:val="0"/>
          <w:color w:val="auto"/>
          <w:kern w:val="0"/>
          <w:szCs w:val="32"/>
          <w:highlight w:val="none"/>
          <w:shd w:val="clear" w:color="auto" w:fill="FFFFFF"/>
          <w:lang w:val="zh-CN"/>
        </w:rPr>
        <w:t>预算管理</w:t>
      </w:r>
    </w:p>
    <w:p w14:paraId="6485DD4B">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aps w:val="0"/>
          <w:color w:val="auto"/>
          <w:highlight w:val="none"/>
          <w:lang w:val="zh-CN"/>
        </w:rPr>
      </w:pPr>
      <w:r>
        <w:rPr>
          <w:rFonts w:hint="eastAsia" w:ascii="Times New Roman" w:hAnsi="Times New Roman"/>
          <w:caps w:val="0"/>
          <w:color w:val="auto"/>
          <w:highlight w:val="none"/>
          <w:lang w:val="zh-CN"/>
        </w:rPr>
        <w:t>（</w:t>
      </w:r>
      <w:r>
        <w:rPr>
          <w:rFonts w:hint="default" w:ascii="Times New Roman" w:hAnsi="Times New Roman" w:cs="Times New Roman"/>
          <w:caps w:val="0"/>
          <w:color w:val="auto"/>
          <w:highlight w:val="none"/>
          <w:lang w:val="en-US" w:eastAsia="zh-CN"/>
        </w:rPr>
        <w:t>1</w:t>
      </w:r>
      <w:r>
        <w:rPr>
          <w:rFonts w:hint="eastAsia" w:ascii="Times New Roman" w:hAnsi="Times New Roman"/>
          <w:caps w:val="0"/>
          <w:color w:val="auto"/>
          <w:highlight w:val="none"/>
          <w:lang w:val="zh-CN"/>
        </w:rPr>
        <w:t>）预算编制质量</w:t>
      </w:r>
    </w:p>
    <w:p w14:paraId="06B42227">
      <w:pPr>
        <w:pStyle w:val="10"/>
        <w:adjustRightInd w:val="0"/>
        <w:snapToGrid w:val="0"/>
        <w:spacing w:line="580" w:lineRule="exact"/>
        <w:ind w:left="0" w:leftChars="0" w:firstLine="640" w:firstLineChars="200"/>
        <w:rPr>
          <w:rFonts w:hint="eastAsia" w:ascii="Times New Roman" w:hAnsi="Times New Roman"/>
          <w:caps w:val="0"/>
          <w:color w:val="auto"/>
          <w:kern w:val="0"/>
          <w:highlight w:val="none"/>
          <w:shd w:val="clear" w:color="auto" w:fill="FFFFFF"/>
        </w:rPr>
      </w:pPr>
      <w:r>
        <w:rPr>
          <w:rFonts w:hint="eastAsia" w:ascii="Times New Roman" w:hAnsi="Times New Roman"/>
          <w:caps w:val="0"/>
          <w:color w:val="auto"/>
          <w:kern w:val="0"/>
          <w:highlight w:val="none"/>
          <w:shd w:val="clear" w:color="auto" w:fill="FFFFFF"/>
        </w:rPr>
        <w:t>2025年</w:t>
      </w:r>
      <w:r>
        <w:rPr>
          <w:rFonts w:hint="eastAsia"/>
          <w:caps w:val="0"/>
          <w:color w:val="auto"/>
          <w:kern w:val="0"/>
          <w:highlight w:val="none"/>
          <w:shd w:val="clear" w:color="auto" w:fill="FFFFFF"/>
          <w:lang w:eastAsia="zh-CN"/>
        </w:rPr>
        <w:t>我中心</w:t>
      </w:r>
      <w:r>
        <w:rPr>
          <w:rFonts w:hint="eastAsia" w:ascii="Times New Roman" w:hAnsi="Times New Roman"/>
          <w:caps w:val="0"/>
          <w:color w:val="auto"/>
          <w:kern w:val="0"/>
          <w:highlight w:val="none"/>
          <w:shd w:val="clear" w:color="auto" w:fill="FFFFFF"/>
        </w:rPr>
        <w:t>严格按照相关要求编制年初部门预算，根据2025年度预算执行情况，部门预算偏离程度如下：</w:t>
      </w:r>
    </w:p>
    <w:p w14:paraId="6861F0B8">
      <w:pPr>
        <w:pStyle w:val="10"/>
        <w:adjustRightInd w:val="0"/>
        <w:snapToGrid w:val="0"/>
        <w:spacing w:line="580" w:lineRule="exact"/>
        <w:ind w:left="0" w:leftChars="0" w:firstLine="640" w:firstLineChars="200"/>
        <w:rPr>
          <w:rFonts w:hint="eastAsia" w:ascii="Times New Roman" w:hAnsi="Times New Roman"/>
          <w:caps w:val="0"/>
          <w:color w:val="auto"/>
          <w:kern w:val="0"/>
          <w:highlight w:val="none"/>
          <w:shd w:val="clear" w:color="auto" w:fill="FFFFFF"/>
        </w:rPr>
      </w:pPr>
      <w:r>
        <w:rPr>
          <w:rFonts w:hint="eastAsia" w:ascii="Times New Roman" w:hAnsi="Times New Roman"/>
          <w:caps w:val="0"/>
          <w:color w:val="auto"/>
          <w:kern w:val="0"/>
          <w:highlight w:val="none"/>
          <w:shd w:val="clear" w:color="auto" w:fill="FFFFFF"/>
        </w:rPr>
        <w:t>①财政拨款预算偏离度=|预算执行数-年初预算数|÷年初预算数=|643.44-447.12|÷447.12×100%=43.</w:t>
      </w:r>
      <w:r>
        <w:rPr>
          <w:rFonts w:hint="eastAsia"/>
          <w:caps w:val="0"/>
          <w:color w:val="auto"/>
          <w:kern w:val="0"/>
          <w:highlight w:val="none"/>
          <w:shd w:val="clear" w:color="auto" w:fill="FFFFFF"/>
          <w:lang w:val="en-US" w:eastAsia="zh-CN"/>
        </w:rPr>
        <w:t>91</w:t>
      </w:r>
      <w:r>
        <w:rPr>
          <w:rFonts w:hint="eastAsia" w:ascii="Times New Roman" w:hAnsi="Times New Roman"/>
          <w:caps w:val="0"/>
          <w:color w:val="auto"/>
          <w:kern w:val="0"/>
          <w:highlight w:val="none"/>
          <w:shd w:val="clear" w:color="auto" w:fill="FFFFFF"/>
        </w:rPr>
        <w:t>%。</w:t>
      </w:r>
    </w:p>
    <w:p w14:paraId="399AD932">
      <w:pPr>
        <w:pStyle w:val="10"/>
        <w:adjustRightInd w:val="0"/>
        <w:snapToGrid w:val="0"/>
        <w:spacing w:line="580" w:lineRule="exact"/>
        <w:ind w:left="0" w:leftChars="0" w:firstLine="640" w:firstLineChars="200"/>
        <w:rPr>
          <w:rFonts w:hint="eastAsia" w:ascii="Times New Roman" w:hAnsi="Times New Roman"/>
          <w:caps w:val="0"/>
          <w:color w:val="auto"/>
          <w:kern w:val="0"/>
          <w:highlight w:val="none"/>
          <w:shd w:val="clear" w:color="auto" w:fill="FFFFFF"/>
        </w:rPr>
      </w:pPr>
      <w:r>
        <w:rPr>
          <w:rFonts w:hint="eastAsia" w:ascii="Times New Roman" w:hAnsi="Times New Roman"/>
          <w:caps w:val="0"/>
          <w:color w:val="auto"/>
          <w:kern w:val="0"/>
          <w:highlight w:val="none"/>
          <w:shd w:val="clear" w:color="auto" w:fill="FFFFFF"/>
        </w:rPr>
        <w:t>②资产配置预算偏离度=|预算执行数-年初预算数|÷年初预算数=|0.00-0.00|÷0.00×100%=0%。</w:t>
      </w:r>
    </w:p>
    <w:p w14:paraId="7CEA7FF0">
      <w:pPr>
        <w:pStyle w:val="10"/>
        <w:adjustRightInd w:val="0"/>
        <w:snapToGrid w:val="0"/>
        <w:spacing w:line="580" w:lineRule="exact"/>
        <w:ind w:left="0" w:leftChars="0" w:firstLine="640" w:firstLineChars="200"/>
        <w:rPr>
          <w:rFonts w:hint="eastAsia" w:ascii="Times New Roman" w:hAnsi="Times New Roman"/>
          <w:caps w:val="0"/>
          <w:color w:val="auto"/>
          <w:kern w:val="0"/>
          <w:highlight w:val="none"/>
          <w:shd w:val="clear" w:color="auto" w:fill="FFFFFF"/>
        </w:rPr>
      </w:pPr>
      <w:r>
        <w:rPr>
          <w:rFonts w:hint="eastAsia" w:ascii="Times New Roman" w:hAnsi="Times New Roman"/>
          <w:caps w:val="0"/>
          <w:color w:val="auto"/>
          <w:kern w:val="0"/>
          <w:highlight w:val="none"/>
          <w:shd w:val="clear" w:color="auto" w:fill="FFFFFF"/>
        </w:rPr>
        <w:t>③政府采购预算偏离度=|预算执行数-年初预算数|÷年初预算数=|</w:t>
      </w:r>
      <w:r>
        <w:rPr>
          <w:rFonts w:hint="eastAsia"/>
          <w:caps w:val="0"/>
          <w:color w:val="auto"/>
          <w:kern w:val="0"/>
          <w:highlight w:val="none"/>
          <w:shd w:val="clear" w:color="auto" w:fill="FFFFFF"/>
          <w:lang w:val="en-US" w:eastAsia="zh-CN"/>
        </w:rPr>
        <w:t>0.00</w:t>
      </w:r>
      <w:r>
        <w:rPr>
          <w:rFonts w:hint="eastAsia" w:ascii="Times New Roman" w:hAnsi="Times New Roman"/>
          <w:caps w:val="0"/>
          <w:color w:val="auto"/>
          <w:kern w:val="0"/>
          <w:highlight w:val="none"/>
          <w:shd w:val="clear" w:color="auto" w:fill="FFFFFF"/>
        </w:rPr>
        <w:t>-0.00|÷0.00×100%=</w:t>
      </w:r>
      <w:r>
        <w:rPr>
          <w:rFonts w:hint="eastAsia"/>
          <w:caps w:val="0"/>
          <w:color w:val="auto"/>
          <w:kern w:val="0"/>
          <w:highlight w:val="none"/>
          <w:shd w:val="clear" w:color="auto" w:fill="FFFFFF"/>
          <w:lang w:val="en-US" w:eastAsia="zh-CN"/>
        </w:rPr>
        <w:t>0</w:t>
      </w:r>
      <w:r>
        <w:rPr>
          <w:rFonts w:hint="eastAsia" w:ascii="Times New Roman" w:hAnsi="Times New Roman"/>
          <w:caps w:val="0"/>
          <w:color w:val="auto"/>
          <w:kern w:val="0"/>
          <w:highlight w:val="none"/>
          <w:shd w:val="clear" w:color="auto" w:fill="FFFFFF"/>
        </w:rPr>
        <w:t>%。</w:t>
      </w:r>
    </w:p>
    <w:p w14:paraId="15B5B75F">
      <w:pPr>
        <w:pStyle w:val="10"/>
        <w:adjustRightInd w:val="0"/>
        <w:snapToGrid w:val="0"/>
        <w:spacing w:line="580" w:lineRule="exact"/>
        <w:ind w:left="0" w:leftChars="0" w:firstLine="640" w:firstLineChars="200"/>
        <w:rPr>
          <w:rFonts w:hint="eastAsia" w:ascii="Times New Roman" w:hAnsi="Times New Roman"/>
          <w:caps w:val="0"/>
          <w:color w:val="auto"/>
          <w:kern w:val="0"/>
          <w:highlight w:val="none"/>
          <w:shd w:val="clear" w:color="auto" w:fill="FFFFFF"/>
        </w:rPr>
      </w:pPr>
      <w:r>
        <w:rPr>
          <w:rFonts w:hint="eastAsia" w:ascii="Times New Roman" w:hAnsi="Times New Roman"/>
          <w:caps w:val="0"/>
          <w:color w:val="auto"/>
          <w:kern w:val="0"/>
          <w:highlight w:val="none"/>
          <w:shd w:val="clear" w:color="auto" w:fill="FFFFFF"/>
        </w:rPr>
        <w:t>综上，该项指标得分=（1-财政拨款预算偏离度）×100%×4+（1-资产配置预算偏离度）×100%×2+（1-政府采购预算偏离度）×100%×2=4.26。</w:t>
      </w:r>
    </w:p>
    <w:p w14:paraId="6D31D47F">
      <w:pPr>
        <w:pStyle w:val="10"/>
        <w:adjustRightInd w:val="0"/>
        <w:snapToGrid w:val="0"/>
        <w:spacing w:line="580" w:lineRule="exact"/>
        <w:ind w:left="0" w:leftChars="0" w:firstLine="640" w:firstLineChars="200"/>
        <w:rPr>
          <w:rFonts w:ascii="Times New Roman" w:hAnsi="Times New Roman"/>
          <w:caps w:val="0"/>
          <w:color w:val="auto"/>
          <w:highlight w:val="none"/>
        </w:rPr>
      </w:pPr>
      <w:r>
        <w:rPr>
          <w:rFonts w:hint="eastAsia" w:ascii="Times New Roman" w:hAnsi="Times New Roman"/>
          <w:caps w:val="0"/>
          <w:color w:val="auto"/>
          <w:kern w:val="0"/>
          <w:highlight w:val="none"/>
          <w:shd w:val="clear" w:color="auto" w:fill="FFFFFF"/>
        </w:rPr>
        <w:t>根据评分标准，该项指标扣</w:t>
      </w:r>
      <w:r>
        <w:rPr>
          <w:rFonts w:hint="eastAsia"/>
          <w:caps w:val="0"/>
          <w:color w:val="auto"/>
          <w:kern w:val="0"/>
          <w:highlight w:val="none"/>
          <w:shd w:val="clear" w:color="auto" w:fill="FFFFFF"/>
          <w:lang w:val="en-US" w:eastAsia="zh-CN"/>
        </w:rPr>
        <w:t>1</w:t>
      </w:r>
      <w:r>
        <w:rPr>
          <w:rFonts w:hint="eastAsia" w:ascii="Times New Roman" w:hAnsi="Times New Roman"/>
          <w:caps w:val="0"/>
          <w:color w:val="auto"/>
          <w:kern w:val="0"/>
          <w:highlight w:val="none"/>
          <w:shd w:val="clear" w:color="auto" w:fill="FFFFFF"/>
        </w:rPr>
        <w:t>.</w:t>
      </w:r>
      <w:r>
        <w:rPr>
          <w:rFonts w:hint="eastAsia"/>
          <w:caps w:val="0"/>
          <w:color w:val="auto"/>
          <w:kern w:val="0"/>
          <w:highlight w:val="none"/>
          <w:shd w:val="clear" w:color="auto" w:fill="FFFFFF"/>
          <w:lang w:val="en-US" w:eastAsia="zh-CN"/>
        </w:rPr>
        <w:t>76</w:t>
      </w:r>
      <w:r>
        <w:rPr>
          <w:rFonts w:hint="eastAsia" w:ascii="Times New Roman" w:hAnsi="Times New Roman"/>
          <w:caps w:val="0"/>
          <w:color w:val="auto"/>
          <w:kern w:val="0"/>
          <w:highlight w:val="none"/>
          <w:shd w:val="clear" w:color="auto" w:fill="FFFFFF"/>
        </w:rPr>
        <w:t>分，得</w:t>
      </w:r>
      <w:r>
        <w:rPr>
          <w:rFonts w:hint="eastAsia"/>
          <w:caps w:val="0"/>
          <w:color w:val="auto"/>
          <w:kern w:val="0"/>
          <w:highlight w:val="none"/>
          <w:shd w:val="clear" w:color="auto" w:fill="FFFFFF"/>
          <w:lang w:val="en-US" w:eastAsia="zh-CN"/>
        </w:rPr>
        <w:t>6</w:t>
      </w:r>
      <w:r>
        <w:rPr>
          <w:rFonts w:hint="eastAsia" w:ascii="Times New Roman" w:hAnsi="Times New Roman"/>
          <w:caps w:val="0"/>
          <w:color w:val="auto"/>
          <w:kern w:val="0"/>
          <w:highlight w:val="none"/>
          <w:shd w:val="clear" w:color="auto" w:fill="FFFFFF"/>
        </w:rPr>
        <w:t>.2</w:t>
      </w:r>
      <w:r>
        <w:rPr>
          <w:rFonts w:hint="eastAsia"/>
          <w:caps w:val="0"/>
          <w:color w:val="auto"/>
          <w:kern w:val="0"/>
          <w:highlight w:val="none"/>
          <w:shd w:val="clear" w:color="auto" w:fill="FFFFFF"/>
          <w:lang w:val="en-US" w:eastAsia="zh-CN"/>
        </w:rPr>
        <w:t>4</w:t>
      </w:r>
      <w:r>
        <w:rPr>
          <w:rFonts w:hint="eastAsia" w:ascii="Times New Roman" w:hAnsi="Times New Roman"/>
          <w:caps w:val="0"/>
          <w:color w:val="auto"/>
          <w:kern w:val="0"/>
          <w:highlight w:val="none"/>
          <w:shd w:val="clear" w:color="auto" w:fill="FFFFFF"/>
        </w:rPr>
        <w:t>分</w:t>
      </w:r>
      <w:r>
        <w:rPr>
          <w:rFonts w:ascii="Times New Roman" w:hAnsi="Times New Roman"/>
          <w:caps w:val="0"/>
          <w:color w:val="auto"/>
          <w:kern w:val="0"/>
          <w:highlight w:val="none"/>
          <w:shd w:val="clear" w:color="auto" w:fill="FFFFFF"/>
        </w:rPr>
        <w:t>。</w:t>
      </w:r>
    </w:p>
    <w:p w14:paraId="0687B8E8">
      <w:pPr>
        <w:pageBreakBefore w:val="0"/>
        <w:widowControl w:val="0"/>
        <w:kinsoku/>
        <w:wordWrap/>
        <w:overflowPunct/>
        <w:topLinePunct w:val="0"/>
        <w:autoSpaceDE/>
        <w:autoSpaceDN/>
        <w:bidi w:val="0"/>
        <w:adjustRightInd/>
        <w:snapToGrid/>
        <w:spacing w:line="600" w:lineRule="exact"/>
        <w:textAlignment w:val="auto"/>
        <w:outlineLvl w:val="3"/>
        <w:rPr>
          <w:rFonts w:hint="default"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2</w:t>
      </w:r>
      <w:r>
        <w:rPr>
          <w:rFonts w:hint="eastAsia" w:ascii="Times New Roman" w:hAnsi="Times New Roman"/>
          <w:caps w:val="0"/>
          <w:color w:val="auto"/>
          <w:highlight w:val="none"/>
          <w:lang w:val="en-US" w:eastAsia="zh-CN"/>
        </w:rPr>
        <w:t>）单位收入统筹</w:t>
      </w:r>
    </w:p>
    <w:p w14:paraId="64E353E5">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lang w:val="en-US" w:eastAsia="zh-CN"/>
        </w:rPr>
      </w:pPr>
      <w:r>
        <w:rPr>
          <w:rFonts w:hint="eastAsia" w:cs="Times New Roman"/>
          <w:highlight w:val="none"/>
          <w:lang w:val="en-US" w:eastAsia="zh-CN"/>
        </w:rPr>
        <w:t>我中心</w:t>
      </w:r>
      <w:r>
        <w:rPr>
          <w:rFonts w:hint="default" w:ascii="Times New Roman" w:hAnsi="Times New Roman" w:cs="Times New Roman"/>
          <w:highlight w:val="none"/>
          <w:lang w:val="en-US" w:eastAsia="zh-CN"/>
        </w:rPr>
        <w:t>属于财政全额拨款单位，无自有收入，故不涉及此项考核。</w:t>
      </w:r>
    </w:p>
    <w:p w14:paraId="7C8C52D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s="Times New Roman"/>
          <w:caps w:val="0"/>
          <w:color w:val="auto"/>
          <w:kern w:val="2"/>
          <w:sz w:val="32"/>
          <w:szCs w:val="24"/>
          <w:highlight w:val="none"/>
          <w:lang w:val="en-US" w:eastAsia="zh-CN" w:bidi="ar-SA"/>
        </w:rPr>
      </w:pPr>
      <w:r>
        <w:rPr>
          <w:rFonts w:hint="default" w:ascii="Times New Roman" w:hAnsi="Times New Roman"/>
          <w:caps w:val="0"/>
          <w:color w:val="auto"/>
          <w:highlight w:val="none"/>
          <w:lang w:val="en-US" w:eastAsia="zh-CN"/>
        </w:rPr>
        <w:t>根据评分标准，该项指标</w:t>
      </w:r>
      <w:r>
        <w:rPr>
          <w:rFonts w:hint="eastAsia" w:ascii="Times New Roman" w:hAnsi="Times New Roman" w:cs="Times New Roman"/>
          <w:caps w:val="0"/>
          <w:color w:val="auto"/>
          <w:kern w:val="2"/>
          <w:sz w:val="32"/>
          <w:szCs w:val="24"/>
          <w:highlight w:val="none"/>
          <w:lang w:val="en-US" w:eastAsia="zh-CN" w:bidi="ar-SA"/>
        </w:rPr>
        <w:t>不扣分，得4分。</w:t>
      </w:r>
    </w:p>
    <w:p w14:paraId="52F5A009">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3</w:t>
      </w:r>
      <w:r>
        <w:rPr>
          <w:rFonts w:hint="eastAsia" w:ascii="Times New Roman" w:hAnsi="Times New Roman"/>
          <w:caps w:val="0"/>
          <w:color w:val="auto"/>
          <w:highlight w:val="none"/>
          <w:lang w:val="en-US" w:eastAsia="zh-CN"/>
        </w:rPr>
        <w:t>）支出执行进度</w:t>
      </w:r>
    </w:p>
    <w:p w14:paraId="438E6F09">
      <w:pPr>
        <w:pStyle w:val="10"/>
        <w:adjustRightInd w:val="0"/>
        <w:snapToGrid w:val="0"/>
        <w:spacing w:line="580" w:lineRule="exact"/>
        <w:ind w:left="0" w:leftChars="0" w:firstLine="640" w:firstLineChars="200"/>
        <w:rPr>
          <w:rFonts w:hint="eastAsia" w:ascii="Times New Roman" w:hAnsi="Times New Roman"/>
          <w:caps w:val="0"/>
          <w:color w:val="auto"/>
          <w:kern w:val="0"/>
          <w:highlight w:val="none"/>
          <w:shd w:val="clear" w:color="auto" w:fill="FFFFFF"/>
          <w:lang w:val="en-US" w:eastAsia="zh-CN"/>
        </w:rPr>
      </w:pPr>
      <w:r>
        <w:rPr>
          <w:rFonts w:hint="eastAsia" w:ascii="Times New Roman" w:hAnsi="Times New Roman"/>
          <w:caps w:val="0"/>
          <w:color w:val="auto"/>
          <w:kern w:val="0"/>
          <w:highlight w:val="none"/>
          <w:shd w:val="clear" w:color="auto" w:fill="FFFFFF"/>
          <w:lang w:val="en-US" w:eastAsia="zh-CN"/>
        </w:rPr>
        <w:t>202</w:t>
      </w:r>
      <w:r>
        <w:rPr>
          <w:rFonts w:hint="eastAsia"/>
          <w:caps w:val="0"/>
          <w:color w:val="auto"/>
          <w:kern w:val="0"/>
          <w:highlight w:val="none"/>
          <w:shd w:val="clear" w:color="auto" w:fill="FFFFFF"/>
          <w:lang w:val="en-US" w:eastAsia="zh-CN"/>
        </w:rPr>
        <w:t>5</w:t>
      </w:r>
      <w:r>
        <w:rPr>
          <w:rFonts w:hint="eastAsia" w:ascii="Times New Roman" w:hAnsi="Times New Roman"/>
          <w:caps w:val="0"/>
          <w:color w:val="auto"/>
          <w:kern w:val="0"/>
          <w:highlight w:val="none"/>
          <w:shd w:val="clear" w:color="auto" w:fill="FFFFFF"/>
          <w:lang w:val="en-US" w:eastAsia="zh-CN"/>
        </w:rPr>
        <w:t>年</w:t>
      </w:r>
      <w:r>
        <w:rPr>
          <w:rFonts w:hint="eastAsia"/>
          <w:caps w:val="0"/>
          <w:color w:val="auto"/>
          <w:kern w:val="0"/>
          <w:highlight w:val="none"/>
          <w:shd w:val="clear" w:color="auto" w:fill="FFFFFF"/>
          <w:lang w:val="en-US" w:eastAsia="zh-CN"/>
        </w:rPr>
        <w:t>我中心</w:t>
      </w:r>
      <w:r>
        <w:rPr>
          <w:rFonts w:hint="eastAsia" w:ascii="Times New Roman" w:hAnsi="Times New Roman"/>
          <w:caps w:val="0"/>
          <w:color w:val="auto"/>
          <w:kern w:val="0"/>
          <w:highlight w:val="none"/>
          <w:shd w:val="clear" w:color="auto" w:fill="FFFFFF"/>
          <w:lang w:val="en-US" w:eastAsia="zh-CN"/>
        </w:rPr>
        <w:t>全年预算数为643.44万元，1至6月预算执行数为</w:t>
      </w:r>
      <w:r>
        <w:rPr>
          <w:rFonts w:hint="eastAsia"/>
          <w:caps w:val="0"/>
          <w:color w:val="auto"/>
          <w:kern w:val="0"/>
          <w:highlight w:val="none"/>
          <w:shd w:val="clear" w:color="auto" w:fill="FFFFFF"/>
          <w:lang w:val="en-US" w:eastAsia="zh-CN"/>
        </w:rPr>
        <w:t>340.22</w:t>
      </w:r>
      <w:r>
        <w:rPr>
          <w:rFonts w:hint="eastAsia" w:ascii="Times New Roman" w:hAnsi="Times New Roman"/>
          <w:caps w:val="0"/>
          <w:color w:val="auto"/>
          <w:kern w:val="0"/>
          <w:highlight w:val="none"/>
          <w:shd w:val="clear" w:color="auto" w:fill="FFFFFF"/>
          <w:lang w:val="en-US" w:eastAsia="zh-CN"/>
        </w:rPr>
        <w:t>万元，支出预警金额为0万元，支出预警金额占比为0%，支出违规金额为0万元，支出违规金额占比为0%。</w:t>
      </w:r>
    </w:p>
    <w:p w14:paraId="23E1CB7B">
      <w:pPr>
        <w:pStyle w:val="10"/>
        <w:adjustRightInd w:val="0"/>
        <w:snapToGrid w:val="0"/>
        <w:spacing w:line="580" w:lineRule="exact"/>
        <w:ind w:left="0" w:leftChars="0" w:firstLine="640" w:firstLineChars="200"/>
        <w:rPr>
          <w:rFonts w:hint="eastAsia" w:ascii="Times New Roman" w:hAnsi="Times New Roman"/>
          <w:caps w:val="0"/>
          <w:color w:val="auto"/>
          <w:kern w:val="0"/>
          <w:highlight w:val="none"/>
          <w:shd w:val="clear" w:color="auto" w:fill="FFFFFF"/>
          <w:lang w:val="en-US" w:eastAsia="zh-CN"/>
        </w:rPr>
      </w:pPr>
      <w:r>
        <w:rPr>
          <w:rFonts w:hint="eastAsia" w:ascii="Times New Roman" w:hAnsi="Times New Roman"/>
          <w:caps w:val="0"/>
          <w:color w:val="auto"/>
          <w:kern w:val="0"/>
          <w:highlight w:val="none"/>
          <w:shd w:val="clear" w:color="auto" w:fill="FFFFFF"/>
          <w:lang w:val="en-US" w:eastAsia="zh-CN"/>
        </w:rPr>
        <w:t>1至10月预算执行数为</w:t>
      </w:r>
      <w:r>
        <w:rPr>
          <w:rFonts w:hint="eastAsia"/>
          <w:caps w:val="0"/>
          <w:color w:val="auto"/>
          <w:kern w:val="0"/>
          <w:highlight w:val="none"/>
          <w:shd w:val="clear" w:color="auto" w:fill="FFFFFF"/>
          <w:lang w:val="en-US" w:eastAsia="zh-CN"/>
        </w:rPr>
        <w:t>552.53</w:t>
      </w:r>
      <w:r>
        <w:rPr>
          <w:rFonts w:hint="eastAsia" w:ascii="Times New Roman" w:hAnsi="Times New Roman"/>
          <w:caps w:val="0"/>
          <w:color w:val="auto"/>
          <w:kern w:val="0"/>
          <w:highlight w:val="none"/>
          <w:shd w:val="clear" w:color="auto" w:fill="FFFFFF"/>
          <w:lang w:val="en-US" w:eastAsia="zh-CN"/>
        </w:rPr>
        <w:t>万元，支出预警金额为0万元，支出预警金额占比为0%，支出违规金额为0万元，支出违规金额占比为0%。</w:t>
      </w:r>
    </w:p>
    <w:p w14:paraId="38502894">
      <w:pPr>
        <w:pStyle w:val="10"/>
        <w:adjustRightInd w:val="0"/>
        <w:snapToGrid w:val="0"/>
        <w:spacing w:line="580" w:lineRule="exact"/>
        <w:ind w:left="0" w:leftChars="0" w:firstLine="640" w:firstLineChars="200"/>
        <w:rPr>
          <w:rFonts w:ascii="Times New Roman" w:hAnsi="Times New Roman"/>
          <w:caps w:val="0"/>
          <w:color w:val="auto"/>
          <w:highlight w:val="none"/>
        </w:rPr>
      </w:pPr>
      <w:r>
        <w:rPr>
          <w:rFonts w:ascii="Times New Roman" w:hAnsi="Times New Roman"/>
          <w:caps w:val="0"/>
          <w:color w:val="auto"/>
          <w:kern w:val="0"/>
          <w:highlight w:val="none"/>
          <w:shd w:val="clear" w:color="auto" w:fill="FFFFFF"/>
        </w:rPr>
        <w:t>根据评分标准，该项指标</w:t>
      </w:r>
      <w:r>
        <w:rPr>
          <w:rFonts w:hint="eastAsia"/>
          <w:caps w:val="0"/>
          <w:color w:val="auto"/>
          <w:kern w:val="0"/>
          <w:highlight w:val="none"/>
          <w:shd w:val="clear" w:color="auto" w:fill="FFFFFF"/>
          <w:lang w:val="en-US" w:eastAsia="zh-CN"/>
        </w:rPr>
        <w:t>不</w:t>
      </w:r>
      <w:r>
        <w:rPr>
          <w:rFonts w:ascii="Times New Roman" w:hAnsi="Times New Roman"/>
          <w:caps w:val="0"/>
          <w:color w:val="auto"/>
          <w:kern w:val="0"/>
          <w:highlight w:val="none"/>
          <w:shd w:val="clear" w:color="auto" w:fill="FFFFFF"/>
        </w:rPr>
        <w:t>扣分</w:t>
      </w:r>
      <w:r>
        <w:rPr>
          <w:rFonts w:hint="eastAsia"/>
          <w:caps w:val="0"/>
          <w:color w:val="auto"/>
          <w:kern w:val="0"/>
          <w:highlight w:val="none"/>
          <w:shd w:val="clear" w:color="auto" w:fill="FFFFFF"/>
          <w:lang w:eastAsia="zh-CN"/>
        </w:rPr>
        <w:t>，</w:t>
      </w:r>
      <w:r>
        <w:rPr>
          <w:rFonts w:ascii="Times New Roman" w:hAnsi="Times New Roman"/>
          <w:caps w:val="0"/>
          <w:color w:val="auto"/>
          <w:kern w:val="0"/>
          <w:highlight w:val="none"/>
          <w:shd w:val="clear" w:color="auto" w:fill="FFFFFF"/>
        </w:rPr>
        <w:t>得</w:t>
      </w:r>
      <w:r>
        <w:rPr>
          <w:rFonts w:hint="eastAsia"/>
          <w:caps w:val="0"/>
          <w:color w:val="auto"/>
          <w:kern w:val="0"/>
          <w:highlight w:val="none"/>
          <w:shd w:val="clear" w:color="auto" w:fill="FFFFFF"/>
          <w:lang w:val="en-US" w:eastAsia="zh-CN"/>
        </w:rPr>
        <w:t>6</w:t>
      </w:r>
      <w:r>
        <w:rPr>
          <w:rFonts w:ascii="Times New Roman" w:hAnsi="Times New Roman"/>
          <w:caps w:val="0"/>
          <w:color w:val="auto"/>
          <w:kern w:val="0"/>
          <w:highlight w:val="none"/>
          <w:shd w:val="clear" w:color="auto" w:fill="FFFFFF"/>
        </w:rPr>
        <w:t>分。</w:t>
      </w:r>
    </w:p>
    <w:p w14:paraId="15359DA1">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aps w:val="0"/>
          <w:color w:val="auto"/>
          <w:highlight w:val="none"/>
          <w:lang w:val="en-US" w:eastAsia="zh-CN"/>
        </w:rPr>
        <w:t>4</w:t>
      </w:r>
      <w:r>
        <w:rPr>
          <w:rFonts w:hint="eastAsia" w:ascii="Times New Roman" w:hAnsi="Times New Roman"/>
          <w:caps w:val="0"/>
          <w:color w:val="auto"/>
          <w:highlight w:val="none"/>
          <w:lang w:val="en-US" w:eastAsia="zh-CN"/>
        </w:rPr>
        <w:t>）预算年终结余</w:t>
      </w:r>
    </w:p>
    <w:p w14:paraId="5A038B9E">
      <w:pPr>
        <w:adjustRightInd w:val="0"/>
        <w:snapToGrid w:val="0"/>
        <w:spacing w:line="580" w:lineRule="exact"/>
        <w:ind w:firstLine="640" w:firstLineChars="200"/>
        <w:rPr>
          <w:rFonts w:ascii="Times New Roman" w:hAnsi="Times New Roman"/>
          <w:caps w:val="0"/>
          <w:color w:val="auto"/>
          <w:kern w:val="0"/>
          <w:highlight w:val="none"/>
          <w:shd w:val="clear" w:color="auto" w:fill="FFFFFF"/>
        </w:rPr>
      </w:pPr>
      <w:r>
        <w:rPr>
          <w:rFonts w:hint="eastAsia"/>
          <w:caps w:val="0"/>
          <w:color w:val="auto"/>
          <w:kern w:val="0"/>
          <w:highlight w:val="none"/>
          <w:shd w:val="clear" w:color="auto" w:fill="FFFFFF"/>
          <w:lang w:val="en-US" w:eastAsia="zh-CN"/>
        </w:rPr>
        <w:t>我中心无预算年终结余</w:t>
      </w:r>
      <w:r>
        <w:rPr>
          <w:rFonts w:ascii="Times New Roman" w:hAnsi="Times New Roman"/>
          <w:caps w:val="0"/>
          <w:color w:val="auto"/>
          <w:kern w:val="0"/>
          <w:highlight w:val="none"/>
          <w:shd w:val="clear" w:color="auto" w:fill="FFFFFF"/>
        </w:rPr>
        <w:t>。</w:t>
      </w:r>
    </w:p>
    <w:p w14:paraId="7037B2DD">
      <w:pPr>
        <w:pStyle w:val="10"/>
        <w:adjustRightInd w:val="0"/>
        <w:snapToGrid w:val="0"/>
        <w:spacing w:line="580" w:lineRule="exact"/>
        <w:ind w:left="0" w:leftChars="0" w:firstLine="640" w:firstLineChars="200"/>
        <w:rPr>
          <w:rFonts w:ascii="Times New Roman" w:hAnsi="Times New Roman"/>
          <w:caps w:val="0"/>
          <w:color w:val="auto"/>
          <w:highlight w:val="none"/>
        </w:rPr>
      </w:pPr>
      <w:r>
        <w:rPr>
          <w:rFonts w:ascii="Times New Roman" w:hAnsi="Times New Roman"/>
          <w:caps w:val="0"/>
          <w:color w:val="auto"/>
          <w:kern w:val="0"/>
          <w:highlight w:val="none"/>
          <w:shd w:val="clear" w:color="auto" w:fill="FFFFFF"/>
        </w:rPr>
        <w:t>根据评分标准，该项指标</w:t>
      </w:r>
      <w:r>
        <w:rPr>
          <w:rFonts w:hint="eastAsia"/>
          <w:caps w:val="0"/>
          <w:color w:val="auto"/>
          <w:kern w:val="0"/>
          <w:highlight w:val="none"/>
          <w:shd w:val="clear" w:color="auto" w:fill="FFFFFF"/>
          <w:lang w:val="en-US" w:eastAsia="zh-CN"/>
        </w:rPr>
        <w:t>不扣</w:t>
      </w:r>
      <w:r>
        <w:rPr>
          <w:rFonts w:ascii="Times New Roman" w:hAnsi="Times New Roman"/>
          <w:caps w:val="0"/>
          <w:color w:val="auto"/>
          <w:kern w:val="0"/>
          <w:highlight w:val="none"/>
          <w:shd w:val="clear" w:color="auto" w:fill="FFFFFF"/>
        </w:rPr>
        <w:t>分</w:t>
      </w:r>
      <w:r>
        <w:rPr>
          <w:rFonts w:hint="eastAsia"/>
          <w:caps w:val="0"/>
          <w:color w:val="auto"/>
          <w:kern w:val="0"/>
          <w:highlight w:val="none"/>
          <w:shd w:val="clear" w:color="auto" w:fill="FFFFFF"/>
          <w:lang w:eastAsia="zh-CN"/>
        </w:rPr>
        <w:t>，</w:t>
      </w:r>
      <w:r>
        <w:rPr>
          <w:rFonts w:ascii="Times New Roman" w:hAnsi="Times New Roman"/>
          <w:caps w:val="0"/>
          <w:color w:val="auto"/>
          <w:kern w:val="0"/>
          <w:highlight w:val="none"/>
          <w:shd w:val="clear" w:color="auto" w:fill="FFFFFF"/>
        </w:rPr>
        <w:t>得</w:t>
      </w:r>
      <w:r>
        <w:rPr>
          <w:rFonts w:hint="eastAsia"/>
          <w:caps w:val="0"/>
          <w:color w:val="auto"/>
          <w:kern w:val="0"/>
          <w:highlight w:val="none"/>
          <w:shd w:val="clear" w:color="auto" w:fill="FFFFFF"/>
          <w:lang w:val="en-US" w:eastAsia="zh-CN"/>
        </w:rPr>
        <w:t>2</w:t>
      </w:r>
      <w:r>
        <w:rPr>
          <w:rFonts w:ascii="Times New Roman" w:hAnsi="Times New Roman"/>
          <w:caps w:val="0"/>
          <w:color w:val="auto"/>
          <w:kern w:val="0"/>
          <w:highlight w:val="none"/>
          <w:shd w:val="clear" w:color="auto" w:fill="FFFFFF"/>
        </w:rPr>
        <w:t>分。</w:t>
      </w:r>
    </w:p>
    <w:p w14:paraId="6B802473">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5</w:t>
      </w:r>
      <w:r>
        <w:rPr>
          <w:rFonts w:hint="eastAsia" w:ascii="Times New Roman" w:hAnsi="Times New Roman"/>
          <w:caps w:val="0"/>
          <w:color w:val="auto"/>
          <w:highlight w:val="none"/>
          <w:lang w:val="en-US" w:eastAsia="zh-CN"/>
        </w:rPr>
        <w:t>）严控一般性支出</w:t>
      </w:r>
    </w:p>
    <w:p w14:paraId="02399678">
      <w:pPr>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highlight w:val="none"/>
          <w:lang w:val="en-US" w:eastAsia="zh-CN"/>
        </w:rPr>
      </w:pPr>
      <w:r>
        <w:rPr>
          <w:rFonts w:hint="eastAsia" w:cs="Times New Roman"/>
          <w:highlight w:val="none"/>
          <w:lang w:val="en-US" w:eastAsia="zh-CN"/>
        </w:rPr>
        <w:t>我中心</w:t>
      </w:r>
      <w:r>
        <w:rPr>
          <w:rFonts w:hint="default" w:ascii="Times New Roman" w:hAnsi="Times New Roman" w:cs="Times New Roman"/>
          <w:highlight w:val="none"/>
          <w:lang w:val="en-US" w:eastAsia="zh-CN"/>
        </w:rPr>
        <w:t>2025年度</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三公</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经费、会议、培训、差旅、办节办展、办公设备购置、信息网络及软件购置更新、课题经费等8项一般性支出情况详见下表3-1。</w:t>
      </w:r>
    </w:p>
    <w:p w14:paraId="4306C08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表3-12025年度一般性支出情况表</w:t>
      </w:r>
    </w:p>
    <w:p w14:paraId="68A4E482">
      <w:pPr>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单位：万元</w:t>
      </w:r>
    </w:p>
    <w:tbl>
      <w:tblPr>
        <w:tblStyle w:val="6"/>
        <w:tblW w:w="49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537"/>
        <w:gridCol w:w="1855"/>
        <w:gridCol w:w="1745"/>
        <w:gridCol w:w="1533"/>
        <w:gridCol w:w="1547"/>
      </w:tblGrid>
      <w:tr w14:paraId="1B6D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0A548F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127A3AF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项目名称</w:t>
            </w:r>
          </w:p>
        </w:tc>
        <w:tc>
          <w:tcPr>
            <w:tcW w:w="1043"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0FB8CC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2024</w:t>
            </w:r>
            <w:r>
              <w:rPr>
                <w:rFonts w:hint="default" w:ascii="Times New Roman" w:hAnsi="Times New Roman" w:eastAsia="仿宋_GB2312" w:cs="Times New Roman"/>
                <w:i w:val="0"/>
                <w:iCs w:val="0"/>
                <w:color w:val="000000"/>
                <w:kern w:val="0"/>
                <w:sz w:val="24"/>
                <w:szCs w:val="24"/>
                <w:highlight w:val="none"/>
                <w:u w:val="none"/>
                <w:lang w:val="en-US" w:eastAsia="zh-CN" w:bidi="ar"/>
              </w:rPr>
              <w:t>年年初预算数</w:t>
            </w:r>
          </w:p>
        </w:tc>
        <w:tc>
          <w:tcPr>
            <w:tcW w:w="981"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4DB3784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2025年</w:t>
            </w:r>
            <w:r>
              <w:rPr>
                <w:rFonts w:hint="default" w:ascii="Times New Roman" w:hAnsi="Times New Roman" w:eastAsia="仿宋_GB2312" w:cs="Times New Roman"/>
                <w:i w:val="0"/>
                <w:iCs w:val="0"/>
                <w:color w:val="000000"/>
                <w:kern w:val="0"/>
                <w:sz w:val="24"/>
                <w:szCs w:val="24"/>
                <w:highlight w:val="none"/>
                <w:u w:val="none"/>
                <w:lang w:val="en-US" w:eastAsia="zh-CN" w:bidi="ar"/>
              </w:rPr>
              <w:t>年初预算数</w:t>
            </w:r>
          </w:p>
        </w:tc>
        <w:tc>
          <w:tcPr>
            <w:tcW w:w="862"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521E54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2024</w:t>
            </w:r>
            <w:r>
              <w:rPr>
                <w:rFonts w:hint="default" w:ascii="Times New Roman" w:hAnsi="Times New Roman" w:eastAsia="仿宋_GB2312" w:cs="Times New Roman"/>
                <w:i w:val="0"/>
                <w:iCs w:val="0"/>
                <w:color w:val="000000"/>
                <w:kern w:val="0"/>
                <w:sz w:val="24"/>
                <w:szCs w:val="24"/>
                <w:highlight w:val="none"/>
                <w:u w:val="none"/>
                <w:lang w:val="en-US" w:eastAsia="zh-CN" w:bidi="ar"/>
              </w:rPr>
              <w:t>年预算执行数</w:t>
            </w:r>
          </w:p>
        </w:tc>
        <w:tc>
          <w:tcPr>
            <w:tcW w:w="86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656FA2A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2025年</w:t>
            </w:r>
            <w:r>
              <w:rPr>
                <w:rFonts w:hint="default" w:ascii="Times New Roman" w:hAnsi="Times New Roman" w:eastAsia="仿宋_GB2312" w:cs="Times New Roman"/>
                <w:i w:val="0"/>
                <w:iCs w:val="0"/>
                <w:color w:val="000000"/>
                <w:kern w:val="0"/>
                <w:sz w:val="24"/>
                <w:szCs w:val="24"/>
                <w:highlight w:val="none"/>
                <w:u w:val="none"/>
                <w:lang w:val="en-US" w:eastAsia="zh-CN" w:bidi="ar"/>
              </w:rPr>
              <w:t>预算执行数</w:t>
            </w:r>
          </w:p>
        </w:tc>
      </w:tr>
      <w:tr w14:paraId="6F42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0CF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738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三公</w:t>
            </w:r>
            <w:r>
              <w:rPr>
                <w:rFonts w:hint="eastAsia" w:ascii="Times New Roman" w:hAnsi="Times New Roman"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91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r>
              <w:rPr>
                <w:rFonts w:hint="eastAsia" w:cs="Times New Roman"/>
                <w:i w:val="0"/>
                <w:iCs w:val="0"/>
                <w:color w:val="000000"/>
                <w:sz w:val="24"/>
                <w:szCs w:val="24"/>
                <w:highlight w:val="none"/>
                <w:u w:val="none"/>
                <w:lang w:val="en-US" w:eastAsia="zh-CN"/>
              </w:rPr>
              <w:t>.28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A9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r>
              <w:rPr>
                <w:rFonts w:hint="eastAsia" w:cs="Times New Roman"/>
                <w:i w:val="0"/>
                <w:iCs w:val="0"/>
                <w:color w:val="000000"/>
                <w:sz w:val="24"/>
                <w:szCs w:val="24"/>
                <w:highlight w:val="none"/>
                <w:u w:val="none"/>
                <w:lang w:val="en-US" w:eastAsia="zh-CN"/>
              </w:rPr>
              <w:t>.58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4E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688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r>
      <w:tr w14:paraId="3025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5B0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E0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会议费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C8F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E5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05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062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r>
      <w:tr w14:paraId="5ED8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E0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2C7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培训费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06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2.32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23D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3.8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A69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r>
              <w:rPr>
                <w:rFonts w:hint="eastAsia" w:cs="Times New Roman"/>
                <w:i w:val="0"/>
                <w:iCs w:val="0"/>
                <w:color w:val="000000"/>
                <w:sz w:val="24"/>
                <w:szCs w:val="24"/>
                <w:highlight w:val="none"/>
                <w:u w:val="none"/>
                <w:lang w:val="en-US" w:eastAsia="zh-CN"/>
              </w:rPr>
              <w:t>.34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79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r>
              <w:rPr>
                <w:rFonts w:hint="eastAsia" w:cs="Times New Roman"/>
                <w:i w:val="0"/>
                <w:iCs w:val="0"/>
                <w:color w:val="000000"/>
                <w:sz w:val="24"/>
                <w:szCs w:val="24"/>
                <w:highlight w:val="none"/>
                <w:u w:val="none"/>
                <w:lang w:val="en-US" w:eastAsia="zh-CN"/>
              </w:rPr>
              <w:t>.88</w:t>
            </w:r>
          </w:p>
        </w:tc>
      </w:tr>
      <w:tr w14:paraId="064D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76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EB2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差旅费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EF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5.94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0B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13.07</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971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1.03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09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17.82</w:t>
            </w:r>
          </w:p>
        </w:tc>
      </w:tr>
      <w:tr w14:paraId="46CB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171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5C2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办节办展</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ED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94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5E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E7F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r>
      <w:tr w14:paraId="062A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28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21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办公设备购置</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3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0B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DC7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43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r>
      <w:tr w14:paraId="7008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6B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788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信息网络及软件购置更新经费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91C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646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1E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C1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r>
      <w:tr w14:paraId="1EE8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F6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16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课题经费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358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47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3A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0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0</w:t>
            </w:r>
          </w:p>
        </w:tc>
      </w:tr>
      <w:tr w14:paraId="519C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3F2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合计</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58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highlight w:val="none"/>
                <w:u w:val="none"/>
                <w:lang w:val="en-US" w:eastAsia="zh-CN"/>
              </w:rPr>
            </w:pPr>
            <w:r>
              <w:rPr>
                <w:rFonts w:hint="eastAsia" w:ascii="Times New Roman" w:hAnsi="Times New Roman" w:eastAsia="仿宋_GB2312" w:cs="Times New Roman"/>
                <w:b/>
                <w:bCs/>
                <w:i w:val="0"/>
                <w:iCs w:val="0"/>
                <w:color w:val="000000"/>
                <w:sz w:val="24"/>
                <w:szCs w:val="24"/>
                <w:highlight w:val="none"/>
                <w:u w:val="none"/>
                <w:lang w:val="en-US" w:eastAsia="zh-CN"/>
              </w:rPr>
              <w:t>8.54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45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highlight w:val="none"/>
                <w:u w:val="none"/>
                <w:lang w:val="en-US" w:eastAsia="zh-CN"/>
              </w:rPr>
            </w:pPr>
            <w:r>
              <w:rPr>
                <w:rFonts w:hint="eastAsia" w:ascii="Times New Roman" w:hAnsi="Times New Roman" w:eastAsia="仿宋_GB2312" w:cs="Times New Roman"/>
                <w:b/>
                <w:bCs/>
                <w:i w:val="0"/>
                <w:iCs w:val="0"/>
                <w:color w:val="000000"/>
                <w:sz w:val="24"/>
                <w:szCs w:val="24"/>
                <w:highlight w:val="none"/>
                <w:u w:val="none"/>
                <w:lang w:val="en-US" w:eastAsia="zh-CN"/>
              </w:rPr>
              <w:t>17.45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0D3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highlight w:val="none"/>
                <w:u w:val="none"/>
                <w:lang w:val="en-US" w:eastAsia="zh-CN"/>
              </w:rPr>
            </w:pPr>
            <w:r>
              <w:rPr>
                <w:rFonts w:hint="eastAsia" w:ascii="Times New Roman" w:hAnsi="Times New Roman" w:eastAsia="仿宋_GB2312" w:cs="Times New Roman"/>
                <w:b/>
                <w:bCs/>
                <w:i w:val="0"/>
                <w:iCs w:val="0"/>
                <w:color w:val="000000"/>
                <w:sz w:val="24"/>
                <w:szCs w:val="24"/>
                <w:highlight w:val="none"/>
                <w:u w:val="none"/>
                <w:lang w:val="en-US" w:eastAsia="zh-CN"/>
              </w:rPr>
              <w:t>1.37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E3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highlight w:val="none"/>
                <w:u w:val="none"/>
                <w:lang w:val="en-US" w:eastAsia="zh-CN"/>
              </w:rPr>
            </w:pPr>
            <w:r>
              <w:rPr>
                <w:rFonts w:hint="eastAsia" w:ascii="Times New Roman" w:hAnsi="Times New Roman" w:eastAsia="仿宋_GB2312" w:cs="Times New Roman"/>
                <w:b/>
                <w:bCs/>
                <w:i w:val="0"/>
                <w:iCs w:val="0"/>
                <w:color w:val="000000"/>
                <w:sz w:val="24"/>
                <w:szCs w:val="24"/>
                <w:highlight w:val="none"/>
                <w:u w:val="none"/>
                <w:lang w:val="en-US" w:eastAsia="zh-CN"/>
              </w:rPr>
              <w:t>18.7</w:t>
            </w:r>
          </w:p>
        </w:tc>
      </w:tr>
    </w:tbl>
    <w:p w14:paraId="1C633088">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一般性支出财政拨款年初预算较上年</w:t>
      </w:r>
      <w:r>
        <w:rPr>
          <w:rFonts w:hint="eastAsia" w:cs="Times New Roman"/>
          <w:highlight w:val="none"/>
          <w:lang w:val="en-US" w:eastAsia="zh-CN"/>
        </w:rPr>
        <w:t>增加</w:t>
      </w:r>
      <w:r>
        <w:rPr>
          <w:rFonts w:hint="default" w:ascii="Times New Roman" w:hAnsi="Times New Roman" w:cs="Times New Roman"/>
          <w:highlight w:val="none"/>
          <w:lang w:val="en-US" w:eastAsia="zh-CN"/>
        </w:rPr>
        <w:t>，一般性支出财政拨款预算执行数较上年</w:t>
      </w:r>
      <w:r>
        <w:rPr>
          <w:rFonts w:hint="eastAsia" w:cs="Times New Roman"/>
          <w:highlight w:val="none"/>
          <w:lang w:val="en-US" w:eastAsia="zh-CN"/>
        </w:rPr>
        <w:t>增加</w:t>
      </w:r>
      <w:r>
        <w:rPr>
          <w:rFonts w:hint="default" w:ascii="Times New Roman" w:hAnsi="Times New Roman" w:cs="Times New Roman"/>
          <w:highlight w:val="none"/>
          <w:lang w:val="en-US" w:eastAsia="zh-CN"/>
        </w:rPr>
        <w:t>。</w:t>
      </w:r>
    </w:p>
    <w:p w14:paraId="531C4B53">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根据评分标准，该项</w:t>
      </w:r>
      <w:r>
        <w:rPr>
          <w:rFonts w:hint="eastAsia" w:cs="Times New Roman"/>
          <w:highlight w:val="none"/>
          <w:lang w:val="en-US" w:eastAsia="zh-CN"/>
        </w:rPr>
        <w:t>指标</w:t>
      </w:r>
      <w:r>
        <w:rPr>
          <w:rFonts w:hint="default" w:ascii="Times New Roman" w:hAnsi="Times New Roman" w:cs="Times New Roman"/>
          <w:highlight w:val="none"/>
          <w:lang w:val="en-US" w:eastAsia="zh-CN"/>
        </w:rPr>
        <w:t>扣</w:t>
      </w:r>
      <w:r>
        <w:rPr>
          <w:rFonts w:hint="eastAsia" w:cs="Times New Roman"/>
          <w:highlight w:val="none"/>
          <w:lang w:val="en-US" w:eastAsia="zh-CN"/>
        </w:rPr>
        <w:t>5</w:t>
      </w:r>
      <w:r>
        <w:rPr>
          <w:rFonts w:hint="default" w:ascii="Times New Roman" w:hAnsi="Times New Roman" w:cs="Times New Roman"/>
          <w:highlight w:val="none"/>
          <w:lang w:val="en-US" w:eastAsia="zh-CN"/>
        </w:rPr>
        <w:t>分，得</w:t>
      </w:r>
      <w:r>
        <w:rPr>
          <w:rFonts w:hint="eastAsia" w:cs="Times New Roman"/>
          <w:highlight w:val="none"/>
          <w:lang w:val="en-US" w:eastAsia="zh-CN"/>
        </w:rPr>
        <w:t>0</w:t>
      </w:r>
      <w:r>
        <w:rPr>
          <w:rFonts w:hint="default" w:ascii="Times New Roman" w:hAnsi="Times New Roman" w:cs="Times New Roman"/>
          <w:highlight w:val="none"/>
          <w:lang w:val="en-US" w:eastAsia="zh-CN"/>
        </w:rPr>
        <w:t>分。</w:t>
      </w:r>
    </w:p>
    <w:p w14:paraId="3331002E">
      <w:pPr>
        <w:pStyle w:val="2"/>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rPr>
      </w:pPr>
      <w:r>
        <w:rPr>
          <w:rFonts w:hint="default" w:ascii="Times New Roman" w:hAnsi="Times New Roman" w:cs="Times New Roman"/>
          <w:caps w:val="0"/>
          <w:color w:val="auto"/>
          <w:highlight w:val="none"/>
          <w:lang w:val="en-US" w:eastAsia="zh-CN"/>
        </w:rPr>
        <w:t>3</w:t>
      </w:r>
      <w:r>
        <w:rPr>
          <w:rFonts w:hint="eastAsia" w:ascii="Times New Roman" w:hAnsi="Times New Roman" w:cs="Times New Roman"/>
          <w:caps w:val="0"/>
          <w:color w:val="auto"/>
          <w:highlight w:val="none"/>
          <w:lang w:val="en-US" w:eastAsia="zh-CN"/>
        </w:rPr>
        <w:t>．</w:t>
      </w:r>
      <w:r>
        <w:rPr>
          <w:rFonts w:hint="default" w:ascii="Times New Roman" w:hAnsi="Times New Roman"/>
          <w:caps w:val="0"/>
          <w:color w:val="auto"/>
          <w:highlight w:val="none"/>
          <w:lang w:val="zh-CN"/>
        </w:rPr>
        <w:t>财务管理</w:t>
      </w:r>
    </w:p>
    <w:p w14:paraId="621AD1C3">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（1）财务管理制度</w:t>
      </w:r>
    </w:p>
    <w:p w14:paraId="6432743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为加强和规范</w:t>
      </w: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内部控制管理水平和风险防范能力，健全规范内部控制机制，加强廉政风险防控机制建设，</w:t>
      </w: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202</w:t>
      </w:r>
      <w:r>
        <w:rPr>
          <w:rFonts w:hint="eastAsia"/>
          <w:caps w:val="0"/>
          <w:color w:val="auto"/>
          <w:highlight w:val="none"/>
          <w:lang w:val="en-US" w:eastAsia="zh-CN"/>
        </w:rPr>
        <w:t>5</w:t>
      </w:r>
      <w:r>
        <w:rPr>
          <w:rFonts w:hint="eastAsia" w:ascii="Times New Roman" w:hAnsi="Times New Roman"/>
          <w:caps w:val="0"/>
          <w:color w:val="auto"/>
          <w:highlight w:val="none"/>
          <w:lang w:val="zh-CN" w:eastAsia="zh-CN"/>
        </w:rPr>
        <w:t>年在对预算、收支、政府采购、资产、建设项目、合同等各类经济业务活动流程梳理的基础上，依据《中华人民共和国会计法》《中华人民共和国预算法》《中华人民共和国政府采购法》《政府会计制度》《行政事业单位内部控制规范（试行）》《关于全面推进行政事业单位内部控制建设的指导意见》（财会〔2015〕24号）、《四川省财政厅关于印发〈四川省省级行政事业单位内部控制建设指引〉的通知》（川财会〔2019〕37号）等文件编制了《财务内部控制制度》，部门内部财务管理制度等制度机制建立健全，制度得到有效执行。</w:t>
      </w:r>
    </w:p>
    <w:p w14:paraId="0321BC1B">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根据评分标准，该项指标不扣分，得4分。</w:t>
      </w:r>
    </w:p>
    <w:p w14:paraId="257C98F2">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（2）财务岗位设置</w:t>
      </w:r>
    </w:p>
    <w:p w14:paraId="3FA3E8C2">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按照《中华人民共和国会计法》《中华人民共和国预算法》等相关法律，合理设置了单位财务岗位，明确了各岗位职责权限确保工作有序进行，同时，</w:t>
      </w: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制定的《财务内部控制制度》明确表示了财务收支统一核算管理，会计和出纳岗位分设，出纳人员不得兼管审核、会计档案保管，在财务实际设置过程中，做到了将会计与出纳、审核与执行等岗位分离，形成了相互制约、监督的机制，进而增强了财务数据的准确性，提升了内部控制效能，确保了财务工作的高效与透明。</w:t>
      </w:r>
    </w:p>
    <w:p w14:paraId="76980902">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根据评分标准，该项指标不扣分，得2分。</w:t>
      </w:r>
    </w:p>
    <w:p w14:paraId="77351888">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（3）资金使用规范</w:t>
      </w:r>
    </w:p>
    <w:p w14:paraId="76761E7F">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严格按照已制定的内部控制制度文件和国家财经法规要求使用资金，资金使用符合相关财务管理制度规定，资金的拨付有完整的审批程序和手续，对项目的重大开支进行了评估论证，资金使用符合部门预算批复的用途，不存在截留、挤占、挪用、虚列支出等情况。</w:t>
      </w:r>
    </w:p>
    <w:p w14:paraId="05C20661">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根据评分标准，该项指标不扣分，得4分。</w:t>
      </w:r>
    </w:p>
    <w:p w14:paraId="6918E3FD">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eastAsia="楷体_GB2312" w:cs="楷体_GB2312"/>
          <w:caps w:val="0"/>
          <w:color w:val="auto"/>
          <w:highlight w:val="none"/>
          <w:lang w:val="zh-CN"/>
        </w:rPr>
      </w:pPr>
      <w:r>
        <w:rPr>
          <w:rFonts w:hint="eastAsia" w:ascii="Times New Roman" w:hAnsi="Times New Roman" w:eastAsia="楷体_GB2312" w:cs="楷体_GB2312"/>
          <w:caps w:val="0"/>
          <w:color w:val="auto"/>
          <w:highlight w:val="none"/>
          <w:lang w:val="en-US" w:eastAsia="zh-CN"/>
        </w:rPr>
        <w:t>4．</w:t>
      </w:r>
      <w:r>
        <w:rPr>
          <w:rFonts w:hint="eastAsia" w:ascii="Times New Roman" w:hAnsi="Times New Roman" w:eastAsia="楷体_GB2312" w:cs="楷体_GB2312"/>
          <w:caps w:val="0"/>
          <w:color w:val="auto"/>
          <w:highlight w:val="none"/>
          <w:lang w:val="zh-CN"/>
        </w:rPr>
        <w:t>资产管理</w:t>
      </w:r>
    </w:p>
    <w:p w14:paraId="3AECDA0C">
      <w:pPr>
        <w:keepNext w:val="0"/>
        <w:keepLines w:val="0"/>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zh-CN" w:eastAsia="zh-CN"/>
        </w:rPr>
        <w:t>（1）人均资产变化率</w:t>
      </w:r>
    </w:p>
    <w:p w14:paraId="7D82F3F0">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202</w:t>
      </w:r>
      <w:r>
        <w:rPr>
          <w:rFonts w:hint="eastAsia"/>
          <w:caps w:val="0"/>
          <w:color w:val="auto"/>
          <w:highlight w:val="none"/>
          <w:lang w:val="en-US" w:eastAsia="zh-CN"/>
        </w:rPr>
        <w:t>4</w:t>
      </w:r>
      <w:r>
        <w:rPr>
          <w:rFonts w:hint="eastAsia" w:ascii="Times New Roman" w:hAnsi="Times New Roman"/>
          <w:caps w:val="0"/>
          <w:color w:val="auto"/>
          <w:highlight w:val="none"/>
          <w:lang w:val="zh-CN" w:eastAsia="zh-CN"/>
        </w:rPr>
        <w:t>年末实有在编在职人数为</w:t>
      </w:r>
      <w:r>
        <w:rPr>
          <w:rFonts w:hint="eastAsia"/>
          <w:caps w:val="0"/>
          <w:color w:val="auto"/>
          <w:highlight w:val="none"/>
          <w:lang w:val="en-US" w:eastAsia="zh-CN"/>
        </w:rPr>
        <w:t>21</w:t>
      </w:r>
      <w:r>
        <w:rPr>
          <w:rFonts w:hint="eastAsia" w:ascii="Times New Roman" w:hAnsi="Times New Roman"/>
          <w:caps w:val="0"/>
          <w:color w:val="auto"/>
          <w:highlight w:val="none"/>
          <w:lang w:val="zh-CN" w:eastAsia="zh-CN"/>
        </w:rPr>
        <w:t>人，固定资产和无形资产期末账面值净值合计</w:t>
      </w:r>
      <w:r>
        <w:rPr>
          <w:rFonts w:hint="eastAsia"/>
          <w:caps w:val="0"/>
          <w:color w:val="auto"/>
          <w:highlight w:val="none"/>
          <w:lang w:val="en-US" w:eastAsia="zh-CN"/>
        </w:rPr>
        <w:t>2.46</w:t>
      </w:r>
      <w:r>
        <w:rPr>
          <w:rFonts w:hint="eastAsia" w:ascii="Times New Roman" w:hAnsi="Times New Roman"/>
          <w:caps w:val="0"/>
          <w:color w:val="auto"/>
          <w:highlight w:val="none"/>
          <w:lang w:val="zh-CN" w:eastAsia="zh-CN"/>
        </w:rPr>
        <w:t>万元；202</w:t>
      </w:r>
      <w:r>
        <w:rPr>
          <w:rFonts w:hint="eastAsia"/>
          <w:caps w:val="0"/>
          <w:color w:val="auto"/>
          <w:highlight w:val="none"/>
          <w:lang w:val="en-US" w:eastAsia="zh-CN"/>
        </w:rPr>
        <w:t>5</w:t>
      </w:r>
      <w:r>
        <w:rPr>
          <w:rFonts w:hint="eastAsia" w:ascii="Times New Roman" w:hAnsi="Times New Roman"/>
          <w:caps w:val="0"/>
          <w:color w:val="auto"/>
          <w:highlight w:val="none"/>
          <w:lang w:val="zh-CN" w:eastAsia="zh-CN"/>
        </w:rPr>
        <w:t>年末实有在职在编人数为</w:t>
      </w:r>
      <w:r>
        <w:rPr>
          <w:rFonts w:hint="eastAsia"/>
          <w:caps w:val="0"/>
          <w:color w:val="auto"/>
          <w:highlight w:val="none"/>
          <w:lang w:val="en-US" w:eastAsia="zh-CN"/>
        </w:rPr>
        <w:t>33</w:t>
      </w:r>
      <w:r>
        <w:rPr>
          <w:rFonts w:hint="eastAsia" w:ascii="Times New Roman" w:hAnsi="Times New Roman"/>
          <w:caps w:val="0"/>
          <w:color w:val="auto"/>
          <w:highlight w:val="none"/>
          <w:lang w:val="zh-CN" w:eastAsia="zh-CN"/>
        </w:rPr>
        <w:t>人，固定资产和无形资产净值合计</w:t>
      </w:r>
      <w:r>
        <w:rPr>
          <w:rFonts w:hint="eastAsia"/>
          <w:caps w:val="0"/>
          <w:color w:val="auto"/>
          <w:highlight w:val="none"/>
          <w:lang w:val="en-US" w:eastAsia="zh-CN"/>
        </w:rPr>
        <w:t>0.98</w:t>
      </w:r>
      <w:r>
        <w:rPr>
          <w:rFonts w:hint="eastAsia" w:ascii="Times New Roman" w:hAnsi="Times New Roman"/>
          <w:caps w:val="0"/>
          <w:color w:val="auto"/>
          <w:highlight w:val="none"/>
          <w:lang w:val="zh-CN" w:eastAsia="zh-CN"/>
        </w:rPr>
        <w:t>万元。人均占有资产及人均资产变化率计算公式分别为“（固定资产净值+无形资产净值)/在职人数、(当年人均资产-上年人均资产)/上年人均资产”。故</w:t>
      </w:r>
      <w:r>
        <w:rPr>
          <w:rFonts w:hint="eastAsia"/>
          <w:caps w:val="0"/>
          <w:color w:val="auto"/>
          <w:highlight w:val="none"/>
          <w:lang w:val="zh-CN" w:eastAsia="zh-CN"/>
        </w:rPr>
        <w:t>我中心</w:t>
      </w:r>
      <w:r>
        <w:rPr>
          <w:rFonts w:hint="eastAsia" w:ascii="Times New Roman" w:hAnsi="Times New Roman"/>
          <w:caps w:val="0"/>
          <w:color w:val="auto"/>
          <w:highlight w:val="none"/>
          <w:lang w:val="en-US" w:eastAsia="zh-CN"/>
        </w:rPr>
        <w:t>202</w:t>
      </w:r>
      <w:r>
        <w:rPr>
          <w:rFonts w:hint="eastAsia"/>
          <w:caps w:val="0"/>
          <w:color w:val="auto"/>
          <w:highlight w:val="none"/>
          <w:lang w:val="en-US" w:eastAsia="zh-CN"/>
        </w:rPr>
        <w:t>4</w:t>
      </w:r>
      <w:r>
        <w:rPr>
          <w:rFonts w:hint="eastAsia" w:ascii="Times New Roman" w:hAnsi="Times New Roman"/>
          <w:caps w:val="0"/>
          <w:color w:val="auto"/>
          <w:highlight w:val="none"/>
          <w:lang w:val="zh-CN" w:eastAsia="zh-CN"/>
        </w:rPr>
        <w:t>、202</w:t>
      </w:r>
      <w:r>
        <w:rPr>
          <w:rFonts w:hint="eastAsia"/>
          <w:caps w:val="0"/>
          <w:color w:val="auto"/>
          <w:highlight w:val="none"/>
          <w:lang w:val="en-US" w:eastAsia="zh-CN"/>
        </w:rPr>
        <w:t>5</w:t>
      </w:r>
      <w:r>
        <w:rPr>
          <w:rFonts w:hint="eastAsia" w:ascii="Times New Roman" w:hAnsi="Times New Roman"/>
          <w:caps w:val="0"/>
          <w:color w:val="auto"/>
          <w:highlight w:val="none"/>
          <w:lang w:val="zh-CN" w:eastAsia="zh-CN"/>
        </w:rPr>
        <w:t>年人均占有资产分别为</w:t>
      </w:r>
      <w:r>
        <w:rPr>
          <w:rFonts w:hint="eastAsia"/>
          <w:caps w:val="0"/>
          <w:color w:val="auto"/>
          <w:highlight w:val="none"/>
          <w:lang w:val="en-US" w:eastAsia="zh-CN"/>
        </w:rPr>
        <w:t>0.12</w:t>
      </w:r>
      <w:r>
        <w:rPr>
          <w:rFonts w:hint="eastAsia" w:ascii="Times New Roman" w:hAnsi="Times New Roman"/>
          <w:caps w:val="0"/>
          <w:color w:val="auto"/>
          <w:highlight w:val="none"/>
          <w:lang w:val="zh-CN" w:eastAsia="zh-CN"/>
        </w:rPr>
        <w:t>万元/人、</w:t>
      </w:r>
      <w:r>
        <w:rPr>
          <w:rFonts w:hint="eastAsia"/>
          <w:caps w:val="0"/>
          <w:color w:val="auto"/>
          <w:highlight w:val="none"/>
          <w:lang w:val="en-US" w:eastAsia="zh-CN"/>
        </w:rPr>
        <w:t>0.03</w:t>
      </w:r>
      <w:r>
        <w:rPr>
          <w:rFonts w:hint="eastAsia" w:ascii="Times New Roman" w:hAnsi="Times New Roman"/>
          <w:caps w:val="0"/>
          <w:color w:val="auto"/>
          <w:highlight w:val="none"/>
          <w:lang w:val="zh-CN" w:eastAsia="zh-CN"/>
        </w:rPr>
        <w:t>万元/人。</w:t>
      </w:r>
    </w:p>
    <w:p w14:paraId="45D27F44">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ascii="Times New Roman" w:hAnsi="Times New Roman"/>
          <w:caps w:val="0"/>
          <w:color w:val="auto"/>
          <w:highlight w:val="none"/>
          <w:lang w:val="zh-CN" w:eastAsia="zh-CN"/>
        </w:rPr>
        <w:t>综上，202</w:t>
      </w:r>
      <w:r>
        <w:rPr>
          <w:rFonts w:hint="eastAsia"/>
          <w:caps w:val="0"/>
          <w:color w:val="auto"/>
          <w:highlight w:val="none"/>
          <w:lang w:val="en-US" w:eastAsia="zh-CN"/>
        </w:rPr>
        <w:t>5</w:t>
      </w:r>
      <w:r>
        <w:rPr>
          <w:rFonts w:hint="eastAsia" w:ascii="Times New Roman" w:hAnsi="Times New Roman"/>
          <w:caps w:val="0"/>
          <w:color w:val="auto"/>
          <w:highlight w:val="none"/>
          <w:lang w:val="zh-CN" w:eastAsia="zh-CN"/>
        </w:rPr>
        <w:t>年</w:t>
      </w: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人均资产变化率为</w:t>
      </w:r>
      <w:r>
        <w:rPr>
          <w:rFonts w:hint="eastAsia"/>
          <w:caps w:val="0"/>
          <w:color w:val="auto"/>
          <w:highlight w:val="none"/>
          <w:lang w:val="en-US" w:eastAsia="zh-CN"/>
        </w:rPr>
        <w:t>-75</w:t>
      </w:r>
      <w:r>
        <w:rPr>
          <w:rFonts w:hint="eastAsia" w:ascii="Times New Roman" w:hAnsi="Times New Roman"/>
          <w:caps w:val="0"/>
          <w:color w:val="auto"/>
          <w:highlight w:val="none"/>
          <w:lang w:val="zh-CN" w:eastAsia="zh-CN"/>
        </w:rPr>
        <w:t>%，阿坝州州直行政事业单位202</w:t>
      </w:r>
      <w:r>
        <w:rPr>
          <w:rFonts w:hint="eastAsia"/>
          <w:caps w:val="0"/>
          <w:color w:val="auto"/>
          <w:highlight w:val="none"/>
          <w:lang w:val="en-US" w:eastAsia="zh-CN"/>
        </w:rPr>
        <w:t>5</w:t>
      </w:r>
      <w:r>
        <w:rPr>
          <w:rFonts w:hint="eastAsia" w:ascii="Times New Roman" w:hAnsi="Times New Roman"/>
          <w:caps w:val="0"/>
          <w:color w:val="auto"/>
          <w:highlight w:val="none"/>
          <w:lang w:val="zh-CN" w:eastAsia="zh-CN"/>
        </w:rPr>
        <w:t>年人均资产变化率</w:t>
      </w:r>
      <w:r>
        <w:rPr>
          <w:rFonts w:hint="eastAsia"/>
          <w:caps w:val="0"/>
          <w:color w:val="auto"/>
          <w:highlight w:val="none"/>
          <w:lang w:val="en-US" w:eastAsia="zh-CN"/>
        </w:rPr>
        <w:t>-3.49</w:t>
      </w:r>
      <w:r>
        <w:rPr>
          <w:rFonts w:hint="eastAsia" w:ascii="Times New Roman" w:hAnsi="Times New Roman"/>
          <w:caps w:val="0"/>
          <w:color w:val="auto"/>
          <w:highlight w:val="none"/>
          <w:lang w:val="zh-CN" w:eastAsia="zh-CN"/>
        </w:rPr>
        <w:t>%，2024年</w:t>
      </w: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人均资产变化率</w:t>
      </w:r>
      <w:r>
        <w:rPr>
          <w:rFonts w:hint="eastAsia"/>
          <w:caps w:val="0"/>
          <w:color w:val="auto"/>
          <w:highlight w:val="none"/>
          <w:lang w:val="en-US" w:eastAsia="zh-CN"/>
        </w:rPr>
        <w:t>小于倍</w:t>
      </w:r>
      <w:r>
        <w:rPr>
          <w:rFonts w:hint="eastAsia" w:ascii="Times New Roman" w:hAnsi="Times New Roman"/>
          <w:caps w:val="0"/>
          <w:color w:val="auto"/>
          <w:highlight w:val="none"/>
          <w:lang w:val="zh-CN" w:eastAsia="zh-CN"/>
        </w:rPr>
        <w:t>州直行政事业单位人均资产变化率，</w:t>
      </w:r>
      <w:r>
        <w:rPr>
          <w:rFonts w:hint="eastAsia" w:ascii="Times New Roman" w:hAnsi="Times New Roman"/>
          <w:caps w:val="0"/>
          <w:color w:val="auto"/>
          <w:highlight w:val="none"/>
          <w:lang w:val="en-US" w:eastAsia="zh-CN"/>
        </w:rPr>
        <w:t>得</w:t>
      </w:r>
      <w:r>
        <w:rPr>
          <w:rFonts w:hint="eastAsia"/>
          <w:caps w:val="0"/>
          <w:color w:val="auto"/>
          <w:highlight w:val="none"/>
          <w:lang w:val="en-US" w:eastAsia="zh-CN"/>
        </w:rPr>
        <w:t>1.5</w:t>
      </w:r>
      <w:r>
        <w:rPr>
          <w:rFonts w:hint="eastAsia" w:ascii="Times New Roman" w:hAnsi="Times New Roman"/>
          <w:caps w:val="0"/>
          <w:color w:val="auto"/>
          <w:highlight w:val="none"/>
          <w:lang w:val="en-US" w:eastAsia="zh-CN"/>
        </w:rPr>
        <w:t>分</w:t>
      </w:r>
      <w:r>
        <w:rPr>
          <w:rFonts w:hint="eastAsia" w:ascii="Times New Roman" w:hAnsi="Times New Roman"/>
          <w:caps w:val="0"/>
          <w:color w:val="auto"/>
          <w:highlight w:val="none"/>
          <w:lang w:val="zh-CN" w:eastAsia="zh-CN"/>
        </w:rPr>
        <w:t>；</w:t>
      </w:r>
      <w:r>
        <w:rPr>
          <w:rFonts w:hint="eastAsia" w:ascii="Times New Roman" w:hAnsi="Times New Roman"/>
          <w:caps w:val="0"/>
          <w:color w:val="auto"/>
          <w:highlight w:val="none"/>
          <w:lang w:val="en-US" w:eastAsia="zh-CN"/>
        </w:rPr>
        <w:t>阿坝州</w:t>
      </w:r>
      <w:r>
        <w:rPr>
          <w:rFonts w:hint="eastAsia" w:ascii="Times New Roman" w:hAnsi="Times New Roman"/>
          <w:caps w:val="0"/>
          <w:color w:val="auto"/>
          <w:highlight w:val="none"/>
          <w:lang w:val="zh-CN" w:eastAsia="zh-CN"/>
        </w:rPr>
        <w:t>州级202</w:t>
      </w:r>
      <w:r>
        <w:rPr>
          <w:rFonts w:hint="eastAsia"/>
          <w:caps w:val="0"/>
          <w:color w:val="auto"/>
          <w:highlight w:val="none"/>
          <w:lang w:val="en-US" w:eastAsia="zh-CN"/>
        </w:rPr>
        <w:t>5</w:t>
      </w:r>
      <w:r>
        <w:rPr>
          <w:rFonts w:hint="eastAsia" w:ascii="Times New Roman" w:hAnsi="Times New Roman"/>
          <w:caps w:val="0"/>
          <w:color w:val="auto"/>
          <w:highlight w:val="none"/>
          <w:lang w:val="zh-CN" w:eastAsia="zh-CN"/>
        </w:rPr>
        <w:t>年财政收入增长率</w:t>
      </w:r>
      <w:r>
        <w:rPr>
          <w:rFonts w:hint="eastAsia" w:ascii="Times New Roman" w:hAnsi="Times New Roman"/>
          <w:caps w:val="0"/>
          <w:color w:val="auto"/>
          <w:highlight w:val="none"/>
          <w:lang w:val="en-US" w:eastAsia="zh-CN"/>
        </w:rPr>
        <w:t>为</w:t>
      </w:r>
      <w:r>
        <w:rPr>
          <w:rFonts w:hint="eastAsia" w:ascii="Times New Roman" w:hAnsi="Times New Roman"/>
          <w:caps w:val="0"/>
          <w:color w:val="auto"/>
          <w:highlight w:val="none"/>
          <w:lang w:val="zh-CN" w:eastAsia="zh-CN"/>
        </w:rPr>
        <w:t>17.1%，</w:t>
      </w:r>
      <w:r>
        <w:rPr>
          <w:rFonts w:hint="eastAsia"/>
          <w:caps w:val="0"/>
          <w:color w:val="auto"/>
          <w:highlight w:val="none"/>
          <w:lang w:val="zh-CN" w:eastAsia="zh-CN"/>
        </w:rPr>
        <w:t>我中心</w:t>
      </w:r>
      <w:r>
        <w:rPr>
          <w:rFonts w:hint="eastAsia" w:ascii="Times New Roman" w:hAnsi="Times New Roman"/>
          <w:caps w:val="0"/>
          <w:color w:val="auto"/>
          <w:highlight w:val="none"/>
          <w:lang w:val="zh-CN" w:eastAsia="zh-CN"/>
        </w:rPr>
        <w:t>人均资产变化率</w:t>
      </w:r>
      <w:r>
        <w:rPr>
          <w:rFonts w:hint="eastAsia"/>
          <w:caps w:val="0"/>
          <w:color w:val="auto"/>
          <w:highlight w:val="none"/>
          <w:lang w:val="en-US" w:eastAsia="zh-CN"/>
        </w:rPr>
        <w:t>小于0</w:t>
      </w:r>
      <w:r>
        <w:rPr>
          <w:rFonts w:hint="eastAsia" w:ascii="Times New Roman" w:hAnsi="Times New Roman"/>
          <w:caps w:val="0"/>
          <w:color w:val="auto"/>
          <w:highlight w:val="none"/>
          <w:lang w:val="en-US" w:eastAsia="zh-CN"/>
        </w:rPr>
        <w:t>，得</w:t>
      </w:r>
      <w:r>
        <w:rPr>
          <w:rFonts w:hint="eastAsia"/>
          <w:caps w:val="0"/>
          <w:color w:val="auto"/>
          <w:highlight w:val="none"/>
          <w:lang w:val="en-US" w:eastAsia="zh-CN"/>
        </w:rPr>
        <w:t>1.5</w:t>
      </w:r>
      <w:r>
        <w:rPr>
          <w:rFonts w:hint="eastAsia" w:ascii="Times New Roman" w:hAnsi="Times New Roman"/>
          <w:caps w:val="0"/>
          <w:color w:val="auto"/>
          <w:highlight w:val="none"/>
          <w:lang w:val="en-US" w:eastAsia="zh-CN"/>
        </w:rPr>
        <w:t>分。</w:t>
      </w:r>
    </w:p>
    <w:p w14:paraId="214E841D">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aps w:val="0"/>
          <w:color w:val="auto"/>
          <w:highlight w:val="none"/>
          <w:lang w:val="en-US" w:eastAsia="zh-CN"/>
        </w:rPr>
      </w:pPr>
      <w:r>
        <w:rPr>
          <w:rFonts w:hint="eastAsia" w:ascii="Times New Roman" w:hAnsi="Times New Roman"/>
          <w:caps w:val="0"/>
          <w:color w:val="auto"/>
          <w:highlight w:val="none"/>
          <w:lang w:val="zh-CN" w:eastAsia="zh-CN"/>
        </w:rPr>
        <w:t>根据评分标准，该项指标</w:t>
      </w:r>
      <w:r>
        <w:rPr>
          <w:rFonts w:hint="eastAsia"/>
          <w:caps w:val="0"/>
          <w:color w:val="auto"/>
          <w:highlight w:val="none"/>
          <w:lang w:val="en-US" w:eastAsia="zh-CN"/>
        </w:rPr>
        <w:t>不扣分，得3</w:t>
      </w:r>
      <w:r>
        <w:rPr>
          <w:rFonts w:hint="eastAsia" w:ascii="Times New Roman" w:hAnsi="Times New Roman"/>
          <w:caps w:val="0"/>
          <w:color w:val="auto"/>
          <w:highlight w:val="none"/>
          <w:lang w:val="zh-CN" w:eastAsia="zh-CN"/>
        </w:rPr>
        <w:t>分。</w:t>
      </w:r>
    </w:p>
    <w:p w14:paraId="154A1E88">
      <w:pPr>
        <w:pageBreakBefore w:val="0"/>
        <w:widowControl w:val="0"/>
        <w:kinsoku/>
        <w:wordWrap/>
        <w:overflowPunct/>
        <w:topLinePunct w:val="0"/>
        <w:autoSpaceDE/>
        <w:autoSpaceDN/>
        <w:bidi w:val="0"/>
        <w:adjustRightInd/>
        <w:snapToGrid/>
        <w:spacing w:line="600" w:lineRule="exact"/>
        <w:textAlignment w:val="auto"/>
        <w:outlineLvl w:val="3"/>
        <w:rPr>
          <w:rFonts w:hint="default"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2</w:t>
      </w:r>
      <w:r>
        <w:rPr>
          <w:rFonts w:hint="eastAsia" w:ascii="Times New Roman" w:hAnsi="Times New Roman"/>
          <w:caps w:val="0"/>
          <w:color w:val="auto"/>
          <w:highlight w:val="none"/>
          <w:lang w:val="en-US" w:eastAsia="zh-CN"/>
        </w:rPr>
        <w:t>）资产利用率</w:t>
      </w:r>
    </w:p>
    <w:p w14:paraId="06F35E64">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caps w:val="0"/>
          <w:color w:val="auto"/>
          <w:highlight w:val="none"/>
          <w:lang w:val="en-US" w:eastAsia="zh-CN"/>
        </w:rPr>
        <w:t>我中心</w:t>
      </w:r>
      <w:r>
        <w:rPr>
          <w:rFonts w:hint="eastAsia" w:ascii="Times New Roman" w:hAnsi="Times New Roman"/>
          <w:caps w:val="0"/>
          <w:color w:val="auto"/>
          <w:highlight w:val="none"/>
          <w:lang w:val="en-US" w:eastAsia="zh-CN"/>
        </w:rPr>
        <w:t>202</w:t>
      </w:r>
      <w:r>
        <w:rPr>
          <w:rFonts w:hint="eastAsia"/>
          <w:caps w:val="0"/>
          <w:color w:val="auto"/>
          <w:highlight w:val="none"/>
          <w:lang w:val="en-US" w:eastAsia="zh-CN"/>
        </w:rPr>
        <w:t>5</w:t>
      </w:r>
      <w:r>
        <w:rPr>
          <w:rFonts w:hint="eastAsia" w:ascii="Times New Roman" w:hAnsi="Times New Roman"/>
          <w:caps w:val="0"/>
          <w:color w:val="auto"/>
          <w:highlight w:val="none"/>
          <w:lang w:val="en-US" w:eastAsia="zh-CN"/>
        </w:rPr>
        <w:t>年办公家具账面价值为</w:t>
      </w:r>
      <w:r>
        <w:rPr>
          <w:rFonts w:hint="eastAsia"/>
          <w:caps w:val="0"/>
          <w:color w:val="auto"/>
          <w:highlight w:val="none"/>
          <w:lang w:val="en-US" w:eastAsia="zh-CN"/>
        </w:rPr>
        <w:t>0</w:t>
      </w:r>
      <w:r>
        <w:rPr>
          <w:rFonts w:hint="eastAsia" w:ascii="Times New Roman" w:hAnsi="Times New Roman"/>
          <w:caps w:val="0"/>
          <w:color w:val="auto"/>
          <w:highlight w:val="none"/>
          <w:lang w:val="en-US" w:eastAsia="zh-CN"/>
        </w:rPr>
        <w:t>万元，超最低使用年限的办公家具账面价值为</w:t>
      </w:r>
      <w:r>
        <w:rPr>
          <w:rFonts w:hint="eastAsia"/>
          <w:caps w:val="0"/>
          <w:color w:val="auto"/>
          <w:highlight w:val="none"/>
          <w:lang w:val="en-US" w:eastAsia="zh-CN"/>
        </w:rPr>
        <w:t>0</w:t>
      </w:r>
      <w:r>
        <w:rPr>
          <w:rFonts w:hint="eastAsia" w:ascii="Times New Roman" w:hAnsi="Times New Roman"/>
          <w:caps w:val="0"/>
          <w:color w:val="auto"/>
          <w:highlight w:val="none"/>
          <w:lang w:val="en-US" w:eastAsia="zh-CN"/>
        </w:rPr>
        <w:t>万元，故办公家具超最低使用年限资产利用率=超最低使用年限的办公家具账面价值÷办公家具账面价值×100%=</w:t>
      </w:r>
      <w:r>
        <w:rPr>
          <w:rFonts w:hint="eastAsia"/>
          <w:caps w:val="0"/>
          <w:color w:val="auto"/>
          <w:highlight w:val="none"/>
          <w:lang w:val="en-US" w:eastAsia="zh-CN"/>
        </w:rPr>
        <w:t>0</w:t>
      </w:r>
      <w:r>
        <w:rPr>
          <w:rFonts w:hint="eastAsia" w:ascii="Times New Roman" w:hAnsi="Times New Roman"/>
          <w:caps w:val="0"/>
          <w:color w:val="auto"/>
          <w:highlight w:val="none"/>
          <w:lang w:val="en-US" w:eastAsia="zh-CN"/>
        </w:rPr>
        <w:t>%；202</w:t>
      </w:r>
      <w:r>
        <w:rPr>
          <w:rFonts w:hint="eastAsia"/>
          <w:caps w:val="0"/>
          <w:color w:val="auto"/>
          <w:highlight w:val="none"/>
          <w:lang w:val="en-US" w:eastAsia="zh-CN"/>
        </w:rPr>
        <w:t>5</w:t>
      </w:r>
      <w:r>
        <w:rPr>
          <w:rFonts w:hint="eastAsia" w:ascii="Times New Roman" w:hAnsi="Times New Roman"/>
          <w:caps w:val="0"/>
          <w:color w:val="auto"/>
          <w:highlight w:val="none"/>
          <w:lang w:val="en-US" w:eastAsia="zh-CN"/>
        </w:rPr>
        <w:t>年办公设备账面价值为</w:t>
      </w:r>
      <w:r>
        <w:rPr>
          <w:rFonts w:hint="eastAsia"/>
          <w:caps w:val="0"/>
          <w:color w:val="auto"/>
          <w:highlight w:val="none"/>
          <w:lang w:val="en-US" w:eastAsia="zh-CN"/>
        </w:rPr>
        <w:t>8</w:t>
      </w:r>
      <w:r>
        <w:rPr>
          <w:rFonts w:hint="eastAsia" w:ascii="Times New Roman" w:hAnsi="Times New Roman"/>
          <w:caps w:val="0"/>
          <w:color w:val="auto"/>
          <w:highlight w:val="none"/>
          <w:lang w:val="en-US" w:eastAsia="zh-CN"/>
        </w:rPr>
        <w:t>.</w:t>
      </w:r>
      <w:r>
        <w:rPr>
          <w:rFonts w:hint="eastAsia"/>
          <w:caps w:val="0"/>
          <w:color w:val="auto"/>
          <w:highlight w:val="none"/>
          <w:lang w:val="en-US" w:eastAsia="zh-CN"/>
        </w:rPr>
        <w:t>85</w:t>
      </w:r>
      <w:r>
        <w:rPr>
          <w:rFonts w:hint="eastAsia" w:ascii="Times New Roman" w:hAnsi="Times New Roman"/>
          <w:caps w:val="0"/>
          <w:color w:val="auto"/>
          <w:highlight w:val="none"/>
          <w:lang w:val="en-US" w:eastAsia="zh-CN"/>
        </w:rPr>
        <w:t>万元，超最低使用年限的办公设备账面价值为</w:t>
      </w:r>
      <w:r>
        <w:rPr>
          <w:rFonts w:hint="eastAsia"/>
          <w:caps w:val="0"/>
          <w:color w:val="auto"/>
          <w:highlight w:val="none"/>
          <w:lang w:val="en-US" w:eastAsia="zh-CN"/>
        </w:rPr>
        <w:t>0</w:t>
      </w:r>
      <w:r>
        <w:rPr>
          <w:rFonts w:hint="eastAsia" w:ascii="Times New Roman" w:hAnsi="Times New Roman"/>
          <w:caps w:val="0"/>
          <w:color w:val="auto"/>
          <w:highlight w:val="none"/>
          <w:lang w:val="en-US" w:eastAsia="zh-CN"/>
        </w:rPr>
        <w:t>万元，故办公设备超最低使用年限资产利用率=超最低使用年限的办公设备账面价值÷办公设备账面价值×100%=</w:t>
      </w:r>
      <w:r>
        <w:rPr>
          <w:rFonts w:hint="eastAsia"/>
          <w:caps w:val="0"/>
          <w:color w:val="auto"/>
          <w:highlight w:val="none"/>
          <w:lang w:val="en-US" w:eastAsia="zh-CN"/>
        </w:rPr>
        <w:t>0</w:t>
      </w:r>
      <w:r>
        <w:rPr>
          <w:rFonts w:hint="eastAsia" w:ascii="Times New Roman" w:hAnsi="Times New Roman"/>
          <w:caps w:val="0"/>
          <w:color w:val="auto"/>
          <w:highlight w:val="none"/>
          <w:lang w:val="en-US" w:eastAsia="zh-CN"/>
        </w:rPr>
        <w:t>%。</w:t>
      </w:r>
    </w:p>
    <w:p w14:paraId="2E7256B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综上，</w:t>
      </w:r>
      <w:r>
        <w:rPr>
          <w:rFonts w:hint="eastAsia"/>
          <w:caps w:val="0"/>
          <w:color w:val="auto"/>
          <w:highlight w:val="none"/>
          <w:lang w:val="en-US" w:eastAsia="zh-CN"/>
        </w:rPr>
        <w:t>我中心</w:t>
      </w:r>
      <w:r>
        <w:rPr>
          <w:rFonts w:hint="eastAsia" w:ascii="Times New Roman" w:hAnsi="Times New Roman"/>
          <w:caps w:val="0"/>
          <w:color w:val="auto"/>
          <w:highlight w:val="none"/>
          <w:lang w:val="en-US" w:eastAsia="zh-CN"/>
        </w:rPr>
        <w:t>在资产利用率方面，办公家具和用具超最低使用年限资产利用率</w:t>
      </w:r>
      <w:r>
        <w:rPr>
          <w:rFonts w:hint="eastAsia"/>
          <w:caps w:val="0"/>
          <w:color w:val="auto"/>
          <w:highlight w:val="none"/>
          <w:lang w:val="en-US" w:eastAsia="zh-CN"/>
        </w:rPr>
        <w:t>小于0.6倍</w:t>
      </w:r>
      <w:r>
        <w:rPr>
          <w:rFonts w:hint="eastAsia" w:ascii="Times New Roman" w:hAnsi="Times New Roman"/>
          <w:caps w:val="0"/>
          <w:color w:val="auto"/>
          <w:highlight w:val="none"/>
          <w:lang w:val="en-US" w:eastAsia="zh-CN"/>
        </w:rPr>
        <w:t>州直行政事业单位平均值12.93%，得</w:t>
      </w:r>
      <w:r>
        <w:rPr>
          <w:rFonts w:hint="eastAsia"/>
          <w:caps w:val="0"/>
          <w:color w:val="auto"/>
          <w:highlight w:val="none"/>
          <w:lang w:val="en-US" w:eastAsia="zh-CN"/>
        </w:rPr>
        <w:t>0.3</w:t>
      </w:r>
      <w:r>
        <w:rPr>
          <w:rFonts w:hint="eastAsia" w:ascii="Times New Roman" w:hAnsi="Times New Roman"/>
          <w:caps w:val="0"/>
          <w:color w:val="auto"/>
          <w:highlight w:val="none"/>
          <w:lang w:val="en-US" w:eastAsia="zh-CN"/>
        </w:rPr>
        <w:t>分；办公设备超最低使用年限资产利用率</w:t>
      </w:r>
      <w:r>
        <w:rPr>
          <w:rFonts w:hint="eastAsia"/>
          <w:caps w:val="0"/>
          <w:color w:val="auto"/>
          <w:highlight w:val="none"/>
          <w:lang w:val="en-US" w:eastAsia="zh-CN"/>
        </w:rPr>
        <w:t>小于0.6倍</w:t>
      </w:r>
      <w:r>
        <w:rPr>
          <w:rFonts w:hint="eastAsia" w:ascii="Times New Roman" w:hAnsi="Times New Roman"/>
          <w:caps w:val="0"/>
          <w:color w:val="auto"/>
          <w:highlight w:val="none"/>
          <w:lang w:val="en-US" w:eastAsia="zh-CN"/>
        </w:rPr>
        <w:t>州直行政事业单位平均值53.14%，得</w:t>
      </w:r>
      <w:r>
        <w:rPr>
          <w:rFonts w:hint="eastAsia"/>
          <w:caps w:val="0"/>
          <w:color w:val="auto"/>
          <w:highlight w:val="none"/>
          <w:lang w:val="en-US" w:eastAsia="zh-CN"/>
        </w:rPr>
        <w:t>0.3</w:t>
      </w:r>
      <w:r>
        <w:rPr>
          <w:rFonts w:hint="eastAsia" w:ascii="Times New Roman" w:hAnsi="Times New Roman"/>
          <w:caps w:val="0"/>
          <w:color w:val="auto"/>
          <w:highlight w:val="none"/>
          <w:lang w:val="en-US" w:eastAsia="zh-CN"/>
        </w:rPr>
        <w:t>分。</w:t>
      </w:r>
    </w:p>
    <w:p w14:paraId="5739A6DE">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根据评分标准，该项指标扣</w:t>
      </w:r>
      <w:r>
        <w:rPr>
          <w:rFonts w:hint="eastAsia"/>
          <w:caps w:val="0"/>
          <w:color w:val="auto"/>
          <w:highlight w:val="none"/>
          <w:lang w:val="en-US" w:eastAsia="zh-CN"/>
        </w:rPr>
        <w:t>2.4</w:t>
      </w:r>
      <w:r>
        <w:rPr>
          <w:rFonts w:hint="eastAsia" w:ascii="Times New Roman" w:hAnsi="Times New Roman"/>
          <w:caps w:val="0"/>
          <w:color w:val="auto"/>
          <w:highlight w:val="none"/>
          <w:lang w:val="en-US" w:eastAsia="zh-CN"/>
        </w:rPr>
        <w:t>分，得</w:t>
      </w:r>
      <w:r>
        <w:rPr>
          <w:rFonts w:hint="eastAsia"/>
          <w:caps w:val="0"/>
          <w:color w:val="auto"/>
          <w:highlight w:val="none"/>
          <w:lang w:val="en-US" w:eastAsia="zh-CN"/>
        </w:rPr>
        <w:t>0.6</w:t>
      </w:r>
      <w:r>
        <w:rPr>
          <w:rFonts w:hint="eastAsia" w:ascii="Times New Roman" w:hAnsi="Times New Roman"/>
          <w:caps w:val="0"/>
          <w:color w:val="auto"/>
          <w:highlight w:val="none"/>
          <w:lang w:val="en-US" w:eastAsia="zh-CN"/>
        </w:rPr>
        <w:t>分。</w:t>
      </w:r>
    </w:p>
    <w:p w14:paraId="3FA902AA">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3</w:t>
      </w:r>
      <w:r>
        <w:rPr>
          <w:rFonts w:hint="eastAsia" w:ascii="Times New Roman" w:hAnsi="Times New Roman"/>
          <w:caps w:val="0"/>
          <w:color w:val="auto"/>
          <w:highlight w:val="none"/>
          <w:lang w:val="en-US" w:eastAsia="zh-CN"/>
        </w:rPr>
        <w:t>）资产盘活率</w:t>
      </w:r>
    </w:p>
    <w:p w14:paraId="3B78C45E">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i w:val="0"/>
          <w:caps w:val="0"/>
          <w:strike w:val="0"/>
          <w:color w:val="auto"/>
          <w:spacing w:val="0"/>
          <w:highlight w:val="none"/>
          <w:u w:val="none"/>
          <w:lang w:val="en-US" w:eastAsia="zh-CN"/>
        </w:rPr>
      </w:pPr>
      <w:r>
        <w:rPr>
          <w:rFonts w:hint="eastAsia"/>
          <w:i w:val="0"/>
          <w:caps w:val="0"/>
          <w:strike w:val="0"/>
          <w:color w:val="auto"/>
          <w:spacing w:val="0"/>
          <w:highlight w:val="none"/>
          <w:u w:val="none"/>
          <w:lang w:val="en-US" w:eastAsia="zh-CN"/>
        </w:rPr>
        <w:t>我中心</w:t>
      </w:r>
      <w:r>
        <w:rPr>
          <w:rFonts w:hint="default" w:ascii="Times New Roman" w:hAnsi="Times New Roman"/>
          <w:i w:val="0"/>
          <w:caps w:val="0"/>
          <w:strike w:val="0"/>
          <w:color w:val="auto"/>
          <w:spacing w:val="0"/>
          <w:highlight w:val="none"/>
          <w:u w:val="none"/>
          <w:lang w:val="en-US" w:eastAsia="zh-CN"/>
        </w:rPr>
        <w:t>202</w:t>
      </w:r>
      <w:r>
        <w:rPr>
          <w:rFonts w:hint="eastAsia"/>
          <w:i w:val="0"/>
          <w:caps w:val="0"/>
          <w:strike w:val="0"/>
          <w:color w:val="auto"/>
          <w:spacing w:val="0"/>
          <w:highlight w:val="none"/>
          <w:u w:val="none"/>
          <w:lang w:val="en-US" w:eastAsia="zh-CN"/>
        </w:rPr>
        <w:t>4</w:t>
      </w:r>
      <w:r>
        <w:rPr>
          <w:rFonts w:hint="default" w:ascii="Times New Roman" w:hAnsi="Times New Roman"/>
          <w:i w:val="0"/>
          <w:caps w:val="0"/>
          <w:strike w:val="0"/>
          <w:color w:val="auto"/>
          <w:spacing w:val="0"/>
          <w:highlight w:val="none"/>
          <w:u w:val="none"/>
          <w:lang w:val="en-US" w:eastAsia="zh-CN"/>
        </w:rPr>
        <w:t>年、202</w:t>
      </w:r>
      <w:r>
        <w:rPr>
          <w:rFonts w:hint="eastAsia"/>
          <w:i w:val="0"/>
          <w:caps w:val="0"/>
          <w:strike w:val="0"/>
          <w:color w:val="auto"/>
          <w:spacing w:val="0"/>
          <w:highlight w:val="none"/>
          <w:u w:val="none"/>
          <w:lang w:val="en-US" w:eastAsia="zh-CN"/>
        </w:rPr>
        <w:t>5</w:t>
      </w:r>
      <w:r>
        <w:rPr>
          <w:rFonts w:hint="default" w:ascii="Times New Roman" w:hAnsi="Times New Roman"/>
          <w:i w:val="0"/>
          <w:caps w:val="0"/>
          <w:strike w:val="0"/>
          <w:color w:val="auto"/>
          <w:spacing w:val="0"/>
          <w:highlight w:val="none"/>
          <w:u w:val="none"/>
          <w:lang w:val="en-US" w:eastAsia="zh-CN"/>
        </w:rPr>
        <w:t>年均无闲置资产。自评年度</w:t>
      </w:r>
      <w:r>
        <w:rPr>
          <w:rFonts w:hint="eastAsia"/>
          <w:i w:val="0"/>
          <w:caps w:val="0"/>
          <w:strike w:val="0"/>
          <w:color w:val="auto"/>
          <w:spacing w:val="0"/>
          <w:highlight w:val="none"/>
          <w:u w:val="none"/>
          <w:lang w:val="en-US" w:eastAsia="zh-CN"/>
        </w:rPr>
        <w:t>我中心</w:t>
      </w:r>
      <w:r>
        <w:rPr>
          <w:rFonts w:hint="default" w:ascii="Times New Roman" w:hAnsi="Times New Roman"/>
          <w:i w:val="0"/>
          <w:caps w:val="0"/>
          <w:strike w:val="0"/>
          <w:color w:val="auto"/>
          <w:spacing w:val="0"/>
          <w:highlight w:val="none"/>
          <w:u w:val="none"/>
          <w:lang w:val="en-US" w:eastAsia="zh-CN"/>
        </w:rPr>
        <w:t>部门闲置资产占比变化率</w:t>
      </w:r>
      <w:r>
        <w:rPr>
          <w:rFonts w:hint="eastAsia" w:ascii="Times New Roman" w:hAnsi="Times New Roman"/>
          <w:i w:val="0"/>
          <w:caps w:val="0"/>
          <w:strike w:val="0"/>
          <w:color w:val="auto"/>
          <w:spacing w:val="0"/>
          <w:highlight w:val="none"/>
          <w:u w:val="none"/>
          <w:lang w:val="en-US" w:eastAsia="zh-CN"/>
        </w:rPr>
        <w:t>为</w:t>
      </w:r>
      <w:r>
        <w:rPr>
          <w:rFonts w:hint="default" w:ascii="Times New Roman" w:hAnsi="Times New Roman"/>
          <w:i w:val="0"/>
          <w:caps w:val="0"/>
          <w:strike w:val="0"/>
          <w:color w:val="auto"/>
          <w:spacing w:val="0"/>
          <w:highlight w:val="none"/>
          <w:u w:val="none"/>
          <w:lang w:val="en-US" w:eastAsia="zh-CN"/>
        </w:rPr>
        <w:t>0%。</w:t>
      </w:r>
    </w:p>
    <w:p w14:paraId="424C0A18">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仿宋_GB2312"/>
          <w:i w:val="0"/>
          <w:caps w:val="0"/>
          <w:strike w:val="0"/>
          <w:color w:val="auto"/>
          <w:spacing w:val="0"/>
          <w:highlight w:val="none"/>
          <w:u w:val="none"/>
          <w:lang w:val="en-US" w:eastAsia="zh-CN"/>
        </w:rPr>
      </w:pPr>
      <w:r>
        <w:rPr>
          <w:rFonts w:hint="eastAsia" w:ascii="Times New Roman" w:hAnsi="Times New Roman" w:eastAsia="仿宋_GB2312" w:cs="仿宋_GB2312"/>
          <w:i w:val="0"/>
          <w:caps w:val="0"/>
          <w:strike w:val="0"/>
          <w:color w:val="auto"/>
          <w:spacing w:val="0"/>
          <w:highlight w:val="none"/>
          <w:u w:val="none"/>
          <w:lang w:val="en-US" w:eastAsia="zh-CN"/>
        </w:rPr>
        <w:t>根据评分标准，该项指标不扣分，得3分。</w:t>
      </w:r>
    </w:p>
    <w:p w14:paraId="58D143AF">
      <w:pPr>
        <w:pStyle w:val="2"/>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rPr>
      </w:pPr>
      <w:r>
        <w:rPr>
          <w:rFonts w:hint="default" w:ascii="Times New Roman" w:hAnsi="Times New Roman" w:cs="Times New Roman"/>
          <w:caps w:val="0"/>
          <w:color w:val="auto"/>
          <w:highlight w:val="none"/>
          <w:lang w:val="en-US" w:eastAsia="zh-CN"/>
        </w:rPr>
        <w:t>5</w:t>
      </w:r>
      <w:r>
        <w:rPr>
          <w:rFonts w:hint="eastAsia" w:ascii="Times New Roman" w:hAnsi="Times New Roman" w:cs="Times New Roman"/>
          <w:caps w:val="0"/>
          <w:color w:val="auto"/>
          <w:highlight w:val="none"/>
          <w:lang w:val="en-US" w:eastAsia="zh-CN"/>
        </w:rPr>
        <w:t>．</w:t>
      </w:r>
      <w:r>
        <w:rPr>
          <w:rFonts w:hint="default" w:ascii="Times New Roman" w:hAnsi="Times New Roman"/>
          <w:caps w:val="0"/>
          <w:color w:val="auto"/>
          <w:highlight w:val="none"/>
          <w:lang w:val="zh-CN"/>
        </w:rPr>
        <w:t>采购管理</w:t>
      </w:r>
    </w:p>
    <w:p w14:paraId="0CE24E89">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aps w:val="0"/>
          <w:color w:val="auto"/>
          <w:highlight w:val="none"/>
          <w:lang w:val="zh-CN"/>
        </w:rPr>
      </w:pPr>
      <w:r>
        <w:rPr>
          <w:rFonts w:hint="eastAsia" w:ascii="Times New Roman" w:hAnsi="Times New Roman"/>
          <w:caps w:val="0"/>
          <w:color w:val="auto"/>
          <w:highlight w:val="none"/>
          <w:lang w:val="zh-CN"/>
        </w:rPr>
        <w:t>（</w:t>
      </w:r>
      <w:r>
        <w:rPr>
          <w:rFonts w:hint="default" w:ascii="Times New Roman" w:hAnsi="Times New Roman" w:cs="Times New Roman"/>
          <w:caps w:val="0"/>
          <w:color w:val="auto"/>
          <w:highlight w:val="none"/>
          <w:lang w:val="en-US" w:eastAsia="zh-CN"/>
        </w:rPr>
        <w:t>1</w:t>
      </w:r>
      <w:r>
        <w:rPr>
          <w:rFonts w:hint="eastAsia" w:ascii="Times New Roman" w:hAnsi="Times New Roman"/>
          <w:caps w:val="0"/>
          <w:color w:val="auto"/>
          <w:highlight w:val="none"/>
          <w:lang w:val="zh-CN"/>
        </w:rPr>
        <w:t>）支持中小企业发展</w:t>
      </w:r>
    </w:p>
    <w:p w14:paraId="00C71F8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cs="Times New Roman"/>
          <w:color w:val="auto"/>
          <w:highlight w:val="none"/>
          <w:lang w:val="en-US" w:eastAsia="zh-CN"/>
        </w:rPr>
        <w:t>我中心</w:t>
      </w:r>
      <w:r>
        <w:rPr>
          <w:rFonts w:hint="default" w:ascii="Times New Roman" w:hAnsi="Times New Roman" w:cs="Times New Roman"/>
          <w:color w:val="auto"/>
          <w:highlight w:val="none"/>
          <w:lang w:val="en-US" w:eastAsia="zh-CN"/>
        </w:rPr>
        <w:t>严格执行政府采购促进中小企业发展相关管理办法，但2025年</w:t>
      </w:r>
      <w:r>
        <w:rPr>
          <w:rFonts w:hint="eastAsia" w:cs="Times New Roman"/>
          <w:color w:val="auto"/>
          <w:highlight w:val="none"/>
          <w:lang w:val="en-US" w:eastAsia="zh-CN"/>
        </w:rPr>
        <w:t>我中心</w:t>
      </w:r>
      <w:r>
        <w:rPr>
          <w:rFonts w:hint="default" w:ascii="Times New Roman" w:hAnsi="Times New Roman" w:cs="Times New Roman"/>
          <w:color w:val="auto"/>
          <w:highlight w:val="none"/>
          <w:lang w:val="en-US" w:eastAsia="zh-CN"/>
        </w:rPr>
        <w:t>无采购预算，故</w:t>
      </w:r>
      <w:r>
        <w:rPr>
          <w:rFonts w:hint="eastAsia" w:cs="Times New Roman"/>
          <w:color w:val="auto"/>
          <w:highlight w:val="none"/>
          <w:lang w:val="en-US" w:eastAsia="zh-CN"/>
        </w:rPr>
        <w:t>我中心</w:t>
      </w:r>
      <w:r>
        <w:rPr>
          <w:rFonts w:hint="default" w:ascii="Times New Roman" w:hAnsi="Times New Roman" w:cs="Times New Roman"/>
          <w:color w:val="auto"/>
          <w:highlight w:val="none"/>
          <w:lang w:val="en-US" w:eastAsia="zh-CN"/>
        </w:rPr>
        <w:t>2025年</w:t>
      </w:r>
      <w:r>
        <w:rPr>
          <w:rFonts w:hint="eastAsia" w:cs="Times New Roman"/>
          <w:color w:val="auto"/>
          <w:highlight w:val="none"/>
          <w:lang w:val="en-US" w:eastAsia="zh-CN"/>
        </w:rPr>
        <w:t>不涉及</w:t>
      </w:r>
      <w:r>
        <w:rPr>
          <w:rFonts w:hint="default" w:ascii="Times New Roman" w:hAnsi="Times New Roman" w:cs="Times New Roman"/>
          <w:color w:val="auto"/>
          <w:highlight w:val="none"/>
          <w:lang w:val="en-US" w:eastAsia="zh-CN"/>
        </w:rPr>
        <w:t>政府采购授予中小企业合同金额。</w:t>
      </w:r>
    </w:p>
    <w:p w14:paraId="3D747564">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根据评分标准，该项指标不</w:t>
      </w:r>
      <w:r>
        <w:rPr>
          <w:rFonts w:hint="eastAsia"/>
          <w:caps w:val="0"/>
          <w:color w:val="auto"/>
          <w:highlight w:val="none"/>
          <w:lang w:val="en-US" w:eastAsia="zh-CN"/>
        </w:rPr>
        <w:t>扣分，</w:t>
      </w:r>
      <w:r>
        <w:rPr>
          <w:rFonts w:hint="eastAsia" w:ascii="Times New Roman" w:hAnsi="Times New Roman"/>
          <w:caps w:val="0"/>
          <w:color w:val="auto"/>
          <w:highlight w:val="none"/>
          <w:lang w:val="en-US" w:eastAsia="zh-CN"/>
        </w:rPr>
        <w:t>得</w:t>
      </w:r>
      <w:r>
        <w:rPr>
          <w:rFonts w:hint="eastAsia"/>
          <w:caps w:val="0"/>
          <w:color w:val="auto"/>
          <w:highlight w:val="none"/>
          <w:lang w:val="en-US" w:eastAsia="zh-CN"/>
        </w:rPr>
        <w:t>3</w:t>
      </w:r>
      <w:r>
        <w:rPr>
          <w:rFonts w:hint="eastAsia" w:ascii="Times New Roman" w:hAnsi="Times New Roman"/>
          <w:caps w:val="0"/>
          <w:color w:val="auto"/>
          <w:highlight w:val="none"/>
          <w:lang w:val="en-US" w:eastAsia="zh-CN"/>
        </w:rPr>
        <w:t>分。</w:t>
      </w:r>
    </w:p>
    <w:p w14:paraId="6748E69F">
      <w:pPr>
        <w:pageBreakBefore w:val="0"/>
        <w:widowControl w:val="0"/>
        <w:kinsoku/>
        <w:wordWrap/>
        <w:overflowPunct/>
        <w:topLinePunct w:val="0"/>
        <w:autoSpaceDE/>
        <w:autoSpaceDN/>
        <w:bidi w:val="0"/>
        <w:adjustRightInd/>
        <w:snapToGrid/>
        <w:spacing w:line="600" w:lineRule="exact"/>
        <w:textAlignment w:val="auto"/>
        <w:outlineLvl w:val="3"/>
        <w:rPr>
          <w:rFonts w:hint="default"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2</w:t>
      </w:r>
      <w:r>
        <w:rPr>
          <w:rFonts w:hint="eastAsia" w:ascii="Times New Roman" w:hAnsi="Times New Roman"/>
          <w:caps w:val="0"/>
          <w:color w:val="auto"/>
          <w:highlight w:val="none"/>
          <w:lang w:val="en-US" w:eastAsia="zh-CN"/>
        </w:rPr>
        <w:t>）采购执行率</w:t>
      </w:r>
    </w:p>
    <w:p w14:paraId="26318D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caps w:val="0"/>
          <w:color w:val="auto"/>
          <w:highlight w:val="none"/>
          <w:lang w:val="en-US" w:eastAsia="zh-CN"/>
        </w:rPr>
        <w:t>我中心</w:t>
      </w:r>
      <w:r>
        <w:rPr>
          <w:rFonts w:hint="eastAsia" w:ascii="Times New Roman" w:hAnsi="Times New Roman"/>
          <w:caps w:val="0"/>
          <w:color w:val="auto"/>
          <w:highlight w:val="none"/>
          <w:lang w:val="en-US" w:eastAsia="zh-CN"/>
        </w:rPr>
        <w:t>202</w:t>
      </w:r>
      <w:r>
        <w:rPr>
          <w:rFonts w:hint="eastAsia"/>
          <w:caps w:val="0"/>
          <w:color w:val="auto"/>
          <w:highlight w:val="none"/>
          <w:lang w:val="en-US" w:eastAsia="zh-CN"/>
        </w:rPr>
        <w:t>5</w:t>
      </w:r>
      <w:r>
        <w:rPr>
          <w:rFonts w:hint="eastAsia" w:ascii="Times New Roman" w:hAnsi="Times New Roman"/>
          <w:caps w:val="0"/>
          <w:color w:val="auto"/>
          <w:highlight w:val="none"/>
          <w:lang w:val="en-US" w:eastAsia="zh-CN"/>
        </w:rPr>
        <w:t>年</w:t>
      </w:r>
      <w:r>
        <w:rPr>
          <w:rFonts w:hint="eastAsia"/>
          <w:caps w:val="0"/>
          <w:color w:val="auto"/>
          <w:highlight w:val="none"/>
          <w:lang w:val="en-US" w:eastAsia="zh-CN"/>
        </w:rPr>
        <w:t>无采购预算，不涉及该项指标</w:t>
      </w:r>
      <w:r>
        <w:rPr>
          <w:rFonts w:hint="eastAsia" w:ascii="Times New Roman" w:hAnsi="Times New Roman"/>
          <w:caps w:val="0"/>
          <w:color w:val="auto"/>
          <w:highlight w:val="none"/>
          <w:lang w:val="en-US" w:eastAsia="zh-CN"/>
        </w:rPr>
        <w:t>。</w:t>
      </w:r>
    </w:p>
    <w:p w14:paraId="646FCD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eastAsia="zh-CN"/>
        </w:rPr>
      </w:pPr>
      <w:r>
        <w:rPr>
          <w:rFonts w:hint="eastAsia" w:ascii="Times New Roman" w:hAnsi="Times New Roman"/>
          <w:caps w:val="0"/>
          <w:color w:val="auto"/>
          <w:highlight w:val="none"/>
          <w:lang w:val="en-US" w:eastAsia="zh-CN"/>
        </w:rPr>
        <w:t>根据评分标准，该项指标不扣分，得3分。</w:t>
      </w:r>
    </w:p>
    <w:p w14:paraId="291E5484">
      <w:pPr>
        <w:keepNext w:val="0"/>
        <w:keepLines w:val="0"/>
        <w:pageBreakBefore w:val="0"/>
        <w:widowControl/>
        <w:shd w:val="clea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cs="Times New Roman"/>
          <w:caps w:val="0"/>
          <w:color w:val="auto"/>
          <w:kern w:val="0"/>
          <w:szCs w:val="32"/>
          <w:highlight w:val="none"/>
          <w:shd w:val="clear" w:color="auto" w:fill="FFFFFF"/>
          <w:lang w:val="en-US" w:eastAsia="zh-CN"/>
        </w:rPr>
      </w:pPr>
      <w:r>
        <w:rPr>
          <w:rFonts w:hint="default" w:ascii="Times New Roman" w:hAnsi="Times New Roman" w:eastAsia="楷体_GB2312" w:cs="Times New Roman"/>
          <w:b/>
          <w:bCs/>
          <w:caps w:val="0"/>
          <w:color w:val="auto"/>
          <w:kern w:val="0"/>
          <w:szCs w:val="32"/>
          <w:highlight w:val="none"/>
          <w:shd w:val="clear" w:color="auto" w:fill="FFFFFF"/>
          <w:lang w:val="zh-CN"/>
        </w:rPr>
        <w:t>（二）部门预算项目绩效分析</w:t>
      </w:r>
    </w:p>
    <w:p w14:paraId="6B19707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cs="Times New Roman"/>
          <w:caps w:val="0"/>
          <w:color w:val="auto"/>
          <w:kern w:val="0"/>
          <w:szCs w:val="32"/>
          <w:highlight w:val="none"/>
          <w:shd w:val="clear" w:color="auto" w:fill="FFFFFF"/>
          <w:lang w:val="en-US" w:eastAsia="zh-CN"/>
        </w:rPr>
      </w:pPr>
      <w:r>
        <w:rPr>
          <w:rFonts w:hint="default" w:ascii="Times New Roman" w:hAnsi="Times New Roman" w:cs="Times New Roman"/>
          <w:caps w:val="0"/>
          <w:color w:val="auto"/>
          <w:kern w:val="0"/>
          <w:szCs w:val="32"/>
          <w:highlight w:val="none"/>
          <w:shd w:val="clear" w:color="auto" w:fill="FFFFFF"/>
          <w:lang w:val="en-US" w:eastAsia="zh-CN"/>
        </w:rPr>
        <w:t>常年项目绩效分析。</w:t>
      </w:r>
      <w:r>
        <w:rPr>
          <w:rFonts w:hint="default" w:ascii="Times New Roman" w:hAnsi="Times New Roman" w:cs="Times New Roman"/>
          <w:caps w:val="0"/>
          <w:color w:val="auto"/>
          <w:kern w:val="0"/>
          <w:szCs w:val="32"/>
          <w:highlight w:val="none"/>
          <w:shd w:val="clear" w:color="auto" w:fill="FFFFFF"/>
          <w:lang w:val="zh-CN" w:eastAsia="zh-CN"/>
        </w:rPr>
        <w:t>该类项目总数</w:t>
      </w:r>
      <w:r>
        <w:rPr>
          <w:rFonts w:hint="eastAsia" w:cs="Times New Roman"/>
          <w:caps w:val="0"/>
          <w:color w:val="auto"/>
          <w:kern w:val="0"/>
          <w:szCs w:val="32"/>
          <w:highlight w:val="none"/>
          <w:shd w:val="clear" w:color="auto" w:fill="FFFFFF"/>
          <w:lang w:val="en-US" w:eastAsia="zh-CN"/>
        </w:rPr>
        <w:t>0</w:t>
      </w:r>
      <w:r>
        <w:rPr>
          <w:rFonts w:hint="default" w:ascii="Times New Roman" w:hAnsi="Times New Roman" w:cs="Times New Roman"/>
          <w:caps w:val="0"/>
          <w:color w:val="auto"/>
          <w:kern w:val="0"/>
          <w:szCs w:val="32"/>
          <w:highlight w:val="none"/>
          <w:shd w:val="clear" w:color="auto" w:fill="FFFFFF"/>
          <w:lang w:val="zh-CN" w:eastAsia="zh-CN"/>
        </w:rPr>
        <w:t>个，涉及预算总金额</w:t>
      </w:r>
      <w:r>
        <w:rPr>
          <w:rFonts w:hint="eastAsia" w:cs="Times New Roman"/>
          <w:caps w:val="0"/>
          <w:color w:val="auto"/>
          <w:kern w:val="0"/>
          <w:szCs w:val="32"/>
          <w:highlight w:val="none"/>
          <w:shd w:val="clear" w:color="auto" w:fill="FFFFFF"/>
          <w:lang w:val="en-US" w:eastAsia="zh-CN"/>
        </w:rPr>
        <w:t>0</w:t>
      </w:r>
      <w:r>
        <w:rPr>
          <w:rFonts w:hint="default" w:ascii="Times New Roman" w:hAnsi="Times New Roman" w:cs="Times New Roman"/>
          <w:caps w:val="0"/>
          <w:color w:val="auto"/>
          <w:kern w:val="0"/>
          <w:szCs w:val="32"/>
          <w:highlight w:val="none"/>
          <w:shd w:val="clear" w:color="auto" w:fill="FFFFFF"/>
          <w:lang w:val="zh-CN" w:eastAsia="zh-CN"/>
        </w:rPr>
        <w:t>万元</w:t>
      </w:r>
      <w:r>
        <w:rPr>
          <w:rFonts w:hint="default" w:ascii="Times New Roman" w:hAnsi="Times New Roman" w:cs="Times New Roman"/>
          <w:caps w:val="0"/>
          <w:color w:val="auto"/>
          <w:kern w:val="0"/>
          <w:szCs w:val="32"/>
          <w:highlight w:val="none"/>
          <w:shd w:val="clear" w:color="auto" w:fill="FFFFFF"/>
          <w:lang w:val="zh-CN"/>
        </w:rPr>
        <w:t>，1</w:t>
      </w:r>
      <w:r>
        <w:rPr>
          <w:rFonts w:hint="default" w:ascii="Times New Roman" w:hAnsi="Times New Roman" w:cs="Times New Roman"/>
          <w:caps w:val="0"/>
          <w:color w:val="auto"/>
          <w:kern w:val="0"/>
          <w:szCs w:val="32"/>
          <w:highlight w:val="none"/>
          <w:shd w:val="clear" w:color="auto" w:fill="FFFFFF"/>
          <w:lang w:val="zh-CN" w:eastAsia="zh-CN"/>
        </w:rPr>
        <w:t>—</w:t>
      </w:r>
      <w:r>
        <w:rPr>
          <w:rFonts w:hint="default" w:ascii="Times New Roman" w:hAnsi="Times New Roman" w:cs="Times New Roman"/>
          <w:caps w:val="0"/>
          <w:color w:val="auto"/>
          <w:kern w:val="0"/>
          <w:szCs w:val="32"/>
          <w:highlight w:val="none"/>
          <w:shd w:val="clear" w:color="auto" w:fill="FFFFFF"/>
          <w:lang w:val="zh-CN"/>
        </w:rPr>
        <w:t>1</w:t>
      </w:r>
      <w:r>
        <w:rPr>
          <w:rFonts w:hint="default" w:ascii="Times New Roman" w:hAnsi="Times New Roman" w:cs="Times New Roman"/>
          <w:caps w:val="0"/>
          <w:color w:val="auto"/>
          <w:kern w:val="0"/>
          <w:szCs w:val="32"/>
          <w:highlight w:val="none"/>
          <w:shd w:val="clear" w:color="auto" w:fill="FFFFFF"/>
          <w:lang w:val="en-US" w:eastAsia="zh-CN"/>
        </w:rPr>
        <w:t>2</w:t>
      </w:r>
      <w:r>
        <w:rPr>
          <w:rFonts w:hint="default" w:ascii="Times New Roman" w:hAnsi="Times New Roman" w:cs="Times New Roman"/>
          <w:caps w:val="0"/>
          <w:color w:val="auto"/>
          <w:kern w:val="0"/>
          <w:szCs w:val="32"/>
          <w:highlight w:val="none"/>
          <w:shd w:val="clear" w:color="auto" w:fill="FFFFFF"/>
          <w:lang w:val="zh-CN"/>
        </w:rPr>
        <w:t>月预算执行总体进度为</w:t>
      </w:r>
      <w:r>
        <w:rPr>
          <w:rFonts w:hint="eastAsia" w:cs="Times New Roman"/>
          <w:caps w:val="0"/>
          <w:color w:val="auto"/>
          <w:kern w:val="0"/>
          <w:szCs w:val="32"/>
          <w:highlight w:val="none"/>
          <w:shd w:val="clear" w:color="auto" w:fill="FFFFFF"/>
          <w:lang w:val="en-US" w:eastAsia="zh-CN"/>
        </w:rPr>
        <w:t>0</w:t>
      </w:r>
      <w:r>
        <w:rPr>
          <w:rFonts w:hint="eastAsia" w:ascii="Times New Roman" w:hAnsi="Times New Roman" w:cs="Times New Roman"/>
          <w:caps w:val="0"/>
          <w:color w:val="auto"/>
          <w:kern w:val="0"/>
          <w:szCs w:val="32"/>
          <w:highlight w:val="none"/>
          <w:shd w:val="clear" w:color="auto" w:fill="FFFFFF"/>
          <w:lang w:val="en-US" w:eastAsia="zh-CN"/>
        </w:rPr>
        <w:t>%</w:t>
      </w:r>
      <w:r>
        <w:rPr>
          <w:rFonts w:hint="eastAsia" w:ascii="Times New Roman" w:hAnsi="Times New Roman" w:cs="Times New Roman"/>
          <w:caps w:val="0"/>
          <w:color w:val="auto"/>
          <w:kern w:val="0"/>
          <w:szCs w:val="32"/>
          <w:highlight w:val="none"/>
          <w:shd w:val="clear" w:color="auto" w:fill="FFFFFF"/>
          <w:lang w:val="zh-CN"/>
        </w:rPr>
        <w:t>，</w:t>
      </w:r>
      <w:r>
        <w:rPr>
          <w:rFonts w:hint="default" w:ascii="Times New Roman" w:hAnsi="Times New Roman" w:cs="Times New Roman"/>
          <w:caps w:val="0"/>
          <w:color w:val="auto"/>
          <w:kern w:val="0"/>
          <w:szCs w:val="32"/>
          <w:highlight w:val="none"/>
          <w:shd w:val="clear" w:color="auto" w:fill="FFFFFF"/>
          <w:lang w:val="zh-CN"/>
        </w:rPr>
        <w:t>其中：</w:t>
      </w:r>
      <w:r>
        <w:rPr>
          <w:rFonts w:hint="default" w:ascii="Times New Roman" w:hAnsi="Times New Roman" w:cs="Times New Roman"/>
          <w:caps w:val="0"/>
          <w:color w:val="auto"/>
          <w:kern w:val="0"/>
          <w:szCs w:val="32"/>
          <w:highlight w:val="none"/>
          <w:shd w:val="clear" w:color="auto" w:fill="FFFFFF"/>
          <w:lang w:val="zh-CN" w:eastAsia="zh-CN"/>
        </w:rPr>
        <w:t>预算结余率大于</w:t>
      </w:r>
      <w:r>
        <w:rPr>
          <w:rFonts w:hint="default" w:ascii="Times New Roman" w:hAnsi="Times New Roman" w:cs="Times New Roman"/>
          <w:caps w:val="0"/>
          <w:color w:val="auto"/>
          <w:kern w:val="0"/>
          <w:szCs w:val="32"/>
          <w:highlight w:val="none"/>
          <w:shd w:val="clear" w:color="auto" w:fill="FFFFFF"/>
          <w:lang w:val="en-US" w:eastAsia="zh-CN"/>
        </w:rPr>
        <w:t>10%</w:t>
      </w:r>
      <w:r>
        <w:rPr>
          <w:rFonts w:hint="default" w:ascii="Times New Roman" w:hAnsi="Times New Roman" w:cs="Times New Roman"/>
          <w:caps w:val="0"/>
          <w:color w:val="auto"/>
          <w:kern w:val="0"/>
          <w:szCs w:val="32"/>
          <w:highlight w:val="none"/>
          <w:shd w:val="clear" w:color="auto" w:fill="FFFFFF"/>
          <w:lang w:val="zh-CN" w:eastAsia="zh-CN"/>
        </w:rPr>
        <w:t>的项目共计</w:t>
      </w:r>
      <w:r>
        <w:rPr>
          <w:rFonts w:hint="eastAsia" w:cs="Times New Roman"/>
          <w:caps w:val="0"/>
          <w:color w:val="auto"/>
          <w:kern w:val="0"/>
          <w:szCs w:val="32"/>
          <w:highlight w:val="none"/>
          <w:shd w:val="clear" w:color="auto" w:fill="FFFFFF"/>
          <w:lang w:val="en-US" w:eastAsia="zh-CN"/>
        </w:rPr>
        <w:t>0</w:t>
      </w:r>
      <w:r>
        <w:rPr>
          <w:rFonts w:hint="default" w:ascii="Times New Roman" w:hAnsi="Times New Roman" w:cs="Times New Roman"/>
          <w:caps w:val="0"/>
          <w:color w:val="auto"/>
          <w:kern w:val="0"/>
          <w:szCs w:val="32"/>
          <w:highlight w:val="none"/>
          <w:shd w:val="clear" w:color="auto" w:fill="FFFFFF"/>
          <w:lang w:val="zh-CN" w:eastAsia="zh-CN"/>
        </w:rPr>
        <w:t>个</w:t>
      </w:r>
      <w:r>
        <w:rPr>
          <w:rFonts w:hint="eastAsia" w:ascii="Times New Roman" w:hAnsi="Times New Roman" w:cs="Times New Roman"/>
          <w:caps w:val="0"/>
          <w:color w:val="auto"/>
          <w:kern w:val="0"/>
          <w:szCs w:val="32"/>
          <w:highlight w:val="none"/>
          <w:shd w:val="clear" w:color="auto" w:fill="FFFFFF"/>
          <w:lang w:val="zh-CN" w:eastAsia="zh-CN"/>
        </w:rPr>
        <w:t>。</w:t>
      </w:r>
    </w:p>
    <w:p w14:paraId="1479733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cs="Times New Roman"/>
          <w:caps w:val="0"/>
          <w:color w:val="auto"/>
          <w:kern w:val="0"/>
          <w:szCs w:val="32"/>
          <w:highlight w:val="none"/>
          <w:shd w:val="clear" w:color="auto" w:fill="FFFFFF"/>
          <w:lang w:val="zh-CN" w:eastAsia="zh-CN"/>
        </w:rPr>
      </w:pPr>
      <w:r>
        <w:rPr>
          <w:rFonts w:hint="default" w:ascii="Times New Roman" w:hAnsi="Times New Roman" w:cs="Times New Roman"/>
          <w:caps w:val="0"/>
          <w:color w:val="auto"/>
          <w:kern w:val="0"/>
          <w:szCs w:val="32"/>
          <w:highlight w:val="none"/>
          <w:shd w:val="clear" w:color="auto" w:fill="FFFFFF"/>
          <w:lang w:val="en-US" w:eastAsia="zh-CN"/>
        </w:rPr>
        <w:t>阶段</w:t>
      </w:r>
      <w:r>
        <w:rPr>
          <w:rFonts w:hint="eastAsia" w:ascii="Times New Roman" w:hAnsi="Times New Roman" w:cs="Times New Roman"/>
          <w:caps w:val="0"/>
          <w:color w:val="auto"/>
          <w:kern w:val="0"/>
          <w:szCs w:val="32"/>
          <w:highlight w:val="none"/>
          <w:shd w:val="clear" w:color="auto" w:fill="FFFFFF"/>
          <w:lang w:val="en-US" w:eastAsia="zh-CN"/>
        </w:rPr>
        <w:t>（含</w:t>
      </w:r>
      <w:r>
        <w:rPr>
          <w:rFonts w:hint="default" w:ascii="Times New Roman" w:hAnsi="Times New Roman" w:cs="Times New Roman"/>
          <w:caps w:val="0"/>
          <w:color w:val="auto"/>
          <w:kern w:val="0"/>
          <w:szCs w:val="32"/>
          <w:highlight w:val="none"/>
          <w:shd w:val="clear" w:color="auto" w:fill="FFFFFF"/>
          <w:lang w:val="en-US" w:eastAsia="zh-CN"/>
        </w:rPr>
        <w:t>一次性</w:t>
      </w:r>
      <w:r>
        <w:rPr>
          <w:rFonts w:hint="eastAsia" w:ascii="Times New Roman" w:hAnsi="Times New Roman" w:cs="Times New Roman"/>
          <w:caps w:val="0"/>
          <w:color w:val="auto"/>
          <w:kern w:val="0"/>
          <w:szCs w:val="32"/>
          <w:highlight w:val="none"/>
          <w:shd w:val="clear" w:color="auto" w:fill="FFFFFF"/>
          <w:lang w:val="en-US" w:eastAsia="zh-CN"/>
        </w:rPr>
        <w:t>）</w:t>
      </w:r>
      <w:r>
        <w:rPr>
          <w:rFonts w:hint="default" w:ascii="Times New Roman" w:hAnsi="Times New Roman" w:cs="Times New Roman"/>
          <w:caps w:val="0"/>
          <w:color w:val="auto"/>
          <w:kern w:val="0"/>
          <w:szCs w:val="32"/>
          <w:highlight w:val="none"/>
          <w:shd w:val="clear" w:color="auto" w:fill="FFFFFF"/>
          <w:lang w:val="en-US" w:eastAsia="zh-CN"/>
        </w:rPr>
        <w:t>项目绩效分析。</w:t>
      </w:r>
      <w:r>
        <w:rPr>
          <w:rFonts w:hint="default" w:ascii="Times New Roman" w:hAnsi="Times New Roman" w:cs="Times New Roman"/>
          <w:caps w:val="0"/>
          <w:color w:val="auto"/>
          <w:kern w:val="0"/>
          <w:szCs w:val="32"/>
          <w:highlight w:val="none"/>
          <w:shd w:val="clear" w:color="auto" w:fill="FFFFFF"/>
          <w:lang w:val="zh-CN" w:eastAsia="zh-CN"/>
        </w:rPr>
        <w:t>该类项目总数</w:t>
      </w:r>
      <w:r>
        <w:rPr>
          <w:rFonts w:hint="eastAsia" w:cs="Times New Roman"/>
          <w:caps w:val="0"/>
          <w:color w:val="auto"/>
          <w:kern w:val="0"/>
          <w:szCs w:val="32"/>
          <w:highlight w:val="none"/>
          <w:shd w:val="clear" w:color="auto" w:fill="FFFFFF"/>
          <w:lang w:val="en-US" w:eastAsia="zh-CN"/>
        </w:rPr>
        <w:t>0</w:t>
      </w:r>
      <w:r>
        <w:rPr>
          <w:rFonts w:hint="default" w:ascii="Times New Roman" w:hAnsi="Times New Roman" w:cs="Times New Roman"/>
          <w:caps w:val="0"/>
          <w:color w:val="auto"/>
          <w:kern w:val="0"/>
          <w:szCs w:val="32"/>
          <w:highlight w:val="none"/>
          <w:shd w:val="clear" w:color="auto" w:fill="FFFFFF"/>
          <w:lang w:val="zh-CN" w:eastAsia="zh-CN"/>
        </w:rPr>
        <w:t>个，涉及预算总</w:t>
      </w:r>
      <w:r>
        <w:rPr>
          <w:rFonts w:hint="eastAsia" w:cs="Times New Roman"/>
          <w:caps w:val="0"/>
          <w:color w:val="auto"/>
          <w:kern w:val="0"/>
          <w:szCs w:val="32"/>
          <w:highlight w:val="none"/>
          <w:shd w:val="clear" w:color="auto" w:fill="FFFFFF"/>
          <w:lang w:val="en-US" w:eastAsia="zh-CN"/>
        </w:rPr>
        <w:t>金额0</w:t>
      </w:r>
      <w:r>
        <w:rPr>
          <w:rFonts w:hint="default" w:ascii="Times New Roman" w:hAnsi="Times New Roman" w:cs="Times New Roman"/>
          <w:caps w:val="0"/>
          <w:color w:val="auto"/>
          <w:kern w:val="0"/>
          <w:szCs w:val="32"/>
          <w:highlight w:val="none"/>
          <w:shd w:val="clear" w:color="auto" w:fill="FFFFFF"/>
          <w:lang w:val="zh-CN" w:eastAsia="zh-CN"/>
        </w:rPr>
        <w:t>万元</w:t>
      </w:r>
      <w:r>
        <w:rPr>
          <w:rFonts w:hint="default" w:ascii="Times New Roman" w:hAnsi="Times New Roman" w:cs="Times New Roman"/>
          <w:caps w:val="0"/>
          <w:color w:val="auto"/>
          <w:kern w:val="0"/>
          <w:szCs w:val="32"/>
          <w:highlight w:val="none"/>
          <w:shd w:val="clear" w:color="auto" w:fill="FFFFFF"/>
          <w:lang w:val="zh-CN"/>
        </w:rPr>
        <w:t>，1</w:t>
      </w:r>
      <w:r>
        <w:rPr>
          <w:rFonts w:hint="default" w:ascii="Times New Roman" w:hAnsi="Times New Roman" w:cs="Times New Roman"/>
          <w:caps w:val="0"/>
          <w:color w:val="auto"/>
          <w:kern w:val="0"/>
          <w:szCs w:val="32"/>
          <w:highlight w:val="none"/>
          <w:shd w:val="clear" w:color="auto" w:fill="FFFFFF"/>
          <w:lang w:val="zh-CN" w:eastAsia="zh-CN"/>
        </w:rPr>
        <w:t>—</w:t>
      </w:r>
      <w:r>
        <w:rPr>
          <w:rFonts w:hint="default" w:ascii="Times New Roman" w:hAnsi="Times New Roman" w:cs="Times New Roman"/>
          <w:caps w:val="0"/>
          <w:color w:val="auto"/>
          <w:kern w:val="0"/>
          <w:szCs w:val="32"/>
          <w:highlight w:val="none"/>
          <w:shd w:val="clear" w:color="auto" w:fill="FFFFFF"/>
          <w:lang w:val="zh-CN"/>
        </w:rPr>
        <w:t>1</w:t>
      </w:r>
      <w:r>
        <w:rPr>
          <w:rFonts w:hint="default" w:ascii="Times New Roman" w:hAnsi="Times New Roman" w:cs="Times New Roman"/>
          <w:caps w:val="0"/>
          <w:color w:val="auto"/>
          <w:kern w:val="0"/>
          <w:szCs w:val="32"/>
          <w:highlight w:val="none"/>
          <w:shd w:val="clear" w:color="auto" w:fill="FFFFFF"/>
          <w:lang w:val="en-US" w:eastAsia="zh-CN"/>
        </w:rPr>
        <w:t>2</w:t>
      </w:r>
      <w:r>
        <w:rPr>
          <w:rFonts w:hint="default" w:ascii="Times New Roman" w:hAnsi="Times New Roman" w:cs="Times New Roman"/>
          <w:caps w:val="0"/>
          <w:color w:val="auto"/>
          <w:kern w:val="0"/>
          <w:szCs w:val="32"/>
          <w:highlight w:val="none"/>
          <w:shd w:val="clear" w:color="auto" w:fill="FFFFFF"/>
          <w:lang w:val="zh-CN"/>
        </w:rPr>
        <w:t>月预算执行总体进度为</w:t>
      </w:r>
      <w:r>
        <w:rPr>
          <w:rFonts w:hint="eastAsia" w:cs="Times New Roman"/>
          <w:caps w:val="0"/>
          <w:color w:val="auto"/>
          <w:kern w:val="0"/>
          <w:szCs w:val="32"/>
          <w:highlight w:val="none"/>
          <w:shd w:val="clear" w:color="auto" w:fill="FFFFFF"/>
          <w:lang w:val="en-US" w:eastAsia="zh-CN"/>
        </w:rPr>
        <w:t>0</w:t>
      </w:r>
      <w:r>
        <w:rPr>
          <w:rFonts w:hint="default" w:ascii="Times New Roman" w:hAnsi="Times New Roman" w:cs="Times New Roman"/>
          <w:caps w:val="0"/>
          <w:color w:val="auto"/>
          <w:kern w:val="0"/>
          <w:szCs w:val="32"/>
          <w:highlight w:val="none"/>
          <w:shd w:val="clear" w:color="auto" w:fill="FFFFFF"/>
          <w:lang w:val="zh-CN"/>
        </w:rPr>
        <w:t>%</w:t>
      </w:r>
      <w:r>
        <w:rPr>
          <w:rFonts w:hint="eastAsia" w:ascii="Times New Roman" w:hAnsi="Times New Roman" w:cs="Times New Roman"/>
          <w:caps w:val="0"/>
          <w:color w:val="auto"/>
          <w:kern w:val="0"/>
          <w:szCs w:val="32"/>
          <w:highlight w:val="none"/>
          <w:shd w:val="clear" w:color="auto" w:fill="FFFFFF"/>
          <w:lang w:val="zh-CN"/>
        </w:rPr>
        <w:t>，</w:t>
      </w:r>
      <w:r>
        <w:rPr>
          <w:rFonts w:hint="eastAsia" w:ascii="Times New Roman" w:hAnsi="Times New Roman" w:cs="Times New Roman"/>
          <w:caps w:val="0"/>
          <w:color w:val="auto"/>
          <w:kern w:val="0"/>
          <w:szCs w:val="32"/>
          <w:highlight w:val="none"/>
          <w:shd w:val="clear" w:color="auto" w:fill="FFFFFF"/>
          <w:lang w:val="en-US" w:eastAsia="zh-CN"/>
        </w:rPr>
        <w:t>其中；</w:t>
      </w:r>
      <w:r>
        <w:rPr>
          <w:rFonts w:hint="default" w:ascii="Times New Roman" w:hAnsi="Times New Roman" w:cs="Times New Roman"/>
          <w:caps w:val="0"/>
          <w:color w:val="auto"/>
          <w:kern w:val="0"/>
          <w:szCs w:val="32"/>
          <w:highlight w:val="none"/>
          <w:shd w:val="clear" w:color="auto" w:fill="FFFFFF"/>
          <w:lang w:val="zh-CN" w:eastAsia="zh-CN"/>
        </w:rPr>
        <w:t>预算结余率大于</w:t>
      </w:r>
      <w:r>
        <w:rPr>
          <w:rFonts w:hint="default" w:ascii="Times New Roman" w:hAnsi="Times New Roman" w:cs="Times New Roman"/>
          <w:caps w:val="0"/>
          <w:color w:val="auto"/>
          <w:kern w:val="0"/>
          <w:szCs w:val="32"/>
          <w:highlight w:val="none"/>
          <w:shd w:val="clear" w:color="auto" w:fill="FFFFFF"/>
          <w:lang w:val="en-US" w:eastAsia="zh-CN"/>
        </w:rPr>
        <w:t>10%</w:t>
      </w:r>
      <w:r>
        <w:rPr>
          <w:rFonts w:hint="default" w:ascii="Times New Roman" w:hAnsi="Times New Roman" w:cs="Times New Roman"/>
          <w:caps w:val="0"/>
          <w:color w:val="auto"/>
          <w:kern w:val="0"/>
          <w:szCs w:val="32"/>
          <w:highlight w:val="none"/>
          <w:shd w:val="clear" w:color="auto" w:fill="FFFFFF"/>
          <w:lang w:val="zh-CN" w:eastAsia="zh-CN"/>
        </w:rPr>
        <w:t>的项目共计</w:t>
      </w:r>
      <w:r>
        <w:rPr>
          <w:rFonts w:hint="eastAsia" w:cs="Times New Roman"/>
          <w:caps w:val="0"/>
          <w:color w:val="auto"/>
          <w:kern w:val="0"/>
          <w:szCs w:val="32"/>
          <w:highlight w:val="none"/>
          <w:shd w:val="clear" w:color="auto" w:fill="FFFFFF"/>
          <w:lang w:val="en-US" w:eastAsia="zh-CN"/>
        </w:rPr>
        <w:t>0</w:t>
      </w:r>
      <w:r>
        <w:rPr>
          <w:rFonts w:hint="default" w:ascii="Times New Roman" w:hAnsi="Times New Roman" w:cs="Times New Roman"/>
          <w:caps w:val="0"/>
          <w:color w:val="auto"/>
          <w:kern w:val="0"/>
          <w:szCs w:val="32"/>
          <w:highlight w:val="none"/>
          <w:shd w:val="clear" w:color="auto" w:fill="FFFFFF"/>
          <w:lang w:val="zh-CN" w:eastAsia="zh-CN"/>
        </w:rPr>
        <w:t>个</w:t>
      </w:r>
      <w:r>
        <w:rPr>
          <w:rFonts w:hint="eastAsia" w:ascii="Times New Roman" w:hAnsi="Times New Roman" w:cs="Times New Roman"/>
          <w:caps w:val="0"/>
          <w:color w:val="auto"/>
          <w:kern w:val="0"/>
          <w:szCs w:val="32"/>
          <w:highlight w:val="none"/>
          <w:shd w:val="clear" w:color="auto" w:fill="FFFFFF"/>
          <w:lang w:val="zh-CN" w:eastAsia="zh-CN"/>
        </w:rPr>
        <w:t>。</w:t>
      </w:r>
    </w:p>
    <w:p w14:paraId="1C9F861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2"/>
        <w:rPr>
          <w:rFonts w:hint="eastAsia" w:ascii="Times New Roman" w:hAnsi="Times New Roman" w:eastAsia="楷体_GB2312" w:cs="楷体_GB2312"/>
          <w:caps w:val="0"/>
          <w:color w:val="auto"/>
          <w:kern w:val="0"/>
          <w:szCs w:val="32"/>
          <w:highlight w:val="none"/>
          <w:shd w:val="clear" w:color="auto" w:fill="FFFFFF"/>
          <w:lang w:val="zh-CN"/>
        </w:rPr>
      </w:pPr>
      <w:r>
        <w:rPr>
          <w:rFonts w:hint="default" w:ascii="Times New Roman" w:hAnsi="Times New Roman" w:eastAsia="楷体_GB2312" w:cs="Times New Roman"/>
          <w:caps w:val="0"/>
          <w:color w:val="auto"/>
          <w:kern w:val="0"/>
          <w:szCs w:val="32"/>
          <w:highlight w:val="none"/>
          <w:shd w:val="clear" w:color="auto" w:fill="FFFFFF"/>
          <w:lang w:val="en-US" w:eastAsia="zh-CN"/>
        </w:rPr>
        <w:t>1</w:t>
      </w:r>
      <w:r>
        <w:rPr>
          <w:rFonts w:hint="eastAsia" w:ascii="Times New Roman" w:hAnsi="Times New Roman" w:eastAsia="楷体_GB2312" w:cs="Times New Roman"/>
          <w:caps w:val="0"/>
          <w:color w:val="auto"/>
          <w:kern w:val="0"/>
          <w:szCs w:val="32"/>
          <w:highlight w:val="none"/>
          <w:shd w:val="clear" w:color="auto" w:fill="FFFFFF"/>
          <w:lang w:val="en-US" w:eastAsia="zh-CN"/>
        </w:rPr>
        <w:t>．</w:t>
      </w:r>
      <w:r>
        <w:rPr>
          <w:rFonts w:hint="eastAsia" w:ascii="Times New Roman" w:hAnsi="Times New Roman" w:eastAsia="楷体_GB2312" w:cs="楷体_GB2312"/>
          <w:caps w:val="0"/>
          <w:color w:val="auto"/>
          <w:kern w:val="0"/>
          <w:szCs w:val="32"/>
          <w:highlight w:val="none"/>
          <w:shd w:val="clear" w:color="auto" w:fill="FFFFFF"/>
          <w:lang w:val="zh-CN"/>
        </w:rPr>
        <w:t>项目决策</w:t>
      </w:r>
    </w:p>
    <w:p w14:paraId="7C45233C">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caps w:val="0"/>
          <w:color w:val="auto"/>
          <w:highlight w:val="none"/>
          <w:lang w:val="zh-CN"/>
        </w:rPr>
      </w:pPr>
      <w:r>
        <w:rPr>
          <w:rFonts w:hint="eastAsia" w:ascii="Times New Roman" w:hAnsi="Times New Roman"/>
          <w:caps w:val="0"/>
          <w:color w:val="auto"/>
          <w:highlight w:val="none"/>
          <w:lang w:val="zh-CN"/>
        </w:rPr>
        <w:t>（</w:t>
      </w:r>
      <w:r>
        <w:rPr>
          <w:rFonts w:hint="default" w:ascii="Times New Roman" w:hAnsi="Times New Roman" w:cs="Times New Roman"/>
          <w:caps w:val="0"/>
          <w:color w:val="auto"/>
          <w:highlight w:val="none"/>
          <w:lang w:val="en-US" w:eastAsia="zh-CN"/>
        </w:rPr>
        <w:t>1</w:t>
      </w:r>
      <w:r>
        <w:rPr>
          <w:rFonts w:hint="eastAsia" w:ascii="Times New Roman" w:hAnsi="Times New Roman"/>
          <w:caps w:val="0"/>
          <w:color w:val="auto"/>
          <w:highlight w:val="none"/>
          <w:lang w:val="zh-CN"/>
        </w:rPr>
        <w:t>）决策程序</w:t>
      </w:r>
    </w:p>
    <w:p w14:paraId="3558A10C">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sz w:val="32"/>
          <w:szCs w:val="32"/>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sz w:val="32"/>
          <w:szCs w:val="32"/>
          <w:highlight w:val="none"/>
          <w:lang w:val="en-US" w:eastAsia="zh-CN"/>
        </w:rPr>
        <w:t>。</w:t>
      </w:r>
    </w:p>
    <w:p w14:paraId="2C52B11F">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highlight w:val="none"/>
          <w:lang w:val="en-US" w:eastAsia="zh-CN"/>
        </w:rPr>
      </w:pPr>
      <w:r>
        <w:rPr>
          <w:rFonts w:hint="default" w:ascii="Times New Roman" w:hAnsi="Times New Roman"/>
          <w:caps w:val="0"/>
          <w:color w:val="auto"/>
          <w:highlight w:val="none"/>
          <w:lang w:val="en-US" w:eastAsia="zh-CN"/>
        </w:rPr>
        <w:t>根据评分标准，该项指标不扣分，得4分</w:t>
      </w:r>
      <w:r>
        <w:rPr>
          <w:rFonts w:hint="eastAsia" w:ascii="Times New Roman" w:hAnsi="Times New Roman"/>
          <w:caps w:val="0"/>
          <w:color w:val="auto"/>
          <w:highlight w:val="none"/>
          <w:lang w:val="en-US" w:eastAsia="zh-CN"/>
        </w:rPr>
        <w:t>。</w:t>
      </w:r>
    </w:p>
    <w:p w14:paraId="79D4313A">
      <w:pPr>
        <w:pageBreakBefore w:val="0"/>
        <w:widowControl w:val="0"/>
        <w:kinsoku/>
        <w:wordWrap/>
        <w:overflowPunct/>
        <w:topLinePunct w:val="0"/>
        <w:autoSpaceDE/>
        <w:autoSpaceDN/>
        <w:bidi w:val="0"/>
        <w:adjustRightInd/>
        <w:snapToGrid/>
        <w:spacing w:line="600" w:lineRule="exact"/>
        <w:textAlignment w:val="auto"/>
        <w:outlineLvl w:val="2"/>
        <w:rPr>
          <w:rFonts w:hint="default"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2</w:t>
      </w:r>
      <w:r>
        <w:rPr>
          <w:rFonts w:hint="eastAsia" w:ascii="Times New Roman" w:hAnsi="Times New Roman"/>
          <w:caps w:val="0"/>
          <w:color w:val="auto"/>
          <w:highlight w:val="none"/>
          <w:lang w:val="en-US" w:eastAsia="zh-CN"/>
        </w:rPr>
        <w:t>）目标设置</w:t>
      </w:r>
    </w:p>
    <w:p w14:paraId="1F4E5501">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08144963">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highlight w:val="none"/>
          <w:lang w:val="en-US" w:eastAsia="zh-CN"/>
        </w:rPr>
      </w:pPr>
      <w:r>
        <w:rPr>
          <w:rFonts w:hint="default" w:ascii="Times New Roman" w:hAnsi="Times New Roman"/>
          <w:caps w:val="0"/>
          <w:color w:val="auto"/>
          <w:highlight w:val="none"/>
          <w:lang w:val="en-US" w:eastAsia="zh-CN"/>
        </w:rPr>
        <w:t>根据评分标准，该项指标不扣分，得4分</w:t>
      </w:r>
      <w:r>
        <w:rPr>
          <w:rFonts w:hint="eastAsia" w:ascii="Times New Roman" w:hAnsi="Times New Roman"/>
          <w:caps w:val="0"/>
          <w:color w:val="auto"/>
          <w:highlight w:val="none"/>
          <w:lang w:val="en-US" w:eastAsia="zh-CN"/>
        </w:rPr>
        <w:t>。</w:t>
      </w:r>
    </w:p>
    <w:p w14:paraId="44AC07C9">
      <w:pPr>
        <w:pageBreakBefore w:val="0"/>
        <w:widowControl w:val="0"/>
        <w:kinsoku/>
        <w:wordWrap/>
        <w:overflowPunct/>
        <w:topLinePunct w:val="0"/>
        <w:autoSpaceDE/>
        <w:autoSpaceDN/>
        <w:bidi w:val="0"/>
        <w:adjustRightInd/>
        <w:snapToGrid/>
        <w:spacing w:line="600" w:lineRule="exact"/>
        <w:textAlignment w:val="auto"/>
        <w:outlineLvl w:val="2"/>
        <w:rPr>
          <w:rFonts w:hint="default" w:ascii="Times New Roman" w:hAnsi="Times New Roman"/>
          <w:caps w:val="0"/>
          <w:color w:val="auto"/>
          <w:highlight w:val="none"/>
          <w:lang w:val="en-US" w:eastAsia="zh-CN"/>
        </w:rPr>
      </w:pPr>
      <w:r>
        <w:rPr>
          <w:rFonts w:hint="eastAsia" w:ascii="Times New Roman" w:hAnsi="Times New Roman"/>
          <w:caps w:val="0"/>
          <w:color w:val="auto"/>
          <w:highlight w:val="none"/>
          <w:lang w:val="en-US" w:eastAsia="zh-CN"/>
        </w:rPr>
        <w:t>（</w:t>
      </w:r>
      <w:r>
        <w:rPr>
          <w:rFonts w:hint="default" w:ascii="Times New Roman" w:hAnsi="Times New Roman" w:cs="Times New Roman"/>
          <w:caps w:val="0"/>
          <w:color w:val="auto"/>
          <w:highlight w:val="none"/>
          <w:lang w:val="en-US" w:eastAsia="zh-CN"/>
        </w:rPr>
        <w:t>3</w:t>
      </w:r>
      <w:r>
        <w:rPr>
          <w:rFonts w:hint="eastAsia" w:ascii="Times New Roman" w:hAnsi="Times New Roman"/>
          <w:caps w:val="0"/>
          <w:color w:val="auto"/>
          <w:highlight w:val="none"/>
          <w:lang w:val="en-US" w:eastAsia="zh-CN"/>
        </w:rPr>
        <w:t>）项目入库</w:t>
      </w:r>
    </w:p>
    <w:p w14:paraId="56A1EFAC">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1A08B2F9">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highlight w:val="none"/>
          <w:lang w:val="en-US" w:eastAsia="zh-CN"/>
        </w:rPr>
      </w:pPr>
      <w:r>
        <w:rPr>
          <w:rFonts w:hint="default" w:ascii="Times New Roman" w:hAnsi="Times New Roman"/>
          <w:caps w:val="0"/>
          <w:color w:val="auto"/>
          <w:highlight w:val="none"/>
          <w:lang w:val="en-US" w:eastAsia="zh-CN"/>
        </w:rPr>
        <w:t>根据评分标准，该项指标不扣分，得4分</w:t>
      </w:r>
      <w:r>
        <w:rPr>
          <w:rFonts w:hint="eastAsia" w:ascii="Times New Roman" w:hAnsi="Times New Roman"/>
          <w:caps w:val="0"/>
          <w:color w:val="auto"/>
          <w:highlight w:val="none"/>
          <w:lang w:val="en-US" w:eastAsia="zh-CN"/>
        </w:rPr>
        <w:t>。</w:t>
      </w:r>
    </w:p>
    <w:p w14:paraId="0E9A2CF1">
      <w:pPr>
        <w:pStyle w:val="2"/>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rPr>
      </w:pPr>
      <w:r>
        <w:rPr>
          <w:rFonts w:hint="default" w:ascii="Times New Roman" w:hAnsi="Times New Roman" w:cs="Times New Roman"/>
          <w:caps w:val="0"/>
          <w:color w:val="auto"/>
          <w:highlight w:val="none"/>
          <w:lang w:val="en-US" w:eastAsia="zh-CN"/>
        </w:rPr>
        <w:t>2</w:t>
      </w:r>
      <w:r>
        <w:rPr>
          <w:rFonts w:hint="eastAsia" w:ascii="Times New Roman" w:hAnsi="Times New Roman" w:cs="Times New Roman"/>
          <w:caps w:val="0"/>
          <w:color w:val="auto"/>
          <w:highlight w:val="none"/>
          <w:lang w:val="en-US" w:eastAsia="zh-CN"/>
        </w:rPr>
        <w:t>．</w:t>
      </w:r>
      <w:r>
        <w:rPr>
          <w:rFonts w:hint="eastAsia" w:ascii="Times New Roman" w:hAnsi="Times New Roman"/>
          <w:caps w:val="0"/>
          <w:color w:val="auto"/>
          <w:highlight w:val="none"/>
          <w:lang w:val="en-US" w:eastAsia="zh-CN"/>
        </w:rPr>
        <w:t>项目执行</w:t>
      </w:r>
    </w:p>
    <w:p w14:paraId="1B6E76DB">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caps w:val="0"/>
          <w:color w:val="auto"/>
          <w:highlight w:val="none"/>
          <w:lang w:val="zh-CN"/>
        </w:rPr>
      </w:pPr>
      <w:r>
        <w:rPr>
          <w:rFonts w:hint="eastAsia" w:ascii="Times New Roman" w:hAnsi="Times New Roman"/>
          <w:caps w:val="0"/>
          <w:color w:val="auto"/>
          <w:highlight w:val="none"/>
          <w:lang w:val="zh-CN"/>
        </w:rPr>
        <w:t>（</w:t>
      </w:r>
      <w:r>
        <w:rPr>
          <w:rFonts w:hint="default" w:ascii="Times New Roman" w:hAnsi="Times New Roman" w:cs="Times New Roman"/>
          <w:caps w:val="0"/>
          <w:color w:val="auto"/>
          <w:highlight w:val="none"/>
          <w:lang w:val="en-US" w:eastAsia="zh-CN"/>
        </w:rPr>
        <w:t>1</w:t>
      </w:r>
      <w:r>
        <w:rPr>
          <w:rFonts w:hint="eastAsia" w:ascii="Times New Roman" w:hAnsi="Times New Roman"/>
          <w:caps w:val="0"/>
          <w:color w:val="auto"/>
          <w:highlight w:val="none"/>
          <w:lang w:val="zh-CN"/>
        </w:rPr>
        <w:t>）执行同向</w:t>
      </w:r>
    </w:p>
    <w:p w14:paraId="7D9D1F86">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aps w:val="0"/>
          <w:color w:val="auto"/>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62D19437">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highlight w:val="none"/>
          <w:lang w:val="en-US" w:eastAsia="zh-CN"/>
        </w:rPr>
      </w:pPr>
      <w:r>
        <w:rPr>
          <w:rFonts w:hint="default" w:ascii="Times New Roman" w:hAnsi="Times New Roman"/>
          <w:caps w:val="0"/>
          <w:color w:val="auto"/>
          <w:highlight w:val="none"/>
          <w:lang w:val="en-US" w:eastAsia="zh-CN"/>
        </w:rPr>
        <w:t>根据评分标准，该项指标不扣分，得4分</w:t>
      </w:r>
      <w:r>
        <w:rPr>
          <w:rFonts w:hint="eastAsia" w:ascii="Times New Roman" w:hAnsi="Times New Roman"/>
          <w:caps w:val="0"/>
          <w:color w:val="auto"/>
          <w:highlight w:val="none"/>
          <w:lang w:val="en-US" w:eastAsia="zh-CN"/>
        </w:rPr>
        <w:t>。</w:t>
      </w:r>
    </w:p>
    <w:p w14:paraId="44EA87B6">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caps w:val="0"/>
          <w:color w:val="auto"/>
          <w:highlight w:val="none"/>
          <w:lang w:val="zh-CN"/>
        </w:rPr>
      </w:pPr>
      <w:r>
        <w:rPr>
          <w:rFonts w:hint="eastAsia" w:ascii="Times New Roman" w:hAnsi="Times New Roman"/>
          <w:caps w:val="0"/>
          <w:color w:val="auto"/>
          <w:highlight w:val="none"/>
          <w:lang w:val="zh-CN"/>
        </w:rPr>
        <w:t>（</w:t>
      </w:r>
      <w:r>
        <w:rPr>
          <w:rFonts w:hint="default" w:ascii="Times New Roman" w:hAnsi="Times New Roman" w:cs="Times New Roman"/>
          <w:caps w:val="0"/>
          <w:color w:val="auto"/>
          <w:highlight w:val="none"/>
          <w:lang w:val="en-US" w:eastAsia="zh-CN"/>
        </w:rPr>
        <w:t>2</w:t>
      </w:r>
      <w:r>
        <w:rPr>
          <w:rFonts w:hint="eastAsia" w:ascii="Times New Roman" w:hAnsi="Times New Roman"/>
          <w:caps w:val="0"/>
          <w:color w:val="auto"/>
          <w:highlight w:val="none"/>
          <w:lang w:val="zh-CN"/>
        </w:rPr>
        <w:t>）项目调整</w:t>
      </w:r>
    </w:p>
    <w:p w14:paraId="321CC5BF">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530BF2FD">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rPr>
      </w:pPr>
      <w:r>
        <w:rPr>
          <w:rFonts w:hint="default" w:ascii="Times New Roman" w:hAnsi="Times New Roman"/>
          <w:caps w:val="0"/>
          <w:color w:val="auto"/>
          <w:highlight w:val="none"/>
          <w:lang w:val="en-US" w:eastAsia="zh-CN"/>
        </w:rPr>
        <w:t>根据评分标准，该项指标不扣分，得4分</w:t>
      </w:r>
      <w:r>
        <w:rPr>
          <w:rFonts w:hint="eastAsia" w:ascii="Times New Roman" w:hAnsi="Times New Roman"/>
          <w:caps w:val="0"/>
          <w:color w:val="auto"/>
          <w:highlight w:val="none"/>
          <w:lang w:val="en-US" w:eastAsia="zh-CN"/>
        </w:rPr>
        <w:t>。</w:t>
      </w:r>
    </w:p>
    <w:p w14:paraId="64531F61">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2"/>
        <w:rPr>
          <w:rFonts w:hint="eastAsia" w:ascii="Times New Roman" w:hAnsi="Times New Roman"/>
          <w:caps w:val="0"/>
          <w:color w:val="auto"/>
          <w:highlight w:val="none"/>
          <w:lang w:val="zh-CN"/>
        </w:rPr>
      </w:pPr>
      <w:r>
        <w:rPr>
          <w:rFonts w:hint="eastAsia" w:ascii="Times New Roman" w:hAnsi="Times New Roman"/>
          <w:caps w:val="0"/>
          <w:color w:val="auto"/>
          <w:highlight w:val="none"/>
          <w:lang w:val="zh-CN"/>
        </w:rPr>
        <w:t>（</w:t>
      </w:r>
      <w:r>
        <w:rPr>
          <w:rFonts w:hint="default" w:ascii="Times New Roman" w:hAnsi="Times New Roman" w:cs="Times New Roman"/>
          <w:caps w:val="0"/>
          <w:color w:val="auto"/>
          <w:highlight w:val="none"/>
          <w:lang w:val="en-US" w:eastAsia="zh-CN"/>
        </w:rPr>
        <w:t>3</w:t>
      </w:r>
      <w:r>
        <w:rPr>
          <w:rFonts w:hint="eastAsia" w:ascii="Times New Roman" w:hAnsi="Times New Roman"/>
          <w:caps w:val="0"/>
          <w:color w:val="auto"/>
          <w:highlight w:val="none"/>
          <w:lang w:val="zh-CN"/>
        </w:rPr>
        <w:t>）执行结果</w:t>
      </w:r>
    </w:p>
    <w:p w14:paraId="63B7B886">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4C1389F6">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aps w:val="0"/>
          <w:color w:val="auto"/>
          <w:highlight w:val="none"/>
          <w:lang w:val="zh-CN"/>
        </w:rPr>
      </w:pPr>
      <w:r>
        <w:rPr>
          <w:rFonts w:hint="default" w:ascii="Times New Roman" w:hAnsi="Times New Roman"/>
          <w:caps w:val="0"/>
          <w:color w:val="auto"/>
          <w:highlight w:val="none"/>
          <w:lang w:val="en-US" w:eastAsia="zh-CN"/>
        </w:rPr>
        <w:t>根据评分标准，该项指标</w:t>
      </w:r>
      <w:r>
        <w:rPr>
          <w:rFonts w:hint="eastAsia"/>
          <w:caps w:val="0"/>
          <w:color w:val="auto"/>
          <w:highlight w:val="none"/>
          <w:lang w:val="en-US" w:eastAsia="zh-CN"/>
        </w:rPr>
        <w:t>不</w:t>
      </w:r>
      <w:r>
        <w:rPr>
          <w:rFonts w:hint="default" w:ascii="Times New Roman" w:hAnsi="Times New Roman"/>
          <w:caps w:val="0"/>
          <w:color w:val="auto"/>
          <w:highlight w:val="none"/>
          <w:lang w:val="en-US" w:eastAsia="zh-CN"/>
        </w:rPr>
        <w:t>扣分，得</w:t>
      </w:r>
      <w:r>
        <w:rPr>
          <w:rFonts w:hint="eastAsia"/>
          <w:caps w:val="0"/>
          <w:color w:val="auto"/>
          <w:highlight w:val="none"/>
          <w:lang w:val="en-US" w:eastAsia="zh-CN"/>
        </w:rPr>
        <w:t>4</w:t>
      </w:r>
      <w:r>
        <w:rPr>
          <w:rFonts w:hint="default" w:ascii="Times New Roman" w:hAnsi="Times New Roman"/>
          <w:caps w:val="0"/>
          <w:color w:val="auto"/>
          <w:highlight w:val="none"/>
          <w:lang w:val="en-US" w:eastAsia="zh-CN"/>
        </w:rPr>
        <w:t>分</w:t>
      </w:r>
      <w:r>
        <w:rPr>
          <w:rFonts w:hint="eastAsia" w:ascii="Times New Roman" w:hAnsi="Times New Roman"/>
          <w:caps w:val="0"/>
          <w:color w:val="auto"/>
          <w:highlight w:val="none"/>
          <w:lang w:val="en-US" w:eastAsia="zh-CN"/>
        </w:rPr>
        <w:t>。</w:t>
      </w:r>
    </w:p>
    <w:p w14:paraId="1EEB006C">
      <w:pPr>
        <w:pStyle w:val="2"/>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aps w:val="0"/>
          <w:color w:val="auto"/>
          <w:highlight w:val="none"/>
          <w:lang w:val="en-US" w:eastAsia="zh-CN"/>
        </w:rPr>
      </w:pPr>
      <w:r>
        <w:rPr>
          <w:rFonts w:hint="default" w:ascii="Times New Roman" w:hAnsi="Times New Roman" w:cs="Times New Roman"/>
          <w:caps w:val="0"/>
          <w:color w:val="auto"/>
          <w:highlight w:val="none"/>
          <w:lang w:val="en-US" w:eastAsia="zh-CN"/>
        </w:rPr>
        <w:t>3</w:t>
      </w:r>
      <w:r>
        <w:rPr>
          <w:rFonts w:hint="eastAsia" w:ascii="Times New Roman" w:hAnsi="Times New Roman" w:cs="Times New Roman"/>
          <w:caps w:val="0"/>
          <w:color w:val="auto"/>
          <w:highlight w:val="none"/>
          <w:lang w:val="en-US" w:eastAsia="zh-CN"/>
        </w:rPr>
        <w:t>．</w:t>
      </w:r>
      <w:r>
        <w:rPr>
          <w:rFonts w:hint="eastAsia" w:ascii="Times New Roman" w:hAnsi="Times New Roman"/>
          <w:caps w:val="0"/>
          <w:color w:val="auto"/>
          <w:highlight w:val="none"/>
          <w:lang w:val="zh-CN"/>
        </w:rPr>
        <w:t>目标实现</w:t>
      </w:r>
    </w:p>
    <w:p w14:paraId="1A12A23B">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eastAsia="仿宋_GB2312"/>
          <w:caps w:val="0"/>
          <w:color w:val="auto"/>
          <w:highlight w:val="none"/>
          <w:lang w:eastAsia="zh-CN"/>
        </w:rPr>
      </w:pPr>
      <w:r>
        <w:rPr>
          <w:rFonts w:hint="eastAsia" w:ascii="Times New Roman" w:hAnsi="Times New Roman"/>
          <w:caps w:val="0"/>
          <w:color w:val="auto"/>
          <w:highlight w:val="none"/>
          <w:lang w:eastAsia="zh-CN"/>
        </w:rPr>
        <w:t>（</w:t>
      </w:r>
      <w:r>
        <w:rPr>
          <w:rFonts w:hint="default" w:ascii="Times New Roman" w:hAnsi="Times New Roman" w:cs="Times New Roman"/>
          <w:caps w:val="0"/>
          <w:color w:val="auto"/>
          <w:highlight w:val="none"/>
          <w:lang w:val="en-US" w:eastAsia="zh-CN"/>
        </w:rPr>
        <w:t>1</w:t>
      </w:r>
      <w:r>
        <w:rPr>
          <w:rFonts w:hint="eastAsia" w:ascii="Times New Roman" w:hAnsi="Times New Roman"/>
          <w:caps w:val="0"/>
          <w:color w:val="auto"/>
          <w:highlight w:val="none"/>
          <w:lang w:eastAsia="zh-CN"/>
        </w:rPr>
        <w:t>）目标完成</w:t>
      </w:r>
    </w:p>
    <w:p w14:paraId="1C1F7911">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aps w:val="0"/>
          <w:color w:val="auto"/>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6B1B691F">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aps w:val="0"/>
          <w:color w:val="auto"/>
          <w:highlight w:val="none"/>
        </w:rPr>
      </w:pPr>
      <w:r>
        <w:rPr>
          <w:rFonts w:hint="default" w:ascii="Times New Roman" w:hAnsi="Times New Roman"/>
          <w:caps w:val="0"/>
          <w:color w:val="auto"/>
          <w:highlight w:val="none"/>
          <w:lang w:val="en-US" w:eastAsia="zh-CN"/>
        </w:rPr>
        <w:t>根据评分标准，该项指标</w:t>
      </w:r>
      <w:r>
        <w:rPr>
          <w:rFonts w:hint="eastAsia" w:ascii="Times New Roman" w:hAnsi="Times New Roman"/>
          <w:caps w:val="0"/>
          <w:color w:val="auto"/>
          <w:highlight w:val="none"/>
          <w:lang w:val="en-US" w:eastAsia="zh-CN"/>
        </w:rPr>
        <w:t>不</w:t>
      </w:r>
      <w:r>
        <w:rPr>
          <w:rFonts w:hint="default" w:ascii="Times New Roman" w:hAnsi="Times New Roman"/>
          <w:caps w:val="0"/>
          <w:color w:val="auto"/>
          <w:highlight w:val="none"/>
          <w:lang w:val="en-US" w:eastAsia="zh-CN"/>
        </w:rPr>
        <w:t>扣分，得</w:t>
      </w:r>
      <w:r>
        <w:rPr>
          <w:rFonts w:hint="eastAsia" w:ascii="Times New Roman" w:hAnsi="Times New Roman"/>
          <w:caps w:val="0"/>
          <w:color w:val="auto"/>
          <w:highlight w:val="none"/>
          <w:lang w:val="en-US" w:eastAsia="zh-CN"/>
        </w:rPr>
        <w:t>4</w:t>
      </w:r>
      <w:r>
        <w:rPr>
          <w:rFonts w:hint="default" w:ascii="Times New Roman" w:hAnsi="Times New Roman"/>
          <w:caps w:val="0"/>
          <w:color w:val="auto"/>
          <w:highlight w:val="none"/>
          <w:lang w:val="en-US" w:eastAsia="zh-CN"/>
        </w:rPr>
        <w:t>分</w:t>
      </w:r>
      <w:r>
        <w:rPr>
          <w:rFonts w:hint="eastAsia" w:ascii="Times New Roman" w:hAnsi="Times New Roman"/>
          <w:caps w:val="0"/>
          <w:color w:val="auto"/>
          <w:highlight w:val="none"/>
          <w:lang w:val="en-US" w:eastAsia="zh-CN"/>
        </w:rPr>
        <w:t>。</w:t>
      </w:r>
    </w:p>
    <w:p w14:paraId="1179DB0C">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caps w:val="0"/>
          <w:color w:val="auto"/>
          <w:highlight w:val="none"/>
          <w:lang w:eastAsia="zh-CN"/>
        </w:rPr>
      </w:pPr>
      <w:r>
        <w:rPr>
          <w:rFonts w:hint="eastAsia" w:ascii="Times New Roman" w:hAnsi="Times New Roman"/>
          <w:caps w:val="0"/>
          <w:color w:val="auto"/>
          <w:highlight w:val="none"/>
          <w:lang w:eastAsia="zh-CN"/>
        </w:rPr>
        <w:t>（</w:t>
      </w:r>
      <w:r>
        <w:rPr>
          <w:rFonts w:hint="default" w:ascii="Times New Roman" w:hAnsi="Times New Roman" w:cs="Times New Roman"/>
          <w:caps w:val="0"/>
          <w:color w:val="auto"/>
          <w:highlight w:val="none"/>
          <w:lang w:val="en-US" w:eastAsia="zh-CN"/>
        </w:rPr>
        <w:t>2</w:t>
      </w:r>
      <w:r>
        <w:rPr>
          <w:rFonts w:hint="eastAsia" w:ascii="Times New Roman" w:hAnsi="Times New Roman"/>
          <w:caps w:val="0"/>
          <w:color w:val="auto"/>
          <w:highlight w:val="none"/>
          <w:lang w:eastAsia="zh-CN"/>
        </w:rPr>
        <w:t>）目标偏离</w:t>
      </w:r>
    </w:p>
    <w:p w14:paraId="1CC239EB">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auto"/>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0F017D4D">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aps w:val="0"/>
          <w:color w:val="auto"/>
          <w:highlight w:val="none"/>
        </w:rPr>
      </w:pPr>
      <w:r>
        <w:rPr>
          <w:rFonts w:hint="default" w:ascii="Times New Roman" w:hAnsi="Times New Roman"/>
          <w:caps w:val="0"/>
          <w:color w:val="auto"/>
          <w:highlight w:val="none"/>
          <w:lang w:val="en-US" w:eastAsia="zh-CN"/>
        </w:rPr>
        <w:t>根据评分标准，该项指标不扣分，得4分</w:t>
      </w:r>
      <w:r>
        <w:rPr>
          <w:rFonts w:hint="eastAsia" w:ascii="Times New Roman" w:hAnsi="Times New Roman"/>
          <w:caps w:val="0"/>
          <w:color w:val="auto"/>
          <w:highlight w:val="none"/>
          <w:lang w:val="en-US" w:eastAsia="zh-CN"/>
        </w:rPr>
        <w:t>。</w:t>
      </w:r>
    </w:p>
    <w:p w14:paraId="2272B1B2">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caps w:val="0"/>
          <w:color w:val="auto"/>
          <w:highlight w:val="none"/>
          <w:lang w:eastAsia="zh-CN"/>
        </w:rPr>
      </w:pPr>
      <w:r>
        <w:rPr>
          <w:rFonts w:hint="eastAsia" w:ascii="Times New Roman" w:hAnsi="Times New Roman"/>
          <w:caps w:val="0"/>
          <w:color w:val="auto"/>
          <w:highlight w:val="none"/>
          <w:lang w:eastAsia="zh-CN"/>
        </w:rPr>
        <w:t>（</w:t>
      </w:r>
      <w:r>
        <w:rPr>
          <w:rFonts w:hint="default" w:ascii="Times New Roman" w:hAnsi="Times New Roman" w:cs="Times New Roman"/>
          <w:caps w:val="0"/>
          <w:color w:val="auto"/>
          <w:highlight w:val="none"/>
          <w:lang w:val="en-US" w:eastAsia="zh-CN"/>
        </w:rPr>
        <w:t>3</w:t>
      </w:r>
      <w:r>
        <w:rPr>
          <w:rFonts w:hint="eastAsia" w:ascii="Times New Roman" w:hAnsi="Times New Roman"/>
          <w:caps w:val="0"/>
          <w:color w:val="auto"/>
          <w:highlight w:val="none"/>
          <w:lang w:eastAsia="zh-CN"/>
        </w:rPr>
        <w:t>）实现效果</w:t>
      </w:r>
    </w:p>
    <w:p w14:paraId="25AFD385">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aps w:val="0"/>
          <w:color w:val="auto"/>
          <w:highlight w:val="none"/>
          <w:lang w:val="en-US" w:eastAsia="zh-CN"/>
        </w:rPr>
      </w:pPr>
      <w:r>
        <w:rPr>
          <w:rFonts w:hint="eastAsia"/>
          <w:caps w:val="0"/>
          <w:color w:val="auto"/>
          <w:sz w:val="32"/>
          <w:szCs w:val="32"/>
          <w:highlight w:val="none"/>
          <w:lang w:val="en-US" w:eastAsia="zh-CN"/>
        </w:rPr>
        <w:t>2025年我中心无项目，该项指标不涉及</w:t>
      </w:r>
      <w:r>
        <w:rPr>
          <w:rFonts w:hint="eastAsia" w:ascii="Times New Roman" w:hAnsi="Times New Roman"/>
          <w:caps w:val="0"/>
          <w:color w:val="auto"/>
          <w:highlight w:val="none"/>
          <w:lang w:val="en-US" w:eastAsia="zh-CN"/>
        </w:rPr>
        <w:t>。</w:t>
      </w:r>
    </w:p>
    <w:p w14:paraId="1A603A7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楷体_GB2312" w:cs="楷体_GB2312"/>
          <w:caps w:val="0"/>
          <w:color w:val="auto"/>
          <w:kern w:val="0"/>
          <w:szCs w:val="32"/>
          <w:highlight w:val="none"/>
          <w:shd w:val="clear" w:color="auto" w:fill="FFFFFF"/>
          <w:lang w:val="zh-CN"/>
        </w:rPr>
      </w:pPr>
      <w:r>
        <w:rPr>
          <w:rFonts w:hint="default" w:ascii="Times New Roman" w:hAnsi="Times New Roman"/>
          <w:caps w:val="0"/>
          <w:color w:val="auto"/>
          <w:highlight w:val="none"/>
          <w:lang w:val="en-US" w:eastAsia="zh-CN"/>
        </w:rPr>
        <w:t>根据评分标准，该项指标</w:t>
      </w:r>
      <w:r>
        <w:rPr>
          <w:rFonts w:hint="eastAsia" w:ascii="Times New Roman" w:hAnsi="Times New Roman"/>
          <w:caps w:val="0"/>
          <w:color w:val="auto"/>
          <w:highlight w:val="none"/>
          <w:lang w:val="en-US" w:eastAsia="zh-CN"/>
        </w:rPr>
        <w:t>不</w:t>
      </w:r>
      <w:r>
        <w:rPr>
          <w:rFonts w:hint="default" w:ascii="Times New Roman" w:hAnsi="Times New Roman"/>
          <w:caps w:val="0"/>
          <w:color w:val="auto"/>
          <w:highlight w:val="none"/>
          <w:lang w:val="en-US" w:eastAsia="zh-CN"/>
        </w:rPr>
        <w:t>扣分，得</w:t>
      </w:r>
      <w:r>
        <w:rPr>
          <w:rFonts w:hint="eastAsia" w:ascii="Times New Roman" w:hAnsi="Times New Roman"/>
          <w:caps w:val="0"/>
          <w:color w:val="auto"/>
          <w:highlight w:val="none"/>
          <w:lang w:val="en-US" w:eastAsia="zh-CN"/>
        </w:rPr>
        <w:t>3</w:t>
      </w:r>
      <w:r>
        <w:rPr>
          <w:rFonts w:hint="default" w:ascii="Times New Roman" w:hAnsi="Times New Roman"/>
          <w:caps w:val="0"/>
          <w:color w:val="auto"/>
          <w:highlight w:val="none"/>
          <w:lang w:val="en-US" w:eastAsia="zh-CN"/>
        </w:rPr>
        <w:t>分</w:t>
      </w:r>
      <w:r>
        <w:rPr>
          <w:rFonts w:hint="eastAsia" w:ascii="Times New Roman" w:hAnsi="Times New Roman"/>
          <w:caps w:val="0"/>
          <w:color w:val="auto"/>
          <w:highlight w:val="none"/>
          <w:lang w:val="en-US" w:eastAsia="zh-CN"/>
        </w:rPr>
        <w:t>。</w:t>
      </w:r>
    </w:p>
    <w:p w14:paraId="1643994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Regular"/>
          <w:caps w:val="0"/>
          <w:color w:val="auto"/>
          <w:highlight w:val="none"/>
          <w:lang w:val="en-US" w:eastAsia="zh-CN"/>
        </w:rPr>
      </w:pPr>
      <w:r>
        <w:rPr>
          <w:rFonts w:hint="default" w:ascii="Times New Roman" w:hAnsi="Times New Roman" w:eastAsia="楷体_GB2312" w:cs="Times New Roman Regular"/>
          <w:b/>
          <w:bCs/>
          <w:caps w:val="0"/>
          <w:color w:val="auto"/>
          <w:szCs w:val="32"/>
          <w:highlight w:val="none"/>
          <w:lang w:val="zh-CN"/>
        </w:rPr>
        <w:t>（</w:t>
      </w:r>
      <w:r>
        <w:rPr>
          <w:rFonts w:hint="eastAsia" w:eastAsia="楷体_GB2312" w:cs="Times New Roman Regular"/>
          <w:b/>
          <w:bCs/>
          <w:caps w:val="0"/>
          <w:color w:val="auto"/>
          <w:szCs w:val="32"/>
          <w:highlight w:val="none"/>
          <w:lang w:val="en-US" w:eastAsia="zh-CN"/>
        </w:rPr>
        <w:t>三</w:t>
      </w:r>
      <w:r>
        <w:rPr>
          <w:rFonts w:hint="default" w:ascii="Times New Roman" w:hAnsi="Times New Roman" w:eastAsia="楷体_GB2312" w:cs="Times New Roman Regular"/>
          <w:b/>
          <w:bCs/>
          <w:caps w:val="0"/>
          <w:color w:val="auto"/>
          <w:szCs w:val="32"/>
          <w:highlight w:val="none"/>
          <w:lang w:val="zh-CN"/>
        </w:rPr>
        <w:t>）绩效结果应用情况。</w:t>
      </w:r>
    </w:p>
    <w:p w14:paraId="7856D3D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aps w:val="0"/>
          <w:color w:val="auto"/>
          <w:sz w:val="32"/>
          <w:szCs w:val="32"/>
          <w:highlight w:val="none"/>
          <w:lang w:eastAsia="zh-CN" w:bidi="ar"/>
        </w:rPr>
      </w:pPr>
      <w:r>
        <w:rPr>
          <w:rFonts w:hint="eastAsia" w:cs="Times New Roman Regular"/>
          <w:caps w:val="0"/>
          <w:color w:val="auto"/>
          <w:highlight w:val="none"/>
          <w:lang w:val="en-US" w:eastAsia="zh-CN"/>
        </w:rPr>
        <w:t>我中心</w:t>
      </w:r>
      <w:r>
        <w:rPr>
          <w:rFonts w:hint="eastAsia" w:ascii="Times New Roman" w:hAnsi="Times New Roman" w:cs="Times New Roman"/>
          <w:caps w:val="0"/>
          <w:color w:val="auto"/>
          <w:kern w:val="0"/>
          <w:szCs w:val="32"/>
          <w:highlight w:val="none"/>
          <w:shd w:val="clear" w:color="auto" w:fill="FFFFFF"/>
          <w:lang w:val="zh-CN" w:eastAsia="zh-CN"/>
        </w:rPr>
        <w:t>为进一步提高行政事业单位内部管理水平和风险防范能力，规范内部控制，加强廉政风险防控机制建设，</w:t>
      </w:r>
      <w:r>
        <w:rPr>
          <w:rFonts w:hint="eastAsia" w:cs="Times New Roman"/>
          <w:caps w:val="0"/>
          <w:color w:val="auto"/>
          <w:kern w:val="0"/>
          <w:szCs w:val="32"/>
          <w:highlight w:val="none"/>
          <w:shd w:val="clear" w:color="auto" w:fill="FFFFFF"/>
          <w:lang w:val="zh-CN" w:eastAsia="zh-CN"/>
        </w:rPr>
        <w:t>我中心</w:t>
      </w:r>
      <w:r>
        <w:rPr>
          <w:rFonts w:hint="eastAsia" w:ascii="Times New Roman" w:hAnsi="Times New Roman" w:cs="Times New Roman"/>
          <w:caps w:val="0"/>
          <w:color w:val="auto"/>
          <w:kern w:val="0"/>
          <w:szCs w:val="32"/>
          <w:highlight w:val="none"/>
          <w:shd w:val="clear" w:color="auto" w:fill="FFFFFF"/>
          <w:lang w:val="zh-CN" w:eastAsia="zh-CN"/>
        </w:rPr>
        <w:t>在对预算、收支、政府采购、资产、建设项目、合同等各类经济业务活动流程梳理的基础上，明确业务环节，系统分析经济活动风险，确定风险点，选择应对策略，形成了内部控制制度</w:t>
      </w:r>
      <w:r>
        <w:rPr>
          <w:rFonts w:hint="eastAsia" w:ascii="Times New Roman" w:hAnsi="Times New Roman" w:cs="Times New Roman"/>
          <w:caps w:val="0"/>
          <w:color w:val="auto"/>
          <w:kern w:val="0"/>
          <w:szCs w:val="32"/>
          <w:highlight w:val="none"/>
          <w:shd w:val="clear" w:color="auto" w:fill="FFFFFF"/>
          <w:lang w:val="en-US" w:eastAsia="zh-CN"/>
        </w:rPr>
        <w:t>手册</w:t>
      </w:r>
      <w:r>
        <w:rPr>
          <w:rFonts w:hint="eastAsia" w:ascii="Times New Roman" w:hAnsi="Times New Roman" w:cs="Times New Roman"/>
          <w:caps w:val="0"/>
          <w:color w:val="auto"/>
          <w:kern w:val="0"/>
          <w:szCs w:val="32"/>
          <w:highlight w:val="none"/>
          <w:shd w:val="clear" w:color="auto" w:fill="FFFFFF"/>
          <w:lang w:val="zh-CN" w:eastAsia="zh-CN"/>
        </w:rPr>
        <w:t>，</w:t>
      </w:r>
      <w:r>
        <w:rPr>
          <w:rFonts w:hint="eastAsia" w:cs="Times New Roman"/>
          <w:caps w:val="0"/>
          <w:color w:val="auto"/>
          <w:kern w:val="0"/>
          <w:szCs w:val="32"/>
          <w:highlight w:val="none"/>
          <w:shd w:val="clear" w:color="auto" w:fill="FFFFFF"/>
          <w:lang w:val="zh-CN" w:eastAsia="zh-CN"/>
        </w:rPr>
        <w:t>我中心</w:t>
      </w:r>
      <w:r>
        <w:rPr>
          <w:rFonts w:hint="eastAsia" w:ascii="Times New Roman" w:hAnsi="Times New Roman" w:cs="Times New Roman"/>
          <w:caps w:val="0"/>
          <w:color w:val="auto"/>
          <w:kern w:val="0"/>
          <w:szCs w:val="32"/>
          <w:highlight w:val="none"/>
          <w:shd w:val="clear" w:color="auto" w:fill="FFFFFF"/>
          <w:lang w:val="zh-CN" w:eastAsia="zh-CN"/>
        </w:rPr>
        <w:t>严格按照内控制度进行预算绩效管理，并按照相关要求将绩效信息随同</w:t>
      </w:r>
      <w:r>
        <w:rPr>
          <w:rFonts w:hint="eastAsia" w:ascii="Times New Roman" w:hAnsi="Times New Roman" w:cs="Times New Roman"/>
          <w:caps w:val="0"/>
          <w:color w:val="auto"/>
          <w:kern w:val="0"/>
          <w:szCs w:val="32"/>
          <w:highlight w:val="none"/>
          <w:shd w:val="clear" w:color="auto" w:fill="FFFFFF"/>
          <w:lang w:val="en-US" w:eastAsia="zh-CN"/>
        </w:rPr>
        <w:t>预</w:t>
      </w:r>
      <w:r>
        <w:rPr>
          <w:rFonts w:hint="eastAsia" w:ascii="Times New Roman" w:hAnsi="Times New Roman" w:cs="Times New Roman"/>
          <w:caps w:val="0"/>
          <w:color w:val="auto"/>
          <w:kern w:val="0"/>
          <w:szCs w:val="32"/>
          <w:highlight w:val="none"/>
          <w:shd w:val="clear" w:color="auto" w:fill="FFFFFF"/>
          <w:lang w:val="zh-CN" w:eastAsia="zh-CN"/>
        </w:rPr>
        <w:t>决算公开。</w:t>
      </w:r>
    </w:p>
    <w:p w14:paraId="65B756D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aps w:val="0"/>
          <w:color w:val="auto"/>
          <w:kern w:val="0"/>
          <w:szCs w:val="32"/>
          <w:highlight w:val="none"/>
          <w:shd w:val="clear" w:color="auto" w:fill="FFFFFF"/>
        </w:rPr>
      </w:pPr>
      <w:r>
        <w:rPr>
          <w:rFonts w:hint="default" w:ascii="Times New Roman" w:hAnsi="Times New Roman" w:eastAsia="黑体" w:cs="Times New Roman"/>
          <w:caps w:val="0"/>
          <w:color w:val="auto"/>
          <w:kern w:val="0"/>
          <w:szCs w:val="32"/>
          <w:highlight w:val="none"/>
          <w:shd w:val="clear" w:color="auto" w:fill="FFFFFF"/>
          <w:lang w:eastAsia="zh-CN"/>
        </w:rPr>
        <w:t>四、</w:t>
      </w:r>
      <w:r>
        <w:rPr>
          <w:rFonts w:hint="default" w:ascii="Times New Roman" w:hAnsi="Times New Roman" w:eastAsia="黑体" w:cs="Times New Roman"/>
          <w:caps w:val="0"/>
          <w:color w:val="auto"/>
          <w:kern w:val="0"/>
          <w:szCs w:val="32"/>
          <w:highlight w:val="none"/>
          <w:shd w:val="clear" w:color="auto" w:fill="FFFFFF"/>
        </w:rPr>
        <w:t>评价结论及建议</w:t>
      </w:r>
    </w:p>
    <w:p w14:paraId="27620AE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aps w:val="0"/>
          <w:color w:val="auto"/>
          <w:kern w:val="0"/>
          <w:szCs w:val="32"/>
          <w:highlight w:val="none"/>
          <w:shd w:val="clear" w:color="auto" w:fill="FFFFFF"/>
          <w:lang w:val="zh-CN"/>
        </w:rPr>
      </w:pPr>
      <w:r>
        <w:rPr>
          <w:rFonts w:hint="default" w:ascii="Times New Roman" w:hAnsi="Times New Roman" w:eastAsia="楷体_GB2312" w:cs="Times New Roman"/>
          <w:b/>
          <w:bCs/>
          <w:caps w:val="0"/>
          <w:color w:val="auto"/>
          <w:kern w:val="0"/>
          <w:szCs w:val="32"/>
          <w:highlight w:val="none"/>
          <w:shd w:val="clear" w:color="auto" w:fill="FFFFFF"/>
          <w:lang w:val="zh-CN"/>
        </w:rPr>
        <w:t>（一）评价结论。</w:t>
      </w:r>
    </w:p>
    <w:p w14:paraId="0FE2DB8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楷体_GB2312" w:cs="Times New Roman"/>
          <w:b/>
          <w:bCs/>
          <w:caps w:val="0"/>
          <w:color w:val="auto"/>
          <w:kern w:val="0"/>
          <w:szCs w:val="32"/>
          <w:highlight w:val="none"/>
          <w:shd w:val="clear" w:color="auto" w:fill="FFFFFF"/>
          <w:lang w:val="en-US"/>
        </w:rPr>
      </w:pPr>
      <w:r>
        <w:rPr>
          <w:rFonts w:hint="eastAsia" w:cs="Times New Roman"/>
          <w:b w:val="0"/>
          <w:bCs w:val="0"/>
          <w:caps w:val="0"/>
          <w:color w:val="auto"/>
          <w:kern w:val="0"/>
          <w:position w:val="0"/>
          <w:sz w:val="32"/>
          <w:szCs w:val="32"/>
          <w:highlight w:val="none"/>
          <w:lang w:val="en-US" w:eastAsia="zh-CN" w:bidi="ar-SA"/>
        </w:rPr>
        <w:t>我中心</w:t>
      </w:r>
      <w:r>
        <w:rPr>
          <w:rFonts w:hint="eastAsia" w:ascii="Times New Roman" w:hAnsi="Times New Roman" w:cs="Times New Roman"/>
          <w:b w:val="0"/>
          <w:bCs w:val="0"/>
          <w:caps w:val="0"/>
          <w:color w:val="auto"/>
          <w:kern w:val="0"/>
          <w:position w:val="0"/>
          <w:sz w:val="32"/>
          <w:szCs w:val="32"/>
          <w:highlight w:val="none"/>
          <w:lang w:val="en-US" w:eastAsia="zh-CN" w:bidi="ar-SA"/>
        </w:rPr>
        <w:t>针对</w:t>
      </w:r>
      <w:r>
        <w:rPr>
          <w:rFonts w:hint="default" w:ascii="Times New Roman" w:hAnsi="Times New Roman" w:eastAsia="仿宋_GB2312" w:cs="Times New Roman"/>
          <w:b w:val="0"/>
          <w:bCs w:val="0"/>
          <w:caps w:val="0"/>
          <w:color w:val="auto"/>
          <w:kern w:val="0"/>
          <w:position w:val="0"/>
          <w:sz w:val="32"/>
          <w:szCs w:val="32"/>
          <w:highlight w:val="none"/>
          <w:lang w:val="en-US" w:eastAsia="zh-CN" w:bidi="ar-SA"/>
        </w:rPr>
        <w:t>本次财政预算绩效自评工作，严格按照《预算绩效评价共性指标体系框架》及相关财务管理规定，</w:t>
      </w:r>
      <w:r>
        <w:rPr>
          <w:rFonts w:hint="eastAsia" w:ascii="Times New Roman" w:hAnsi="Times New Roman" w:cs="Times New Roman"/>
          <w:b w:val="0"/>
          <w:bCs w:val="0"/>
          <w:caps w:val="0"/>
          <w:color w:val="auto"/>
          <w:kern w:val="0"/>
          <w:position w:val="0"/>
          <w:sz w:val="32"/>
          <w:szCs w:val="32"/>
          <w:highlight w:val="none"/>
          <w:lang w:val="en-US" w:eastAsia="zh-CN" w:bidi="ar-SA"/>
        </w:rPr>
        <w:t>结合</w:t>
      </w:r>
      <w:r>
        <w:rPr>
          <w:rFonts w:hint="eastAsia" w:cs="Times New Roman"/>
          <w:b w:val="0"/>
          <w:bCs w:val="0"/>
          <w:caps w:val="0"/>
          <w:color w:val="auto"/>
          <w:kern w:val="0"/>
          <w:position w:val="0"/>
          <w:sz w:val="32"/>
          <w:szCs w:val="32"/>
          <w:highlight w:val="none"/>
          <w:lang w:val="en-US" w:eastAsia="zh-CN" w:bidi="ar-SA"/>
        </w:rPr>
        <w:t>我中心</w:t>
      </w:r>
      <w:r>
        <w:rPr>
          <w:rFonts w:hint="eastAsia" w:ascii="Times New Roman" w:hAnsi="Times New Roman" w:cs="Times New Roman"/>
          <w:b w:val="0"/>
          <w:bCs w:val="0"/>
          <w:caps w:val="0"/>
          <w:color w:val="auto"/>
          <w:kern w:val="0"/>
          <w:position w:val="0"/>
          <w:sz w:val="32"/>
          <w:szCs w:val="32"/>
          <w:highlight w:val="none"/>
          <w:lang w:val="en-US" w:eastAsia="zh-CN" w:bidi="ar-SA"/>
        </w:rPr>
        <w:t>202</w:t>
      </w:r>
      <w:r>
        <w:rPr>
          <w:rFonts w:hint="eastAsia" w:cs="Times New Roman"/>
          <w:b w:val="0"/>
          <w:bCs w:val="0"/>
          <w:caps w:val="0"/>
          <w:color w:val="auto"/>
          <w:kern w:val="0"/>
          <w:position w:val="0"/>
          <w:sz w:val="32"/>
          <w:szCs w:val="32"/>
          <w:highlight w:val="none"/>
          <w:lang w:val="en-US" w:eastAsia="zh-CN" w:bidi="ar-SA"/>
        </w:rPr>
        <w:t>5</w:t>
      </w:r>
      <w:r>
        <w:rPr>
          <w:rFonts w:hint="eastAsia" w:ascii="Times New Roman" w:hAnsi="Times New Roman" w:cs="Times New Roman"/>
          <w:b w:val="0"/>
          <w:bCs w:val="0"/>
          <w:caps w:val="0"/>
          <w:color w:val="auto"/>
          <w:kern w:val="0"/>
          <w:position w:val="0"/>
          <w:sz w:val="32"/>
          <w:szCs w:val="32"/>
          <w:highlight w:val="none"/>
          <w:lang w:val="en-US" w:eastAsia="zh-CN" w:bidi="ar-SA"/>
        </w:rPr>
        <w:t>年度工作开展情况及履职情况，</w:t>
      </w:r>
      <w:r>
        <w:rPr>
          <w:rFonts w:hint="default" w:ascii="Times New Roman" w:hAnsi="Times New Roman" w:eastAsia="仿宋_GB2312" w:cs="Times New Roman"/>
          <w:b w:val="0"/>
          <w:bCs w:val="0"/>
          <w:caps w:val="0"/>
          <w:color w:val="auto"/>
          <w:kern w:val="0"/>
          <w:position w:val="0"/>
          <w:sz w:val="32"/>
          <w:szCs w:val="32"/>
          <w:highlight w:val="none"/>
          <w:lang w:val="en-US" w:eastAsia="zh-CN" w:bidi="ar-SA"/>
        </w:rPr>
        <w:t>对</w:t>
      </w:r>
      <w:r>
        <w:rPr>
          <w:rFonts w:hint="eastAsia" w:ascii="Times New Roman" w:hAnsi="Times New Roman" w:cs="Times New Roman"/>
          <w:b w:val="0"/>
          <w:bCs w:val="0"/>
          <w:caps w:val="0"/>
          <w:color w:val="auto"/>
          <w:kern w:val="0"/>
          <w:position w:val="0"/>
          <w:sz w:val="32"/>
          <w:szCs w:val="32"/>
          <w:highlight w:val="none"/>
          <w:lang w:val="en-US" w:eastAsia="zh-CN" w:bidi="ar-SA"/>
        </w:rPr>
        <w:t>202</w:t>
      </w:r>
      <w:r>
        <w:rPr>
          <w:rFonts w:hint="eastAsia" w:cs="Times New Roman"/>
          <w:b w:val="0"/>
          <w:bCs w:val="0"/>
          <w:caps w:val="0"/>
          <w:color w:val="auto"/>
          <w:kern w:val="0"/>
          <w:position w:val="0"/>
          <w:sz w:val="32"/>
          <w:szCs w:val="32"/>
          <w:highlight w:val="none"/>
          <w:lang w:val="en-US" w:eastAsia="zh-CN" w:bidi="ar-SA"/>
        </w:rPr>
        <w:t>5</w:t>
      </w:r>
      <w:r>
        <w:rPr>
          <w:rFonts w:hint="eastAsia" w:ascii="Times New Roman" w:hAnsi="Times New Roman" w:cs="Times New Roman"/>
          <w:b w:val="0"/>
          <w:bCs w:val="0"/>
          <w:caps w:val="0"/>
          <w:color w:val="auto"/>
          <w:kern w:val="0"/>
          <w:position w:val="0"/>
          <w:sz w:val="32"/>
          <w:szCs w:val="32"/>
          <w:highlight w:val="none"/>
          <w:lang w:val="en-US" w:eastAsia="zh-CN" w:bidi="ar-SA"/>
        </w:rPr>
        <w:t>年度部门</w:t>
      </w:r>
      <w:r>
        <w:rPr>
          <w:rFonts w:hint="default" w:ascii="Times New Roman" w:hAnsi="Times New Roman" w:eastAsia="仿宋_GB2312" w:cs="Times New Roman"/>
          <w:b w:val="0"/>
          <w:bCs w:val="0"/>
          <w:caps w:val="0"/>
          <w:color w:val="auto"/>
          <w:kern w:val="0"/>
          <w:position w:val="0"/>
          <w:sz w:val="32"/>
          <w:szCs w:val="32"/>
          <w:highlight w:val="none"/>
          <w:lang w:val="en-US" w:eastAsia="zh-CN" w:bidi="ar-SA"/>
        </w:rPr>
        <w:t>预算资金的使用情况进行了全面、深入的分析和评价。经过自评，我们得出以下结论</w:t>
      </w:r>
      <w:r>
        <w:rPr>
          <w:rFonts w:hint="eastAsia" w:ascii="Times New Roman" w:hAnsi="Times New Roman" w:cs="Times New Roman"/>
          <w:b w:val="0"/>
          <w:bCs w:val="0"/>
          <w:caps w:val="0"/>
          <w:color w:val="auto"/>
          <w:kern w:val="0"/>
          <w:position w:val="0"/>
          <w:sz w:val="32"/>
          <w:szCs w:val="32"/>
          <w:highlight w:val="none"/>
          <w:lang w:val="en-US" w:eastAsia="zh-CN" w:bidi="ar-SA"/>
        </w:rPr>
        <w:t>：202</w:t>
      </w:r>
      <w:r>
        <w:rPr>
          <w:rFonts w:hint="eastAsia" w:cs="Times New Roman"/>
          <w:b w:val="0"/>
          <w:bCs w:val="0"/>
          <w:caps w:val="0"/>
          <w:color w:val="auto"/>
          <w:kern w:val="0"/>
          <w:position w:val="0"/>
          <w:sz w:val="32"/>
          <w:szCs w:val="32"/>
          <w:highlight w:val="none"/>
          <w:lang w:val="en-US" w:eastAsia="zh-CN" w:bidi="ar-SA"/>
        </w:rPr>
        <w:t>5</w:t>
      </w:r>
      <w:r>
        <w:rPr>
          <w:rFonts w:hint="eastAsia" w:ascii="Times New Roman" w:hAnsi="Times New Roman" w:cs="Times New Roman"/>
          <w:b w:val="0"/>
          <w:bCs w:val="0"/>
          <w:caps w:val="0"/>
          <w:color w:val="auto"/>
          <w:kern w:val="0"/>
          <w:position w:val="0"/>
          <w:sz w:val="32"/>
          <w:szCs w:val="32"/>
          <w:highlight w:val="none"/>
          <w:lang w:val="en-US" w:eastAsia="zh-CN" w:bidi="ar-SA"/>
        </w:rPr>
        <w:t>年度，</w:t>
      </w:r>
      <w:r>
        <w:rPr>
          <w:rFonts w:hint="eastAsia" w:cs="Times New Roman"/>
          <w:b w:val="0"/>
          <w:bCs w:val="0"/>
          <w:caps w:val="0"/>
          <w:color w:val="auto"/>
          <w:kern w:val="0"/>
          <w:position w:val="0"/>
          <w:sz w:val="32"/>
          <w:szCs w:val="32"/>
          <w:highlight w:val="none"/>
          <w:lang w:val="en-US" w:eastAsia="zh-CN" w:bidi="ar-SA"/>
        </w:rPr>
        <w:t>我中心</w:t>
      </w:r>
      <w:r>
        <w:rPr>
          <w:rFonts w:hint="eastAsia" w:ascii="Times New Roman" w:hAnsi="Times New Roman" w:cs="仿宋_GB2312"/>
          <w:b w:val="0"/>
          <w:bCs w:val="0"/>
          <w:caps w:val="0"/>
          <w:color w:val="auto"/>
          <w:kern w:val="0"/>
          <w:position w:val="0"/>
          <w:sz w:val="32"/>
          <w:szCs w:val="32"/>
          <w:highlight w:val="none"/>
          <w:lang w:val="en-US" w:eastAsia="zh-CN" w:bidi="ar-SA"/>
        </w:rPr>
        <w:t>切实履行了部门职责，部门预算管理、财务管理、资产管理和采购管理等规范有序，较好地完成了各项年度任务，部门预算支出使用效益达到预期，但</w:t>
      </w:r>
      <w:r>
        <w:rPr>
          <w:rFonts w:hint="eastAsia" w:cs="仿宋_GB2312"/>
          <w:b w:val="0"/>
          <w:bCs w:val="0"/>
          <w:caps w:val="0"/>
          <w:color w:val="auto"/>
          <w:kern w:val="0"/>
          <w:position w:val="0"/>
          <w:sz w:val="32"/>
          <w:szCs w:val="32"/>
          <w:highlight w:val="none"/>
          <w:lang w:val="en-US" w:eastAsia="zh-CN" w:bidi="ar-SA"/>
        </w:rPr>
        <w:t>我中心</w:t>
      </w:r>
      <w:r>
        <w:rPr>
          <w:rFonts w:hint="eastAsia" w:ascii="Times New Roman" w:hAnsi="Times New Roman" w:cs="仿宋_GB2312"/>
          <w:b w:val="0"/>
          <w:bCs w:val="0"/>
          <w:caps w:val="0"/>
          <w:color w:val="auto"/>
          <w:kern w:val="0"/>
          <w:position w:val="0"/>
          <w:sz w:val="32"/>
          <w:szCs w:val="32"/>
          <w:highlight w:val="none"/>
          <w:lang w:val="en-US" w:eastAsia="zh-CN" w:bidi="ar-SA"/>
        </w:rPr>
        <w:t>在</w:t>
      </w:r>
      <w:r>
        <w:rPr>
          <w:rFonts w:hint="eastAsia" w:ascii="Times New Roman" w:hAnsi="Times New Roman" w:eastAsia="仿宋_GB2312" w:cs="Times New Roman"/>
          <w:caps w:val="0"/>
          <w:color w:val="auto"/>
          <w:sz w:val="32"/>
          <w:highlight w:val="none"/>
          <w:lang w:val="en-US" w:eastAsia="zh-CN"/>
        </w:rPr>
        <w:t>“三公”经费、会议、培训、差旅、办节办展、办公设备购置、信息网络及软件购置更新、课题经费等八项</w:t>
      </w:r>
      <w:r>
        <w:rPr>
          <w:rFonts w:hint="eastAsia" w:cs="Times New Roman"/>
          <w:caps w:val="0"/>
          <w:color w:val="auto"/>
          <w:sz w:val="32"/>
          <w:highlight w:val="none"/>
          <w:lang w:val="en-US" w:eastAsia="zh-CN"/>
        </w:rPr>
        <w:t>支出</w:t>
      </w:r>
      <w:r>
        <w:rPr>
          <w:rFonts w:hint="eastAsia" w:ascii="Times New Roman" w:hAnsi="Times New Roman" w:cs="仿宋_GB2312"/>
          <w:b w:val="0"/>
          <w:bCs w:val="0"/>
          <w:caps w:val="0"/>
          <w:color w:val="auto"/>
          <w:kern w:val="0"/>
          <w:position w:val="0"/>
          <w:sz w:val="32"/>
          <w:szCs w:val="32"/>
          <w:highlight w:val="none"/>
          <w:lang w:val="en-US" w:eastAsia="zh-CN" w:bidi="ar-SA"/>
        </w:rPr>
        <w:t>方面，</w:t>
      </w:r>
      <w:r>
        <w:rPr>
          <w:rFonts w:hint="eastAsia" w:cs="仿宋_GB2312"/>
          <w:b w:val="0"/>
          <w:bCs w:val="0"/>
          <w:caps w:val="0"/>
          <w:color w:val="auto"/>
          <w:kern w:val="0"/>
          <w:position w:val="0"/>
          <w:sz w:val="32"/>
          <w:szCs w:val="32"/>
          <w:highlight w:val="none"/>
          <w:lang w:val="en-US" w:eastAsia="zh-CN" w:bidi="ar-SA"/>
        </w:rPr>
        <w:t>未实现年初预算数和预算执行数均压减的要求</w:t>
      </w:r>
      <w:r>
        <w:rPr>
          <w:rFonts w:hint="eastAsia" w:ascii="Times New Roman" w:hAnsi="Times New Roman" w:cs="仿宋_GB2312"/>
          <w:b w:val="0"/>
          <w:bCs w:val="0"/>
          <w:caps w:val="0"/>
          <w:color w:val="auto"/>
          <w:kern w:val="0"/>
          <w:position w:val="0"/>
          <w:sz w:val="32"/>
          <w:szCs w:val="32"/>
          <w:highlight w:val="none"/>
          <w:lang w:val="en-US" w:eastAsia="zh-CN" w:bidi="ar-SA"/>
        </w:rPr>
        <w:t>，按照部门预算绩效评价指标体系中指标评分标准要求，</w:t>
      </w:r>
      <w:r>
        <w:rPr>
          <w:rFonts w:hint="eastAsia" w:ascii="Times New Roman" w:hAnsi="Times New Roman" w:cs="Times New Roman"/>
          <w:b w:val="0"/>
          <w:bCs w:val="0"/>
          <w:caps w:val="0"/>
          <w:color w:val="auto"/>
          <w:kern w:val="0"/>
          <w:position w:val="0"/>
          <w:sz w:val="32"/>
          <w:szCs w:val="32"/>
          <w:highlight w:val="none"/>
          <w:lang w:val="en-US" w:eastAsia="zh-CN" w:bidi="ar-SA"/>
        </w:rPr>
        <w:t>202</w:t>
      </w:r>
      <w:r>
        <w:rPr>
          <w:rFonts w:hint="eastAsia" w:cs="Times New Roman"/>
          <w:b w:val="0"/>
          <w:bCs w:val="0"/>
          <w:caps w:val="0"/>
          <w:color w:val="auto"/>
          <w:kern w:val="0"/>
          <w:position w:val="0"/>
          <w:sz w:val="32"/>
          <w:szCs w:val="32"/>
          <w:highlight w:val="none"/>
          <w:lang w:val="en-US" w:eastAsia="zh-CN" w:bidi="ar-SA"/>
        </w:rPr>
        <w:t>5</w:t>
      </w:r>
      <w:r>
        <w:rPr>
          <w:rFonts w:hint="eastAsia" w:ascii="Times New Roman" w:hAnsi="Times New Roman" w:cs="Times New Roman"/>
          <w:b w:val="0"/>
          <w:bCs w:val="0"/>
          <w:caps w:val="0"/>
          <w:color w:val="auto"/>
          <w:kern w:val="0"/>
          <w:position w:val="0"/>
          <w:sz w:val="32"/>
          <w:szCs w:val="32"/>
          <w:highlight w:val="none"/>
          <w:lang w:val="en-US" w:eastAsia="zh-CN" w:bidi="ar-SA"/>
        </w:rPr>
        <w:t>年</w:t>
      </w:r>
      <w:r>
        <w:rPr>
          <w:rFonts w:hint="eastAsia" w:cs="仿宋_GB2312"/>
          <w:b w:val="0"/>
          <w:bCs w:val="0"/>
          <w:caps w:val="0"/>
          <w:color w:val="auto"/>
          <w:kern w:val="0"/>
          <w:position w:val="0"/>
          <w:sz w:val="32"/>
          <w:szCs w:val="32"/>
          <w:highlight w:val="none"/>
          <w:lang w:val="en-US" w:eastAsia="zh-CN" w:bidi="ar-SA"/>
        </w:rPr>
        <w:t>我中心</w:t>
      </w:r>
      <w:r>
        <w:rPr>
          <w:rFonts w:hint="eastAsia" w:ascii="Times New Roman" w:hAnsi="Times New Roman" w:eastAsia="仿宋_GB2312" w:cs="仿宋_GB2312"/>
          <w:b w:val="0"/>
          <w:bCs w:val="0"/>
          <w:caps w:val="0"/>
          <w:color w:val="auto"/>
          <w:kern w:val="0"/>
          <w:position w:val="0"/>
          <w:sz w:val="32"/>
          <w:szCs w:val="32"/>
          <w:highlight w:val="none"/>
          <w:lang w:val="en-US" w:eastAsia="zh-CN" w:bidi="ar-SA"/>
        </w:rPr>
        <w:t>部门预算绩效评价综合得分</w:t>
      </w:r>
      <w:r>
        <w:rPr>
          <w:rFonts w:hint="eastAsia" w:cs="仿宋_GB2312"/>
          <w:b w:val="0"/>
          <w:bCs w:val="0"/>
          <w:caps w:val="0"/>
          <w:color w:val="auto"/>
          <w:kern w:val="0"/>
          <w:position w:val="0"/>
          <w:sz w:val="32"/>
          <w:szCs w:val="32"/>
          <w:highlight w:val="none"/>
          <w:lang w:val="en-US" w:eastAsia="zh-CN" w:bidi="ar-SA"/>
        </w:rPr>
        <w:t>90.84</w:t>
      </w:r>
      <w:r>
        <w:rPr>
          <w:rFonts w:hint="eastAsia" w:ascii="Times New Roman" w:hAnsi="Times New Roman" w:eastAsia="仿宋_GB2312" w:cs="仿宋_GB2312"/>
          <w:b w:val="0"/>
          <w:bCs w:val="0"/>
          <w:caps w:val="0"/>
          <w:color w:val="auto"/>
          <w:kern w:val="0"/>
          <w:position w:val="0"/>
          <w:sz w:val="32"/>
          <w:szCs w:val="32"/>
          <w:highlight w:val="none"/>
          <w:lang w:val="en-US" w:eastAsia="zh-CN" w:bidi="ar-SA"/>
        </w:rPr>
        <w:t>分。</w:t>
      </w:r>
    </w:p>
    <w:p w14:paraId="31BF2350">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aps w:val="0"/>
          <w:color w:val="auto"/>
          <w:kern w:val="0"/>
          <w:szCs w:val="32"/>
          <w:highlight w:val="none"/>
          <w:shd w:val="clear" w:color="auto" w:fill="FFFFFF"/>
          <w:lang w:val="zh-CN"/>
        </w:rPr>
      </w:pPr>
      <w:r>
        <w:rPr>
          <w:rFonts w:hint="default" w:ascii="Times New Roman" w:hAnsi="Times New Roman" w:eastAsia="楷体_GB2312" w:cs="Times New Roman"/>
          <w:b/>
          <w:bCs/>
          <w:caps w:val="0"/>
          <w:color w:val="auto"/>
          <w:kern w:val="0"/>
          <w:szCs w:val="32"/>
          <w:highlight w:val="none"/>
          <w:shd w:val="clear" w:color="auto" w:fill="FFFFFF"/>
          <w:lang w:val="zh-CN"/>
        </w:rPr>
        <w:t>（二）存在问题</w:t>
      </w:r>
    </w:p>
    <w:p w14:paraId="2075FDA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1"/>
        <w:rPr>
          <w:rFonts w:hint="default" w:ascii="Times New Roman" w:hAnsi="Times New Roman" w:eastAsia="楷体_GB2312" w:cs="Times New Roman"/>
          <w:b/>
          <w:bCs/>
          <w:caps w:val="0"/>
          <w:color w:val="auto"/>
          <w:kern w:val="0"/>
          <w:szCs w:val="32"/>
          <w:highlight w:val="none"/>
          <w:shd w:val="clear" w:color="auto" w:fill="FFFFFF"/>
          <w:lang w:val="zh-CN"/>
        </w:rPr>
      </w:pPr>
      <w:r>
        <w:rPr>
          <w:rFonts w:hint="default" w:ascii="Times New Roman" w:hAnsi="Times New Roman" w:eastAsia="仿宋_GB2312" w:cs="Times New Roman"/>
          <w:sz w:val="32"/>
          <w:szCs w:val="32"/>
          <w:highlight w:val="none"/>
          <w:lang w:val="en-US" w:eastAsia="zh-CN"/>
        </w:rPr>
        <w:t>未严控一般性支出</w:t>
      </w:r>
    </w:p>
    <w:p w14:paraId="08BB077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aps w:val="0"/>
          <w:color w:val="auto"/>
          <w:sz w:val="32"/>
          <w:highlight w:val="none"/>
          <w:lang w:val="en-US" w:eastAsia="zh-CN"/>
        </w:rPr>
      </w:pPr>
      <w:r>
        <w:rPr>
          <w:rFonts w:hint="eastAsia" w:cs="Times New Roman"/>
          <w:caps w:val="0"/>
          <w:color w:val="auto"/>
          <w:sz w:val="32"/>
          <w:highlight w:val="none"/>
          <w:lang w:val="en-US" w:eastAsia="zh-CN"/>
        </w:rPr>
        <w:t>我中心</w:t>
      </w:r>
      <w:r>
        <w:rPr>
          <w:rFonts w:hint="eastAsia" w:ascii="Times New Roman" w:hAnsi="Times New Roman" w:eastAsia="仿宋_GB2312" w:cs="Times New Roman"/>
          <w:caps w:val="0"/>
          <w:color w:val="auto"/>
          <w:sz w:val="32"/>
          <w:highlight w:val="none"/>
          <w:lang w:val="en-US" w:eastAsia="zh-CN"/>
        </w:rPr>
        <w:t>“三公”经费、会议、培训、差旅、办节办展、办公设备购置、信息网络及软件购置更新、课题经费等八项</w:t>
      </w:r>
      <w:r>
        <w:rPr>
          <w:rFonts w:hint="eastAsia" w:cs="Times New Roman"/>
          <w:caps w:val="0"/>
          <w:color w:val="auto"/>
          <w:sz w:val="32"/>
          <w:highlight w:val="none"/>
          <w:lang w:val="en-US" w:eastAsia="zh-CN"/>
        </w:rPr>
        <w:t>支出，</w:t>
      </w:r>
      <w:r>
        <w:rPr>
          <w:rFonts w:hint="eastAsia" w:ascii="Times New Roman" w:hAnsi="Times New Roman" w:eastAsia="仿宋_GB2312" w:cs="Times New Roman"/>
          <w:caps w:val="0"/>
          <w:color w:val="auto"/>
          <w:sz w:val="32"/>
          <w:highlight w:val="none"/>
          <w:lang w:val="en-US" w:eastAsia="zh-CN"/>
        </w:rPr>
        <w:t>一般性支出财政拨款</w:t>
      </w:r>
      <w:r>
        <w:rPr>
          <w:rFonts w:hint="eastAsia" w:cs="Times New Roman"/>
          <w:caps w:val="0"/>
          <w:color w:val="auto"/>
          <w:sz w:val="32"/>
          <w:highlight w:val="none"/>
          <w:lang w:val="en-US" w:eastAsia="zh-CN"/>
        </w:rPr>
        <w:t>年初预算数和</w:t>
      </w:r>
      <w:r>
        <w:rPr>
          <w:rFonts w:hint="default" w:ascii="Times New Roman" w:hAnsi="Times New Roman" w:cs="Times New Roman"/>
          <w:highlight w:val="none"/>
          <w:lang w:val="en-US" w:eastAsia="zh-CN"/>
        </w:rPr>
        <w:t>一般性支出财政拨款</w:t>
      </w:r>
      <w:r>
        <w:rPr>
          <w:rFonts w:hint="eastAsia" w:ascii="Times New Roman" w:hAnsi="Times New Roman" w:eastAsia="仿宋_GB2312" w:cs="Times New Roman"/>
          <w:caps w:val="0"/>
          <w:color w:val="auto"/>
          <w:sz w:val="32"/>
          <w:highlight w:val="none"/>
          <w:lang w:val="en-US" w:eastAsia="zh-CN"/>
        </w:rPr>
        <w:t>预算执行数</w:t>
      </w:r>
      <w:r>
        <w:rPr>
          <w:rFonts w:hint="default" w:ascii="Times New Roman" w:hAnsi="Times New Roman" w:cs="Times New Roman"/>
          <w:highlight w:val="none"/>
          <w:lang w:val="en-US" w:eastAsia="zh-CN"/>
        </w:rPr>
        <w:t>较上年</w:t>
      </w:r>
      <w:r>
        <w:rPr>
          <w:rFonts w:hint="eastAsia" w:cs="Times New Roman"/>
          <w:highlight w:val="none"/>
          <w:lang w:val="en-US" w:eastAsia="zh-CN"/>
        </w:rPr>
        <w:t>均增加</w:t>
      </w:r>
      <w:r>
        <w:rPr>
          <w:rFonts w:hint="eastAsia" w:ascii="Times New Roman" w:hAnsi="Times New Roman" w:eastAsia="仿宋_GB2312" w:cs="Times New Roman"/>
          <w:caps w:val="0"/>
          <w:color w:val="auto"/>
          <w:sz w:val="32"/>
          <w:highlight w:val="none"/>
          <w:lang w:val="en-US" w:eastAsia="zh-CN"/>
        </w:rPr>
        <w:t>。2024年一般性支出</w:t>
      </w:r>
      <w:r>
        <w:rPr>
          <w:rFonts w:hint="default" w:ascii="Times New Roman" w:hAnsi="Times New Roman" w:cs="Times New Roman"/>
          <w:highlight w:val="none"/>
          <w:lang w:val="en-US" w:eastAsia="zh-CN"/>
        </w:rPr>
        <w:t>财政拨款</w:t>
      </w:r>
      <w:r>
        <w:rPr>
          <w:rFonts w:hint="eastAsia" w:ascii="Times New Roman" w:hAnsi="Times New Roman" w:eastAsia="仿宋_GB2312" w:cs="Times New Roman"/>
          <w:caps w:val="0"/>
          <w:color w:val="auto"/>
          <w:sz w:val="32"/>
          <w:highlight w:val="none"/>
          <w:lang w:val="en-US" w:eastAsia="zh-CN"/>
        </w:rPr>
        <w:t>年初预算数为8.54万元，2025年为</w:t>
      </w:r>
      <w:r>
        <w:rPr>
          <w:rFonts w:hint="eastAsia" w:cs="Times New Roman"/>
          <w:caps w:val="0"/>
          <w:color w:val="auto"/>
          <w:sz w:val="32"/>
          <w:highlight w:val="none"/>
          <w:lang w:val="en-US" w:eastAsia="zh-CN"/>
        </w:rPr>
        <w:t>1</w:t>
      </w:r>
      <w:r>
        <w:rPr>
          <w:rFonts w:hint="eastAsia" w:ascii="Times New Roman" w:hAnsi="Times New Roman" w:eastAsia="仿宋_GB2312" w:cs="Times New Roman"/>
          <w:caps w:val="0"/>
          <w:color w:val="auto"/>
          <w:sz w:val="32"/>
          <w:highlight w:val="none"/>
          <w:lang w:val="en-US" w:eastAsia="zh-CN"/>
        </w:rPr>
        <w:t>7.45万元</w:t>
      </w:r>
      <w:r>
        <w:rPr>
          <w:rFonts w:hint="eastAsia" w:cs="Times New Roman"/>
          <w:caps w:val="0"/>
          <w:color w:val="auto"/>
          <w:sz w:val="32"/>
          <w:highlight w:val="none"/>
          <w:lang w:val="en-US" w:eastAsia="zh-CN"/>
        </w:rPr>
        <w:t>，2024</w:t>
      </w:r>
      <w:r>
        <w:rPr>
          <w:rFonts w:hint="eastAsia" w:ascii="Times New Roman" w:hAnsi="Times New Roman" w:eastAsia="仿宋_GB2312" w:cs="Times New Roman"/>
          <w:caps w:val="0"/>
          <w:color w:val="auto"/>
          <w:sz w:val="32"/>
          <w:highlight w:val="none"/>
          <w:lang w:val="en-US" w:eastAsia="zh-CN"/>
        </w:rPr>
        <w:t>一般性支出财政拨款预算执行数</w:t>
      </w:r>
      <w:r>
        <w:rPr>
          <w:rFonts w:hint="eastAsia" w:cs="Times New Roman"/>
          <w:caps w:val="0"/>
          <w:color w:val="auto"/>
          <w:sz w:val="32"/>
          <w:highlight w:val="none"/>
          <w:lang w:val="en-US" w:eastAsia="zh-CN"/>
        </w:rPr>
        <w:t>为1.37万元，</w:t>
      </w:r>
      <w:r>
        <w:rPr>
          <w:rFonts w:hint="eastAsia" w:ascii="Times New Roman" w:hAnsi="Times New Roman" w:eastAsia="仿宋_GB2312" w:cs="Times New Roman"/>
          <w:caps w:val="0"/>
          <w:color w:val="auto"/>
          <w:sz w:val="32"/>
          <w:highlight w:val="none"/>
          <w:lang w:val="en-US" w:eastAsia="zh-CN"/>
        </w:rPr>
        <w:t>2025年为18.7</w:t>
      </w:r>
      <w:r>
        <w:rPr>
          <w:rFonts w:hint="eastAsia" w:cs="Times New Roman"/>
          <w:caps w:val="0"/>
          <w:color w:val="auto"/>
          <w:sz w:val="32"/>
          <w:highlight w:val="none"/>
          <w:lang w:val="en-US" w:eastAsia="zh-CN"/>
        </w:rPr>
        <w:t>万元，</w:t>
      </w:r>
      <w:r>
        <w:rPr>
          <w:rFonts w:hint="default" w:ascii="Times New Roman" w:hAnsi="Times New Roman" w:eastAsia="仿宋_GB2312" w:cs="Times New Roman"/>
          <w:sz w:val="32"/>
          <w:szCs w:val="32"/>
          <w:highlight w:val="none"/>
          <w:lang w:val="en-US" w:eastAsia="zh-CN"/>
        </w:rPr>
        <w:t>未严控一般性支出</w:t>
      </w:r>
      <w:r>
        <w:rPr>
          <w:rFonts w:hint="eastAsia" w:cs="Times New Roman"/>
          <w:sz w:val="32"/>
          <w:szCs w:val="32"/>
          <w:highlight w:val="none"/>
          <w:lang w:val="en-US" w:eastAsia="zh-CN"/>
        </w:rPr>
        <w:t>。</w:t>
      </w:r>
    </w:p>
    <w:p w14:paraId="3BB9078C">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cs="仿宋_GB2312"/>
          <w:b w:val="0"/>
          <w:bCs w:val="0"/>
          <w:caps w:val="0"/>
          <w:color w:val="auto"/>
          <w:kern w:val="0"/>
          <w:position w:val="0"/>
          <w:sz w:val="32"/>
          <w:szCs w:val="32"/>
          <w:highlight w:val="none"/>
          <w:lang w:val="en-US" w:eastAsia="zh-CN" w:bidi="ar-SA"/>
        </w:rPr>
      </w:pPr>
      <w:bookmarkStart w:id="0" w:name="_Hlk110546638"/>
      <w:r>
        <w:rPr>
          <w:rFonts w:hint="default" w:ascii="Times New Roman" w:hAnsi="Times New Roman" w:eastAsia="楷体_GB2312" w:cs="Times New Roman"/>
          <w:b/>
          <w:bCs/>
          <w:caps w:val="0"/>
          <w:color w:val="auto"/>
          <w:kern w:val="0"/>
          <w:szCs w:val="32"/>
          <w:highlight w:val="none"/>
          <w:shd w:val="clear" w:color="auto" w:fill="FFFFFF"/>
          <w:lang w:val="zh-CN" w:eastAsia="zh-CN"/>
        </w:rPr>
        <w:t>（三）改进建议</w:t>
      </w:r>
    </w:p>
    <w:p w14:paraId="741E697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aps w:val="0"/>
          <w:smallCaps w:val="0"/>
          <w:color w:val="auto"/>
          <w:sz w:val="32"/>
          <w:highlight w:val="none"/>
          <w:lang w:val="en-US" w:eastAsia="zh-CN"/>
        </w:rPr>
      </w:pPr>
      <w:r>
        <w:rPr>
          <w:rFonts w:hint="default" w:ascii="Times New Roman" w:hAnsi="Times New Roman" w:eastAsia="仿宋_GB2312" w:cs="Times New Roman"/>
          <w:sz w:val="32"/>
          <w:szCs w:val="32"/>
          <w:highlight w:val="none"/>
          <w:lang w:val="en-US" w:eastAsia="zh-CN"/>
        </w:rPr>
        <w:t>严控一般性支出</w:t>
      </w:r>
    </w:p>
    <w:p w14:paraId="0D27F50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aps w:val="0"/>
          <w:smallCaps w:val="0"/>
          <w:color w:val="auto"/>
          <w:sz w:val="32"/>
          <w:highlight w:val="none"/>
          <w:lang w:val="en-US" w:eastAsia="zh-CN"/>
        </w:rPr>
      </w:pPr>
      <w:r>
        <w:rPr>
          <w:rFonts w:hint="eastAsia" w:cs="Times New Roman"/>
          <w:caps w:val="0"/>
          <w:smallCaps w:val="0"/>
          <w:color w:val="auto"/>
          <w:sz w:val="32"/>
          <w:highlight w:val="none"/>
          <w:lang w:val="en-US" w:eastAsia="zh-CN"/>
        </w:rPr>
        <w:t>我中心</w:t>
      </w:r>
      <w:r>
        <w:rPr>
          <w:rFonts w:hint="eastAsia" w:ascii="Times New Roman" w:hAnsi="Times New Roman" w:eastAsia="仿宋_GB2312" w:cs="Times New Roman"/>
          <w:caps w:val="0"/>
          <w:smallCaps w:val="0"/>
          <w:color w:val="auto"/>
          <w:sz w:val="32"/>
          <w:highlight w:val="none"/>
          <w:lang w:val="en-US" w:eastAsia="zh-CN"/>
        </w:rPr>
        <w:t>将增强“过紧日子”思想意识，充分认识“过紧日子”的重要性和必要性，减少非必要的公务接待及出差人员数量。相关领导要以身作则，做好表率，层层压实责任，确保“过紧日子”思想深入人心，厉行节约措施落实到位。</w:t>
      </w:r>
    </w:p>
    <w:p w14:paraId="494FC1D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Times New Roman"/>
          <w:caps w:val="0"/>
          <w:smallCaps w:val="0"/>
          <w:color w:val="auto"/>
          <w:sz w:val="32"/>
          <w:highlight w:val="none"/>
          <w:lang w:val="en-US" w:eastAsia="zh-CN"/>
        </w:rPr>
      </w:pPr>
    </w:p>
    <w:p w14:paraId="68A14A5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caps w:val="0"/>
          <w:smallCaps w:val="0"/>
          <w:color w:val="auto"/>
          <w:sz w:val="32"/>
          <w:highlight w:val="none"/>
          <w:lang w:val="en-US" w:eastAsia="zh-CN"/>
        </w:rPr>
      </w:pPr>
    </w:p>
    <w:bookmarkEnd w:id="0"/>
    <w:p w14:paraId="27161AD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cs="Times New Roman"/>
          <w:caps w:val="0"/>
          <w:color w:val="auto"/>
          <w:kern w:val="0"/>
          <w:szCs w:val="32"/>
          <w:highlight w:val="none"/>
          <w:shd w:val="clear" w:color="auto" w:fill="FFFFFF"/>
          <w:lang w:val="en-US" w:eastAsia="zh-CN"/>
        </w:rPr>
      </w:pPr>
      <w:r>
        <w:rPr>
          <w:rFonts w:hint="default" w:ascii="Times New Roman" w:hAnsi="Times New Roman" w:cs="Times New Roman"/>
          <w:caps w:val="0"/>
          <w:color w:val="auto"/>
          <w:kern w:val="0"/>
          <w:szCs w:val="32"/>
          <w:highlight w:val="none"/>
          <w:shd w:val="clear" w:color="auto" w:fill="FFFFFF"/>
          <w:lang w:val="en-US" w:eastAsia="zh-CN"/>
        </w:rPr>
        <w:t>附表：</w:t>
      </w:r>
    </w:p>
    <w:p w14:paraId="7073A91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cs="仿宋_GB2312"/>
          <w:b w:val="0"/>
          <w:bCs w:val="0"/>
          <w:kern w:val="0"/>
          <w:position w:val="0"/>
          <w:sz w:val="32"/>
          <w:szCs w:val="32"/>
          <w:highlight w:val="none"/>
          <w:lang w:val="en-US" w:eastAsia="zh-CN" w:bidi="ar-SA"/>
        </w:rPr>
      </w:pPr>
      <w:r>
        <w:rPr>
          <w:rFonts w:hint="eastAsia" w:cs="仿宋_GB2312"/>
          <w:b w:val="0"/>
          <w:bCs w:val="0"/>
          <w:kern w:val="0"/>
          <w:position w:val="0"/>
          <w:sz w:val="32"/>
          <w:szCs w:val="32"/>
          <w:highlight w:val="none"/>
          <w:lang w:val="en-US" w:eastAsia="zh-CN" w:bidi="ar-SA"/>
        </w:rPr>
        <w:t>1.</w:t>
      </w:r>
      <w:r>
        <w:rPr>
          <w:rFonts w:hint="eastAsia" w:ascii="Times New Roman" w:hAnsi="Times New Roman" w:cs="仿宋_GB2312"/>
          <w:b w:val="0"/>
          <w:bCs w:val="0"/>
          <w:kern w:val="0"/>
          <w:position w:val="0"/>
          <w:sz w:val="32"/>
          <w:szCs w:val="32"/>
          <w:highlight w:val="none"/>
          <w:lang w:val="en-US" w:eastAsia="zh-CN" w:bidi="ar-SA"/>
        </w:rPr>
        <w:t>部门预算绩效自评打分表</w:t>
      </w:r>
    </w:p>
    <w:p w14:paraId="13E0C86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cs="仿宋_GB2312"/>
          <w:b w:val="0"/>
          <w:bCs w:val="0"/>
          <w:kern w:val="0"/>
          <w:position w:val="0"/>
          <w:sz w:val="32"/>
          <w:szCs w:val="32"/>
          <w:highlight w:val="none"/>
          <w:lang w:val="en-US" w:eastAsia="zh-CN" w:bidi="ar-SA"/>
        </w:rPr>
      </w:pPr>
      <w:r>
        <w:rPr>
          <w:rFonts w:hint="eastAsia" w:cs="仿宋_GB2312"/>
          <w:b w:val="0"/>
          <w:bCs w:val="0"/>
          <w:kern w:val="0"/>
          <w:position w:val="0"/>
          <w:sz w:val="32"/>
          <w:szCs w:val="32"/>
          <w:highlight w:val="none"/>
          <w:lang w:val="en-US" w:eastAsia="zh-CN" w:bidi="ar-SA"/>
        </w:rPr>
        <w:t>2.部门整体绩效目标完成情况自评表</w:t>
      </w:r>
    </w:p>
    <w:p w14:paraId="05271A21">
      <w:pPr>
        <w:keepNext w:val="0"/>
        <w:keepLines w:val="0"/>
        <w:pageBreakBefore w:val="0"/>
        <w:kinsoku/>
        <w:wordWrap/>
        <w:overflowPunct/>
        <w:topLinePunct w:val="0"/>
        <w:autoSpaceDE/>
        <w:autoSpaceDN/>
        <w:bidi w:val="0"/>
        <w:spacing w:line="578" w:lineRule="exact"/>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0096FC88">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0A57A6E7">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7F06A3F2">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5A93F172">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582016D4">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1A690648">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5EB0BC54">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0BABA3EE">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2756A5FC">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45D5298E">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3FAE381B">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6027CCDF">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481EEC8D">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cs="Times New Roman"/>
          <w:caps w:val="0"/>
          <w:color w:val="auto"/>
          <w:kern w:val="0"/>
          <w:szCs w:val="32"/>
          <w:highlight w:val="yellow"/>
          <w:shd w:val="clear" w:color="auto" w:fill="FFFFFF"/>
          <w:lang w:val="en-US" w:eastAsia="zh-CN"/>
        </w:rPr>
      </w:pPr>
    </w:p>
    <w:p w14:paraId="3BC3001A">
      <w:pPr>
        <w:keepNext w:val="0"/>
        <w:keepLines w:val="0"/>
        <w:pageBreakBefore w:val="0"/>
        <w:kinsoku/>
        <w:wordWrap/>
        <w:overflowPunct/>
        <w:topLinePunct w:val="0"/>
        <w:autoSpaceDE/>
        <w:autoSpaceDN/>
        <w:bidi w:val="0"/>
        <w:spacing w:line="578" w:lineRule="exact"/>
        <w:ind w:firstLine="0" w:firstLineChars="0"/>
        <w:jc w:val="left"/>
        <w:textAlignment w:val="auto"/>
        <w:rPr>
          <w:rFonts w:hint="eastAsia" w:ascii="Times New Roman" w:hAnsi="Times New Roman" w:eastAsia="黑体" w:cs="Times New Roman"/>
          <w:caps w:val="0"/>
          <w:color w:val="auto"/>
          <w:kern w:val="2"/>
          <w:sz w:val="32"/>
          <w:szCs w:val="24"/>
          <w:highlight w:val="none"/>
          <w:lang w:val="en-US" w:eastAsia="zh-CN" w:bidi="ar-SA"/>
        </w:rPr>
      </w:pPr>
      <w:r>
        <w:rPr>
          <w:rFonts w:hint="default" w:ascii="Times New Roman" w:hAnsi="Times New Roman" w:eastAsia="黑体" w:cs="Times New Roman"/>
          <w:caps w:val="0"/>
          <w:color w:val="auto"/>
          <w:kern w:val="2"/>
          <w:sz w:val="32"/>
          <w:szCs w:val="24"/>
          <w:highlight w:val="none"/>
          <w:lang w:val="en-US" w:eastAsia="zh-CN" w:bidi="ar-SA"/>
        </w:rPr>
        <w:t>附表</w:t>
      </w:r>
      <w:r>
        <w:rPr>
          <w:rFonts w:hint="eastAsia" w:ascii="Times New Roman" w:hAnsi="Times New Roman" w:eastAsia="黑体" w:cs="Times New Roman"/>
          <w:caps w:val="0"/>
          <w:color w:val="auto"/>
          <w:kern w:val="2"/>
          <w:sz w:val="32"/>
          <w:szCs w:val="24"/>
          <w:highlight w:val="none"/>
          <w:lang w:val="en-US" w:eastAsia="zh-CN" w:bidi="ar-SA"/>
        </w:rPr>
        <w:t>1</w:t>
      </w:r>
    </w:p>
    <w:p w14:paraId="3148ADE9">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outlineLvl w:val="9"/>
        <w:rPr>
          <w:rFonts w:hint="eastAsia" w:ascii="Times New Roman" w:hAnsi="Times New Roman" w:eastAsia="方正小标宋简体" w:cs="Times New Roman"/>
          <w:i w:val="0"/>
          <w:caps w:val="0"/>
          <w:color w:val="auto"/>
          <w:kern w:val="0"/>
          <w:sz w:val="44"/>
          <w:szCs w:val="44"/>
          <w:highlight w:val="none"/>
          <w:u w:val="none"/>
          <w:lang w:val="en-US" w:eastAsia="zh-CN" w:bidi="ar"/>
        </w:rPr>
      </w:pPr>
      <w:r>
        <w:rPr>
          <w:rFonts w:hint="eastAsia" w:ascii="Times New Roman" w:hAnsi="Times New Roman" w:eastAsia="方正小标宋简体" w:cs="Times New Roman"/>
          <w:i w:val="0"/>
          <w:caps w:val="0"/>
          <w:color w:val="auto"/>
          <w:kern w:val="0"/>
          <w:sz w:val="44"/>
          <w:szCs w:val="44"/>
          <w:highlight w:val="none"/>
          <w:u w:val="none"/>
          <w:lang w:val="en-US" w:eastAsia="zh-CN" w:bidi="ar"/>
        </w:rPr>
        <w:t>部门预算绩效自评打分表</w:t>
      </w:r>
    </w:p>
    <w:tbl>
      <w:tblPr>
        <w:tblStyle w:val="6"/>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4"/>
        <w:gridCol w:w="1462"/>
        <w:gridCol w:w="1665"/>
        <w:gridCol w:w="720"/>
        <w:gridCol w:w="4734"/>
        <w:gridCol w:w="756"/>
        <w:gridCol w:w="478"/>
      </w:tblGrid>
      <w:tr w14:paraId="5A0B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4B12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caps w:val="0"/>
                <w:color w:val="auto"/>
                <w:sz w:val="24"/>
                <w:szCs w:val="24"/>
                <w:highlight w:val="none"/>
                <w:u w:val="none"/>
              </w:rPr>
            </w:pPr>
            <w:r>
              <w:rPr>
                <w:rFonts w:hint="eastAsia" w:ascii="仿宋_GB2312" w:hAnsi="仿宋_GB2312" w:eastAsia="仿宋_GB2312" w:cs="仿宋_GB2312"/>
                <w:i w:val="0"/>
                <w:caps w:val="0"/>
                <w:color w:val="auto"/>
                <w:kern w:val="0"/>
                <w:sz w:val="24"/>
                <w:szCs w:val="24"/>
                <w:highlight w:val="none"/>
                <w:u w:val="none"/>
                <w:lang w:val="en-US" w:eastAsia="zh-CN"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3230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caps w:val="0"/>
                <w:color w:val="auto"/>
                <w:sz w:val="24"/>
                <w:szCs w:val="24"/>
                <w:highlight w:val="none"/>
                <w:u w:val="none"/>
              </w:rPr>
            </w:pPr>
            <w:r>
              <w:rPr>
                <w:rFonts w:hint="eastAsia" w:ascii="仿宋_GB2312" w:hAnsi="仿宋_GB2312" w:eastAsia="仿宋_GB2312" w:cs="仿宋_GB2312"/>
                <w:i w:val="0"/>
                <w:caps w:val="0"/>
                <w:color w:val="auto"/>
                <w:kern w:val="0"/>
                <w:sz w:val="24"/>
                <w:szCs w:val="24"/>
                <w:highlight w:val="none"/>
                <w:u w:val="none"/>
                <w:lang w:val="en-US" w:eastAsia="zh-CN"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02255DA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caps w:val="0"/>
                <w:color w:val="auto"/>
                <w:kern w:val="0"/>
                <w:sz w:val="24"/>
                <w:szCs w:val="24"/>
                <w:highlight w:val="none"/>
                <w:u w:val="none"/>
                <w:lang w:val="en-US" w:eastAsia="zh-CN" w:bidi="ar"/>
              </w:rPr>
            </w:pPr>
            <w:r>
              <w:rPr>
                <w:rFonts w:hint="eastAsia" w:ascii="仿宋_GB2312" w:hAnsi="仿宋_GB2312" w:eastAsia="仿宋_GB2312" w:cs="仿宋_GB2312"/>
                <w:i w:val="0"/>
                <w:caps w:val="0"/>
                <w:color w:val="auto"/>
                <w:kern w:val="0"/>
                <w:sz w:val="24"/>
                <w:szCs w:val="24"/>
                <w:highlight w:val="none"/>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1C5F0F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i w:val="0"/>
                <w:caps w:val="0"/>
                <w:color w:val="auto"/>
                <w:kern w:val="0"/>
                <w:sz w:val="24"/>
                <w:szCs w:val="24"/>
                <w:highlight w:val="none"/>
                <w:u w:val="none"/>
                <w:lang w:val="en-US" w:eastAsia="zh-CN" w:bidi="ar"/>
              </w:rPr>
            </w:pPr>
            <w:r>
              <w:rPr>
                <w:rFonts w:hint="eastAsia" w:ascii="仿宋_GB2312" w:hAnsi="仿宋_GB2312" w:eastAsia="仿宋_GB2312" w:cs="仿宋_GB2312"/>
                <w:i w:val="0"/>
                <w:caps w:val="0"/>
                <w:color w:val="auto"/>
                <w:kern w:val="0"/>
                <w:sz w:val="24"/>
                <w:szCs w:val="24"/>
                <w:highlight w:val="none"/>
                <w:u w:val="none"/>
                <w:lang w:val="en-US" w:eastAsia="zh-CN" w:bidi="ar"/>
              </w:rPr>
              <w:t>备注</w:t>
            </w:r>
          </w:p>
        </w:tc>
      </w:tr>
      <w:tr w14:paraId="02AB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14:paraId="01ECF4E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A71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87E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FC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指标</w:t>
            </w:r>
            <w:r>
              <w:rPr>
                <w:rFonts w:hint="default" w:ascii="Times New Roman" w:hAnsi="Times New Roman" w:eastAsia="仿宋_GB2312" w:cs="Times New Roman"/>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caps w:val="0"/>
                <w:color w:val="auto"/>
                <w:kern w:val="0"/>
                <w:sz w:val="24"/>
                <w:szCs w:val="24"/>
                <w:highlight w:val="none"/>
                <w:u w:val="none"/>
                <w:lang w:val="en-US" w:eastAsia="zh-CN"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AF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caps w:val="0"/>
                <w:color w:val="auto"/>
                <w:sz w:val="24"/>
                <w:szCs w:val="24"/>
                <w:highlight w:val="none"/>
                <w:u w:val="none"/>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37C69D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caps w:val="0"/>
                <w:color w:val="auto"/>
                <w:sz w:val="24"/>
                <w:szCs w:val="24"/>
                <w:highlight w:val="none"/>
                <w:u w:val="none"/>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799859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i w:val="0"/>
                <w:caps w:val="0"/>
                <w:color w:val="auto"/>
                <w:sz w:val="24"/>
                <w:szCs w:val="24"/>
                <w:highlight w:val="none"/>
                <w:u w:val="none"/>
              </w:rPr>
            </w:pPr>
          </w:p>
        </w:tc>
      </w:tr>
      <w:tr w14:paraId="5ED3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AF09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总体绩效</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513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履职效能</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E9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55AF6C5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6A9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49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2F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49CA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C0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59E0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预算管理</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B5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F9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0C1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E6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6.24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57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22ED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9C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0D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00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24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77D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B3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C83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4E7F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BA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B8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87A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308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89C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8B1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CF2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57E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35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70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A4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0E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C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EDF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3C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49D8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99D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16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131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3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17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6FE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C5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17E9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7A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BF86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财务管理</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26A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A4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9F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66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A8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6A16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F2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741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BD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2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60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B3E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FE9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5A61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F6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21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F6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7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17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13A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12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58FA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42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1AB2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资产管理</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23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675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55B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8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cs="Times New Roman"/>
                <w:i w:val="0"/>
                <w:caps w:val="0"/>
                <w:color w:val="auto"/>
                <w:kern w:val="0"/>
                <w:sz w:val="24"/>
                <w:szCs w:val="24"/>
                <w:highlight w:val="none"/>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6ED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6A15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4C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D0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89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1CC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D30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8E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0.6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C4D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60EE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CE00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总体绩效</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66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资产管理</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8D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54B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68C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F9A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78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01B7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15F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DECA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采购管理</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231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E7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93B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ED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6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5246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D2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58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4EC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A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B0B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92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B6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5A30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A3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项目绩效</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4E269DC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项目决策</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ACA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77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A96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6ED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ABC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664E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A2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17F9F0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2C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154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693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53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8B7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4BEA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F8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469B74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B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C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AE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6B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2FD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24C3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64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7B7A00D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项目执行</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E5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CC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EB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314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4C4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729D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9A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4EC0BB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57E0DF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5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77A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8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55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2444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C5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457BD4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337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53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A6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2BF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74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6CA7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83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8DDE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目标实现</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A47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A98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6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B2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F5C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1E2E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6B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BD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47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04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91F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27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3C5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0FA9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AF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6D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b/>
                <w:i w:val="0"/>
                <w:caps w:val="0"/>
                <w:color w:val="auto"/>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05C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0FE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254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AD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r>
              <w:rPr>
                <w:rFonts w:hint="eastAsia" w:ascii="Times New Roman" w:hAnsi="Times New Roman" w:eastAsia="仿宋_GB2312" w:cs="Times New Roman"/>
                <w:i w:val="0"/>
                <w:caps w:val="0"/>
                <w:color w:val="auto"/>
                <w:kern w:val="0"/>
                <w:sz w:val="24"/>
                <w:szCs w:val="24"/>
                <w:highlight w:val="none"/>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5D7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r w14:paraId="5988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61D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i w:val="0"/>
                <w:caps w:val="0"/>
                <w:color w:val="auto"/>
                <w:sz w:val="24"/>
                <w:szCs w:val="24"/>
                <w:highlight w:val="none"/>
                <w:u w:val="none"/>
              </w:rPr>
            </w:pPr>
            <w:r>
              <w:rPr>
                <w:rFonts w:hint="default" w:ascii="Times New Roman" w:hAnsi="Times New Roman" w:eastAsia="仿宋_GB2312" w:cs="Times New Roman"/>
                <w:b/>
                <w:i w:val="0"/>
                <w:caps w:val="0"/>
                <w:color w:val="auto"/>
                <w:kern w:val="0"/>
                <w:sz w:val="24"/>
                <w:szCs w:val="24"/>
                <w:highlight w:val="none"/>
                <w:u w:val="none"/>
                <w:lang w:val="en-US" w:eastAsia="zh-CN" w:bidi="ar"/>
              </w:rPr>
              <w:t>扣分项</w:t>
            </w:r>
            <w:r>
              <w:rPr>
                <w:rFonts w:hint="default" w:ascii="Times New Roman" w:hAnsi="Times New Roman" w:eastAsia="仿宋_GB2312" w:cs="Times New Roman"/>
                <w:b/>
                <w:i w:val="0"/>
                <w:caps w:val="0"/>
                <w:color w:val="auto"/>
                <w:kern w:val="0"/>
                <w:sz w:val="24"/>
                <w:szCs w:val="24"/>
                <w:highlight w:val="none"/>
                <w:u w:val="none"/>
                <w:lang w:val="en-US" w:eastAsia="zh-CN" w:bidi="ar"/>
              </w:rPr>
              <w:br w:type="textWrapping"/>
            </w:r>
            <w:r>
              <w:rPr>
                <w:rFonts w:hint="default" w:ascii="Times New Roman" w:hAnsi="Times New Roman" w:eastAsia="仿宋_GB2312" w:cs="Times New Roman"/>
                <w:b/>
                <w:i w:val="0"/>
                <w:caps w:val="0"/>
                <w:color w:val="auto"/>
                <w:kern w:val="0"/>
                <w:sz w:val="24"/>
                <w:szCs w:val="24"/>
                <w:highlight w:val="none"/>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A69B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FE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01F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sz w:val="24"/>
                <w:szCs w:val="24"/>
                <w:highlight w:val="none"/>
                <w:u w:val="none"/>
              </w:rPr>
            </w:pPr>
            <w:r>
              <w:rPr>
                <w:rFonts w:hint="default" w:ascii="Times New Roman" w:hAnsi="Times New Roman" w:eastAsia="仿宋_GB2312" w:cs="Times New Roman"/>
                <w:i w:val="0"/>
                <w:caps w:val="0"/>
                <w:color w:val="auto"/>
                <w:kern w:val="0"/>
                <w:sz w:val="24"/>
                <w:szCs w:val="24"/>
                <w:highlight w:val="none"/>
                <w:u w:val="none"/>
                <w:lang w:val="en-US" w:eastAsia="zh-CN"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FA4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sz w:val="24"/>
                <w:szCs w:val="24"/>
                <w:highlight w:val="none"/>
                <w:u w:val="none"/>
                <w:lang w:val="en-US" w:eastAsia="zh-CN"/>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720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4"/>
                <w:szCs w:val="24"/>
                <w:highlight w:val="none"/>
                <w:u w:val="none"/>
                <w:lang w:val="en-US" w:eastAsia="zh-CN" w:bidi="ar"/>
              </w:rPr>
            </w:pPr>
          </w:p>
        </w:tc>
      </w:tr>
    </w:tbl>
    <w:p w14:paraId="73A0011C">
      <w:pPr>
        <w:spacing w:line="578" w:lineRule="exact"/>
        <w:ind w:left="0" w:leftChars="0" w:firstLine="0" w:firstLineChars="0"/>
        <w:jc w:val="left"/>
        <w:rPr>
          <w:rFonts w:eastAsia="黑体"/>
        </w:rPr>
      </w:pPr>
      <w:r>
        <w:rPr>
          <w:rFonts w:eastAsia="黑体"/>
        </w:rPr>
        <w:t>附表</w:t>
      </w:r>
      <w:r>
        <w:rPr>
          <w:rFonts w:hint="eastAsia" w:eastAsia="黑体"/>
        </w:rPr>
        <w:t>2</w:t>
      </w:r>
    </w:p>
    <w:p w14:paraId="4EB1E3C3">
      <w:pPr>
        <w:widowControl/>
        <w:spacing w:line="578" w:lineRule="exact"/>
        <w:jc w:val="center"/>
        <w:textAlignment w:val="center"/>
        <w:rPr>
          <w:rFonts w:eastAsia="方正小标宋简体"/>
          <w:color w:val="000000"/>
          <w:kern w:val="0"/>
          <w:sz w:val="44"/>
          <w:szCs w:val="44"/>
        </w:rPr>
      </w:pPr>
      <w:r>
        <w:rPr>
          <w:rFonts w:eastAsia="方正小标宋简体"/>
          <w:color w:val="000000"/>
          <w:kern w:val="0"/>
          <w:sz w:val="44"/>
          <w:szCs w:val="44"/>
        </w:rPr>
        <w:t>部门整体</w:t>
      </w:r>
      <w:r>
        <w:rPr>
          <w:rFonts w:hint="eastAsia" w:eastAsia="方正小标宋简体"/>
          <w:color w:val="000000"/>
          <w:kern w:val="0"/>
          <w:sz w:val="44"/>
          <w:szCs w:val="44"/>
        </w:rPr>
        <w:t>支出</w:t>
      </w:r>
      <w:r>
        <w:rPr>
          <w:rFonts w:eastAsia="方正小标宋简体"/>
          <w:color w:val="000000"/>
          <w:kern w:val="0"/>
          <w:sz w:val="44"/>
          <w:szCs w:val="44"/>
        </w:rPr>
        <w:t>绩效目标完成情况自评表</w:t>
      </w:r>
    </w:p>
    <w:tbl>
      <w:tblPr>
        <w:tblStyle w:val="6"/>
        <w:tblW w:w="9658" w:type="dxa"/>
        <w:jc w:val="center"/>
        <w:tblLayout w:type="fixed"/>
        <w:tblCellMar>
          <w:top w:w="0" w:type="dxa"/>
          <w:left w:w="108" w:type="dxa"/>
          <w:bottom w:w="0" w:type="dxa"/>
          <w:right w:w="108" w:type="dxa"/>
        </w:tblCellMar>
      </w:tblPr>
      <w:tblGrid>
        <w:gridCol w:w="331"/>
        <w:gridCol w:w="593"/>
        <w:gridCol w:w="1096"/>
        <w:gridCol w:w="1320"/>
        <w:gridCol w:w="1020"/>
        <w:gridCol w:w="876"/>
        <w:gridCol w:w="780"/>
        <w:gridCol w:w="816"/>
        <w:gridCol w:w="895"/>
        <w:gridCol w:w="1931"/>
      </w:tblGrid>
      <w:tr w14:paraId="095088E9">
        <w:tblPrEx>
          <w:tblCellMar>
            <w:top w:w="0" w:type="dxa"/>
            <w:left w:w="108" w:type="dxa"/>
            <w:bottom w:w="0" w:type="dxa"/>
            <w:right w:w="108" w:type="dxa"/>
          </w:tblCellMar>
        </w:tblPrEx>
        <w:trPr>
          <w:trHeight w:val="465" w:hRule="atLeast"/>
          <w:jc w:val="center"/>
        </w:trPr>
        <w:tc>
          <w:tcPr>
            <w:tcW w:w="2020" w:type="dxa"/>
            <w:gridSpan w:val="3"/>
            <w:tcBorders>
              <w:top w:val="single" w:color="000000" w:sz="4" w:space="0"/>
              <w:left w:val="single" w:color="000000" w:sz="4" w:space="0"/>
              <w:bottom w:val="single" w:color="auto" w:sz="4" w:space="0"/>
              <w:right w:val="single" w:color="000000" w:sz="4" w:space="0"/>
            </w:tcBorders>
            <w:noWrap/>
            <w:vAlign w:val="center"/>
          </w:tcPr>
          <w:p w14:paraId="74D951F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br w:type="page"/>
            </w:r>
            <w:r>
              <w:rPr>
                <w:rFonts w:hint="default" w:ascii="Times New Roman" w:hAnsi="Times New Roman" w:eastAsia="仿宋_GB2312" w:cs="Times New Roman"/>
                <w:i w:val="0"/>
                <w:caps w:val="0"/>
                <w:color w:val="auto"/>
                <w:kern w:val="0"/>
                <w:sz w:val="21"/>
                <w:szCs w:val="21"/>
                <w:highlight w:val="none"/>
                <w:u w:val="none"/>
                <w:lang w:val="en-US" w:eastAsia="zh-CN" w:bidi="ar"/>
              </w:rPr>
              <w:t>部门名称</w:t>
            </w:r>
          </w:p>
        </w:tc>
        <w:tc>
          <w:tcPr>
            <w:tcW w:w="7638" w:type="dxa"/>
            <w:gridSpan w:val="7"/>
            <w:tcBorders>
              <w:top w:val="single" w:color="000000" w:sz="4" w:space="0"/>
              <w:left w:val="single" w:color="000000" w:sz="4" w:space="0"/>
              <w:bottom w:val="single" w:color="000000" w:sz="4" w:space="0"/>
              <w:right w:val="single" w:color="000000" w:sz="4" w:space="0"/>
            </w:tcBorders>
            <w:noWrap/>
            <w:vAlign w:val="center"/>
          </w:tcPr>
          <w:p w14:paraId="4EE292C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阿坝州市场监督管理综合保障中心</w:t>
            </w:r>
          </w:p>
        </w:tc>
      </w:tr>
      <w:tr w14:paraId="2173DD6F">
        <w:tblPrEx>
          <w:tblCellMar>
            <w:top w:w="0" w:type="dxa"/>
            <w:left w:w="108" w:type="dxa"/>
            <w:bottom w:w="0" w:type="dxa"/>
            <w:right w:w="108" w:type="dxa"/>
          </w:tblCellMar>
        </w:tblPrEx>
        <w:trPr>
          <w:trHeight w:val="239" w:hRule="atLeast"/>
          <w:jc w:val="center"/>
        </w:trPr>
        <w:tc>
          <w:tcPr>
            <w:tcW w:w="2020" w:type="dxa"/>
            <w:gridSpan w:val="3"/>
            <w:tcBorders>
              <w:top w:val="single" w:color="auto" w:sz="4" w:space="0"/>
              <w:left w:val="single" w:color="auto" w:sz="4" w:space="0"/>
              <w:bottom w:val="single" w:color="auto" w:sz="4" w:space="0"/>
              <w:right w:val="single" w:color="auto" w:sz="4" w:space="0"/>
            </w:tcBorders>
            <w:noWrap/>
            <w:vAlign w:val="center"/>
          </w:tcPr>
          <w:p w14:paraId="1588E98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年度部门整体预算</w:t>
            </w:r>
          </w:p>
        </w:tc>
        <w:tc>
          <w:tcPr>
            <w:tcW w:w="2340" w:type="dxa"/>
            <w:gridSpan w:val="2"/>
            <w:tcBorders>
              <w:top w:val="single" w:color="000000" w:sz="4" w:space="0"/>
              <w:left w:val="single" w:color="auto" w:sz="4" w:space="0"/>
              <w:bottom w:val="single" w:color="000000" w:sz="4" w:space="0"/>
              <w:right w:val="single" w:color="auto" w:sz="4" w:space="0"/>
            </w:tcBorders>
            <w:noWrap/>
            <w:vAlign w:val="center"/>
          </w:tcPr>
          <w:p w14:paraId="57773DA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资金总额</w:t>
            </w:r>
          </w:p>
        </w:tc>
        <w:tc>
          <w:tcPr>
            <w:tcW w:w="1656" w:type="dxa"/>
            <w:gridSpan w:val="2"/>
            <w:tcBorders>
              <w:top w:val="single" w:color="auto" w:sz="4" w:space="0"/>
              <w:left w:val="single" w:color="auto" w:sz="4" w:space="0"/>
              <w:bottom w:val="single" w:color="auto" w:sz="4" w:space="0"/>
              <w:right w:val="single" w:color="auto" w:sz="4" w:space="0"/>
            </w:tcBorders>
            <w:noWrap/>
            <w:vAlign w:val="center"/>
          </w:tcPr>
          <w:p w14:paraId="36968FF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财政拨款</w:t>
            </w:r>
          </w:p>
        </w:tc>
        <w:tc>
          <w:tcPr>
            <w:tcW w:w="3642" w:type="dxa"/>
            <w:gridSpan w:val="3"/>
            <w:tcBorders>
              <w:top w:val="single" w:color="auto" w:sz="4" w:space="0"/>
              <w:left w:val="single" w:color="auto" w:sz="4" w:space="0"/>
              <w:bottom w:val="single" w:color="auto" w:sz="4" w:space="0"/>
              <w:right w:val="single" w:color="auto" w:sz="4" w:space="0"/>
            </w:tcBorders>
            <w:noWrap/>
            <w:vAlign w:val="center"/>
          </w:tcPr>
          <w:p w14:paraId="15666C2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其他资金</w:t>
            </w:r>
          </w:p>
        </w:tc>
      </w:tr>
      <w:tr w14:paraId="29D28A9D">
        <w:tblPrEx>
          <w:tblCellMar>
            <w:top w:w="0" w:type="dxa"/>
            <w:left w:w="108" w:type="dxa"/>
            <w:bottom w:w="0" w:type="dxa"/>
            <w:right w:w="108" w:type="dxa"/>
          </w:tblCellMar>
        </w:tblPrEx>
        <w:trPr>
          <w:trHeight w:val="240" w:hRule="atLeast"/>
          <w:jc w:val="center"/>
        </w:trPr>
        <w:tc>
          <w:tcPr>
            <w:tcW w:w="2020" w:type="dxa"/>
            <w:gridSpan w:val="3"/>
            <w:tcBorders>
              <w:top w:val="single" w:color="auto" w:sz="4" w:space="0"/>
              <w:left w:val="single" w:color="auto" w:sz="4" w:space="0"/>
              <w:bottom w:val="single" w:color="auto" w:sz="4" w:space="0"/>
              <w:right w:val="single" w:color="auto" w:sz="4" w:space="0"/>
            </w:tcBorders>
            <w:noWrap/>
            <w:vAlign w:val="center"/>
          </w:tcPr>
          <w:p w14:paraId="0DAF272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收入预算</w:t>
            </w:r>
          </w:p>
        </w:tc>
        <w:tc>
          <w:tcPr>
            <w:tcW w:w="2340" w:type="dxa"/>
            <w:gridSpan w:val="2"/>
            <w:tcBorders>
              <w:top w:val="single" w:color="000000" w:sz="4" w:space="0"/>
              <w:left w:val="single" w:color="auto" w:sz="4" w:space="0"/>
              <w:bottom w:val="single" w:color="000000" w:sz="4" w:space="0"/>
              <w:right w:val="single" w:color="auto" w:sz="4" w:space="0"/>
            </w:tcBorders>
            <w:noWrap/>
            <w:vAlign w:val="center"/>
          </w:tcPr>
          <w:p w14:paraId="2E0E4D7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447.12</w:t>
            </w:r>
          </w:p>
        </w:tc>
        <w:tc>
          <w:tcPr>
            <w:tcW w:w="1656" w:type="dxa"/>
            <w:gridSpan w:val="2"/>
            <w:tcBorders>
              <w:top w:val="single" w:color="auto" w:sz="4" w:space="0"/>
              <w:left w:val="single" w:color="auto" w:sz="4" w:space="0"/>
              <w:bottom w:val="single" w:color="auto" w:sz="4" w:space="0"/>
              <w:right w:val="single" w:color="auto" w:sz="4" w:space="0"/>
            </w:tcBorders>
            <w:noWrap/>
            <w:vAlign w:val="center"/>
          </w:tcPr>
          <w:p w14:paraId="7A7F93E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447.12</w:t>
            </w:r>
          </w:p>
        </w:tc>
        <w:tc>
          <w:tcPr>
            <w:tcW w:w="3642" w:type="dxa"/>
            <w:gridSpan w:val="3"/>
            <w:tcBorders>
              <w:top w:val="single" w:color="auto" w:sz="4" w:space="0"/>
              <w:left w:val="single" w:color="auto" w:sz="4" w:space="0"/>
              <w:bottom w:val="single" w:color="auto" w:sz="4" w:space="0"/>
              <w:right w:val="single" w:color="auto" w:sz="4" w:space="0"/>
            </w:tcBorders>
            <w:noWrap/>
            <w:vAlign w:val="center"/>
          </w:tcPr>
          <w:p w14:paraId="0D0915A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0</w:t>
            </w:r>
            <w:r>
              <w:rPr>
                <w:rFonts w:hint="eastAsia" w:ascii="Times New Roman" w:hAnsi="Times New Roman" w:cs="Times New Roman"/>
                <w:i w:val="0"/>
                <w:caps w:val="0"/>
                <w:color w:val="auto"/>
                <w:kern w:val="0"/>
                <w:sz w:val="21"/>
                <w:szCs w:val="21"/>
                <w:highlight w:val="none"/>
                <w:u w:val="none"/>
                <w:lang w:val="en-US" w:eastAsia="zh-CN" w:bidi="ar"/>
              </w:rPr>
              <w:t>.00</w:t>
            </w:r>
          </w:p>
        </w:tc>
      </w:tr>
      <w:tr w14:paraId="7D2A37C4">
        <w:tblPrEx>
          <w:tblCellMar>
            <w:top w:w="0" w:type="dxa"/>
            <w:left w:w="108" w:type="dxa"/>
            <w:bottom w:w="0" w:type="dxa"/>
            <w:right w:w="108" w:type="dxa"/>
          </w:tblCellMar>
        </w:tblPrEx>
        <w:trPr>
          <w:trHeight w:val="296" w:hRule="atLeast"/>
          <w:jc w:val="center"/>
        </w:trPr>
        <w:tc>
          <w:tcPr>
            <w:tcW w:w="2020" w:type="dxa"/>
            <w:gridSpan w:val="3"/>
            <w:tcBorders>
              <w:top w:val="single" w:color="auto" w:sz="4" w:space="0"/>
              <w:left w:val="single" w:color="auto" w:sz="4" w:space="0"/>
              <w:bottom w:val="single" w:color="auto" w:sz="4" w:space="0"/>
              <w:right w:val="single" w:color="auto" w:sz="4" w:space="0"/>
            </w:tcBorders>
            <w:noWrap/>
            <w:vAlign w:val="center"/>
          </w:tcPr>
          <w:p w14:paraId="7296EBA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支出预算</w:t>
            </w:r>
          </w:p>
        </w:tc>
        <w:tc>
          <w:tcPr>
            <w:tcW w:w="2340" w:type="dxa"/>
            <w:gridSpan w:val="2"/>
            <w:tcBorders>
              <w:top w:val="single" w:color="000000" w:sz="4" w:space="0"/>
              <w:left w:val="single" w:color="auto" w:sz="4" w:space="0"/>
              <w:bottom w:val="single" w:color="000000" w:sz="4" w:space="0"/>
              <w:right w:val="single" w:color="000000" w:sz="4" w:space="0"/>
            </w:tcBorders>
            <w:noWrap/>
            <w:vAlign w:val="center"/>
          </w:tcPr>
          <w:p w14:paraId="2EDDAED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643.44</w:t>
            </w:r>
          </w:p>
        </w:tc>
        <w:tc>
          <w:tcPr>
            <w:tcW w:w="1656" w:type="dxa"/>
            <w:gridSpan w:val="2"/>
            <w:tcBorders>
              <w:top w:val="single" w:color="auto" w:sz="4" w:space="0"/>
              <w:left w:val="single" w:color="000000" w:sz="4" w:space="0"/>
              <w:bottom w:val="single" w:color="000000" w:sz="4" w:space="0"/>
              <w:right w:val="single" w:color="000000" w:sz="4" w:space="0"/>
            </w:tcBorders>
            <w:noWrap/>
            <w:vAlign w:val="center"/>
          </w:tcPr>
          <w:p w14:paraId="565DE45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643.44</w:t>
            </w:r>
          </w:p>
        </w:tc>
        <w:tc>
          <w:tcPr>
            <w:tcW w:w="3642" w:type="dxa"/>
            <w:gridSpan w:val="3"/>
            <w:tcBorders>
              <w:top w:val="single" w:color="auto" w:sz="4" w:space="0"/>
              <w:left w:val="single" w:color="000000" w:sz="4" w:space="0"/>
              <w:bottom w:val="single" w:color="000000" w:sz="4" w:space="0"/>
              <w:right w:val="single" w:color="000000" w:sz="4" w:space="0"/>
            </w:tcBorders>
            <w:noWrap/>
            <w:vAlign w:val="center"/>
          </w:tcPr>
          <w:p w14:paraId="2C2BADD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0</w:t>
            </w:r>
            <w:r>
              <w:rPr>
                <w:rFonts w:hint="eastAsia" w:ascii="Times New Roman" w:hAnsi="Times New Roman" w:cs="Times New Roman"/>
                <w:i w:val="0"/>
                <w:caps w:val="0"/>
                <w:color w:val="auto"/>
                <w:kern w:val="0"/>
                <w:sz w:val="21"/>
                <w:szCs w:val="21"/>
                <w:highlight w:val="none"/>
                <w:u w:val="none"/>
                <w:lang w:val="en-US" w:eastAsia="zh-CN" w:bidi="ar"/>
              </w:rPr>
              <w:t>.00</w:t>
            </w:r>
          </w:p>
        </w:tc>
      </w:tr>
      <w:tr w14:paraId="7E24FED2">
        <w:tblPrEx>
          <w:tblCellMar>
            <w:top w:w="0" w:type="dxa"/>
            <w:left w:w="108" w:type="dxa"/>
            <w:bottom w:w="0" w:type="dxa"/>
            <w:right w:w="108" w:type="dxa"/>
          </w:tblCellMar>
        </w:tblPrEx>
        <w:trPr>
          <w:trHeight w:val="296" w:hRule="atLeast"/>
          <w:jc w:val="center"/>
        </w:trPr>
        <w:tc>
          <w:tcPr>
            <w:tcW w:w="2020" w:type="dxa"/>
            <w:gridSpan w:val="3"/>
            <w:tcBorders>
              <w:top w:val="single" w:color="auto" w:sz="4" w:space="0"/>
              <w:left w:val="single" w:color="000000" w:sz="4" w:space="0"/>
              <w:bottom w:val="single" w:color="000000" w:sz="4" w:space="0"/>
              <w:right w:val="single" w:color="000000" w:sz="4" w:space="0"/>
            </w:tcBorders>
            <w:noWrap/>
            <w:vAlign w:val="center"/>
          </w:tcPr>
          <w:p w14:paraId="77D13D4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年度总体目标</w:t>
            </w:r>
          </w:p>
        </w:tc>
        <w:tc>
          <w:tcPr>
            <w:tcW w:w="7638" w:type="dxa"/>
            <w:gridSpan w:val="7"/>
            <w:tcBorders>
              <w:top w:val="single" w:color="000000" w:sz="4" w:space="0"/>
              <w:left w:val="single" w:color="000000" w:sz="4" w:space="0"/>
              <w:bottom w:val="single" w:color="000000" w:sz="4" w:space="0"/>
              <w:right w:val="single" w:color="000000" w:sz="4" w:space="0"/>
            </w:tcBorders>
            <w:noWrap/>
            <w:vAlign w:val="center"/>
          </w:tcPr>
          <w:p w14:paraId="30F668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协调拟定对各县政府的民营经济考核指标；不断发展壮大民营经济数量质量；组织协调指导向民营企业宣传党和国家政策、法律、法规，做好思想政治、社会治安综合治理、民企维权、精神文明建设、监督管理、非公党建等工作，为民营企业排忧解难、搞好服务。2.组织开展有关服务领域消费维权工作，指导消费维权和12315消费者投诉举报网格体系建设工作，保护经营者、消费者合法权益，进一步改善消费环境，维护社会和谐稳定；组织开展有关服务领域消费信息宣传引导，指导消费维权，保护消费者合法权益。</w:t>
            </w:r>
          </w:p>
        </w:tc>
      </w:tr>
      <w:tr w14:paraId="79DA387E">
        <w:tblPrEx>
          <w:tblCellMar>
            <w:top w:w="0" w:type="dxa"/>
            <w:left w:w="108" w:type="dxa"/>
            <w:bottom w:w="0" w:type="dxa"/>
            <w:right w:w="108" w:type="dxa"/>
          </w:tblCellMar>
        </w:tblPrEx>
        <w:trPr>
          <w:trHeight w:val="296" w:hRule="atLeast"/>
          <w:jc w:val="center"/>
        </w:trPr>
        <w:tc>
          <w:tcPr>
            <w:tcW w:w="331" w:type="dxa"/>
            <w:vMerge w:val="restart"/>
            <w:tcBorders>
              <w:top w:val="single" w:color="000000" w:sz="4" w:space="0"/>
              <w:left w:val="single" w:color="000000" w:sz="4" w:space="0"/>
              <w:bottom w:val="single" w:color="000000" w:sz="4" w:space="0"/>
              <w:right w:val="single" w:color="000000" w:sz="4" w:space="0"/>
            </w:tcBorders>
            <w:noWrap/>
            <w:vAlign w:val="center"/>
          </w:tcPr>
          <w:p w14:paraId="32EB2DA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管理效率</w:t>
            </w: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302C7CF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14:paraId="4366F45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二级指标</w:t>
            </w: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14:paraId="7A6476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三级指标</w:t>
            </w:r>
          </w:p>
        </w:tc>
        <w:tc>
          <w:tcPr>
            <w:tcW w:w="1020" w:type="dxa"/>
            <w:vMerge w:val="restart"/>
            <w:tcBorders>
              <w:top w:val="single" w:color="000000" w:sz="4" w:space="0"/>
              <w:left w:val="single" w:color="000000" w:sz="4" w:space="0"/>
              <w:bottom w:val="single" w:color="000000" w:sz="4" w:space="0"/>
              <w:right w:val="single" w:color="000000" w:sz="4" w:space="0"/>
            </w:tcBorders>
            <w:noWrap/>
            <w:vAlign w:val="center"/>
          </w:tcPr>
          <w:p w14:paraId="4326D73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指标值</w:t>
            </w:r>
          </w:p>
        </w:tc>
        <w:tc>
          <w:tcPr>
            <w:tcW w:w="3367" w:type="dxa"/>
            <w:gridSpan w:val="4"/>
            <w:tcBorders>
              <w:top w:val="single" w:color="000000" w:sz="4" w:space="0"/>
              <w:left w:val="single" w:color="000000" w:sz="4" w:space="0"/>
              <w:bottom w:val="single" w:color="000000" w:sz="4" w:space="0"/>
              <w:right w:val="single" w:color="000000" w:sz="4" w:space="0"/>
            </w:tcBorders>
            <w:noWrap/>
            <w:vAlign w:val="center"/>
          </w:tcPr>
          <w:p w14:paraId="0C4DDF3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指标设置参考值</w:t>
            </w:r>
          </w:p>
        </w:tc>
        <w:tc>
          <w:tcPr>
            <w:tcW w:w="1931" w:type="dxa"/>
            <w:vMerge w:val="restart"/>
            <w:tcBorders>
              <w:top w:val="single" w:color="000000" w:sz="4" w:space="0"/>
              <w:left w:val="single" w:color="000000" w:sz="4" w:space="0"/>
              <w:right w:val="single" w:color="000000" w:sz="4" w:space="0"/>
            </w:tcBorders>
            <w:noWrap/>
            <w:vAlign w:val="center"/>
          </w:tcPr>
          <w:p w14:paraId="2DAD37B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指标实际完成值</w:t>
            </w:r>
          </w:p>
        </w:tc>
      </w:tr>
      <w:tr w14:paraId="4E97521A">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2AC2693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0515D81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1178678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7EFFE95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14:paraId="216440E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76" w:type="dxa"/>
            <w:tcBorders>
              <w:top w:val="single" w:color="000000" w:sz="4" w:space="0"/>
              <w:left w:val="single" w:color="000000" w:sz="4" w:space="0"/>
              <w:right w:val="single" w:color="000000" w:sz="4" w:space="0"/>
            </w:tcBorders>
            <w:noWrap/>
            <w:vAlign w:val="center"/>
          </w:tcPr>
          <w:p w14:paraId="419EE25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三年</w:t>
            </w:r>
          </w:p>
          <w:p w14:paraId="1840AF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均值</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1F2050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2023年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72108F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2024年</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5A19A11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2025年</w:t>
            </w:r>
          </w:p>
        </w:tc>
        <w:tc>
          <w:tcPr>
            <w:tcW w:w="1931" w:type="dxa"/>
            <w:vMerge w:val="continue"/>
            <w:tcBorders>
              <w:left w:val="single" w:color="000000" w:sz="4" w:space="0"/>
              <w:right w:val="single" w:color="000000" w:sz="4" w:space="0"/>
            </w:tcBorders>
            <w:noWrap/>
            <w:vAlign w:val="center"/>
          </w:tcPr>
          <w:p w14:paraId="7B07EB5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r>
      <w:tr w14:paraId="7F5C4988">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38B63AF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62943C9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成本指标</w:t>
            </w: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14:paraId="7D2CAA1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预算管理</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3FD93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财政拨款预算编制偏离度</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CDBED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43.91%</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5C170A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8CB0FD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E23E87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47E415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43.91%</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AB42EF7">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43.91%</w:t>
            </w:r>
          </w:p>
        </w:tc>
      </w:tr>
      <w:tr w14:paraId="4274EDAB">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6AB1CED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2A2260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2C49765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3787B8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单位收入统筹度</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4A4BA1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0C0038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08C0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F196DA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119E">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4E7B73D5">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0%</w:t>
            </w:r>
          </w:p>
        </w:tc>
      </w:tr>
      <w:tr w14:paraId="4734ACD3">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65CBE90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488AC5E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1FDFF3D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A61E1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预算年终结余率</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E3624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0</w:t>
            </w:r>
            <w:r>
              <w:rPr>
                <w:rFonts w:hint="eastAsia" w:ascii="Times New Roman" w:hAnsi="Times New Roman" w:eastAsia="仿宋_GB2312" w:cs="Times New Roman"/>
                <w:i w:val="0"/>
                <w:caps w:val="0"/>
                <w:color w:val="auto"/>
                <w:kern w:val="0"/>
                <w:sz w:val="21"/>
                <w:szCs w:val="21"/>
                <w:highlight w:val="none"/>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2D7BCA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900C30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C17A4D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8629">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snapToGrid w:val="0"/>
                <w:color w:val="000000"/>
                <w:spacing w:val="-2"/>
                <w:kern w:val="0"/>
                <w:sz w:val="21"/>
                <w:szCs w:val="21"/>
                <w:lang w:val="en-US" w:eastAsia="zh-CN" w:bidi="ar-SA"/>
              </w:rPr>
              <w:t>0</w:t>
            </w:r>
            <w:r>
              <w:rPr>
                <w:rFonts w:hint="default" w:ascii="Times New Roman" w:hAnsi="Times New Roman" w:eastAsia="仿宋_GB2312" w:cs="Times New Roman"/>
                <w:snapToGrid w:val="0"/>
                <w:color w:val="000000"/>
                <w:spacing w:val="-2"/>
                <w:kern w:val="0"/>
                <w:sz w:val="21"/>
                <w:szCs w:val="21"/>
                <w:lang w:val="en-US" w:eastAsia="zh-CN" w:bidi="ar-SA"/>
              </w:rPr>
              <w:t>%</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4DE3E57">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snapToGrid w:val="0"/>
                <w:color w:val="000000"/>
                <w:spacing w:val="-2"/>
                <w:kern w:val="0"/>
                <w:sz w:val="21"/>
                <w:szCs w:val="21"/>
                <w:lang w:val="en-US" w:eastAsia="zh-CN" w:bidi="ar-SA"/>
              </w:rPr>
              <w:t>0</w:t>
            </w:r>
            <w:r>
              <w:rPr>
                <w:rFonts w:hint="default" w:ascii="Times New Roman" w:hAnsi="Times New Roman" w:eastAsia="仿宋_GB2312" w:cs="Times New Roman"/>
                <w:snapToGrid w:val="0"/>
                <w:color w:val="000000"/>
                <w:spacing w:val="-2"/>
                <w:kern w:val="0"/>
                <w:sz w:val="21"/>
                <w:szCs w:val="21"/>
                <w:lang w:val="en-US" w:eastAsia="zh-CN" w:bidi="ar-SA"/>
              </w:rPr>
              <w:t>%</w:t>
            </w:r>
          </w:p>
        </w:tc>
      </w:tr>
      <w:tr w14:paraId="086C03F7">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039FFA7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7A63FC7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005A9F1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677B73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一般性支出金额</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1667C2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1</w:t>
            </w:r>
            <w:r>
              <w:rPr>
                <w:rFonts w:hint="eastAsia" w:ascii="Times New Roman" w:hAnsi="Times New Roman" w:eastAsia="仿宋_GB2312" w:cs="Times New Roman"/>
                <w:i w:val="0"/>
                <w:caps w:val="0"/>
                <w:color w:val="auto"/>
                <w:kern w:val="0"/>
                <w:sz w:val="21"/>
                <w:szCs w:val="21"/>
                <w:highlight w:val="none"/>
                <w:u w:val="none"/>
                <w:lang w:val="en-US" w:eastAsia="zh-CN" w:bidi="ar"/>
              </w:rPr>
              <w:t>8.</w:t>
            </w:r>
            <w:r>
              <w:rPr>
                <w:rFonts w:hint="eastAsia" w:cs="Times New Roman"/>
                <w:i w:val="0"/>
                <w:caps w:val="0"/>
                <w:color w:val="auto"/>
                <w:kern w:val="0"/>
                <w:sz w:val="21"/>
                <w:szCs w:val="21"/>
                <w:highlight w:val="none"/>
                <w:u w:val="none"/>
                <w:lang w:val="en-US" w:eastAsia="zh-CN" w:bidi="ar"/>
              </w:rPr>
              <w:t>7</w:t>
            </w:r>
            <w:r>
              <w:rPr>
                <w:rFonts w:hint="eastAsia" w:ascii="Times New Roman" w:hAnsi="Times New Roman" w:eastAsia="仿宋_GB2312" w:cs="Times New Roman"/>
                <w:i w:val="0"/>
                <w:caps w:val="0"/>
                <w:color w:val="auto"/>
                <w:kern w:val="0"/>
                <w:sz w:val="21"/>
                <w:szCs w:val="21"/>
                <w:highlight w:val="none"/>
                <w:u w:val="none"/>
                <w:lang w:val="en-US" w:eastAsia="zh-CN" w:bidi="ar"/>
              </w:rPr>
              <w:t>万元</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3D0323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1D7D7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114FD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6E3EAF6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color w:val="000000"/>
                <w:kern w:val="60"/>
                <w:sz w:val="21"/>
                <w:szCs w:val="21"/>
                <w:highlight w:val="none"/>
                <w:shd w:val="clear" w:color="auto" w:fill="FFFFFF"/>
                <w:vertAlign w:val="baseline"/>
                <w:lang w:val="en-US" w:eastAsia="zh-CN"/>
              </w:rPr>
              <w:t>18.7</w:t>
            </w:r>
            <w:r>
              <w:rPr>
                <w:rFonts w:hint="default" w:ascii="Times New Roman" w:hAnsi="Times New Roman" w:eastAsia="仿宋_GB2312" w:cs="Times New Roman"/>
                <w:color w:val="000000"/>
                <w:kern w:val="60"/>
                <w:sz w:val="21"/>
                <w:szCs w:val="21"/>
                <w:highlight w:val="none"/>
                <w:shd w:val="clear" w:color="auto" w:fill="FFFFFF"/>
                <w:vertAlign w:val="baseline"/>
                <w:lang w:val="en-US" w:eastAsia="zh-CN"/>
              </w:rPr>
              <w:t>万元</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1C6E0BB8">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color w:val="000000"/>
                <w:kern w:val="60"/>
                <w:sz w:val="21"/>
                <w:szCs w:val="21"/>
                <w:highlight w:val="none"/>
                <w:shd w:val="clear" w:color="auto" w:fill="FFFFFF"/>
                <w:vertAlign w:val="baseline"/>
                <w:lang w:val="en-US" w:eastAsia="zh-CN"/>
              </w:rPr>
              <w:t>18.7</w:t>
            </w:r>
            <w:r>
              <w:rPr>
                <w:rFonts w:hint="default" w:ascii="Times New Roman" w:hAnsi="Times New Roman" w:eastAsia="仿宋_GB2312" w:cs="Times New Roman"/>
                <w:color w:val="000000"/>
                <w:kern w:val="60"/>
                <w:sz w:val="21"/>
                <w:szCs w:val="21"/>
                <w:highlight w:val="none"/>
                <w:shd w:val="clear" w:color="auto" w:fill="FFFFFF"/>
                <w:vertAlign w:val="baseline"/>
                <w:lang w:val="en-US" w:eastAsia="zh-CN"/>
              </w:rPr>
              <w:t>万元</w:t>
            </w:r>
          </w:p>
        </w:tc>
      </w:tr>
      <w:tr w14:paraId="2189435D">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6E260D9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25EDFB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A00BB1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财务管理</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5BE81D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财务管理规范</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B7D955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良</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F42B3A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7E50E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BDFE3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6345FC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snapToGrid w:val="0"/>
                <w:color w:val="000000"/>
                <w:spacing w:val="-2"/>
                <w:kern w:val="0"/>
                <w:sz w:val="21"/>
                <w:szCs w:val="21"/>
                <w:lang w:val="en-US" w:eastAsia="zh-CN" w:bidi="ar-SA"/>
              </w:rPr>
              <w:t>优</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172EB57C">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snapToGrid w:val="0"/>
                <w:color w:val="000000"/>
                <w:spacing w:val="-2"/>
                <w:kern w:val="0"/>
                <w:sz w:val="21"/>
                <w:szCs w:val="21"/>
                <w:lang w:val="en-US" w:eastAsia="zh-CN" w:bidi="ar-SA"/>
              </w:rPr>
              <w:t>优</w:t>
            </w:r>
          </w:p>
        </w:tc>
      </w:tr>
      <w:tr w14:paraId="59C64728">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58A716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9F4AE3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CB9ED1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资产管理</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CC89D3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资产配置预算偏离度</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0F336B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0</w:t>
            </w:r>
            <w:r>
              <w:rPr>
                <w:rFonts w:hint="eastAsia" w:ascii="Times New Roman" w:hAnsi="Times New Roman" w:eastAsia="仿宋_GB2312" w:cs="Times New Roman"/>
                <w:i w:val="0"/>
                <w:caps w:val="0"/>
                <w:color w:val="auto"/>
                <w:kern w:val="0"/>
                <w:sz w:val="21"/>
                <w:szCs w:val="21"/>
                <w:highlight w:val="none"/>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D47BEE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421BB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8004E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40DA961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0</w:t>
            </w:r>
            <w:r>
              <w:rPr>
                <w:rFonts w:hint="eastAsia" w:ascii="Times New Roman" w:hAnsi="Times New Roman" w:eastAsia="仿宋_GB2312" w:cs="Times New Roman"/>
                <w:i w:val="0"/>
                <w:caps w:val="0"/>
                <w:color w:val="auto"/>
                <w:kern w:val="0"/>
                <w:sz w:val="21"/>
                <w:szCs w:val="21"/>
                <w:highlight w:val="none"/>
                <w:u w:val="none"/>
                <w:lang w:val="en-US" w:eastAsia="zh-CN" w:bidi="ar"/>
              </w:rPr>
              <w:t>%</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28238FA">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snapToGrid w:val="0"/>
                <w:color w:val="000000"/>
                <w:spacing w:val="-2"/>
                <w:kern w:val="0"/>
                <w:sz w:val="21"/>
                <w:szCs w:val="21"/>
                <w:lang w:val="en-US" w:eastAsia="zh-CN" w:bidi="ar-SA"/>
              </w:rPr>
              <w:t>0</w:t>
            </w:r>
            <w:r>
              <w:rPr>
                <w:rFonts w:hint="default" w:ascii="Times New Roman" w:hAnsi="Times New Roman" w:eastAsia="仿宋_GB2312" w:cs="Times New Roman"/>
                <w:snapToGrid w:val="0"/>
                <w:color w:val="000000"/>
                <w:spacing w:val="-2"/>
                <w:kern w:val="0"/>
                <w:sz w:val="21"/>
                <w:szCs w:val="21"/>
                <w:lang w:val="en-US" w:eastAsia="zh-CN" w:bidi="ar-SA"/>
              </w:rPr>
              <w:t>%</w:t>
            </w:r>
          </w:p>
        </w:tc>
      </w:tr>
      <w:tr w14:paraId="4AF17027">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auto" w:sz="4" w:space="0"/>
              <w:right w:val="single" w:color="000000" w:sz="4" w:space="0"/>
            </w:tcBorders>
            <w:noWrap/>
            <w:vAlign w:val="center"/>
          </w:tcPr>
          <w:p w14:paraId="039445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top w:val="single" w:color="000000" w:sz="4" w:space="0"/>
              <w:left w:val="single" w:color="000000" w:sz="4" w:space="0"/>
              <w:bottom w:val="single" w:color="auto" w:sz="4" w:space="0"/>
              <w:right w:val="single" w:color="000000" w:sz="4" w:space="0"/>
            </w:tcBorders>
            <w:noWrap/>
            <w:vAlign w:val="center"/>
          </w:tcPr>
          <w:p w14:paraId="1BBD4D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C4F35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采购管理</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EC1423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采购执行率</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E15873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C71148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592D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0A7A79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64696A9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100%</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3747ABD1">
            <w:pPr>
              <w:kinsoku w:val="0"/>
              <w:autoSpaceDE w:val="0"/>
              <w:autoSpaceDN w:val="0"/>
              <w:adjustRightInd w:val="0"/>
              <w:snapToGrid w:val="0"/>
              <w:spacing w:before="30" w:line="200" w:lineRule="auto"/>
              <w:ind w:left="0" w:leftChars="0" w:firstLine="0" w:firstLineChars="0"/>
              <w:jc w:val="center"/>
              <w:textAlignment w:val="baseline"/>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snapToGrid w:val="0"/>
                <w:color w:val="000000"/>
                <w:spacing w:val="-2"/>
                <w:kern w:val="0"/>
                <w:sz w:val="21"/>
                <w:szCs w:val="21"/>
                <w:lang w:val="en-US" w:eastAsia="zh-CN" w:bidi="ar-SA"/>
              </w:rPr>
              <w:t>100</w:t>
            </w:r>
            <w:r>
              <w:rPr>
                <w:rFonts w:hint="default" w:ascii="Times New Roman" w:hAnsi="Times New Roman" w:eastAsia="仿宋_GB2312" w:cs="Times New Roman"/>
                <w:snapToGrid w:val="0"/>
                <w:color w:val="000000"/>
                <w:spacing w:val="-2"/>
                <w:kern w:val="0"/>
                <w:sz w:val="21"/>
                <w:szCs w:val="21"/>
                <w:lang w:val="en-US" w:eastAsia="zh-CN" w:bidi="ar-SA"/>
              </w:rPr>
              <w:t>%</w:t>
            </w:r>
          </w:p>
        </w:tc>
      </w:tr>
      <w:tr w14:paraId="0239F7DE">
        <w:tblPrEx>
          <w:tblCellMar>
            <w:top w:w="0" w:type="dxa"/>
            <w:left w:w="108" w:type="dxa"/>
            <w:bottom w:w="0" w:type="dxa"/>
            <w:right w:w="108" w:type="dxa"/>
          </w:tblCellMar>
        </w:tblPrEx>
        <w:trPr>
          <w:trHeight w:val="90" w:hRule="atLeast"/>
          <w:jc w:val="center"/>
        </w:trPr>
        <w:tc>
          <w:tcPr>
            <w:tcW w:w="331" w:type="dxa"/>
            <w:vMerge w:val="restart"/>
            <w:tcBorders>
              <w:top w:val="single" w:color="auto" w:sz="4" w:space="0"/>
              <w:left w:val="single" w:color="auto" w:sz="4" w:space="0"/>
              <w:bottom w:val="single" w:color="auto" w:sz="4" w:space="0"/>
              <w:right w:val="single" w:color="auto" w:sz="4" w:space="0"/>
            </w:tcBorders>
            <w:noWrap/>
            <w:vAlign w:val="center"/>
          </w:tcPr>
          <w:p w14:paraId="6100850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履职效能</w:t>
            </w:r>
          </w:p>
        </w:tc>
        <w:tc>
          <w:tcPr>
            <w:tcW w:w="593" w:type="dxa"/>
            <w:tcBorders>
              <w:top w:val="single" w:color="auto" w:sz="4" w:space="0"/>
              <w:left w:val="single" w:color="auto" w:sz="4" w:space="0"/>
              <w:bottom w:val="single" w:color="auto" w:sz="4" w:space="0"/>
              <w:right w:val="single" w:color="auto" w:sz="4" w:space="0"/>
            </w:tcBorders>
            <w:noWrap/>
            <w:vAlign w:val="center"/>
          </w:tcPr>
          <w:p w14:paraId="38CAD22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一级指标</w:t>
            </w:r>
          </w:p>
        </w:tc>
        <w:tc>
          <w:tcPr>
            <w:tcW w:w="1096" w:type="dxa"/>
            <w:tcBorders>
              <w:top w:val="single" w:color="000000" w:sz="4" w:space="0"/>
              <w:left w:val="single" w:color="auto" w:sz="4" w:space="0"/>
              <w:bottom w:val="single" w:color="auto" w:sz="4" w:space="0"/>
              <w:right w:val="single" w:color="000000" w:sz="4" w:space="0"/>
            </w:tcBorders>
            <w:noWrap/>
            <w:vAlign w:val="center"/>
          </w:tcPr>
          <w:p w14:paraId="6F7795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二级指标</w:t>
            </w:r>
          </w:p>
        </w:tc>
        <w:tc>
          <w:tcPr>
            <w:tcW w:w="1320" w:type="dxa"/>
            <w:tcBorders>
              <w:top w:val="single" w:color="000000" w:sz="4" w:space="0"/>
              <w:left w:val="single" w:color="000000" w:sz="4" w:space="0"/>
              <w:bottom w:val="single" w:color="auto" w:sz="4" w:space="0"/>
              <w:right w:val="single" w:color="000000" w:sz="4" w:space="0"/>
            </w:tcBorders>
            <w:noWrap/>
            <w:vAlign w:val="center"/>
          </w:tcPr>
          <w:p w14:paraId="218451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三级指标</w:t>
            </w:r>
          </w:p>
        </w:tc>
        <w:tc>
          <w:tcPr>
            <w:tcW w:w="4387" w:type="dxa"/>
            <w:gridSpan w:val="5"/>
            <w:tcBorders>
              <w:top w:val="single" w:color="000000" w:sz="4" w:space="0"/>
              <w:left w:val="single" w:color="000000" w:sz="4" w:space="0"/>
              <w:bottom w:val="single" w:color="000000" w:sz="4" w:space="0"/>
              <w:right w:val="single" w:color="000000" w:sz="4" w:space="0"/>
            </w:tcBorders>
            <w:noWrap/>
            <w:vAlign w:val="center"/>
          </w:tcPr>
          <w:p w14:paraId="7990A83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指标值（包含数字及文字描述）</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7CAF1A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指标实际完成值</w:t>
            </w:r>
          </w:p>
        </w:tc>
      </w:tr>
      <w:tr w14:paraId="0F954BA7">
        <w:tblPrEx>
          <w:tblCellMar>
            <w:top w:w="0" w:type="dxa"/>
            <w:left w:w="108" w:type="dxa"/>
            <w:bottom w:w="0" w:type="dxa"/>
            <w:right w:w="108" w:type="dxa"/>
          </w:tblCellMar>
        </w:tblPrEx>
        <w:trPr>
          <w:trHeight w:val="296" w:hRule="atLeast"/>
          <w:jc w:val="center"/>
        </w:trPr>
        <w:tc>
          <w:tcPr>
            <w:tcW w:w="331" w:type="dxa"/>
            <w:vMerge w:val="continue"/>
            <w:tcBorders>
              <w:top w:val="single" w:color="auto" w:sz="4" w:space="0"/>
              <w:left w:val="single" w:color="auto" w:sz="4" w:space="0"/>
              <w:bottom w:val="single" w:color="auto" w:sz="4" w:space="0"/>
              <w:right w:val="single" w:color="auto" w:sz="4" w:space="0"/>
            </w:tcBorders>
            <w:noWrap/>
            <w:vAlign w:val="center"/>
          </w:tcPr>
          <w:p w14:paraId="10C95F5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restart"/>
            <w:tcBorders>
              <w:top w:val="single" w:color="auto" w:sz="4" w:space="0"/>
              <w:left w:val="single" w:color="auto" w:sz="4" w:space="0"/>
              <w:right w:val="single" w:color="auto" w:sz="4" w:space="0"/>
            </w:tcBorders>
            <w:noWrap/>
            <w:vAlign w:val="center"/>
          </w:tcPr>
          <w:p w14:paraId="1767C21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产出指标</w:t>
            </w:r>
          </w:p>
        </w:tc>
        <w:tc>
          <w:tcPr>
            <w:tcW w:w="1096" w:type="dxa"/>
            <w:tcBorders>
              <w:top w:val="single" w:color="auto" w:sz="4" w:space="0"/>
              <w:left w:val="single" w:color="auto" w:sz="4" w:space="0"/>
              <w:bottom w:val="single" w:color="auto" w:sz="4" w:space="0"/>
              <w:right w:val="single" w:color="auto" w:sz="4" w:space="0"/>
            </w:tcBorders>
            <w:noWrap/>
            <w:vAlign w:val="center"/>
          </w:tcPr>
          <w:p w14:paraId="405D5F0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数量指标</w:t>
            </w:r>
          </w:p>
        </w:tc>
        <w:tc>
          <w:tcPr>
            <w:tcW w:w="1320" w:type="dxa"/>
            <w:tcBorders>
              <w:top w:val="single" w:color="auto" w:sz="4" w:space="0"/>
              <w:left w:val="single" w:color="auto" w:sz="4" w:space="0"/>
              <w:bottom w:val="single" w:color="auto" w:sz="4" w:space="0"/>
              <w:right w:val="single" w:color="auto" w:sz="4" w:space="0"/>
            </w:tcBorders>
            <w:noWrap/>
            <w:vAlign w:val="center"/>
          </w:tcPr>
          <w:p w14:paraId="3071D7F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科目调整次数</w:t>
            </w:r>
          </w:p>
        </w:tc>
        <w:tc>
          <w:tcPr>
            <w:tcW w:w="4387" w:type="dxa"/>
            <w:gridSpan w:val="5"/>
            <w:tcBorders>
              <w:top w:val="single" w:color="000000" w:sz="4" w:space="0"/>
              <w:left w:val="single" w:color="auto" w:sz="4" w:space="0"/>
              <w:bottom w:val="single" w:color="000000" w:sz="4" w:space="0"/>
              <w:right w:val="single" w:color="000000" w:sz="4" w:space="0"/>
            </w:tcBorders>
            <w:noWrap/>
            <w:vAlign w:val="center"/>
          </w:tcPr>
          <w:p w14:paraId="33519EE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≤5</w:t>
            </w:r>
            <w:r>
              <w:rPr>
                <w:rFonts w:hint="eastAsia" w:cs="Times New Roman"/>
                <w:i w:val="0"/>
                <w:caps w:val="0"/>
                <w:color w:val="auto"/>
                <w:kern w:val="0"/>
                <w:sz w:val="21"/>
                <w:szCs w:val="21"/>
                <w:highlight w:val="none"/>
                <w:u w:val="none"/>
                <w:lang w:val="en-US" w:eastAsia="zh-CN" w:bidi="ar"/>
              </w:rPr>
              <w:t>次</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4151755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5</w:t>
            </w:r>
            <w:r>
              <w:rPr>
                <w:rFonts w:hint="eastAsia" w:cs="Times New Roman"/>
                <w:i w:val="0"/>
                <w:caps w:val="0"/>
                <w:color w:val="auto"/>
                <w:kern w:val="0"/>
                <w:sz w:val="21"/>
                <w:szCs w:val="21"/>
                <w:highlight w:val="none"/>
                <w:u w:val="none"/>
                <w:lang w:val="en-US" w:eastAsia="zh-CN" w:bidi="ar"/>
              </w:rPr>
              <w:t>次</w:t>
            </w:r>
          </w:p>
        </w:tc>
      </w:tr>
      <w:tr w14:paraId="77F052C5">
        <w:tblPrEx>
          <w:tblCellMar>
            <w:top w:w="0" w:type="dxa"/>
            <w:left w:w="108" w:type="dxa"/>
            <w:bottom w:w="0" w:type="dxa"/>
            <w:right w:w="108" w:type="dxa"/>
          </w:tblCellMar>
        </w:tblPrEx>
        <w:trPr>
          <w:trHeight w:val="296" w:hRule="atLeast"/>
          <w:jc w:val="center"/>
        </w:trPr>
        <w:tc>
          <w:tcPr>
            <w:tcW w:w="331" w:type="dxa"/>
            <w:vMerge w:val="continue"/>
            <w:tcBorders>
              <w:top w:val="single" w:color="auto" w:sz="4" w:space="0"/>
              <w:left w:val="single" w:color="auto" w:sz="4" w:space="0"/>
              <w:bottom w:val="single" w:color="auto" w:sz="4" w:space="0"/>
              <w:right w:val="single" w:color="auto" w:sz="4" w:space="0"/>
            </w:tcBorders>
            <w:noWrap/>
            <w:vAlign w:val="center"/>
          </w:tcPr>
          <w:p w14:paraId="0B4CB29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left w:val="single" w:color="auto" w:sz="4" w:space="0"/>
              <w:right w:val="single" w:color="auto" w:sz="4" w:space="0"/>
            </w:tcBorders>
            <w:noWrap/>
            <w:vAlign w:val="center"/>
          </w:tcPr>
          <w:p w14:paraId="2C83379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noWrap/>
            <w:vAlign w:val="center"/>
          </w:tcPr>
          <w:p w14:paraId="7D0CFA7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质量指标</w:t>
            </w:r>
          </w:p>
        </w:tc>
        <w:tc>
          <w:tcPr>
            <w:tcW w:w="1320" w:type="dxa"/>
            <w:tcBorders>
              <w:top w:val="single" w:color="auto" w:sz="4" w:space="0"/>
              <w:left w:val="single" w:color="auto" w:sz="4" w:space="0"/>
              <w:bottom w:val="single" w:color="auto" w:sz="4" w:space="0"/>
              <w:right w:val="single" w:color="auto" w:sz="4" w:space="0"/>
            </w:tcBorders>
            <w:noWrap/>
            <w:vAlign w:val="center"/>
          </w:tcPr>
          <w:p w14:paraId="464C416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预算编制准确率</w:t>
            </w:r>
          </w:p>
        </w:tc>
        <w:tc>
          <w:tcPr>
            <w:tcW w:w="4387" w:type="dxa"/>
            <w:gridSpan w:val="5"/>
            <w:tcBorders>
              <w:top w:val="single" w:color="000000" w:sz="4" w:space="0"/>
              <w:left w:val="single" w:color="auto" w:sz="4" w:space="0"/>
              <w:bottom w:val="single" w:color="000000" w:sz="4" w:space="0"/>
              <w:right w:val="single" w:color="000000" w:sz="4" w:space="0"/>
            </w:tcBorders>
            <w:noWrap/>
            <w:vAlign w:val="center"/>
          </w:tcPr>
          <w:p w14:paraId="3090B90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≤5</w:t>
            </w:r>
            <w:r>
              <w:rPr>
                <w:rFonts w:hint="eastAsia" w:cs="Times New Roman"/>
                <w:i w:val="0"/>
                <w:caps w:val="0"/>
                <w:color w:val="auto"/>
                <w:kern w:val="0"/>
                <w:sz w:val="21"/>
                <w:szCs w:val="21"/>
                <w:highlight w:val="none"/>
                <w:u w:val="none"/>
                <w:lang w:val="en-US" w:eastAsia="zh-CN" w:bidi="ar"/>
              </w:rPr>
              <w:t>%</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7C7C77D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0%</w:t>
            </w:r>
          </w:p>
        </w:tc>
      </w:tr>
      <w:tr w14:paraId="41C177F0">
        <w:tblPrEx>
          <w:tblCellMar>
            <w:top w:w="0" w:type="dxa"/>
            <w:left w:w="108" w:type="dxa"/>
            <w:bottom w:w="0" w:type="dxa"/>
            <w:right w:w="108" w:type="dxa"/>
          </w:tblCellMar>
        </w:tblPrEx>
        <w:trPr>
          <w:trHeight w:val="296" w:hRule="atLeast"/>
          <w:jc w:val="center"/>
        </w:trPr>
        <w:tc>
          <w:tcPr>
            <w:tcW w:w="331" w:type="dxa"/>
            <w:vMerge w:val="continue"/>
            <w:tcBorders>
              <w:top w:val="single" w:color="auto" w:sz="4" w:space="0"/>
              <w:left w:val="single" w:color="auto" w:sz="4" w:space="0"/>
              <w:bottom w:val="single" w:color="auto" w:sz="4" w:space="0"/>
              <w:right w:val="single" w:color="auto" w:sz="4" w:space="0"/>
            </w:tcBorders>
            <w:noWrap/>
            <w:vAlign w:val="center"/>
          </w:tcPr>
          <w:p w14:paraId="590DF12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vMerge w:val="continue"/>
            <w:tcBorders>
              <w:left w:val="single" w:color="auto" w:sz="4" w:space="0"/>
              <w:bottom w:val="single" w:color="auto" w:sz="4" w:space="0"/>
              <w:right w:val="single" w:color="auto" w:sz="4" w:space="0"/>
            </w:tcBorders>
            <w:noWrap/>
            <w:vAlign w:val="center"/>
          </w:tcPr>
          <w:p w14:paraId="7D7D617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1096" w:type="dxa"/>
            <w:tcBorders>
              <w:top w:val="single" w:color="auto" w:sz="4" w:space="0"/>
              <w:left w:val="single" w:color="auto" w:sz="4" w:space="0"/>
              <w:bottom w:val="single" w:color="auto" w:sz="4" w:space="0"/>
              <w:right w:val="single" w:color="auto" w:sz="4" w:space="0"/>
            </w:tcBorders>
            <w:noWrap/>
            <w:vAlign w:val="center"/>
          </w:tcPr>
          <w:p w14:paraId="04BCF43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时效指标</w:t>
            </w:r>
          </w:p>
        </w:tc>
        <w:tc>
          <w:tcPr>
            <w:tcW w:w="1320" w:type="dxa"/>
            <w:tcBorders>
              <w:top w:val="single" w:color="auto" w:sz="4" w:space="0"/>
              <w:left w:val="single" w:color="auto" w:sz="4" w:space="0"/>
              <w:bottom w:val="single" w:color="auto" w:sz="4" w:space="0"/>
              <w:right w:val="single" w:color="auto" w:sz="4" w:space="0"/>
            </w:tcBorders>
            <w:noWrap/>
            <w:vAlign w:val="center"/>
          </w:tcPr>
          <w:p w14:paraId="4C7373F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ascii="Times New Roman" w:hAnsi="Times New Roman" w:eastAsia="仿宋_GB2312" w:cs="Times New Roman"/>
                <w:i w:val="0"/>
                <w:caps w:val="0"/>
                <w:color w:val="auto"/>
                <w:kern w:val="0"/>
                <w:sz w:val="21"/>
                <w:szCs w:val="21"/>
                <w:highlight w:val="none"/>
                <w:u w:val="none"/>
                <w:lang w:val="en-US" w:eastAsia="zh-CN" w:bidi="ar"/>
              </w:rPr>
              <w:t>完成时间</w:t>
            </w:r>
          </w:p>
        </w:tc>
        <w:tc>
          <w:tcPr>
            <w:tcW w:w="4387" w:type="dxa"/>
            <w:gridSpan w:val="5"/>
            <w:tcBorders>
              <w:top w:val="single" w:color="000000" w:sz="4" w:space="0"/>
              <w:left w:val="single" w:color="auto" w:sz="4" w:space="0"/>
              <w:bottom w:val="single" w:color="000000" w:sz="4" w:space="0"/>
              <w:right w:val="single" w:color="000000" w:sz="4" w:space="0"/>
            </w:tcBorders>
            <w:noWrap/>
            <w:vAlign w:val="center"/>
          </w:tcPr>
          <w:p w14:paraId="0607C3B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w:t>
            </w:r>
            <w:r>
              <w:rPr>
                <w:rFonts w:hint="eastAsia" w:cs="Times New Roman"/>
                <w:i w:val="0"/>
                <w:caps w:val="0"/>
                <w:color w:val="auto"/>
                <w:kern w:val="0"/>
                <w:sz w:val="21"/>
                <w:szCs w:val="21"/>
                <w:highlight w:val="none"/>
                <w:u w:val="none"/>
                <w:lang w:val="en-US" w:eastAsia="zh-CN" w:bidi="ar"/>
              </w:rPr>
              <w:t>2025</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2809B6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2025</w:t>
            </w:r>
          </w:p>
        </w:tc>
      </w:tr>
      <w:tr w14:paraId="52F83EE2">
        <w:tblPrEx>
          <w:tblCellMar>
            <w:top w:w="0" w:type="dxa"/>
            <w:left w:w="108" w:type="dxa"/>
            <w:bottom w:w="0" w:type="dxa"/>
            <w:right w:w="108" w:type="dxa"/>
          </w:tblCellMar>
        </w:tblPrEx>
        <w:trPr>
          <w:trHeight w:val="90" w:hRule="atLeast"/>
          <w:jc w:val="center"/>
        </w:trPr>
        <w:tc>
          <w:tcPr>
            <w:tcW w:w="331" w:type="dxa"/>
            <w:vMerge w:val="continue"/>
            <w:tcBorders>
              <w:top w:val="single" w:color="auto" w:sz="4" w:space="0"/>
              <w:left w:val="single" w:color="auto" w:sz="4" w:space="0"/>
              <w:bottom w:val="single" w:color="auto" w:sz="4" w:space="0"/>
              <w:right w:val="single" w:color="auto" w:sz="4" w:space="0"/>
            </w:tcBorders>
            <w:noWrap/>
            <w:vAlign w:val="center"/>
          </w:tcPr>
          <w:p w14:paraId="31A2CA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p>
        </w:tc>
        <w:tc>
          <w:tcPr>
            <w:tcW w:w="593" w:type="dxa"/>
            <w:tcBorders>
              <w:top w:val="single" w:color="auto" w:sz="4" w:space="0"/>
              <w:left w:val="single" w:color="auto" w:sz="4" w:space="0"/>
              <w:bottom w:val="single" w:color="auto" w:sz="4" w:space="0"/>
              <w:right w:val="single" w:color="auto" w:sz="4" w:space="0"/>
            </w:tcBorders>
            <w:noWrap/>
            <w:vAlign w:val="center"/>
          </w:tcPr>
          <w:p w14:paraId="6116E31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效益指标</w:t>
            </w:r>
          </w:p>
        </w:tc>
        <w:tc>
          <w:tcPr>
            <w:tcW w:w="1096" w:type="dxa"/>
            <w:tcBorders>
              <w:top w:val="single" w:color="auto" w:sz="4" w:space="0"/>
              <w:left w:val="single" w:color="auto" w:sz="4" w:space="0"/>
              <w:bottom w:val="single" w:color="auto" w:sz="4" w:space="0"/>
              <w:right w:val="single" w:color="auto" w:sz="4" w:space="0"/>
            </w:tcBorders>
            <w:noWrap/>
            <w:vAlign w:val="center"/>
          </w:tcPr>
          <w:p w14:paraId="49034C4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经济效益</w:t>
            </w:r>
          </w:p>
        </w:tc>
        <w:tc>
          <w:tcPr>
            <w:tcW w:w="1320" w:type="dxa"/>
            <w:tcBorders>
              <w:top w:val="single" w:color="auto" w:sz="4" w:space="0"/>
              <w:left w:val="single" w:color="auto" w:sz="4" w:space="0"/>
              <w:bottom w:val="single" w:color="auto" w:sz="4" w:space="0"/>
              <w:right w:val="single" w:color="auto" w:sz="4" w:space="0"/>
            </w:tcBorders>
            <w:noWrap/>
            <w:vAlign w:val="center"/>
          </w:tcPr>
          <w:p w14:paraId="663091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default" w:ascii="Times New Roman" w:hAnsi="Times New Roman" w:eastAsia="仿宋_GB2312" w:cs="Times New Roman"/>
                <w:i w:val="0"/>
                <w:caps w:val="0"/>
                <w:color w:val="auto"/>
                <w:kern w:val="0"/>
                <w:sz w:val="21"/>
                <w:szCs w:val="21"/>
                <w:highlight w:val="none"/>
                <w:u w:val="none"/>
                <w:lang w:val="en-US" w:eastAsia="zh-CN" w:bidi="ar"/>
              </w:rPr>
              <w:t>运转保障率</w:t>
            </w:r>
          </w:p>
        </w:tc>
        <w:tc>
          <w:tcPr>
            <w:tcW w:w="4387" w:type="dxa"/>
            <w:gridSpan w:val="5"/>
            <w:tcBorders>
              <w:top w:val="single" w:color="000000" w:sz="4" w:space="0"/>
              <w:left w:val="single" w:color="auto" w:sz="4" w:space="0"/>
              <w:bottom w:val="single" w:color="000000" w:sz="4" w:space="0"/>
              <w:right w:val="single" w:color="000000" w:sz="4" w:space="0"/>
            </w:tcBorders>
            <w:noWrap/>
            <w:vAlign w:val="center"/>
          </w:tcPr>
          <w:p w14:paraId="1C6C1FD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=100%</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3D3094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aps w:val="0"/>
                <w:color w:val="auto"/>
                <w:kern w:val="0"/>
                <w:sz w:val="21"/>
                <w:szCs w:val="21"/>
                <w:highlight w:val="none"/>
                <w:u w:val="none"/>
                <w:lang w:val="en-US" w:eastAsia="zh-CN" w:bidi="ar"/>
              </w:rPr>
            </w:pPr>
            <w:r>
              <w:rPr>
                <w:rFonts w:hint="eastAsia" w:cs="Times New Roman"/>
                <w:i w:val="0"/>
                <w:caps w:val="0"/>
                <w:color w:val="auto"/>
                <w:kern w:val="0"/>
                <w:sz w:val="21"/>
                <w:szCs w:val="21"/>
                <w:highlight w:val="none"/>
                <w:u w:val="none"/>
                <w:lang w:val="en-US" w:eastAsia="zh-CN" w:bidi="ar"/>
              </w:rPr>
              <w:t>100%</w:t>
            </w:r>
          </w:p>
        </w:tc>
      </w:tr>
    </w:tbl>
    <w:p w14:paraId="237C568C">
      <w:pPr>
        <w:tabs>
          <w:tab w:val="left" w:pos="1161"/>
        </w:tabs>
        <w:ind w:left="0" w:leftChars="0" w:firstLine="0" w:firstLineChars="0"/>
        <w:rPr>
          <w:rFonts w:hint="eastAsia" w:ascii="Times New Roman" w:hAnsi="Times New Roman" w:eastAsia="仿宋_GB2312"/>
          <w:caps w:val="0"/>
          <w:color w:val="auto"/>
          <w:highlight w:val="none"/>
          <w:lang w:eastAsia="zh-CN"/>
        </w:rPr>
      </w:pPr>
    </w:p>
    <w:sectPr>
      <w:headerReference r:id="rId5" w:type="default"/>
      <w:footerReference r:id="rId6" w:type="default"/>
      <w:pgSz w:w="11906" w:h="16838"/>
      <w:pgMar w:top="2098" w:right="1474" w:bottom="1984" w:left="1587"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DB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7BFCD">
                          <w:pPr>
                            <w:pStyle w:val="3"/>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04FB087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17BFCD">
                    <w:pPr>
                      <w:pStyle w:val="3"/>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04FB087A"/>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57A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673D0"/>
    <w:multiLevelType w:val="singleLevel"/>
    <w:tmpl w:val="C9D673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C789F"/>
    <w:rsid w:val="00035963"/>
    <w:rsid w:val="001A3A24"/>
    <w:rsid w:val="00286FB8"/>
    <w:rsid w:val="00F50429"/>
    <w:rsid w:val="02BC2F91"/>
    <w:rsid w:val="02F85BA2"/>
    <w:rsid w:val="0318496C"/>
    <w:rsid w:val="03F35447"/>
    <w:rsid w:val="0488798E"/>
    <w:rsid w:val="04B54A0D"/>
    <w:rsid w:val="050414F1"/>
    <w:rsid w:val="058F1702"/>
    <w:rsid w:val="0631402C"/>
    <w:rsid w:val="07B91C2E"/>
    <w:rsid w:val="08EE7F45"/>
    <w:rsid w:val="096D7B9F"/>
    <w:rsid w:val="09CE4B9B"/>
    <w:rsid w:val="09FC09DC"/>
    <w:rsid w:val="0A6F565E"/>
    <w:rsid w:val="0A9A05EF"/>
    <w:rsid w:val="0ABA32A4"/>
    <w:rsid w:val="0ACE646A"/>
    <w:rsid w:val="0B2758F4"/>
    <w:rsid w:val="0BD93497"/>
    <w:rsid w:val="0C220C71"/>
    <w:rsid w:val="0CC16E0F"/>
    <w:rsid w:val="0D094556"/>
    <w:rsid w:val="0D470B14"/>
    <w:rsid w:val="0D4E23AE"/>
    <w:rsid w:val="0DF62C9E"/>
    <w:rsid w:val="0E2A3E4A"/>
    <w:rsid w:val="0E3239BA"/>
    <w:rsid w:val="0EC25521"/>
    <w:rsid w:val="0F5546E2"/>
    <w:rsid w:val="0F673937"/>
    <w:rsid w:val="1066222F"/>
    <w:rsid w:val="10C32F0F"/>
    <w:rsid w:val="10E656CD"/>
    <w:rsid w:val="10EF74F9"/>
    <w:rsid w:val="10F03EEC"/>
    <w:rsid w:val="11055C84"/>
    <w:rsid w:val="11A07DCD"/>
    <w:rsid w:val="11AC789F"/>
    <w:rsid w:val="125E784D"/>
    <w:rsid w:val="12E35567"/>
    <w:rsid w:val="12FE6A2D"/>
    <w:rsid w:val="133E49FA"/>
    <w:rsid w:val="13724978"/>
    <w:rsid w:val="14040D3C"/>
    <w:rsid w:val="140B3B09"/>
    <w:rsid w:val="14CD6DEE"/>
    <w:rsid w:val="14FA32EB"/>
    <w:rsid w:val="15264CBF"/>
    <w:rsid w:val="152B0270"/>
    <w:rsid w:val="15353053"/>
    <w:rsid w:val="1594066F"/>
    <w:rsid w:val="16D6658A"/>
    <w:rsid w:val="174E27D8"/>
    <w:rsid w:val="17A43253"/>
    <w:rsid w:val="17BD1387"/>
    <w:rsid w:val="186B3909"/>
    <w:rsid w:val="18E17775"/>
    <w:rsid w:val="18F35A66"/>
    <w:rsid w:val="192D38C8"/>
    <w:rsid w:val="19D83220"/>
    <w:rsid w:val="1A3E48E4"/>
    <w:rsid w:val="1A790640"/>
    <w:rsid w:val="1B6D1256"/>
    <w:rsid w:val="1BCD1B0E"/>
    <w:rsid w:val="1BD14A1C"/>
    <w:rsid w:val="1C052D59"/>
    <w:rsid w:val="1C751AA9"/>
    <w:rsid w:val="1CDD7FF4"/>
    <w:rsid w:val="1D2302DB"/>
    <w:rsid w:val="1DDC7F95"/>
    <w:rsid w:val="1E371840"/>
    <w:rsid w:val="1E557969"/>
    <w:rsid w:val="1F59458C"/>
    <w:rsid w:val="1F66526C"/>
    <w:rsid w:val="1FEF5864"/>
    <w:rsid w:val="1FF62F26"/>
    <w:rsid w:val="211422F1"/>
    <w:rsid w:val="21BF4CC5"/>
    <w:rsid w:val="21CC4C37"/>
    <w:rsid w:val="22786FC7"/>
    <w:rsid w:val="227E699C"/>
    <w:rsid w:val="22AF5CC8"/>
    <w:rsid w:val="22C87CCC"/>
    <w:rsid w:val="22D35427"/>
    <w:rsid w:val="237D6E65"/>
    <w:rsid w:val="24970470"/>
    <w:rsid w:val="24A31BD8"/>
    <w:rsid w:val="250D25AF"/>
    <w:rsid w:val="25AE3087"/>
    <w:rsid w:val="26191FDC"/>
    <w:rsid w:val="26570AB8"/>
    <w:rsid w:val="268B11AE"/>
    <w:rsid w:val="2739340E"/>
    <w:rsid w:val="276163EB"/>
    <w:rsid w:val="277327DA"/>
    <w:rsid w:val="279369D8"/>
    <w:rsid w:val="27BD6D7E"/>
    <w:rsid w:val="28921936"/>
    <w:rsid w:val="292813A2"/>
    <w:rsid w:val="2B8855E7"/>
    <w:rsid w:val="2B996587"/>
    <w:rsid w:val="2BBF1BD7"/>
    <w:rsid w:val="2CC626A5"/>
    <w:rsid w:val="2D1C294A"/>
    <w:rsid w:val="2D3F09FC"/>
    <w:rsid w:val="2DF357BC"/>
    <w:rsid w:val="2EE63737"/>
    <w:rsid w:val="2F8A1BC3"/>
    <w:rsid w:val="2F940650"/>
    <w:rsid w:val="2FEB727A"/>
    <w:rsid w:val="303228CC"/>
    <w:rsid w:val="306D3EA7"/>
    <w:rsid w:val="306D65D3"/>
    <w:rsid w:val="30A32A16"/>
    <w:rsid w:val="30D45A5B"/>
    <w:rsid w:val="31055323"/>
    <w:rsid w:val="32236BAB"/>
    <w:rsid w:val="323D187E"/>
    <w:rsid w:val="32655415"/>
    <w:rsid w:val="32A372A9"/>
    <w:rsid w:val="32DF72DB"/>
    <w:rsid w:val="32FC42B7"/>
    <w:rsid w:val="3378621D"/>
    <w:rsid w:val="33E56ED0"/>
    <w:rsid w:val="33ED425B"/>
    <w:rsid w:val="34F31C44"/>
    <w:rsid w:val="359C6581"/>
    <w:rsid w:val="35BF6BEA"/>
    <w:rsid w:val="35C43CD1"/>
    <w:rsid w:val="35C4598D"/>
    <w:rsid w:val="35E207CC"/>
    <w:rsid w:val="35F72C44"/>
    <w:rsid w:val="3709636F"/>
    <w:rsid w:val="371050B8"/>
    <w:rsid w:val="373D42AF"/>
    <w:rsid w:val="37F126BC"/>
    <w:rsid w:val="3860161A"/>
    <w:rsid w:val="38627659"/>
    <w:rsid w:val="387A7D3A"/>
    <w:rsid w:val="38D0174E"/>
    <w:rsid w:val="391248D3"/>
    <w:rsid w:val="39352CB6"/>
    <w:rsid w:val="39875C71"/>
    <w:rsid w:val="39BC119D"/>
    <w:rsid w:val="39D87B2C"/>
    <w:rsid w:val="3A1A26EF"/>
    <w:rsid w:val="3A2E1E94"/>
    <w:rsid w:val="3A4319AD"/>
    <w:rsid w:val="3A775F3C"/>
    <w:rsid w:val="3A952584"/>
    <w:rsid w:val="3A976C01"/>
    <w:rsid w:val="3AD64BEA"/>
    <w:rsid w:val="3AE34D2F"/>
    <w:rsid w:val="3AF44699"/>
    <w:rsid w:val="3C922B13"/>
    <w:rsid w:val="3CB21257"/>
    <w:rsid w:val="3CBA0619"/>
    <w:rsid w:val="3D0A773D"/>
    <w:rsid w:val="3D300484"/>
    <w:rsid w:val="3DB5594D"/>
    <w:rsid w:val="3E7E5396"/>
    <w:rsid w:val="3F1B7BEB"/>
    <w:rsid w:val="3F6A7BC7"/>
    <w:rsid w:val="3F6B2CEE"/>
    <w:rsid w:val="402821EC"/>
    <w:rsid w:val="407A652F"/>
    <w:rsid w:val="40D31D5E"/>
    <w:rsid w:val="421540C6"/>
    <w:rsid w:val="42290CF2"/>
    <w:rsid w:val="428077E7"/>
    <w:rsid w:val="43611999"/>
    <w:rsid w:val="438260C2"/>
    <w:rsid w:val="44356037"/>
    <w:rsid w:val="44426CAB"/>
    <w:rsid w:val="451E0AF1"/>
    <w:rsid w:val="45245A22"/>
    <w:rsid w:val="45426BC0"/>
    <w:rsid w:val="463B2A38"/>
    <w:rsid w:val="46D25639"/>
    <w:rsid w:val="47BA5463"/>
    <w:rsid w:val="4813679C"/>
    <w:rsid w:val="48BB775E"/>
    <w:rsid w:val="4937532A"/>
    <w:rsid w:val="496425F6"/>
    <w:rsid w:val="49AF6C96"/>
    <w:rsid w:val="49EC7B5B"/>
    <w:rsid w:val="4C1E7679"/>
    <w:rsid w:val="4C8531CE"/>
    <w:rsid w:val="4CC2421E"/>
    <w:rsid w:val="4D981DA3"/>
    <w:rsid w:val="4E414A0E"/>
    <w:rsid w:val="4EC217CD"/>
    <w:rsid w:val="4EF86F9D"/>
    <w:rsid w:val="4F36029F"/>
    <w:rsid w:val="4F561375"/>
    <w:rsid w:val="50B97362"/>
    <w:rsid w:val="512027DB"/>
    <w:rsid w:val="517E287B"/>
    <w:rsid w:val="52AF02BB"/>
    <w:rsid w:val="531E4599"/>
    <w:rsid w:val="53784B50"/>
    <w:rsid w:val="54113878"/>
    <w:rsid w:val="54260518"/>
    <w:rsid w:val="54750278"/>
    <w:rsid w:val="54A97900"/>
    <w:rsid w:val="54C6369A"/>
    <w:rsid w:val="55071AC0"/>
    <w:rsid w:val="55432F3C"/>
    <w:rsid w:val="558C4C9C"/>
    <w:rsid w:val="559E1496"/>
    <w:rsid w:val="55AA02F5"/>
    <w:rsid w:val="560256DA"/>
    <w:rsid w:val="56721153"/>
    <w:rsid w:val="57923829"/>
    <w:rsid w:val="579A3D4A"/>
    <w:rsid w:val="57D01817"/>
    <w:rsid w:val="589F7F28"/>
    <w:rsid w:val="58D109F1"/>
    <w:rsid w:val="58FE0CA7"/>
    <w:rsid w:val="592B204C"/>
    <w:rsid w:val="5A707B20"/>
    <w:rsid w:val="5C392920"/>
    <w:rsid w:val="5DF3705C"/>
    <w:rsid w:val="5E0A2DD7"/>
    <w:rsid w:val="5E5B6009"/>
    <w:rsid w:val="5EAA2C55"/>
    <w:rsid w:val="5ED44178"/>
    <w:rsid w:val="5F190A97"/>
    <w:rsid w:val="5F36731A"/>
    <w:rsid w:val="5F4D50E3"/>
    <w:rsid w:val="5FF05A6E"/>
    <w:rsid w:val="602216B9"/>
    <w:rsid w:val="602236E3"/>
    <w:rsid w:val="60337991"/>
    <w:rsid w:val="604E569A"/>
    <w:rsid w:val="60817A78"/>
    <w:rsid w:val="60944CF0"/>
    <w:rsid w:val="6115002E"/>
    <w:rsid w:val="61E13276"/>
    <w:rsid w:val="61E83FFB"/>
    <w:rsid w:val="630F1BD7"/>
    <w:rsid w:val="634E002F"/>
    <w:rsid w:val="63C9461B"/>
    <w:rsid w:val="63D537D1"/>
    <w:rsid w:val="64911C85"/>
    <w:rsid w:val="64E35BA2"/>
    <w:rsid w:val="651B3197"/>
    <w:rsid w:val="65F42A3F"/>
    <w:rsid w:val="667A54D2"/>
    <w:rsid w:val="668B5AF9"/>
    <w:rsid w:val="66B15F58"/>
    <w:rsid w:val="66CC0FE3"/>
    <w:rsid w:val="670B766E"/>
    <w:rsid w:val="672B069F"/>
    <w:rsid w:val="67881D7C"/>
    <w:rsid w:val="67F66673"/>
    <w:rsid w:val="688D3066"/>
    <w:rsid w:val="689111B0"/>
    <w:rsid w:val="68B7537B"/>
    <w:rsid w:val="68D26659"/>
    <w:rsid w:val="6902151C"/>
    <w:rsid w:val="69252C2D"/>
    <w:rsid w:val="69417EED"/>
    <w:rsid w:val="6AB10740"/>
    <w:rsid w:val="6AB32CFC"/>
    <w:rsid w:val="6B1451E8"/>
    <w:rsid w:val="6B155B9C"/>
    <w:rsid w:val="6B596F74"/>
    <w:rsid w:val="6B985BDC"/>
    <w:rsid w:val="6C105881"/>
    <w:rsid w:val="6C365FC9"/>
    <w:rsid w:val="6C382C77"/>
    <w:rsid w:val="6C9D00D2"/>
    <w:rsid w:val="6E7D6660"/>
    <w:rsid w:val="6E960F95"/>
    <w:rsid w:val="6EDC41D0"/>
    <w:rsid w:val="6F3D3F21"/>
    <w:rsid w:val="6F6B77E3"/>
    <w:rsid w:val="6F9845C7"/>
    <w:rsid w:val="70214617"/>
    <w:rsid w:val="717E112C"/>
    <w:rsid w:val="71CA25C3"/>
    <w:rsid w:val="71DE6605"/>
    <w:rsid w:val="72330ED3"/>
    <w:rsid w:val="72EA5AAF"/>
    <w:rsid w:val="73702CF6"/>
    <w:rsid w:val="738467A2"/>
    <w:rsid w:val="73920083"/>
    <w:rsid w:val="73A055C8"/>
    <w:rsid w:val="7431692A"/>
    <w:rsid w:val="743608B6"/>
    <w:rsid w:val="7439758C"/>
    <w:rsid w:val="74E03DD3"/>
    <w:rsid w:val="74E17D33"/>
    <w:rsid w:val="759A6034"/>
    <w:rsid w:val="75B82CAC"/>
    <w:rsid w:val="75EA691D"/>
    <w:rsid w:val="76AF3D59"/>
    <w:rsid w:val="76C113A3"/>
    <w:rsid w:val="76C16BAD"/>
    <w:rsid w:val="77877839"/>
    <w:rsid w:val="78023322"/>
    <w:rsid w:val="7803238B"/>
    <w:rsid w:val="783458C3"/>
    <w:rsid w:val="78B10C13"/>
    <w:rsid w:val="79382FEA"/>
    <w:rsid w:val="798330FB"/>
    <w:rsid w:val="79E50B25"/>
    <w:rsid w:val="79E73D29"/>
    <w:rsid w:val="79FE1AEE"/>
    <w:rsid w:val="7A052DF2"/>
    <w:rsid w:val="7A836581"/>
    <w:rsid w:val="7AAC0AB8"/>
    <w:rsid w:val="7B635E5F"/>
    <w:rsid w:val="7B817F6A"/>
    <w:rsid w:val="7CD75AAD"/>
    <w:rsid w:val="7D21425A"/>
    <w:rsid w:val="7D6F43C7"/>
    <w:rsid w:val="7E425FDC"/>
    <w:rsid w:val="7ED90A98"/>
    <w:rsid w:val="7EEC1DCB"/>
    <w:rsid w:val="7F3C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78" w:lineRule="exact"/>
      <w:outlineLvl w:val="2"/>
    </w:pPr>
    <w:rPr>
      <w:rFonts w:eastAsia="楷体_GB231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99"/>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5">
    <w:name w:val="Normal (Web)"/>
    <w:basedOn w:val="1"/>
    <w:qFormat/>
    <w:uiPriority w:val="0"/>
    <w:rPr>
      <w:sz w:val="24"/>
    </w:rPr>
  </w:style>
  <w:style w:type="paragraph" w:customStyle="1" w:styleId="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0">
    <w:name w:val="图表目录1"/>
    <w:basedOn w:val="1"/>
    <w:next w:val="1"/>
    <w:qFormat/>
    <w:uiPriority w:val="99"/>
    <w:pPr>
      <w:ind w:left="200" w:leftChars="200" w:hanging="200" w:hangingChars="200"/>
    </w:pPr>
  </w:style>
  <w:style w:type="character" w:customStyle="1" w:styleId="11">
    <w:name w:val="font21"/>
    <w:basedOn w:val="7"/>
    <w:qFormat/>
    <w:uiPriority w:val="0"/>
    <w:rPr>
      <w:rFonts w:ascii="宋体" w:hAnsi="宋体" w:eastAsia="宋体" w:cs="宋体"/>
      <w:color w:val="000000"/>
      <w:sz w:val="18"/>
      <w:szCs w:val="18"/>
      <w:u w:val="none"/>
    </w:rPr>
  </w:style>
  <w:style w:type="character" w:customStyle="1" w:styleId="12">
    <w:name w:val="font31"/>
    <w:basedOn w:val="7"/>
    <w:qFormat/>
    <w:uiPriority w:val="0"/>
    <w:rPr>
      <w:rFonts w:ascii="Arial" w:hAnsi="Arial" w:cs="Arial"/>
      <w:color w:val="000000"/>
      <w:sz w:val="18"/>
      <w:szCs w:val="18"/>
      <w:u w:val="non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2249</Words>
  <Characters>2564</Characters>
  <Lines>0</Lines>
  <Paragraphs>0</Paragraphs>
  <TotalTime>14</TotalTime>
  <ScaleCrop>false</ScaleCrop>
  <LinksUpToDate>false</LinksUpToDate>
  <CharactersWithSpaces>2564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2025-04-14T13:17:00Z</dcterms:created>
  <dc:creator>9c</dc:creator>
  <cp:lastModifiedBy>一碗豆腐脑</cp:lastModifiedBy>
  <dcterms:modified xsi:type="dcterms:W3CDTF">2026-03-27T03:36:49Z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9458991F28C244ADAE68713313600446_13</vt:lpwstr>
  </property>
  <property fmtid="{D5CDD505-2E9C-101B-9397-08002B2CF9AE}" pid="4" name="KSOTemplateDocerSaveRecord">
    <vt:lpwstr>eyJoZGlkIjoiYmVlZmVjNGE2YTZiNDBkMTMyYTA5NGYyMGI5NjBmODkiLCJ1c2VySWQiOiI3NTY0NzkzMDIifQ==</vt:lpwstr>
  </property>
</Properties>
</file>