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settings.xml" ContentType="application/vnd.openxmlformats-officedocument.wordprocessingml.setting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spacing w:line="600" w:lineRule="exact"/>
        <w:jc w:val="left"/>
        <w:outlineLvl w:val="0"/>
        <w:rPr>
          <w:rFonts w:ascii="方正小标宋简体" w:eastAsia="方正小标宋简体"/>
          <w:szCs w:val="21"/>
        </w:rPr>
      </w:pPr>
      <w:bookmarkStart w:id="0" w:name="_Toc15306267"/>
    </w:p>
    <w:p>
      <w:pPr>
        <w:pStyle w:val="16"/>
        <w:spacing w:beforeLines="0" w:before="93"/>
      </w:pPr>
    </w:p>
    <w:p>
      <w:pPr>
        <w:spacing w:line="600" w:lineRule="exact"/>
        <w:jc w:val="center"/>
        <w:outlineLvl w:val="0"/>
        <w:rPr>
          <w:rFonts w:ascii="方正小标宋简体" w:eastAsia="方正小标宋简体"/>
          <w:sz w:val="72"/>
          <w:szCs w:val="72"/>
        </w:rPr>
      </w:pPr>
    </w:p>
    <w:p>
      <w:pPr>
        <w:spacing w:line="600" w:lineRule="exact"/>
        <w:jc w:val="center"/>
        <w:outlineLvl w:val="0"/>
        <w:rPr>
          <w:rFonts w:ascii="方正小标宋简体" w:eastAsia="方正小标宋简体"/>
          <w:sz w:val="72"/>
          <w:szCs w:val="72"/>
        </w:rPr>
      </w:pPr>
    </w:p>
    <w:p>
      <w:pPr>
        <w:adjustRightInd w:val="0"/>
        <w:snapToGrid w:val="0"/>
        <w:spacing w:line="360" w:lineRule="auto"/>
        <w:jc w:val="center"/>
        <w:outlineLvl w:val="0"/>
        <w:rPr>
          <w:rFonts w:ascii="方正小标宋简体" w:eastAsia="方正小标宋简体" w:cs="方正小标宋简体"/>
          <w:sz w:val="72"/>
          <w:szCs w:val="72"/>
        </w:rPr>
      </w:pPr>
      <w:bookmarkStart w:id="1" w:name="_Toc15396597"/>
      <w:bookmarkStart w:id="2" w:name="_Toc15396475"/>
      <w:bookmarkStart w:id="3" w:name="_Toc15378441"/>
      <w:bookmarkStart w:id="4" w:name="_Toc15377193"/>
      <w:bookmarkStart w:id="5" w:name="_Toc15377425"/>
      <w:r>
        <w:rPr>
          <w:rFonts w:ascii="方正小标宋简体" w:eastAsia="方正小标宋简体" w:cs="方正小标宋简体" w:hint="eastAsia"/>
          <w:sz w:val="72"/>
          <w:szCs w:val="72"/>
        </w:rPr>
        <w:t>2023年度</w:t>
      </w:r>
      <w:bookmarkEnd w:id="1"/>
      <w:bookmarkEnd w:id="2"/>
      <w:bookmarkEnd w:id="3"/>
      <w:bookmarkEnd w:id="4"/>
      <w:bookmarkEnd w:id="5"/>
    </w:p>
    <w:p>
      <w:pPr>
        <w:adjustRightInd w:val="0"/>
        <w:snapToGrid w:val="0"/>
        <w:spacing w:line="360" w:lineRule="auto"/>
        <w:jc w:val="center"/>
        <w:outlineLvl w:val="0"/>
        <w:rPr>
          <w:rFonts w:ascii="方正小标宋简体" w:eastAsia="方正小标宋简体" w:cs="方正小标宋简体" w:hint="eastAsia"/>
          <w:sz w:val="72"/>
          <w:szCs w:val="72"/>
        </w:rPr>
      </w:pPr>
      <w:bookmarkStart w:id="6" w:name="_Toc15396598"/>
      <w:bookmarkStart w:id="7" w:name="_Toc15396476"/>
      <w:bookmarkStart w:id="8" w:name="_Toc15377426"/>
      <w:bookmarkStart w:id="9" w:name="_Toc15378442"/>
      <w:bookmarkStart w:id="10" w:name="_Toc15377194"/>
      <w:r>
        <w:rPr>
          <w:rFonts w:ascii="方正小标宋简体" w:eastAsia="方正小标宋简体" w:cs="方正小标宋简体" w:hint="eastAsia"/>
          <w:sz w:val="72"/>
          <w:szCs w:val="72"/>
        </w:rPr>
        <w:t>四川省</w:t>
      </w:r>
      <w:bookmarkStart w:id="11" w:name="_Toc15306268"/>
      <w:bookmarkEnd w:id="0"/>
      <w:r>
        <w:rPr>
          <w:rFonts w:ascii="方正小标宋简体" w:eastAsia="方正小标宋简体" w:cs="方正小标宋简体" w:hint="eastAsia"/>
          <w:sz w:val="72"/>
          <w:szCs w:val="72"/>
          <w:lang w:eastAsia="zh-CN"/>
        </w:rPr>
        <w:t>阿坝州公安局（本级）</w:t>
      </w:r>
      <w:r>
        <w:rPr>
          <w:rFonts w:ascii="方正小标宋简体" w:eastAsia="方正小标宋简体" w:cs="方正小标宋简体" w:hint="eastAsia"/>
          <w:sz w:val="72"/>
          <w:szCs w:val="72"/>
        </w:rPr>
        <w:t>决算</w:t>
      </w:r>
      <w:bookmarkEnd w:id="6"/>
      <w:bookmarkEnd w:id="7"/>
      <w:bookmarkEnd w:id="8"/>
      <w:bookmarkEnd w:id="9"/>
      <w:bookmarkEnd w:id="10"/>
      <w:bookmarkEnd w:id="11"/>
    </w:p>
    <w:p>
      <w:pPr>
        <w:pStyle w:val="27"/>
        <w:rPr>
          <w:rFonts w:ascii="方正小标宋简体" w:eastAsia="方正小标宋简体" w:cs="方正小标宋简体" w:hint="eastAsia"/>
          <w:sz w:val="72"/>
          <w:szCs w:val="72"/>
        </w:rPr>
      </w:pPr>
    </w:p>
    <w:p>
      <w:pPr>
        <w:rPr>
          <w:rFonts w:ascii="方正小标宋简体" w:eastAsia="方正小标宋简体" w:cs="方正小标宋简体" w:hint="eastAsia"/>
          <w:sz w:val="72"/>
          <w:szCs w:val="72"/>
        </w:rPr>
      </w:pPr>
    </w:p>
    <w:p>
      <w:pPr>
        <w:widowControl/>
        <w:jc w:val="center"/>
        <w:rPr>
          <w:rFonts w:ascii="方正小标宋简体" w:eastAsia="方正小标宋简体"/>
          <w:sz w:val="36"/>
          <w:szCs w:val="36"/>
        </w:rPr>
      </w:pPr>
    </w:p>
    <w:p>
      <w:pPr>
        <w:pStyle w:val="36"/>
        <w:spacing w:before="0" w:beforeAutospacing="0"/>
        <w:jc w:val="center"/>
        <w:rPr>
          <w:rFonts w:ascii="宋体" w:eastAsia="宋体" w:cs="宋体" w:hint="eastAsia"/>
          <w:kern w:val="0"/>
          <w:sz w:val="28"/>
          <w:szCs w:val="28"/>
        </w:rPr>
      </w:pPr>
      <w:r>
        <w:rPr>
          <w:rFonts w:ascii="宋体" w:eastAsia="宋体" w:cs="宋体" w:hint="eastAsia"/>
          <w:kern w:val="0"/>
          <w:sz w:val="28"/>
          <w:szCs w:val="28"/>
          <w:shd w:val="clear" w:color="auto" w:fill="FFFFFF"/>
        </w:rPr>
        <w:t>已经保密审查、内容审定，同意对外公开</w:t>
      </w:r>
    </w:p>
    <w:p>
      <w:pPr>
        <w:pStyle w:val="27"/>
      </w:pPr>
    </w:p>
    <w:p>
      <w:pPr>
        <w:widowControl/>
        <w:jc w:val="center"/>
        <w:rPr>
          <w:rFonts w:ascii="黑体" w:eastAsia="黑体"/>
          <w:sz w:val="48"/>
          <w:szCs w:val="48"/>
        </w:rPr>
      </w:pPr>
      <w:r>
        <w:rPr>
          <w:rFonts w:ascii="方正小标宋简体" w:eastAsia="方正小标宋简体"/>
          <w:sz w:val="36"/>
          <w:szCs w:val="36"/>
        </w:rPr>
        <w:br w:type="page"/>
      </w:r>
      <w:r>
        <w:rPr>
          <w:rFonts w:ascii="黑体" w:eastAsia="黑体" w:hint="eastAsia"/>
          <w:sz w:val="48"/>
          <w:szCs w:val="48"/>
        </w:rPr>
        <w:t>目录</w:t>
      </w:r>
    </w:p>
    <w:p>
      <w:pPr>
        <w:widowControl/>
        <w:jc w:val="center"/>
        <w:rPr>
          <w:rFonts w:ascii="黑体" w:eastAsia="黑体" w:cs="Arial"/>
          <w:sz w:val="28"/>
          <w:szCs w:val="28"/>
        </w:rPr>
      </w:pPr>
    </w:p>
    <w:p>
      <w:pPr>
        <w:pStyle w:val="22"/>
        <w:tabs>
          <w:tab w:val="right" w:leader="dot" w:pos="8296"/>
        </w:tabs>
      </w:pPr>
      <w:r>
        <w:rPr>
          <w:rFonts w:hint="eastAsia"/>
        </w:rPr>
        <w:t>公开时间：202</w:t>
      </w:r>
      <w:r>
        <w:rPr>
          <w:rFonts w:hint="eastAsia"/>
          <w:lang w:val="en-US" w:eastAsia="zh-CN"/>
        </w:rPr>
        <w:t>4</w:t>
      </w:r>
      <w:r>
        <w:rPr>
          <w:rFonts w:hint="eastAsia"/>
        </w:rPr>
        <w:t>年9月</w:t>
      </w:r>
      <w:r>
        <w:rPr>
          <w:rFonts w:hint="eastAsia"/>
          <w:lang w:val="en-US" w:eastAsia="zh-CN"/>
        </w:rPr>
        <w:t>10</w:t>
      </w:r>
      <w:r>
        <w:rPr>
          <w:rFonts w:hint="eastAsia"/>
        </w:rPr>
        <w:t>日</w:t>
      </w:r>
    </w:p>
    <w:p/>
    <w:p>
      <w:pPr>
        <w:pStyle w:val="22"/>
        <w:tabs>
          <w:tab w:val="right" w:leader="dot" w:pos="8296"/>
        </w:tabs>
        <w:adjustRightInd w:val="0"/>
        <w:snapToGrid w:val="0"/>
        <w:spacing w:before="0" w:line="440" w:lineRule="exact"/>
        <w:jc w:val="left"/>
        <w:rPr>
          <w:rFonts w:cs="Arial"/>
          <w:sz w:val="24"/>
          <w:szCs w:val="24"/>
        </w:rPr>
      </w:pPr>
      <w:r>
        <w:rPr>
          <w:rFonts w:hint="eastAsia"/>
          <w:sz w:val="24"/>
        </w:rPr>
        <w:t>第一部分</w:t>
      </w:r>
      <w:r>
        <w:rPr>
          <w:sz w:val="24"/>
        </w:rPr>
        <w:t xml:space="preserve"> </w:t>
      </w:r>
      <w:r>
        <w:rPr>
          <w:rFonts w:hint="eastAsia"/>
          <w:sz w:val="24"/>
        </w:rPr>
        <w:t>单位概况</w:t>
      </w:r>
    </w:p>
    <w:p>
      <w:pPr>
        <w:pStyle w:val="23"/>
        <w:tabs>
          <w:tab w:val="right" w:leader="dot" w:pos="8296"/>
        </w:tabs>
        <w:adjustRightInd w:val="0"/>
        <w:snapToGrid w:val="0"/>
        <w:spacing w:line="440" w:lineRule="exact"/>
        <w:jc w:val="left"/>
        <w:rPr>
          <w:sz w:val="24"/>
        </w:rPr>
      </w:pPr>
      <w:r>
        <w:rPr>
          <w:rFonts w:hint="eastAsia"/>
          <w:sz w:val="24"/>
        </w:rPr>
        <w:t>一、主要职责</w:t>
      </w:r>
    </w:p>
    <w:p>
      <w:pPr>
        <w:pStyle w:val="23"/>
        <w:tabs>
          <w:tab w:val="right" w:leader="dot" w:pos="8296"/>
        </w:tabs>
        <w:adjustRightInd w:val="0"/>
        <w:snapToGrid w:val="0"/>
        <w:spacing w:line="440" w:lineRule="exact"/>
        <w:jc w:val="left"/>
      </w:pPr>
      <w:r>
        <w:rPr>
          <w:rFonts w:hint="eastAsia"/>
          <w:sz w:val="24"/>
        </w:rPr>
        <w:t>二、机构设置</w:t>
      </w:r>
    </w:p>
    <w:p>
      <w:pPr>
        <w:pStyle w:val="22"/>
        <w:tabs>
          <w:tab w:val="right" w:leader="dot" w:pos="8296"/>
        </w:tabs>
        <w:adjustRightInd w:val="0"/>
        <w:snapToGrid w:val="0"/>
        <w:spacing w:before="0" w:line="440" w:lineRule="exact"/>
        <w:jc w:val="left"/>
        <w:rPr>
          <w:sz w:val="24"/>
          <w:szCs w:val="24"/>
        </w:rPr>
      </w:pPr>
      <w:r>
        <w:rPr>
          <w:rFonts w:hint="eastAsia"/>
          <w:sz w:val="24"/>
        </w:rPr>
        <w:t>第二部分 2023年度单位决算情况说明</w:t>
      </w:r>
    </w:p>
    <w:p>
      <w:pPr>
        <w:pStyle w:val="23"/>
        <w:tabs>
          <w:tab w:val="right" w:leader="dot" w:pos="8296"/>
        </w:tabs>
        <w:adjustRightInd w:val="0"/>
        <w:snapToGrid w:val="0"/>
        <w:spacing w:line="440" w:lineRule="exact"/>
        <w:jc w:val="left"/>
        <w:rPr>
          <w:rFonts w:ascii="仿宋" w:eastAsia="仿宋" w:cs="Arial"/>
          <w:sz w:val="24"/>
        </w:rPr>
      </w:pPr>
      <w:r>
        <w:rPr>
          <w:rFonts w:hint="eastAsia"/>
          <w:sz w:val="24"/>
        </w:rPr>
        <w:t>一、收入支出决算总体情况说明</w:t>
      </w:r>
    </w:p>
    <w:p>
      <w:pPr>
        <w:pStyle w:val="23"/>
        <w:tabs>
          <w:tab w:val="right" w:leader="dot" w:pos="8296"/>
        </w:tabs>
        <w:adjustRightInd w:val="0"/>
        <w:snapToGrid w:val="0"/>
        <w:spacing w:line="440" w:lineRule="exact"/>
        <w:jc w:val="left"/>
        <w:rPr>
          <w:rFonts w:ascii="仿宋" w:eastAsia="仿宋" w:cs="Arial"/>
          <w:sz w:val="24"/>
        </w:rPr>
      </w:pPr>
      <w:r>
        <w:rPr>
          <w:rFonts w:hint="eastAsia"/>
          <w:sz w:val="24"/>
        </w:rPr>
        <w:t>二、收入决算情况说明</w:t>
      </w:r>
    </w:p>
    <w:p>
      <w:pPr>
        <w:pStyle w:val="23"/>
        <w:tabs>
          <w:tab w:val="right" w:leader="dot" w:pos="8296"/>
        </w:tabs>
        <w:adjustRightInd w:val="0"/>
        <w:snapToGrid w:val="0"/>
        <w:spacing w:line="440" w:lineRule="exact"/>
        <w:jc w:val="left"/>
        <w:rPr>
          <w:rFonts w:ascii="仿宋" w:eastAsia="仿宋" w:cs="Arial"/>
          <w:sz w:val="24"/>
        </w:rPr>
      </w:pPr>
      <w:r>
        <w:rPr>
          <w:rFonts w:hint="eastAsia"/>
          <w:sz w:val="24"/>
        </w:rPr>
        <w:t>三、支出决算情况说明</w:t>
      </w:r>
    </w:p>
    <w:p>
      <w:pPr>
        <w:pStyle w:val="23"/>
        <w:tabs>
          <w:tab w:val="right" w:leader="dot" w:pos="8296"/>
        </w:tabs>
        <w:adjustRightInd w:val="0"/>
        <w:snapToGrid w:val="0"/>
        <w:spacing w:line="440" w:lineRule="exact"/>
        <w:jc w:val="left"/>
        <w:rPr>
          <w:rFonts w:ascii="仿宋" w:eastAsia="仿宋" w:cs="Arial"/>
          <w:sz w:val="24"/>
        </w:rPr>
      </w:pPr>
      <w:r>
        <w:rPr>
          <w:rFonts w:hint="eastAsia"/>
          <w:sz w:val="24"/>
        </w:rPr>
        <w:t>四、财政拨款收入支出决算总体情况说明</w:t>
      </w:r>
    </w:p>
    <w:p>
      <w:pPr>
        <w:pStyle w:val="23"/>
        <w:tabs>
          <w:tab w:val="right" w:leader="dot" w:pos="8296"/>
        </w:tabs>
        <w:adjustRightInd w:val="0"/>
        <w:snapToGrid w:val="0"/>
        <w:spacing w:line="440" w:lineRule="exact"/>
        <w:jc w:val="left"/>
        <w:rPr>
          <w:rFonts w:ascii="仿宋" w:eastAsia="仿宋" w:cs="Arial"/>
          <w:sz w:val="24"/>
        </w:rPr>
      </w:pPr>
      <w:r>
        <w:rPr>
          <w:rFonts w:hint="eastAsia"/>
          <w:sz w:val="24"/>
        </w:rPr>
        <w:t>五、一般公共预算财政拨款支出决算情况说明</w:t>
      </w:r>
    </w:p>
    <w:p>
      <w:pPr>
        <w:pStyle w:val="23"/>
        <w:tabs>
          <w:tab w:val="right" w:leader="dot" w:pos="8296"/>
        </w:tabs>
        <w:adjustRightInd w:val="0"/>
        <w:snapToGrid w:val="0"/>
        <w:spacing w:line="440" w:lineRule="exact"/>
        <w:jc w:val="left"/>
        <w:rPr>
          <w:rFonts w:ascii="仿宋" w:eastAsia="仿宋" w:cs="Arial"/>
          <w:sz w:val="24"/>
        </w:rPr>
      </w:pPr>
      <w:r>
        <w:rPr>
          <w:rFonts w:hint="eastAsia"/>
          <w:sz w:val="24"/>
        </w:rPr>
        <w:t>六、一般公共预算财政拨款基本支出决算情况说明</w:t>
      </w:r>
    </w:p>
    <w:p>
      <w:pPr>
        <w:pStyle w:val="23"/>
        <w:tabs>
          <w:tab w:val="right" w:leader="dot" w:pos="8296"/>
        </w:tabs>
        <w:adjustRightInd w:val="0"/>
        <w:snapToGrid w:val="0"/>
        <w:spacing w:line="440" w:lineRule="exact"/>
        <w:jc w:val="left"/>
        <w:rPr>
          <w:rFonts w:ascii="仿宋" w:eastAsia="仿宋" w:cs="Arial"/>
          <w:sz w:val="24"/>
        </w:rPr>
      </w:pPr>
      <w:r>
        <w:rPr>
          <w:rFonts w:hint="eastAsia"/>
          <w:sz w:val="24"/>
        </w:rPr>
        <w:t>七、财政拨款“三公”经费支出决算情况说明</w:t>
      </w:r>
    </w:p>
    <w:p>
      <w:pPr>
        <w:pStyle w:val="23"/>
        <w:tabs>
          <w:tab w:val="right" w:leader="dot" w:pos="8296"/>
        </w:tabs>
        <w:adjustRightInd w:val="0"/>
        <w:snapToGrid w:val="0"/>
        <w:spacing w:line="440" w:lineRule="exact"/>
        <w:jc w:val="left"/>
        <w:rPr>
          <w:rFonts w:ascii="仿宋" w:eastAsia="仿宋" w:cs="Arial"/>
          <w:sz w:val="24"/>
        </w:rPr>
      </w:pPr>
      <w:r>
        <w:rPr>
          <w:rFonts w:hint="eastAsia"/>
          <w:sz w:val="24"/>
        </w:rPr>
        <w:t>八、政府性基金预算支出决算情况说明</w:t>
      </w:r>
    </w:p>
    <w:p>
      <w:pPr>
        <w:pStyle w:val="23"/>
        <w:tabs>
          <w:tab w:val="right" w:leader="dot" w:pos="8296"/>
        </w:tabs>
        <w:adjustRightInd w:val="0"/>
        <w:snapToGrid w:val="0"/>
        <w:spacing w:line="440" w:lineRule="exact"/>
        <w:jc w:val="left"/>
        <w:rPr>
          <w:sz w:val="24"/>
        </w:rPr>
      </w:pPr>
      <w:r>
        <w:rPr>
          <w:rFonts w:hint="eastAsia"/>
          <w:sz w:val="24"/>
        </w:rPr>
        <w:t>九、国有资本经营预算支出决算情况说明</w:t>
      </w:r>
    </w:p>
    <w:p>
      <w:pPr>
        <w:pStyle w:val="23"/>
        <w:tabs>
          <w:tab w:val="right" w:leader="dot" w:pos="8296"/>
        </w:tabs>
        <w:adjustRightInd w:val="0"/>
        <w:snapToGrid w:val="0"/>
        <w:spacing w:line="440" w:lineRule="exact"/>
        <w:jc w:val="left"/>
        <w:rPr>
          <w:sz w:val="24"/>
        </w:rPr>
      </w:pPr>
      <w:r>
        <w:rPr>
          <w:rFonts w:hint="eastAsia"/>
          <w:sz w:val="24"/>
        </w:rPr>
        <w:t>十、其他重要事项的情况说明</w:t>
      </w:r>
    </w:p>
    <w:p>
      <w:pPr>
        <w:pStyle w:val="22"/>
        <w:tabs>
          <w:tab w:val="right" w:leader="dot" w:pos="8296"/>
        </w:tabs>
        <w:adjustRightInd w:val="0"/>
        <w:snapToGrid w:val="0"/>
        <w:spacing w:before="0" w:line="440" w:lineRule="exact"/>
        <w:jc w:val="left"/>
        <w:rPr>
          <w:rFonts w:cs="Arial"/>
          <w:sz w:val="24"/>
          <w:szCs w:val="24"/>
        </w:rPr>
      </w:pPr>
      <w:r>
        <w:rPr>
          <w:rFonts w:hint="eastAsia"/>
          <w:sz w:val="24"/>
        </w:rPr>
        <w:t>第三部分</w:t>
      </w:r>
      <w:r>
        <w:rPr>
          <w:sz w:val="24"/>
        </w:rPr>
        <w:t xml:space="preserve"> </w:t>
      </w:r>
      <w:r>
        <w:rPr>
          <w:rFonts w:hint="eastAsia"/>
          <w:sz w:val="24"/>
        </w:rPr>
        <w:t>名词解释</w:t>
      </w:r>
    </w:p>
    <w:p>
      <w:pPr>
        <w:pStyle w:val="22"/>
        <w:tabs>
          <w:tab w:val="right" w:leader="dot" w:pos="8296"/>
        </w:tabs>
        <w:adjustRightInd w:val="0"/>
        <w:snapToGrid w:val="0"/>
        <w:spacing w:before="0" w:line="440" w:lineRule="exact"/>
        <w:jc w:val="left"/>
        <w:rPr>
          <w:rFonts w:cs="Arial"/>
          <w:sz w:val="24"/>
          <w:szCs w:val="24"/>
        </w:rPr>
      </w:pPr>
      <w:r>
        <w:rPr>
          <w:rFonts w:hint="eastAsia"/>
          <w:sz w:val="24"/>
        </w:rPr>
        <w:t>第四部分</w:t>
      </w:r>
      <w:r>
        <w:rPr>
          <w:sz w:val="24"/>
        </w:rPr>
        <w:t xml:space="preserve"> </w:t>
      </w:r>
      <w:r>
        <w:rPr>
          <w:rFonts w:hint="eastAsia"/>
          <w:sz w:val="24"/>
        </w:rPr>
        <w:t>附件</w:t>
      </w:r>
    </w:p>
    <w:p>
      <w:pPr>
        <w:pStyle w:val="22"/>
        <w:tabs>
          <w:tab w:val="right" w:leader="dot" w:pos="8296"/>
        </w:tabs>
        <w:adjustRightInd w:val="0"/>
        <w:snapToGrid w:val="0"/>
        <w:spacing w:before="0" w:line="440" w:lineRule="exact"/>
        <w:jc w:val="left"/>
        <w:rPr>
          <w:rFonts w:cs="Arial"/>
          <w:sz w:val="24"/>
          <w:szCs w:val="24"/>
        </w:rPr>
      </w:pPr>
      <w:r>
        <w:rPr>
          <w:rFonts w:hint="eastAsia"/>
          <w:sz w:val="24"/>
        </w:rPr>
        <w:t>第五部分</w:t>
      </w:r>
      <w:r>
        <w:rPr>
          <w:sz w:val="24"/>
        </w:rPr>
        <w:t xml:space="preserve"> </w:t>
      </w:r>
      <w:r>
        <w:rPr>
          <w:rFonts w:hint="eastAsia"/>
          <w:sz w:val="24"/>
        </w:rPr>
        <w:t>附表</w:t>
      </w:r>
    </w:p>
    <w:p>
      <w:pPr>
        <w:pStyle w:val="23"/>
        <w:tabs>
          <w:tab w:val="right" w:leader="dot" w:pos="8296"/>
        </w:tabs>
        <w:adjustRightInd w:val="0"/>
        <w:snapToGrid w:val="0"/>
        <w:spacing w:line="440" w:lineRule="exact"/>
        <w:jc w:val="left"/>
        <w:rPr>
          <w:sz w:val="24"/>
        </w:rPr>
      </w:pPr>
      <w:r>
        <w:rPr>
          <w:rFonts w:hint="eastAsia"/>
          <w:sz w:val="24"/>
        </w:rPr>
        <w:t>一、收入支出决算总表</w:t>
      </w:r>
    </w:p>
    <w:p>
      <w:pPr>
        <w:pStyle w:val="23"/>
        <w:tabs>
          <w:tab w:val="right" w:leader="dot" w:pos="8296"/>
        </w:tabs>
        <w:adjustRightInd w:val="0"/>
        <w:snapToGrid w:val="0"/>
        <w:spacing w:line="440" w:lineRule="exact"/>
        <w:jc w:val="left"/>
        <w:rPr>
          <w:sz w:val="24"/>
        </w:rPr>
      </w:pPr>
      <w:r>
        <w:rPr>
          <w:rFonts w:hint="eastAsia"/>
          <w:sz w:val="24"/>
        </w:rPr>
        <w:t>二、收入决算表</w:t>
      </w:r>
    </w:p>
    <w:p>
      <w:pPr>
        <w:pStyle w:val="23"/>
        <w:tabs>
          <w:tab w:val="right" w:leader="dot" w:pos="8296"/>
        </w:tabs>
        <w:adjustRightInd w:val="0"/>
        <w:snapToGrid w:val="0"/>
        <w:spacing w:line="440" w:lineRule="exact"/>
        <w:jc w:val="left"/>
        <w:rPr>
          <w:sz w:val="24"/>
        </w:rPr>
      </w:pPr>
      <w:r>
        <w:rPr>
          <w:rFonts w:hint="eastAsia"/>
          <w:sz w:val="24"/>
        </w:rPr>
        <w:t>三、支出决算表</w:t>
      </w:r>
    </w:p>
    <w:p>
      <w:pPr>
        <w:pStyle w:val="23"/>
        <w:tabs>
          <w:tab w:val="right" w:leader="dot" w:pos="8296"/>
        </w:tabs>
        <w:adjustRightInd w:val="0"/>
        <w:snapToGrid w:val="0"/>
        <w:spacing w:line="440" w:lineRule="exact"/>
        <w:jc w:val="left"/>
        <w:rPr>
          <w:sz w:val="24"/>
        </w:rPr>
      </w:pPr>
      <w:r>
        <w:rPr>
          <w:rFonts w:hint="eastAsia"/>
          <w:sz w:val="24"/>
        </w:rPr>
        <w:t>四、财政拨款收入支出决算总表</w:t>
      </w:r>
    </w:p>
    <w:p>
      <w:pPr>
        <w:pStyle w:val="23"/>
        <w:tabs>
          <w:tab w:val="right" w:leader="dot" w:pos="8296"/>
        </w:tabs>
        <w:adjustRightInd w:val="0"/>
        <w:snapToGrid w:val="0"/>
        <w:spacing w:line="440" w:lineRule="exact"/>
        <w:jc w:val="left"/>
        <w:rPr>
          <w:sz w:val="24"/>
        </w:rPr>
      </w:pPr>
      <w:r>
        <w:rPr>
          <w:rFonts w:hint="eastAsia"/>
          <w:sz w:val="24"/>
        </w:rPr>
        <w:t>五、财政拨款支出决算明细表</w:t>
      </w:r>
    </w:p>
    <w:p>
      <w:pPr>
        <w:pStyle w:val="23"/>
        <w:tabs>
          <w:tab w:val="right" w:leader="dot" w:pos="8296"/>
        </w:tabs>
        <w:adjustRightInd w:val="0"/>
        <w:snapToGrid w:val="0"/>
        <w:spacing w:line="440" w:lineRule="exact"/>
        <w:jc w:val="left"/>
        <w:rPr>
          <w:sz w:val="24"/>
        </w:rPr>
      </w:pPr>
      <w:r>
        <w:rPr>
          <w:rFonts w:hint="eastAsia"/>
          <w:sz w:val="24"/>
        </w:rPr>
        <w:t>六、一般公共预算财政拨款支出决算表</w:t>
      </w:r>
    </w:p>
    <w:p>
      <w:pPr>
        <w:pStyle w:val="23"/>
        <w:tabs>
          <w:tab w:val="right" w:leader="dot" w:pos="8296"/>
        </w:tabs>
        <w:adjustRightInd w:val="0"/>
        <w:snapToGrid w:val="0"/>
        <w:spacing w:line="440" w:lineRule="exact"/>
        <w:jc w:val="left"/>
        <w:rPr>
          <w:sz w:val="24"/>
        </w:rPr>
      </w:pPr>
      <w:r>
        <w:rPr>
          <w:rFonts w:hint="eastAsia"/>
          <w:sz w:val="24"/>
        </w:rPr>
        <w:t>七、一般公共预算财政拨款支出决算明细表</w:t>
      </w:r>
    </w:p>
    <w:p>
      <w:pPr>
        <w:pStyle w:val="23"/>
        <w:tabs>
          <w:tab w:val="right" w:leader="dot" w:pos="8296"/>
        </w:tabs>
        <w:adjustRightInd w:val="0"/>
        <w:snapToGrid w:val="0"/>
        <w:spacing w:line="440" w:lineRule="exact"/>
        <w:jc w:val="left"/>
        <w:rPr>
          <w:sz w:val="24"/>
        </w:rPr>
      </w:pPr>
      <w:r>
        <w:rPr>
          <w:rFonts w:hint="eastAsia"/>
          <w:sz w:val="24"/>
        </w:rPr>
        <w:t>八、一般公共预算财政拨款基本支出决算明细表</w:t>
      </w:r>
    </w:p>
    <w:p>
      <w:pPr>
        <w:pStyle w:val="23"/>
        <w:tabs>
          <w:tab w:val="right" w:leader="dot" w:pos="8296"/>
        </w:tabs>
        <w:adjustRightInd w:val="0"/>
        <w:snapToGrid w:val="0"/>
        <w:spacing w:line="440" w:lineRule="exact"/>
        <w:jc w:val="left"/>
        <w:rPr>
          <w:sz w:val="24"/>
        </w:rPr>
      </w:pPr>
      <w:r>
        <w:rPr>
          <w:rFonts w:hint="eastAsia"/>
          <w:sz w:val="24"/>
        </w:rPr>
        <w:t>九、一般公共预算财政拨款项目支出决算表</w:t>
      </w:r>
    </w:p>
    <w:p>
      <w:pPr>
        <w:pStyle w:val="23"/>
        <w:tabs>
          <w:tab w:val="right" w:leader="dot" w:pos="8296"/>
        </w:tabs>
        <w:adjustRightInd w:val="0"/>
        <w:snapToGrid w:val="0"/>
        <w:spacing w:line="440" w:lineRule="exact"/>
        <w:jc w:val="left"/>
        <w:rPr>
          <w:sz w:val="24"/>
        </w:rPr>
      </w:pPr>
      <w:r>
        <w:rPr>
          <w:rFonts w:hint="eastAsia"/>
          <w:sz w:val="24"/>
        </w:rPr>
        <w:t>十、政府性基金预算财政拨款收入支出决算表</w:t>
      </w:r>
    </w:p>
    <w:p>
      <w:pPr>
        <w:pStyle w:val="23"/>
        <w:tabs>
          <w:tab w:val="right" w:leader="dot" w:pos="8296"/>
        </w:tabs>
        <w:adjustRightInd w:val="0"/>
        <w:snapToGrid w:val="0"/>
        <w:spacing w:line="440" w:lineRule="exact"/>
        <w:jc w:val="left"/>
        <w:rPr>
          <w:sz w:val="24"/>
        </w:rPr>
      </w:pPr>
      <w:r>
        <w:rPr>
          <w:rFonts w:hint="eastAsia"/>
          <w:sz w:val="24"/>
        </w:rPr>
        <w:t>十一、国有资本经营预算财政拨款收入支出决算表</w:t>
      </w:r>
    </w:p>
    <w:p>
      <w:pPr>
        <w:pStyle w:val="23"/>
        <w:tabs>
          <w:tab w:val="right" w:leader="dot" w:pos="8296"/>
        </w:tabs>
        <w:adjustRightInd w:val="0"/>
        <w:snapToGrid w:val="0"/>
        <w:spacing w:line="440" w:lineRule="exact"/>
        <w:jc w:val="left"/>
        <w:rPr>
          <w:sz w:val="24"/>
        </w:rPr>
      </w:pPr>
      <w:r>
        <w:rPr>
          <w:rFonts w:hint="eastAsia"/>
          <w:sz w:val="24"/>
        </w:rPr>
        <w:t>十二、国有资本经营预算财政拨款支出决算表</w:t>
      </w:r>
    </w:p>
    <w:p>
      <w:pPr>
        <w:pStyle w:val="23"/>
        <w:tabs>
          <w:tab w:val="right" w:leader="dot" w:pos="8296"/>
        </w:tabs>
        <w:adjustRightInd w:val="0"/>
        <w:snapToGrid w:val="0"/>
        <w:spacing w:line="440" w:lineRule="exact"/>
        <w:jc w:val="left"/>
        <w:rPr>
          <w:sz w:val="24"/>
        </w:rPr>
      </w:pPr>
      <w:r>
        <w:rPr>
          <w:rFonts w:hint="eastAsia"/>
          <w:sz w:val="24"/>
        </w:rPr>
        <w:t>十三、财政拨款“三公”经费支出决算表</w:t>
      </w:r>
    </w:p>
    <w:p>
      <w:pPr>
        <w:widowControl/>
        <w:adjustRightInd w:val="0"/>
        <w:snapToGrid w:val="0"/>
        <w:spacing w:line="440" w:lineRule="exact"/>
        <w:ind w:firstLineChars="550" w:firstLine="1320"/>
        <w:jc w:val="left"/>
        <w:rPr>
          <w:rFonts w:ascii="仿宋" w:eastAsia="仿宋"/>
          <w:sz w:val="24"/>
        </w:rPr>
      </w:pPr>
      <w:r>
        <w:rPr>
          <w:rFonts w:ascii="仿宋" w:eastAsia="仿宋"/>
          <w:sz w:val="24"/>
        </w:rPr>
        <w:t>(注：</w:t>
      </w:r>
      <w:r>
        <w:rPr>
          <w:rFonts w:ascii="仿宋" w:eastAsia="仿宋" w:hint="eastAsia"/>
          <w:sz w:val="24"/>
        </w:rPr>
        <w:t>请单位根据实际注明页码</w:t>
      </w:r>
      <w:r>
        <w:rPr>
          <w:rFonts w:ascii="仿宋" w:eastAsia="仿宋"/>
          <w:sz w:val="24"/>
        </w:rPr>
        <w:t>)</w:t>
      </w:r>
    </w:p>
    <w:p>
      <w:pPr>
        <w:widowControl/>
        <w:spacing w:line="440" w:lineRule="exact"/>
        <w:jc w:val="left"/>
        <w:rPr>
          <w:rFonts w:ascii="仿宋" w:eastAsia="仿宋"/>
          <w:bCs/>
          <w:kern w:val="44"/>
          <w:sz w:val="24"/>
        </w:rPr>
      </w:pPr>
      <w:bookmarkStart w:id="12" w:name="_Toc15377196"/>
      <w:bookmarkStart w:id="13" w:name="_Toc15396599"/>
      <w:r>
        <w:rPr>
          <w:rFonts w:ascii="仿宋" w:eastAsia="仿宋"/>
          <w:b/>
          <w:sz w:val="24"/>
        </w:rPr>
        <w:br w:type="page"/>
      </w:r>
    </w:p>
    <w:p>
      <w:pPr>
        <w:pStyle w:val="1"/>
        <w:keepNext/>
        <w:keepLines/>
        <w:pageBreakBefore w:val="0"/>
        <w:widowControl w:val="0"/>
        <w:kinsoku/>
        <w:wordWrap/>
        <w:overflowPunct/>
        <w:topLinePunct w:val="0"/>
        <w:bidi w:val="0"/>
        <w:snapToGrid/>
        <w:spacing w:before="0" w:after="0" w:line="576" w:lineRule="exact"/>
        <w:jc w:val="center"/>
        <w:textAlignment w:val="auto"/>
        <w:rPr>
          <w:rStyle w:val="1Char"/>
          <w:rFonts w:ascii="黑体" w:eastAsia="黑体"/>
          <w:b/>
          <w:bCs w:val="0"/>
        </w:rPr>
      </w:pPr>
      <w:r>
        <w:rPr>
          <w:rFonts w:ascii="黑体" w:eastAsia="黑体" w:hint="eastAsia"/>
          <w:b w:val="0"/>
        </w:rPr>
        <w:t>第一部分 单位</w:t>
      </w:r>
      <w:r>
        <w:rPr>
          <w:rStyle w:val="1Char"/>
          <w:rFonts w:ascii="黑体" w:eastAsia="黑体" w:hint="eastAsia"/>
          <w:b w:val="0"/>
          <w:bCs w:val="0"/>
        </w:rPr>
        <w:t>概况</w:t>
      </w:r>
      <w:bookmarkEnd w:id="12"/>
      <w:bookmarkEnd w:id="13"/>
    </w:p>
    <w:p>
      <w:pPr>
        <w:pageBreakBefore w:val="0"/>
        <w:widowControl/>
        <w:kinsoku/>
        <w:wordWrap/>
        <w:overflowPunct/>
        <w:topLinePunct w:val="0"/>
        <w:bidi w:val="0"/>
        <w:snapToGrid/>
        <w:spacing w:line="576" w:lineRule="exact"/>
        <w:jc w:val="left"/>
        <w:textAlignment w:val="auto"/>
        <w:rPr>
          <w:rFonts w:ascii="黑体" w:eastAsia="黑体"/>
          <w:sz w:val="32"/>
          <w:szCs w:val="32"/>
        </w:rPr>
      </w:pPr>
    </w:p>
    <w:p>
      <w:pPr>
        <w:pStyle w:val="2"/>
        <w:keepNext/>
        <w:keepLines/>
        <w:pageBreakBefore w:val="0"/>
        <w:widowControl w:val="0"/>
        <w:kinsoku/>
        <w:wordWrap/>
        <w:overflowPunct/>
        <w:topLinePunct w:val="0"/>
        <w:bidi w:val="0"/>
        <w:snapToGrid/>
        <w:spacing w:before="0" w:after="0" w:line="576" w:lineRule="exact"/>
        <w:ind w:left="0" w:firstLineChars="200" w:firstLine="640"/>
        <w:textAlignment w:val="auto"/>
        <w:rPr>
          <w:rStyle w:val="2Char"/>
          <w:rFonts w:ascii="黑体" w:eastAsia="黑体"/>
          <w:b w:val="0"/>
          <w:bCs w:val="0"/>
        </w:rPr>
      </w:pPr>
      <w:bookmarkStart w:id="14" w:name="_Toc15396600"/>
      <w:bookmarkStart w:id="15" w:name="_Toc15377197"/>
      <w:r>
        <w:rPr>
          <w:rStyle w:val="2Char"/>
          <w:rFonts w:ascii="黑体" w:eastAsia="黑体" w:hint="eastAsia"/>
          <w:b w:val="0"/>
          <w:bCs w:val="0"/>
          <w:lang w:eastAsia="zh-CN"/>
        </w:rPr>
        <w:t>一、</w:t>
      </w:r>
      <w:r>
        <w:rPr>
          <w:rStyle w:val="2Char"/>
          <w:rFonts w:ascii="黑体" w:eastAsia="黑体" w:hint="eastAsia"/>
          <w:b w:val="0"/>
          <w:bCs w:val="0"/>
        </w:rPr>
        <w:t>主要职责</w:t>
      </w:r>
    </w:p>
    <w:p>
      <w:pPr>
        <w:keepNext w:val="0"/>
        <w:keepLines w:val="0"/>
        <w:pageBreakBefore w:val="0"/>
        <w:widowControl w:val="0"/>
        <w:kinsoku/>
        <w:wordWrap/>
        <w:overflowPunct/>
        <w:topLinePunct w:val="0"/>
        <w:autoSpaceDE/>
        <w:autoSpaceDN/>
        <w:bidi w:val="0"/>
        <w:adjustRightInd/>
        <w:spacing w:line="576" w:lineRule="exact"/>
        <w:ind w:firstLine="660"/>
        <w:textAlignment w:val="auto"/>
        <w:rPr>
          <w:rFonts w:ascii="楷体" w:eastAsia="楷体" w:cs="楷体" w:hint="eastAsia"/>
          <w:b/>
          <w:bCs/>
          <w:sz w:val="32"/>
          <w:szCs w:val="32"/>
          <w:lang w:eastAsia="zh-CN"/>
        </w:rPr>
      </w:pPr>
      <w:r>
        <w:rPr>
          <w:rFonts w:ascii="楷体" w:eastAsia="楷体" w:cs="楷体" w:hint="eastAsia"/>
          <w:b/>
          <w:bCs/>
          <w:sz w:val="32"/>
          <w:szCs w:val="32"/>
          <w:lang w:eastAsia="zh-CN"/>
        </w:rPr>
        <w:t>（一）主要职能</w:t>
      </w:r>
    </w:p>
    <w:p>
      <w:pPr>
        <w:keepNext w:val="0"/>
        <w:keepLines w:val="0"/>
        <w:pageBreakBefore w:val="0"/>
        <w:widowControl w:val="0"/>
        <w:kinsoku/>
        <w:wordWrap/>
        <w:overflowPunct/>
        <w:topLinePunct w:val="0"/>
        <w:autoSpaceDE/>
        <w:autoSpaceDN/>
        <w:bidi w:val="0"/>
        <w:adjustRightInd/>
        <w:spacing w:line="576" w:lineRule="exact"/>
        <w:ind w:firstLine="660"/>
        <w:textAlignment w:val="auto"/>
        <w:rPr>
          <w:rFonts w:ascii="仿宋_GB2312" w:eastAsia="仿宋_GB2312" w:cs="Times New Roman" w:hint="eastAsia"/>
          <w:sz w:val="32"/>
          <w:szCs w:val="32"/>
          <w:lang w:eastAsia="zh-CN"/>
        </w:rPr>
      </w:pPr>
      <w:r>
        <w:rPr>
          <w:rFonts w:ascii="仿宋_GB2312" w:eastAsia="仿宋_GB2312" w:cs="Times New Roman" w:hint="eastAsia"/>
          <w:sz w:val="32"/>
          <w:szCs w:val="32"/>
          <w:lang w:eastAsia="zh-CN"/>
        </w:rPr>
        <w:t>根据《中华人民共和国</w:t>
      </w:r>
      <w:r>
        <w:rPr>
          <w:rFonts w:ascii="仿宋_GB2312" w:eastAsia="仿宋_GB2312" w:cs="Times New Roman"/>
          <w:sz w:val="32"/>
          <w:szCs w:val="32"/>
          <w:lang w:eastAsia="zh-CN"/>
        </w:rPr>
        <w:t>人民</w:t>
      </w:r>
      <w:r>
        <w:rPr>
          <w:rFonts w:ascii="仿宋_GB2312" w:eastAsia="仿宋_GB2312" w:cs="Times New Roman" w:hint="eastAsia"/>
          <w:sz w:val="32"/>
          <w:szCs w:val="32"/>
          <w:lang w:eastAsia="zh-CN"/>
        </w:rPr>
        <w:t>警察法》规定，公安机关的主要职责为：</w:t>
      </w:r>
    </w:p>
    <w:p>
      <w:pPr>
        <w:keepNext w:val="0"/>
        <w:keepLines w:val="0"/>
        <w:pageBreakBefore w:val="0"/>
        <w:widowControl w:val="0"/>
        <w:kinsoku/>
        <w:wordWrap/>
        <w:overflowPunct/>
        <w:topLinePunct w:val="0"/>
        <w:autoSpaceDE/>
        <w:autoSpaceDN/>
        <w:bidi w:val="0"/>
        <w:adjustRightInd/>
        <w:spacing w:line="576" w:lineRule="exact"/>
        <w:ind w:firstLine="660"/>
        <w:textAlignment w:val="auto"/>
        <w:rPr>
          <w:rFonts w:ascii="仿宋_GB2312" w:eastAsia="仿宋_GB2312" w:cs="Times New Roman" w:hint="eastAsia"/>
          <w:sz w:val="32"/>
          <w:szCs w:val="32"/>
          <w:lang w:eastAsia="zh-CN"/>
        </w:rPr>
      </w:pPr>
      <w:r>
        <w:rPr>
          <w:rFonts w:ascii="仿宋_GB2312" w:eastAsia="仿宋_GB2312" w:cs="Times New Roman" w:hint="eastAsia"/>
          <w:sz w:val="32"/>
          <w:szCs w:val="32"/>
          <w:lang w:eastAsia="zh-CN"/>
        </w:rPr>
        <w:t>1</w:t>
      </w:r>
      <w:r>
        <w:rPr>
          <w:rFonts w:ascii="仿宋_GB2312" w:eastAsia="仿宋_GB2312" w:cs="Times New Roman" w:hint="eastAsia"/>
          <w:sz w:val="32"/>
          <w:szCs w:val="32"/>
          <w:lang w:val="en-US" w:eastAsia="zh-CN"/>
        </w:rPr>
        <w:t>.</w:t>
      </w:r>
      <w:r>
        <w:rPr>
          <w:rFonts w:ascii="仿宋_GB2312" w:eastAsia="仿宋_GB2312" w:cs="Times New Roman" w:hint="eastAsia"/>
          <w:sz w:val="32"/>
          <w:szCs w:val="32"/>
          <w:lang w:eastAsia="zh-CN"/>
        </w:rPr>
        <w:t xml:space="preserve">预防、制止和侦查违法犯罪活动。 </w:t>
      </w:r>
    </w:p>
    <w:p>
      <w:pPr>
        <w:keepNext w:val="0"/>
        <w:keepLines w:val="0"/>
        <w:pageBreakBefore w:val="0"/>
        <w:widowControl w:val="0"/>
        <w:kinsoku/>
        <w:wordWrap/>
        <w:overflowPunct/>
        <w:topLinePunct w:val="0"/>
        <w:autoSpaceDE/>
        <w:autoSpaceDN/>
        <w:bidi w:val="0"/>
        <w:adjustRightInd/>
        <w:spacing w:line="576" w:lineRule="exact"/>
        <w:ind w:firstLine="660"/>
        <w:textAlignment w:val="auto"/>
        <w:rPr>
          <w:rFonts w:ascii="仿宋_GB2312" w:eastAsia="仿宋_GB2312" w:cs="Times New Roman" w:hint="eastAsia"/>
          <w:sz w:val="32"/>
          <w:szCs w:val="32"/>
          <w:lang w:eastAsia="zh-CN"/>
        </w:rPr>
      </w:pPr>
      <w:r>
        <w:rPr>
          <w:rFonts w:ascii="仿宋_GB2312" w:eastAsia="仿宋_GB2312" w:cs="Times New Roman" w:hint="eastAsia"/>
          <w:sz w:val="32"/>
          <w:szCs w:val="32"/>
          <w:lang w:eastAsia="zh-CN"/>
        </w:rPr>
        <w:t>2</w:t>
      </w:r>
      <w:r>
        <w:rPr>
          <w:rFonts w:ascii="仿宋_GB2312" w:eastAsia="仿宋_GB2312" w:cs="Times New Roman" w:hint="eastAsia"/>
          <w:sz w:val="32"/>
          <w:szCs w:val="32"/>
          <w:lang w:val="en-US" w:eastAsia="zh-CN"/>
        </w:rPr>
        <w:t>.</w:t>
      </w:r>
      <w:r>
        <w:rPr>
          <w:rFonts w:ascii="仿宋_GB2312" w:eastAsia="仿宋_GB2312" w:cs="Times New Roman" w:hint="eastAsia"/>
          <w:sz w:val="32"/>
          <w:szCs w:val="32"/>
          <w:lang w:eastAsia="zh-CN"/>
        </w:rPr>
        <w:t xml:space="preserve">维护社会治安秩序，制止危害社会治安秩序的行为。 </w:t>
      </w:r>
    </w:p>
    <w:p>
      <w:pPr>
        <w:keepNext w:val="0"/>
        <w:keepLines w:val="0"/>
        <w:pageBreakBefore w:val="0"/>
        <w:widowControl w:val="0"/>
        <w:kinsoku/>
        <w:wordWrap/>
        <w:overflowPunct/>
        <w:topLinePunct w:val="0"/>
        <w:autoSpaceDE/>
        <w:autoSpaceDN/>
        <w:bidi w:val="0"/>
        <w:adjustRightInd/>
        <w:spacing w:line="576" w:lineRule="exact"/>
        <w:ind w:firstLine="660"/>
        <w:textAlignment w:val="auto"/>
        <w:rPr>
          <w:rFonts w:ascii="仿宋_GB2312" w:eastAsia="仿宋_GB2312" w:cs="Times New Roman" w:hint="eastAsia"/>
          <w:sz w:val="32"/>
          <w:szCs w:val="32"/>
          <w:lang w:eastAsia="zh-CN"/>
        </w:rPr>
      </w:pPr>
      <w:r>
        <w:rPr>
          <w:rFonts w:ascii="仿宋_GB2312" w:eastAsia="仿宋_GB2312" w:cs="Times New Roman" w:hint="eastAsia"/>
          <w:sz w:val="32"/>
          <w:szCs w:val="32"/>
          <w:lang w:eastAsia="zh-CN"/>
        </w:rPr>
        <w:t>3</w:t>
      </w:r>
      <w:r>
        <w:rPr>
          <w:rFonts w:ascii="仿宋_GB2312" w:eastAsia="仿宋_GB2312" w:cs="Times New Roman" w:hint="eastAsia"/>
          <w:sz w:val="32"/>
          <w:szCs w:val="32"/>
          <w:lang w:val="en-US" w:eastAsia="zh-CN"/>
        </w:rPr>
        <w:t>.</w:t>
      </w:r>
      <w:r>
        <w:rPr>
          <w:rFonts w:ascii="仿宋_GB2312" w:eastAsia="仿宋_GB2312" w:cs="Times New Roman" w:hint="eastAsia"/>
          <w:sz w:val="32"/>
          <w:szCs w:val="32"/>
          <w:lang w:eastAsia="zh-CN"/>
        </w:rPr>
        <w:t xml:space="preserve">管理枪支弹药、管制刀具和易燃易爆、剧毒、放射性等危险物品。 </w:t>
      </w:r>
    </w:p>
    <w:p>
      <w:pPr>
        <w:keepNext w:val="0"/>
        <w:keepLines w:val="0"/>
        <w:pageBreakBefore w:val="0"/>
        <w:widowControl w:val="0"/>
        <w:kinsoku/>
        <w:wordWrap/>
        <w:overflowPunct/>
        <w:topLinePunct w:val="0"/>
        <w:autoSpaceDE/>
        <w:autoSpaceDN/>
        <w:bidi w:val="0"/>
        <w:adjustRightInd/>
        <w:spacing w:line="576" w:lineRule="exact"/>
        <w:ind w:firstLine="660"/>
        <w:textAlignment w:val="auto"/>
        <w:rPr>
          <w:rFonts w:ascii="仿宋_GB2312" w:eastAsia="仿宋_GB2312" w:cs="Times New Roman" w:hint="eastAsia"/>
          <w:sz w:val="32"/>
          <w:szCs w:val="32"/>
          <w:lang w:eastAsia="zh-CN"/>
        </w:rPr>
      </w:pPr>
      <w:r>
        <w:rPr>
          <w:rFonts w:ascii="仿宋_GB2312" w:eastAsia="仿宋_GB2312" w:cs="Times New Roman" w:hint="eastAsia"/>
          <w:sz w:val="32"/>
          <w:szCs w:val="32"/>
          <w:lang w:eastAsia="zh-CN"/>
        </w:rPr>
        <w:t>4</w:t>
      </w:r>
      <w:r>
        <w:rPr>
          <w:rFonts w:ascii="仿宋_GB2312" w:eastAsia="仿宋_GB2312" w:cs="Times New Roman" w:hint="eastAsia"/>
          <w:sz w:val="32"/>
          <w:szCs w:val="32"/>
          <w:lang w:val="en-US" w:eastAsia="zh-CN"/>
        </w:rPr>
        <w:t>.</w:t>
      </w:r>
      <w:r>
        <w:rPr>
          <w:rFonts w:ascii="仿宋_GB2312" w:eastAsia="仿宋_GB2312" w:cs="Times New Roman" w:hint="eastAsia"/>
          <w:sz w:val="32"/>
          <w:szCs w:val="32"/>
          <w:lang w:eastAsia="zh-CN"/>
        </w:rPr>
        <w:t xml:space="preserve">对法律、法规规定的特种行业进行管理。 </w:t>
      </w:r>
    </w:p>
    <w:p>
      <w:pPr>
        <w:keepNext w:val="0"/>
        <w:keepLines w:val="0"/>
        <w:pageBreakBefore w:val="0"/>
        <w:widowControl w:val="0"/>
        <w:kinsoku/>
        <w:wordWrap/>
        <w:overflowPunct/>
        <w:topLinePunct w:val="0"/>
        <w:autoSpaceDE/>
        <w:autoSpaceDN/>
        <w:bidi w:val="0"/>
        <w:adjustRightInd/>
        <w:spacing w:line="576" w:lineRule="exact"/>
        <w:ind w:firstLineChars="200" w:firstLine="640"/>
        <w:textAlignment w:val="auto"/>
        <w:rPr>
          <w:rFonts w:ascii="仿宋_GB2312" w:eastAsia="仿宋_GB2312" w:cs="Times New Roman" w:hint="eastAsia"/>
          <w:sz w:val="32"/>
          <w:szCs w:val="32"/>
          <w:lang w:eastAsia="zh-CN"/>
        </w:rPr>
      </w:pPr>
      <w:r>
        <w:rPr>
          <w:rFonts w:ascii="仿宋_GB2312" w:eastAsia="仿宋_GB2312" w:cs="Times New Roman" w:hint="eastAsia"/>
          <w:sz w:val="32"/>
          <w:szCs w:val="32"/>
          <w:lang w:eastAsia="zh-CN"/>
        </w:rPr>
        <w:t>5</w:t>
      </w:r>
      <w:r>
        <w:rPr>
          <w:rFonts w:ascii="仿宋_GB2312" w:eastAsia="仿宋_GB2312" w:cs="Times New Roman" w:hint="eastAsia"/>
          <w:sz w:val="32"/>
          <w:szCs w:val="32"/>
          <w:lang w:val="en-US" w:eastAsia="zh-CN"/>
        </w:rPr>
        <w:t>.</w:t>
      </w:r>
      <w:r>
        <w:rPr>
          <w:rFonts w:ascii="仿宋_GB2312" w:eastAsia="仿宋_GB2312" w:cs="Times New Roman" w:hint="eastAsia"/>
          <w:sz w:val="32"/>
          <w:szCs w:val="32"/>
          <w:lang w:eastAsia="zh-CN"/>
        </w:rPr>
        <w:t>警卫国家规定的特定人员，守卫重要的场所和设施。</w:t>
      </w:r>
    </w:p>
    <w:p>
      <w:pPr>
        <w:keepNext w:val="0"/>
        <w:keepLines w:val="0"/>
        <w:pageBreakBefore w:val="0"/>
        <w:widowControl w:val="0"/>
        <w:kinsoku/>
        <w:wordWrap/>
        <w:overflowPunct/>
        <w:topLinePunct w:val="0"/>
        <w:autoSpaceDE/>
        <w:autoSpaceDN/>
        <w:bidi w:val="0"/>
        <w:adjustRightInd/>
        <w:spacing w:line="576" w:lineRule="exact"/>
        <w:ind w:firstLine="660"/>
        <w:textAlignment w:val="auto"/>
        <w:rPr>
          <w:rFonts w:ascii="仿宋_GB2312" w:eastAsia="仿宋_GB2312" w:cs="Times New Roman" w:hint="eastAsia"/>
          <w:sz w:val="32"/>
          <w:szCs w:val="32"/>
          <w:lang w:eastAsia="zh-CN"/>
        </w:rPr>
      </w:pPr>
      <w:r>
        <w:rPr>
          <w:rFonts w:ascii="仿宋_GB2312" w:eastAsia="仿宋_GB2312" w:cs="Times New Roman" w:hint="eastAsia"/>
          <w:sz w:val="32"/>
          <w:szCs w:val="32"/>
          <w:lang w:eastAsia="zh-CN"/>
        </w:rPr>
        <w:t>6</w:t>
      </w:r>
      <w:r>
        <w:rPr>
          <w:rFonts w:ascii="仿宋_GB2312" w:eastAsia="仿宋_GB2312" w:cs="Times New Roman" w:hint="eastAsia"/>
          <w:sz w:val="32"/>
          <w:szCs w:val="32"/>
          <w:lang w:val="en-US" w:eastAsia="zh-CN"/>
        </w:rPr>
        <w:t>.</w:t>
      </w:r>
      <w:r>
        <w:rPr>
          <w:rFonts w:ascii="仿宋_GB2312" w:eastAsia="仿宋_GB2312" w:cs="Times New Roman" w:hint="eastAsia"/>
          <w:sz w:val="32"/>
          <w:szCs w:val="32"/>
          <w:lang w:eastAsia="zh-CN"/>
        </w:rPr>
        <w:t xml:space="preserve">管理集会、游行、示威活动。 </w:t>
      </w:r>
    </w:p>
    <w:p>
      <w:pPr>
        <w:keepNext w:val="0"/>
        <w:keepLines w:val="0"/>
        <w:pageBreakBefore w:val="0"/>
        <w:widowControl w:val="0"/>
        <w:kinsoku/>
        <w:wordWrap/>
        <w:overflowPunct/>
        <w:topLinePunct w:val="0"/>
        <w:autoSpaceDE/>
        <w:autoSpaceDN/>
        <w:bidi w:val="0"/>
        <w:adjustRightInd/>
        <w:spacing w:line="576" w:lineRule="exact"/>
        <w:ind w:firstLine="660"/>
        <w:textAlignment w:val="auto"/>
        <w:rPr>
          <w:rFonts w:ascii="仿宋_GB2312" w:eastAsia="仿宋_GB2312" w:cs="Times New Roman" w:hint="eastAsia"/>
          <w:sz w:val="32"/>
          <w:szCs w:val="32"/>
          <w:lang w:eastAsia="zh-CN"/>
        </w:rPr>
      </w:pPr>
      <w:r>
        <w:rPr>
          <w:rFonts w:ascii="仿宋_GB2312" w:eastAsia="仿宋_GB2312" w:cs="Times New Roman" w:hint="eastAsia"/>
          <w:sz w:val="32"/>
          <w:szCs w:val="32"/>
          <w:lang w:eastAsia="zh-CN"/>
        </w:rPr>
        <w:t>7</w:t>
      </w:r>
      <w:r>
        <w:rPr>
          <w:rFonts w:ascii="仿宋_GB2312" w:eastAsia="仿宋_GB2312" w:cs="Times New Roman" w:hint="eastAsia"/>
          <w:sz w:val="32"/>
          <w:szCs w:val="32"/>
          <w:lang w:val="en-US" w:eastAsia="zh-CN"/>
        </w:rPr>
        <w:t>.</w:t>
      </w:r>
      <w:r>
        <w:rPr>
          <w:rFonts w:ascii="仿宋_GB2312" w:eastAsia="仿宋_GB2312" w:cs="Times New Roman" w:hint="eastAsia"/>
          <w:sz w:val="32"/>
          <w:szCs w:val="32"/>
          <w:lang w:eastAsia="zh-CN"/>
        </w:rPr>
        <w:t>管理户政、国籍、入境出境事务和外国人在中国境内居留、旅行的有关事务。</w:t>
      </w:r>
    </w:p>
    <w:p>
      <w:pPr>
        <w:keepNext w:val="0"/>
        <w:keepLines w:val="0"/>
        <w:pageBreakBefore w:val="0"/>
        <w:widowControl w:val="0"/>
        <w:kinsoku/>
        <w:wordWrap/>
        <w:overflowPunct/>
        <w:topLinePunct w:val="0"/>
        <w:autoSpaceDE/>
        <w:autoSpaceDN/>
        <w:bidi w:val="0"/>
        <w:adjustRightInd/>
        <w:spacing w:line="576" w:lineRule="exact"/>
        <w:ind w:firstLine="660"/>
        <w:textAlignment w:val="auto"/>
        <w:rPr>
          <w:rFonts w:ascii="仿宋_GB2312" w:eastAsia="仿宋_GB2312" w:cs="Times New Roman" w:hint="eastAsia"/>
          <w:sz w:val="32"/>
          <w:szCs w:val="32"/>
          <w:lang w:eastAsia="zh-CN"/>
        </w:rPr>
      </w:pPr>
      <w:r>
        <w:rPr>
          <w:rFonts w:ascii="仿宋_GB2312" w:eastAsia="仿宋_GB2312" w:cs="Times New Roman" w:hint="eastAsia"/>
          <w:sz w:val="32"/>
          <w:szCs w:val="32"/>
          <w:lang w:eastAsia="zh-CN"/>
        </w:rPr>
        <w:t>8</w:t>
      </w:r>
      <w:r>
        <w:rPr>
          <w:rFonts w:ascii="仿宋_GB2312" w:eastAsia="仿宋_GB2312" w:cs="Times New Roman" w:hint="eastAsia"/>
          <w:sz w:val="32"/>
          <w:szCs w:val="32"/>
          <w:lang w:val="en-US" w:eastAsia="zh-CN"/>
        </w:rPr>
        <w:t>.</w:t>
      </w:r>
      <w:r>
        <w:rPr>
          <w:rFonts w:ascii="仿宋_GB2312" w:eastAsia="仿宋_GB2312" w:cs="Times New Roman" w:hint="eastAsia"/>
          <w:sz w:val="32"/>
          <w:szCs w:val="32"/>
          <w:lang w:eastAsia="zh-CN"/>
        </w:rPr>
        <w:t>维护国（边）境地区的治安秩序。</w:t>
      </w:r>
    </w:p>
    <w:p>
      <w:pPr>
        <w:keepNext w:val="0"/>
        <w:keepLines w:val="0"/>
        <w:pageBreakBefore w:val="0"/>
        <w:widowControl w:val="0"/>
        <w:kinsoku/>
        <w:wordWrap/>
        <w:overflowPunct/>
        <w:topLinePunct w:val="0"/>
        <w:autoSpaceDE/>
        <w:autoSpaceDN/>
        <w:bidi w:val="0"/>
        <w:adjustRightInd/>
        <w:spacing w:line="576" w:lineRule="exact"/>
        <w:ind w:firstLine="660"/>
        <w:textAlignment w:val="auto"/>
        <w:rPr>
          <w:rFonts w:ascii="仿宋_GB2312" w:eastAsia="仿宋_GB2312" w:cs="Times New Roman" w:hint="eastAsia"/>
          <w:sz w:val="32"/>
          <w:szCs w:val="32"/>
          <w:lang w:eastAsia="zh-CN"/>
        </w:rPr>
      </w:pPr>
      <w:r>
        <w:rPr>
          <w:rFonts w:ascii="仿宋_GB2312" w:eastAsia="仿宋_GB2312" w:cs="Times New Roman" w:hint="eastAsia"/>
          <w:sz w:val="32"/>
          <w:szCs w:val="32"/>
          <w:lang w:eastAsia="zh-CN"/>
        </w:rPr>
        <w:t>9</w:t>
      </w:r>
      <w:r>
        <w:rPr>
          <w:rFonts w:ascii="仿宋_GB2312" w:eastAsia="仿宋_GB2312" w:cs="Times New Roman" w:hint="eastAsia"/>
          <w:sz w:val="32"/>
          <w:szCs w:val="32"/>
          <w:lang w:val="en-US" w:eastAsia="zh-CN"/>
        </w:rPr>
        <w:t>.</w:t>
      </w:r>
      <w:r>
        <w:rPr>
          <w:rFonts w:ascii="仿宋_GB2312" w:eastAsia="仿宋_GB2312" w:cs="Times New Roman" w:hint="eastAsia"/>
          <w:sz w:val="32"/>
          <w:szCs w:val="32"/>
          <w:lang w:eastAsia="zh-CN"/>
        </w:rPr>
        <w:t xml:space="preserve">对被判处管制、拘役、剥夺政治权利的罪犯和监外执行的罪犯执行刑罚，对被宣告缓刑、假释的罪犯实行监督、考察。 </w:t>
      </w:r>
    </w:p>
    <w:p>
      <w:pPr>
        <w:keepNext w:val="0"/>
        <w:keepLines w:val="0"/>
        <w:pageBreakBefore w:val="0"/>
        <w:widowControl w:val="0"/>
        <w:kinsoku/>
        <w:wordWrap/>
        <w:overflowPunct/>
        <w:topLinePunct w:val="0"/>
        <w:autoSpaceDE/>
        <w:autoSpaceDN/>
        <w:bidi w:val="0"/>
        <w:adjustRightInd/>
        <w:spacing w:line="576" w:lineRule="exact"/>
        <w:ind w:firstLine="660"/>
        <w:textAlignment w:val="auto"/>
        <w:rPr>
          <w:rFonts w:ascii="仿宋_GB2312" w:eastAsia="仿宋_GB2312" w:cs="Times New Roman" w:hint="eastAsia"/>
          <w:sz w:val="32"/>
          <w:szCs w:val="32"/>
          <w:lang w:eastAsia="zh-CN"/>
        </w:rPr>
      </w:pPr>
      <w:r>
        <w:rPr>
          <w:rFonts w:ascii="仿宋_GB2312" w:eastAsia="仿宋_GB2312" w:cs="Times New Roman" w:hint="eastAsia"/>
          <w:sz w:val="32"/>
          <w:szCs w:val="32"/>
          <w:lang w:eastAsia="zh-CN"/>
        </w:rPr>
        <w:t>10</w:t>
      </w:r>
      <w:r>
        <w:rPr>
          <w:rFonts w:ascii="仿宋_GB2312" w:eastAsia="仿宋_GB2312" w:cs="Times New Roman" w:hint="eastAsia"/>
          <w:sz w:val="32"/>
          <w:szCs w:val="32"/>
          <w:lang w:val="en-US" w:eastAsia="zh-CN"/>
        </w:rPr>
        <w:t>.</w:t>
      </w:r>
      <w:r>
        <w:rPr>
          <w:rFonts w:ascii="仿宋_GB2312" w:eastAsia="仿宋_GB2312" w:cs="Times New Roman" w:hint="eastAsia"/>
          <w:sz w:val="32"/>
          <w:szCs w:val="32"/>
          <w:lang w:eastAsia="zh-CN"/>
        </w:rPr>
        <w:t xml:space="preserve">监督管理计算机信息系统的安全保护工作。 </w:t>
      </w:r>
    </w:p>
    <w:p>
      <w:pPr>
        <w:keepNext w:val="0"/>
        <w:keepLines w:val="0"/>
        <w:pageBreakBefore w:val="0"/>
        <w:widowControl w:val="0"/>
        <w:kinsoku/>
        <w:wordWrap/>
        <w:overflowPunct/>
        <w:topLinePunct w:val="0"/>
        <w:autoSpaceDE/>
        <w:autoSpaceDN/>
        <w:bidi w:val="0"/>
        <w:adjustRightInd/>
        <w:spacing w:line="576" w:lineRule="exact"/>
        <w:ind w:firstLine="660"/>
        <w:textAlignment w:val="auto"/>
        <w:rPr>
          <w:rFonts w:ascii="仿宋_GB2312" w:eastAsia="仿宋_GB2312" w:cs="Times New Roman" w:hint="eastAsia"/>
          <w:sz w:val="32"/>
          <w:szCs w:val="32"/>
          <w:lang w:eastAsia="zh-CN"/>
        </w:rPr>
      </w:pPr>
      <w:r>
        <w:rPr>
          <w:rFonts w:ascii="仿宋_GB2312" w:eastAsia="仿宋_GB2312" w:cs="Times New Roman" w:hint="eastAsia"/>
          <w:sz w:val="32"/>
          <w:szCs w:val="32"/>
          <w:lang w:eastAsia="zh-CN"/>
        </w:rPr>
        <w:t>11</w:t>
      </w:r>
      <w:r>
        <w:rPr>
          <w:rFonts w:ascii="仿宋_GB2312" w:eastAsia="仿宋_GB2312" w:cs="Times New Roman" w:hint="eastAsia"/>
          <w:sz w:val="32"/>
          <w:szCs w:val="32"/>
          <w:lang w:val="en-US" w:eastAsia="zh-CN"/>
        </w:rPr>
        <w:t>.</w:t>
      </w:r>
      <w:r>
        <w:rPr>
          <w:rFonts w:ascii="仿宋_GB2312" w:eastAsia="仿宋_GB2312" w:cs="Times New Roman" w:hint="eastAsia"/>
          <w:sz w:val="32"/>
          <w:szCs w:val="32"/>
          <w:lang w:eastAsia="zh-CN"/>
        </w:rPr>
        <w:t xml:space="preserve">指导和监督国家机关、社会团体、企业事业组织和重点建设工程的治安保卫工作，指导治安保卫委员会等群众性组织的治安防范工作。 </w:t>
      </w:r>
    </w:p>
    <w:p>
      <w:pPr>
        <w:keepNext w:val="0"/>
        <w:keepLines w:val="0"/>
        <w:pageBreakBefore w:val="0"/>
        <w:widowControl w:val="0"/>
        <w:kinsoku/>
        <w:wordWrap/>
        <w:overflowPunct/>
        <w:topLinePunct w:val="0"/>
        <w:autoSpaceDE/>
        <w:autoSpaceDN/>
        <w:bidi w:val="0"/>
        <w:adjustRightInd/>
        <w:spacing w:line="576" w:lineRule="exact"/>
        <w:ind w:firstLine="660"/>
        <w:textAlignment w:val="auto"/>
        <w:rPr>
          <w:rFonts w:ascii="仿宋_GB2312" w:eastAsia="仿宋_GB2312" w:cs="Times New Roman" w:hint="eastAsia"/>
          <w:sz w:val="32"/>
          <w:szCs w:val="32"/>
          <w:lang w:eastAsia="zh-CN"/>
        </w:rPr>
      </w:pPr>
      <w:r>
        <w:rPr>
          <w:rFonts w:ascii="仿宋_GB2312" w:eastAsia="仿宋_GB2312" w:cs="Times New Roman" w:hint="eastAsia"/>
          <w:sz w:val="32"/>
          <w:szCs w:val="32"/>
          <w:lang w:eastAsia="zh-CN"/>
        </w:rPr>
        <w:t>12</w:t>
      </w:r>
      <w:r>
        <w:rPr>
          <w:rFonts w:ascii="仿宋_GB2312" w:eastAsia="仿宋_GB2312" w:cs="Times New Roman" w:hint="eastAsia"/>
          <w:sz w:val="32"/>
          <w:szCs w:val="32"/>
          <w:lang w:val="en-US" w:eastAsia="zh-CN"/>
        </w:rPr>
        <w:t>.</w:t>
      </w:r>
      <w:r>
        <w:rPr>
          <w:rFonts w:ascii="仿宋_GB2312" w:eastAsia="仿宋_GB2312" w:cs="Times New Roman" w:hint="eastAsia"/>
          <w:sz w:val="32"/>
          <w:szCs w:val="32"/>
          <w:lang w:eastAsia="zh-CN"/>
        </w:rPr>
        <w:t>法律、法规规定的其他职责。</w:t>
      </w:r>
    </w:p>
    <w:p>
      <w:pPr>
        <w:keepNext w:val="0"/>
        <w:keepLines w:val="0"/>
        <w:pageBreakBefore w:val="0"/>
        <w:widowControl w:val="0"/>
        <w:kinsoku/>
        <w:wordWrap/>
        <w:overflowPunct/>
        <w:topLinePunct w:val="0"/>
        <w:autoSpaceDE/>
        <w:autoSpaceDN/>
        <w:bidi w:val="0"/>
        <w:adjustRightInd/>
        <w:spacing w:line="576" w:lineRule="exact"/>
        <w:ind w:firstLine="660"/>
        <w:textAlignment w:val="auto"/>
        <w:rPr>
          <w:rFonts w:ascii="楷体" w:eastAsia="楷体" w:cs="楷体"/>
          <w:b/>
          <w:bCs/>
          <w:sz w:val="32"/>
          <w:szCs w:val="32"/>
          <w:lang w:val="en-US" w:eastAsia="zh-CN"/>
        </w:rPr>
      </w:pPr>
      <w:r>
        <w:rPr>
          <w:rFonts w:ascii="楷体" w:eastAsia="楷体" w:cs="楷体" w:hint="eastAsia"/>
          <w:b/>
          <w:bCs/>
          <w:sz w:val="32"/>
          <w:szCs w:val="32"/>
          <w:lang w:eastAsia="zh-CN"/>
        </w:rPr>
        <w:t>（二）</w:t>
      </w:r>
      <w:r>
        <w:rPr>
          <w:rFonts w:ascii="楷体" w:eastAsia="楷体" w:cs="楷体" w:hint="eastAsia"/>
          <w:b/>
          <w:bCs/>
          <w:sz w:val="32"/>
          <w:szCs w:val="32"/>
          <w:lang w:val="en-US" w:eastAsia="zh-CN"/>
        </w:rPr>
        <w:t>2023年重点工作完成情况</w:t>
      </w:r>
    </w:p>
    <w:p>
      <w:pPr>
        <w:keepNext w:val="0"/>
        <w:keepLines w:val="0"/>
        <w:pageBreakBefore w:val="0"/>
        <w:widowControl w:val="0"/>
        <w:kinsoku/>
        <w:wordWrap/>
        <w:overflowPunct/>
        <w:topLinePunct w:val="0"/>
        <w:autoSpaceDE/>
        <w:autoSpaceDN/>
        <w:bidi w:val="0"/>
        <w:adjustRightInd/>
        <w:spacing w:line="576" w:lineRule="exact"/>
        <w:ind w:firstLine="660"/>
        <w:textAlignment w:val="auto"/>
        <w:rPr>
          <w:rFonts w:ascii="仿宋_GB2312" w:eastAsia="仿宋_GB2312" w:cs="Times New Roman" w:hint="eastAsia"/>
          <w:sz w:val="32"/>
          <w:szCs w:val="32"/>
          <w:lang w:eastAsia="zh-CN"/>
        </w:rPr>
      </w:pPr>
      <w:r>
        <w:rPr>
          <w:rFonts w:ascii="仿宋_GB2312" w:eastAsia="仿宋_GB2312" w:cs="Times New Roman" w:hint="eastAsia"/>
          <w:sz w:val="32"/>
          <w:szCs w:val="32"/>
          <w:lang w:eastAsia="zh-CN"/>
        </w:rPr>
        <w:t>2023年，州公安局紧扣州委“一州两区三家园”战略新目标、四川公安“一三五七”发展战略和“新篇”系列专项行动，紧抓聚焦一个中心、开展三个行动、抓紧五个着力的“135”工作思路统筹推进各项工作，特别是紧扣成都大运会、阿坝州成立70周年安保以及3月、7月敏感节点维稳，坚持中心居中、大事大抓、全力以赴、攻坚克难，实现了“四不”目标和“半点事都不出”，确保了全州政治社会大局持续全面安全稳定，先后获得</w:t>
      </w:r>
      <w:r>
        <w:rPr>
          <w:rFonts w:ascii="仿宋_GB2312" w:eastAsia="仿宋_GB2312" w:cs="Times New Roman"/>
          <w:sz w:val="32"/>
          <w:szCs w:val="32"/>
          <w:lang w:eastAsia="zh-CN"/>
        </w:rPr>
        <w:t>四川</w:t>
      </w:r>
      <w:r>
        <w:rPr>
          <w:rFonts w:ascii="仿宋_GB2312" w:eastAsia="仿宋_GB2312" w:cs="Times New Roman" w:hint="eastAsia"/>
          <w:sz w:val="32"/>
          <w:szCs w:val="32"/>
          <w:lang w:eastAsia="zh-CN"/>
        </w:rPr>
        <w:t>省人大常委会副主任、州委书记刘坪，副省长、</w:t>
      </w:r>
      <w:r>
        <w:rPr>
          <w:rFonts w:ascii="仿宋_GB2312" w:eastAsia="仿宋_GB2312" w:cs="Times New Roman"/>
          <w:sz w:val="32"/>
          <w:szCs w:val="32"/>
          <w:lang w:eastAsia="zh-CN"/>
        </w:rPr>
        <w:t>省</w:t>
      </w:r>
      <w:r>
        <w:rPr>
          <w:rFonts w:ascii="仿宋_GB2312" w:eastAsia="仿宋_GB2312" w:cs="Times New Roman" w:hint="eastAsia"/>
          <w:sz w:val="32"/>
          <w:szCs w:val="32"/>
          <w:lang w:eastAsia="zh-CN"/>
        </w:rPr>
        <w:t>公安厅厅长叶寒冰20次肯定性批示；被州委、州政府表扬为阿坝州成立70周年庆祝活动成功举办“突出贡献单位”；全州7个集体被省公安厅记集体二等功，2名民警被省公安厅记个人一等功，7名民警被省公安厅记个人二等功。</w:t>
      </w:r>
    </w:p>
    <w:p>
      <w:pPr>
        <w:pStyle w:val="2"/>
        <w:keepNext/>
        <w:keepLines/>
        <w:pageBreakBefore w:val="0"/>
        <w:widowControl w:val="0"/>
        <w:kinsoku/>
        <w:wordWrap/>
        <w:overflowPunct/>
        <w:topLinePunct w:val="0"/>
        <w:bidi w:val="0"/>
        <w:snapToGrid/>
        <w:spacing w:before="0" w:after="0" w:line="576" w:lineRule="exact"/>
        <w:ind w:firstLineChars="200" w:firstLine="640"/>
        <w:textAlignment w:val="auto"/>
        <w:rPr>
          <w:rFonts w:ascii="黑体" w:eastAsia="黑体"/>
          <w:b w:val="0"/>
        </w:rPr>
      </w:pPr>
      <w:r>
        <w:rPr>
          <w:rFonts w:ascii="黑体" w:eastAsia="黑体" w:hint="eastAsia"/>
          <w:b w:val="0"/>
        </w:rPr>
        <w:t>二、机构设置</w:t>
      </w:r>
    </w:p>
    <w:p>
      <w:pPr>
        <w:keepNext w:val="0"/>
        <w:keepLines w:val="0"/>
        <w:pageBreakBefore w:val="0"/>
        <w:widowControl w:val="0"/>
        <w:kinsoku/>
        <w:wordWrap/>
        <w:overflowPunct/>
        <w:topLinePunct w:val="0"/>
        <w:autoSpaceDE/>
        <w:autoSpaceDN/>
        <w:bidi w:val="0"/>
        <w:adjustRightInd/>
        <w:spacing w:line="576" w:lineRule="exact"/>
        <w:ind w:firstLineChars="100" w:firstLine="320"/>
        <w:textAlignment w:val="auto"/>
        <w:rPr>
          <w:rFonts w:ascii="楷体" w:eastAsia="楷体" w:cs="楷体" w:hint="eastAsia"/>
          <w:b/>
          <w:bCs/>
          <w:sz w:val="32"/>
          <w:szCs w:val="32"/>
          <w:lang w:val="en-US" w:eastAsia="zh-CN"/>
        </w:rPr>
      </w:pPr>
      <w:bookmarkEnd w:id="14"/>
      <w:bookmarkEnd w:id="15"/>
      <w:r>
        <w:rPr>
          <w:rFonts w:ascii="楷体" w:eastAsia="楷体" w:cs="楷体" w:hint="eastAsia"/>
          <w:b/>
          <w:bCs/>
          <w:sz w:val="32"/>
          <w:szCs w:val="32"/>
          <w:lang w:val="en-US" w:eastAsia="zh-CN"/>
        </w:rPr>
        <w:t>（一）内设机构情况</w:t>
      </w:r>
    </w:p>
    <w:p>
      <w:pPr>
        <w:keepNext w:val="0"/>
        <w:keepLines w:val="0"/>
        <w:pageBreakBefore w:val="0"/>
        <w:widowControl w:val="0"/>
        <w:kinsoku/>
        <w:wordWrap/>
        <w:overflowPunct/>
        <w:topLinePunct w:val="0"/>
        <w:autoSpaceDE/>
        <w:autoSpaceDN/>
        <w:bidi w:val="0"/>
        <w:adjustRightInd/>
        <w:spacing w:line="576" w:lineRule="exact"/>
        <w:ind w:firstLineChars="100" w:firstLine="320"/>
        <w:textAlignment w:val="auto"/>
        <w:rPr>
          <w:rFonts w:ascii="仿宋_GB2312" w:eastAsia="仿宋_GB2312" w:cs="Times New Roman"/>
          <w:sz w:val="32"/>
          <w:szCs w:val="32"/>
        </w:rPr>
      </w:pPr>
      <w:r>
        <w:rPr>
          <w:rFonts w:ascii="仿宋_GB2312" w:eastAsia="仿宋_GB2312" w:cs="Times New Roman" w:hint="eastAsia"/>
          <w:sz w:val="32"/>
          <w:szCs w:val="32"/>
          <w:lang w:eastAsia="zh-CN"/>
        </w:rPr>
        <w:t>阿坝</w:t>
      </w:r>
      <w:r>
        <w:rPr>
          <w:rFonts w:ascii="仿宋_GB2312" w:eastAsia="仿宋_GB2312" w:cs="Times New Roman" w:hint="eastAsia"/>
          <w:sz w:val="32"/>
          <w:szCs w:val="32"/>
        </w:rPr>
        <w:t>州</w:t>
      </w:r>
      <w:r>
        <w:rPr>
          <w:rFonts w:ascii="仿宋_GB2312" w:eastAsia="仿宋_GB2312" w:cs="Times New Roman"/>
          <w:sz w:val="32"/>
          <w:szCs w:val="32"/>
        </w:rPr>
        <w:t>公安局</w:t>
      </w:r>
      <w:r>
        <w:rPr>
          <w:rFonts w:ascii="仿宋_GB2312" w:eastAsia="仿宋_GB2312" w:cs="Times New Roman" w:hint="eastAsia"/>
          <w:sz w:val="32"/>
          <w:szCs w:val="32"/>
        </w:rPr>
        <w:t>是</w:t>
      </w:r>
      <w:r>
        <w:rPr>
          <w:rFonts w:ascii="仿宋_GB2312" w:eastAsia="仿宋_GB2312" w:cs="Times New Roman"/>
          <w:sz w:val="32"/>
          <w:szCs w:val="32"/>
        </w:rPr>
        <w:t>州政府主管全州公安工作的职能</w:t>
      </w:r>
      <w:r>
        <w:rPr>
          <w:rFonts w:ascii="仿宋_GB2312" w:eastAsia="仿宋_GB2312" w:cs="Times New Roman" w:hint="eastAsia"/>
          <w:sz w:val="32"/>
          <w:szCs w:val="32"/>
        </w:rPr>
        <w:t>部门，</w:t>
      </w:r>
      <w:r>
        <w:rPr>
          <w:rFonts w:ascii="仿宋_GB2312" w:eastAsia="仿宋_GB2312" w:cs="Times New Roman"/>
          <w:sz w:val="32"/>
          <w:szCs w:val="32"/>
        </w:rPr>
        <w:t>属</w:t>
      </w:r>
      <w:r>
        <w:rPr>
          <w:rFonts w:ascii="仿宋_GB2312" w:eastAsia="仿宋_GB2312" w:cs="Times New Roman" w:hint="eastAsia"/>
          <w:sz w:val="32"/>
          <w:szCs w:val="32"/>
        </w:rPr>
        <w:t>一</w:t>
      </w:r>
      <w:r>
        <w:rPr>
          <w:rFonts w:ascii="仿宋_GB2312" w:eastAsia="仿宋_GB2312" w:cs="Times New Roman"/>
          <w:sz w:val="32"/>
          <w:szCs w:val="32"/>
        </w:rPr>
        <w:t>级预算单位</w:t>
      </w:r>
      <w:r>
        <w:rPr>
          <w:rFonts w:ascii="仿宋_GB2312" w:eastAsia="仿宋_GB2312" w:cs="Times New Roman" w:hint="eastAsia"/>
          <w:sz w:val="32"/>
          <w:szCs w:val="32"/>
          <w:lang w:eastAsia="zh-CN"/>
        </w:rPr>
        <w:t>。阿坝州公安局内设机构</w:t>
      </w:r>
      <w:r>
        <w:rPr>
          <w:rFonts w:ascii="仿宋_GB2312" w:eastAsia="仿宋_GB2312" w:cs="Times New Roman"/>
          <w:sz w:val="32"/>
          <w:szCs w:val="32"/>
        </w:rPr>
        <w:t>3</w:t>
      </w:r>
      <w:r>
        <w:rPr>
          <w:rFonts w:ascii="仿宋_GB2312" w:eastAsia="仿宋_GB2312" w:cs="Times New Roman" w:hint="eastAsia"/>
          <w:sz w:val="32"/>
          <w:szCs w:val="32"/>
          <w:lang w:val="en-US" w:eastAsia="zh-CN"/>
        </w:rPr>
        <w:t>1</w:t>
      </w:r>
      <w:r>
        <w:rPr>
          <w:rFonts w:ascii="仿宋_GB2312" w:eastAsia="仿宋_GB2312" w:cs="Times New Roman" w:hint="eastAsia"/>
          <w:sz w:val="32"/>
          <w:szCs w:val="32"/>
        </w:rPr>
        <w:t>个</w:t>
      </w:r>
      <w:r>
        <w:rPr>
          <w:rFonts w:ascii="仿宋_GB2312" w:eastAsia="仿宋_GB2312" w:cs="Times New Roman" w:hint="eastAsia"/>
          <w:sz w:val="32"/>
          <w:szCs w:val="32"/>
          <w:lang w:eastAsia="zh-CN"/>
        </w:rPr>
        <w:t>（含</w:t>
      </w:r>
      <w:r>
        <w:rPr>
          <w:rFonts w:ascii="仿宋_GB2312" w:eastAsia="仿宋_GB2312" w:cs="Times New Roman" w:hint="eastAsia"/>
          <w:sz w:val="32"/>
          <w:szCs w:val="32"/>
          <w:lang w:val="en-US" w:eastAsia="zh-CN"/>
        </w:rPr>
        <w:t>4个驻外分局</w:t>
      </w:r>
      <w:r>
        <w:rPr>
          <w:rFonts w:ascii="仿宋_GB2312" w:eastAsia="仿宋_GB2312" w:cs="Times New Roman" w:hint="eastAsia"/>
          <w:sz w:val="32"/>
          <w:szCs w:val="32"/>
          <w:lang w:eastAsia="zh-CN"/>
        </w:rPr>
        <w:t>），</w:t>
      </w:r>
      <w:r>
        <w:rPr>
          <w:rFonts w:ascii="仿宋_GB2312" w:eastAsia="仿宋_GB2312" w:cs="Times New Roman"/>
          <w:sz w:val="32"/>
          <w:szCs w:val="32"/>
        </w:rPr>
        <w:t>包括</w:t>
      </w:r>
      <w:r>
        <w:rPr>
          <w:rFonts w:ascii="仿宋_GB2312" w:eastAsia="仿宋_GB2312" w:cs="Times New Roman" w:hint="eastAsia"/>
          <w:sz w:val="32"/>
          <w:szCs w:val="32"/>
        </w:rPr>
        <w:t>：</w:t>
      </w:r>
      <w:r>
        <w:rPr>
          <w:rFonts w:ascii="仿宋_GB2312" w:eastAsia="仿宋_GB2312" w:cs="Times New Roman" w:hint="eastAsia"/>
          <w:sz w:val="32"/>
          <w:szCs w:val="32"/>
          <w:lang w:eastAsia="zh-CN"/>
        </w:rPr>
        <w:t>州纪委驻州公安局纪检组、机关党委、政治部、办公室、情指中心、政保支队、警卫处、治安管理支队、监所管理支队、州强制戒毒所、刑侦支队、科通支队、出入境支队、交警支队、物证鉴定所、反恐支队、督察支队、技侦支队、警务保障处、森警支队、法制支队、经侦支队、禁毒支队、网安支队、行政审批处、食药环支队、特警支队、九黄机场分局、红原机场分局、卧龙分局、双江口分局</w:t>
      </w:r>
      <w:r>
        <w:rPr>
          <w:rFonts w:ascii="仿宋_GB2312" w:eastAsia="仿宋_GB2312" w:cs="Times New Roman"/>
          <w:sz w:val="32"/>
          <w:szCs w:val="32"/>
        </w:rPr>
        <w:t>。</w:t>
      </w:r>
    </w:p>
    <w:p>
      <w:pPr>
        <w:pStyle w:val="27"/>
        <w:rPr>
          <w:rFonts w:ascii="楷体" w:eastAsia="楷体" w:cs="楷体" w:hint="eastAsia"/>
          <w:b/>
          <w:bCs/>
          <w:lang w:val="en-US" w:eastAsia="zh-CN"/>
        </w:rPr>
      </w:pPr>
      <w:r>
        <w:rPr>
          <w:rFonts w:ascii="楷体" w:eastAsia="楷体" w:cs="楷体" w:hint="eastAsia"/>
          <w:b/>
          <w:bCs/>
          <w:sz w:val="32"/>
          <w:szCs w:val="32"/>
          <w:lang w:val="en-US" w:eastAsia="zh-CN"/>
        </w:rPr>
        <w:t xml:space="preserve">    （二）人员配备情况</w:t>
      </w:r>
    </w:p>
    <w:p>
      <w:pPr>
        <w:keepNext w:val="0"/>
        <w:keepLines w:val="0"/>
        <w:pageBreakBefore w:val="0"/>
        <w:widowControl w:val="0"/>
        <w:kinsoku/>
        <w:wordWrap/>
        <w:overflowPunct/>
        <w:topLinePunct w:val="0"/>
        <w:autoSpaceDE/>
        <w:autoSpaceDN/>
        <w:bidi w:val="0"/>
        <w:adjustRightInd/>
        <w:spacing w:line="576" w:lineRule="exact"/>
        <w:ind w:firstLine="660"/>
        <w:textAlignment w:val="auto"/>
        <w:rPr>
          <w:rFonts w:ascii="仿宋_GB2312" w:eastAsia="仿宋_GB2312" w:cs="Times New Roman" w:hint="eastAsia"/>
          <w:sz w:val="32"/>
          <w:szCs w:val="32"/>
          <w:lang w:val="en-US" w:eastAsia="zh-CN"/>
        </w:rPr>
      </w:pPr>
      <w:r>
        <w:rPr>
          <w:rFonts w:ascii="仿宋_GB2312" w:eastAsia="仿宋_GB2312" w:cs="Times New Roman" w:hint="eastAsia"/>
          <w:sz w:val="32"/>
          <w:szCs w:val="32"/>
          <w:lang w:val="en-US" w:eastAsia="zh-CN"/>
        </w:rPr>
        <w:t>本单位本年度纳入本套决算编制范围的独立编制机构数共1个，比上年增加0个；独立核算机构数共1个，比上年增加0个。本单位本年度年末实有人数为XXX人，比上年增加XX人；变动原因：增加新招录人员、特警暂未分流，人员净增加XX人。年末实有离退休人数为X人，年末实有其他人数为XX人，比上年减少XX人；变动原因：部分辅助人员离职。</w:t>
      </w:r>
    </w:p>
    <w:p>
      <w:pPr>
        <w:keepNext w:val="0"/>
        <w:keepLines w:val="0"/>
        <w:pageBreakBefore w:val="0"/>
        <w:widowControl w:val="0"/>
        <w:kinsoku/>
        <w:wordWrap/>
        <w:overflowPunct/>
        <w:topLinePunct w:val="0"/>
        <w:autoSpaceDE/>
        <w:autoSpaceDN/>
        <w:bidi w:val="0"/>
        <w:adjustRightInd/>
        <w:spacing w:line="576" w:lineRule="exact"/>
        <w:ind w:firstLine="660"/>
        <w:textAlignment w:val="auto"/>
        <w:rPr>
          <w:rFonts w:ascii="仿宋_GB2312" w:eastAsia="仿宋_GB2312" w:cs="Times New Roman" w:hint="eastAsia"/>
          <w:sz w:val="32"/>
          <w:szCs w:val="32"/>
          <w:lang w:val="en-US" w:eastAsia="zh-CN"/>
        </w:rPr>
      </w:pPr>
      <w:r>
        <w:rPr>
          <w:rFonts w:ascii="仿宋_GB2312" w:eastAsia="仿宋_GB2312" w:cs="Times New Roman" w:hint="eastAsia"/>
          <w:sz w:val="32"/>
          <w:szCs w:val="32"/>
          <w:lang w:val="en-US" w:eastAsia="zh-CN"/>
        </w:rPr>
        <w:t xml:space="preserve"> </w:t>
      </w:r>
    </w:p>
    <w:p>
      <w:pPr>
        <w:pageBreakBefore w:val="0"/>
        <w:widowControl/>
        <w:kinsoku/>
        <w:wordWrap/>
        <w:overflowPunct/>
        <w:topLinePunct w:val="0"/>
        <w:bidi w:val="0"/>
        <w:snapToGrid/>
        <w:spacing w:line="576" w:lineRule="exact"/>
        <w:jc w:val="left"/>
        <w:textAlignment w:val="auto"/>
        <w:rPr>
          <w:rFonts w:ascii="仿宋" w:eastAsia="仿宋"/>
          <w:sz w:val="32"/>
          <w:szCs w:val="32"/>
        </w:rPr>
      </w:pPr>
      <w:r>
        <w:rPr>
          <w:rFonts w:ascii="仿宋" w:eastAsia="仿宋"/>
          <w:sz w:val="32"/>
          <w:szCs w:val="32"/>
        </w:rPr>
        <w:br w:type="page"/>
      </w:r>
    </w:p>
    <w:p>
      <w:pPr>
        <w:pStyle w:val="1"/>
        <w:keepNext/>
        <w:keepLines/>
        <w:pageBreakBefore w:val="0"/>
        <w:widowControl w:val="0"/>
        <w:kinsoku/>
        <w:wordWrap/>
        <w:overflowPunct/>
        <w:topLinePunct w:val="0"/>
        <w:bidi w:val="0"/>
        <w:snapToGrid/>
        <w:spacing w:before="0" w:after="0" w:line="576" w:lineRule="exact"/>
        <w:ind w:right="440"/>
        <w:jc w:val="center"/>
        <w:textAlignment w:val="auto"/>
        <w:rPr>
          <w:rStyle w:val="1Char"/>
          <w:rFonts w:ascii="黑体" w:eastAsia="黑体"/>
          <w:b w:val="0"/>
          <w:bCs/>
        </w:rPr>
      </w:pPr>
      <w:bookmarkStart w:id="16" w:name="_Toc15396602"/>
      <w:bookmarkStart w:id="17" w:name="_Toc15377204"/>
      <w:r>
        <w:rPr>
          <w:rFonts w:ascii="黑体" w:eastAsia="黑体" w:hint="eastAsia"/>
          <w:b w:val="0"/>
        </w:rPr>
        <w:t>第二部分 2023年度</w:t>
      </w:r>
      <w:r>
        <w:rPr>
          <w:rStyle w:val="1Char"/>
          <w:rFonts w:ascii="黑体" w:eastAsia="黑体" w:hint="eastAsia"/>
          <w:b w:val="0"/>
          <w:bCs/>
        </w:rPr>
        <w:t>单位决算情况说明</w:t>
      </w:r>
      <w:bookmarkEnd w:id="16"/>
      <w:bookmarkEnd w:id="17"/>
    </w:p>
    <w:p>
      <w:pPr>
        <w:pageBreakBefore w:val="0"/>
        <w:widowControl w:val="0"/>
        <w:kinsoku/>
        <w:wordWrap/>
        <w:overflowPunct/>
        <w:topLinePunct w:val="0"/>
        <w:bidi w:val="0"/>
        <w:snapToGrid/>
        <w:spacing w:line="576" w:lineRule="exact"/>
        <w:textAlignment w:val="auto"/>
      </w:pPr>
    </w:p>
    <w:p>
      <w:pPr>
        <w:pStyle w:val="33"/>
        <w:pageBreakBefore w:val="0"/>
        <w:widowControl w:val="0"/>
        <w:numPr>
          <w:ilvl w:val="0"/>
          <w:numId w:val="1"/>
        </w:numPr>
        <w:kinsoku/>
        <w:wordWrap/>
        <w:overflowPunct/>
        <w:topLinePunct w:val="0"/>
        <w:bidi w:val="0"/>
        <w:snapToGrid/>
        <w:spacing w:line="576" w:lineRule="exact"/>
        <w:ind w:firstLineChars="0"/>
        <w:textAlignment w:val="auto"/>
        <w:outlineLvl w:val="1"/>
        <w:rPr>
          <w:rStyle w:val="2Char"/>
          <w:rFonts w:ascii="黑体" w:eastAsia="黑体"/>
          <w:b w:val="0"/>
        </w:rPr>
      </w:pPr>
      <w:bookmarkStart w:id="18" w:name="_Toc15377205"/>
      <w:bookmarkStart w:id="19" w:name="_Toc15396603"/>
      <w:r>
        <w:rPr>
          <w:rFonts w:ascii="黑体" w:eastAsia="黑体" w:hint="eastAsia"/>
          <w:sz w:val="32"/>
          <w:szCs w:val="32"/>
        </w:rPr>
        <w:t>收</w:t>
      </w:r>
      <w:r>
        <w:rPr>
          <w:rStyle w:val="2Char"/>
          <w:rFonts w:ascii="黑体" w:eastAsia="黑体" w:hint="eastAsia"/>
          <w:b w:val="0"/>
        </w:rPr>
        <w:t>入支出决算总体情况说明</w:t>
      </w:r>
      <w:bookmarkEnd w:id="18"/>
      <w:bookmarkEnd w:id="19"/>
    </w:p>
    <w:p>
      <w:pPr>
        <w:pageBreakBefore w:val="0"/>
        <w:widowControl w:val="0"/>
        <w:kinsoku/>
        <w:wordWrap/>
        <w:overflowPunct/>
        <w:topLinePunct w:val="0"/>
        <w:bidi w:val="0"/>
        <w:snapToGrid/>
        <w:spacing w:line="576" w:lineRule="exact"/>
        <w:ind w:firstLineChars="200" w:firstLine="640"/>
        <w:textAlignment w:val="auto"/>
        <w:rPr>
          <w:rFonts w:ascii="仿宋" w:eastAsia="仿宋" w:hint="eastAsia"/>
          <w:sz w:val="32"/>
          <w:szCs w:val="32"/>
        </w:rPr>
      </w:pPr>
      <w:r>
        <w:rPr>
          <w:rFonts w:ascii="仿宋" w:eastAsia="仿宋" w:hint="eastAsia"/>
          <w:sz w:val="32"/>
          <w:szCs w:val="32"/>
        </w:rPr>
        <w:t>2023年度收、支总计均为</w:t>
      </w:r>
      <w:r>
        <w:rPr>
          <w:rFonts w:ascii="仿宋" w:eastAsia="仿宋" w:hint="eastAsia"/>
          <w:b/>
          <w:sz w:val="32"/>
          <w:szCs w:val="32"/>
        </w:rPr>
        <w:t>27</w:t>
      </w:r>
      <w:r>
        <w:rPr>
          <w:rFonts w:ascii="仿宋" w:eastAsia="仿宋" w:hint="eastAsia"/>
          <w:b/>
          <w:sz w:val="32"/>
          <w:szCs w:val="32"/>
          <w:lang w:val="en-US" w:eastAsia="zh-CN"/>
        </w:rPr>
        <w:t>,</w:t>
      </w:r>
      <w:r>
        <w:rPr>
          <w:rFonts w:ascii="仿宋" w:eastAsia="仿宋" w:hint="eastAsia"/>
          <w:b/>
          <w:sz w:val="32"/>
          <w:szCs w:val="32"/>
        </w:rPr>
        <w:t>574.87</w:t>
      </w:r>
      <w:r>
        <w:rPr>
          <w:rFonts w:ascii="仿宋" w:eastAsia="仿宋" w:hint="eastAsia"/>
          <w:sz w:val="32"/>
          <w:szCs w:val="32"/>
        </w:rPr>
        <w:t>万元。与2022年度相比，收</w:t>
      </w:r>
      <w:r>
        <w:rPr>
          <w:rFonts w:ascii="仿宋" w:eastAsia="仿宋" w:hint="eastAsia"/>
          <w:sz w:val="32"/>
          <w:szCs w:val="32"/>
          <w:lang w:eastAsia="zh-CN"/>
        </w:rPr>
        <w:t>入总计</w:t>
      </w:r>
      <w:r>
        <w:rPr>
          <w:rFonts w:ascii="仿宋" w:eastAsia="仿宋" w:hint="eastAsia"/>
          <w:sz w:val="32"/>
          <w:szCs w:val="32"/>
        </w:rPr>
        <w:t>增加</w:t>
      </w:r>
      <w:r>
        <w:rPr>
          <w:rFonts w:ascii="仿宋" w:eastAsia="仿宋" w:hint="eastAsia"/>
          <w:sz w:val="32"/>
          <w:szCs w:val="32"/>
          <w:lang w:val="en-US" w:eastAsia="zh-CN"/>
        </w:rPr>
        <w:t>2,252.9万元</w:t>
      </w:r>
      <w:r>
        <w:rPr>
          <w:rFonts w:ascii="仿宋" w:eastAsia="仿宋" w:hint="eastAsia"/>
          <w:sz w:val="32"/>
          <w:szCs w:val="32"/>
        </w:rPr>
        <w:t>、增长</w:t>
      </w:r>
      <w:r>
        <w:rPr>
          <w:rFonts w:ascii="仿宋" w:eastAsia="仿宋" w:hint="eastAsia"/>
          <w:sz w:val="32"/>
          <w:szCs w:val="32"/>
          <w:lang w:val="en-US" w:eastAsia="zh-CN"/>
        </w:rPr>
        <w:t>8.89</w:t>
      </w:r>
      <w:r>
        <w:rPr>
          <w:rFonts w:ascii="仿宋" w:eastAsia="仿宋"/>
          <w:sz w:val="32"/>
          <w:szCs w:val="32"/>
        </w:rPr>
        <w:t>%</w:t>
      </w:r>
      <w:r>
        <w:rPr>
          <w:rFonts w:ascii="仿宋" w:eastAsia="仿宋" w:hint="eastAsia"/>
          <w:sz w:val="32"/>
          <w:szCs w:val="32"/>
          <w:lang w:eastAsia="zh-CN"/>
        </w:rPr>
        <w:t>；</w:t>
      </w:r>
      <w:r>
        <w:rPr>
          <w:rFonts w:ascii="仿宋" w:eastAsia="仿宋" w:hint="eastAsia"/>
          <w:sz w:val="32"/>
          <w:szCs w:val="32"/>
        </w:rPr>
        <w:t>支</w:t>
      </w:r>
      <w:r>
        <w:rPr>
          <w:rFonts w:ascii="仿宋" w:eastAsia="仿宋" w:hint="eastAsia"/>
          <w:sz w:val="32"/>
          <w:szCs w:val="32"/>
          <w:lang w:eastAsia="zh-CN"/>
        </w:rPr>
        <w:t>出</w:t>
      </w:r>
      <w:r>
        <w:rPr>
          <w:rFonts w:ascii="仿宋" w:eastAsia="仿宋" w:hint="eastAsia"/>
          <w:sz w:val="32"/>
          <w:szCs w:val="32"/>
        </w:rPr>
        <w:t>总计增加</w:t>
      </w:r>
      <w:r>
        <w:rPr>
          <w:rFonts w:ascii="仿宋" w:eastAsia="仿宋" w:hint="eastAsia"/>
          <w:sz w:val="32"/>
          <w:szCs w:val="32"/>
          <w:lang w:val="en-US" w:eastAsia="zh-CN"/>
        </w:rPr>
        <w:t>2,252.9万元</w:t>
      </w:r>
      <w:r>
        <w:rPr>
          <w:rFonts w:ascii="仿宋" w:eastAsia="仿宋" w:hint="eastAsia"/>
          <w:sz w:val="32"/>
          <w:szCs w:val="32"/>
        </w:rPr>
        <w:t>、增长</w:t>
      </w:r>
      <w:r>
        <w:rPr>
          <w:rFonts w:ascii="仿宋" w:eastAsia="仿宋" w:hint="eastAsia"/>
          <w:sz w:val="32"/>
          <w:szCs w:val="32"/>
          <w:lang w:val="en-US" w:eastAsia="zh-CN"/>
        </w:rPr>
        <w:t>8.89</w:t>
      </w:r>
      <w:r>
        <w:rPr>
          <w:rFonts w:ascii="仿宋" w:eastAsia="仿宋"/>
          <w:sz w:val="32"/>
          <w:szCs w:val="32"/>
        </w:rPr>
        <w:t>%</w:t>
      </w:r>
      <w:r>
        <w:rPr>
          <w:rFonts w:ascii="仿宋" w:eastAsia="仿宋" w:hint="eastAsia"/>
          <w:sz w:val="32"/>
          <w:szCs w:val="32"/>
        </w:rPr>
        <w:t>。主要变动原因</w:t>
      </w:r>
      <w:r>
        <w:rPr>
          <w:rFonts w:ascii="仿宋" w:eastAsia="仿宋" w:hint="eastAsia"/>
          <w:sz w:val="32"/>
          <w:szCs w:val="32"/>
          <w:lang w:eastAsia="zh-CN"/>
        </w:rPr>
        <w:t>：</w:t>
      </w:r>
      <w:r>
        <w:rPr>
          <w:rFonts w:ascii="仿宋" w:eastAsia="仿宋" w:hint="eastAsia"/>
          <w:b/>
          <w:bCs/>
          <w:sz w:val="32"/>
          <w:szCs w:val="32"/>
          <w:lang w:eastAsia="zh-CN"/>
        </w:rPr>
        <w:t>一是</w:t>
      </w:r>
      <w:r>
        <w:rPr>
          <w:rFonts w:ascii="仿宋" w:eastAsia="仿宋" w:hint="eastAsia"/>
          <w:sz w:val="32"/>
          <w:szCs w:val="32"/>
          <w:lang w:val="en-US" w:eastAsia="zh-CN"/>
        </w:rPr>
        <w:t>2023年特警未分流及民警职级晋升调资，导致社会保障和就业支出、医疗保险缴费、卫生健康支出、住房保障支出均比上年度增加。</w:t>
      </w:r>
      <w:r>
        <w:rPr>
          <w:rFonts w:ascii="仿宋" w:eastAsia="仿宋" w:hint="eastAsia"/>
          <w:b/>
          <w:bCs/>
          <w:sz w:val="32"/>
          <w:szCs w:val="32"/>
          <w:lang w:val="en-US" w:eastAsia="zh-CN"/>
        </w:rPr>
        <w:t>二是</w:t>
      </w:r>
      <w:r>
        <w:rPr>
          <w:rFonts w:ascii="仿宋" w:eastAsia="仿宋" w:hint="eastAsia"/>
          <w:sz w:val="32"/>
          <w:szCs w:val="32"/>
          <w:lang w:val="en-US" w:eastAsia="zh-CN"/>
        </w:rPr>
        <w:t>项目支出增加，阿坝州公安交管大数据指挥中心业务技术用房2022年预算1000万元，实际支出175.25万元，2023年预算2000万元，实际支出1,445.37万元</w:t>
      </w:r>
      <w:r>
        <w:rPr>
          <w:rFonts w:ascii="仿宋" w:eastAsia="仿宋" w:hint="eastAsia"/>
          <w:sz w:val="32"/>
          <w:szCs w:val="32"/>
        </w:rPr>
        <w:t>。</w:t>
      </w:r>
    </w:p>
    <w:p>
      <w:pPr>
        <w:pStyle w:val="27"/>
        <w:rPr>
          <w:rFonts w:ascii="仿宋" w:eastAsia="仿宋" w:hint="eastAsia"/>
          <w:sz w:val="32"/>
          <w:szCs w:val="32"/>
          <w:lang w:eastAsia="zh-CN"/>
        </w:rPr>
      </w:pPr>
      <w:r>
        <w:rPr>
          <w:rFonts w:ascii="仿宋" w:eastAsia="仿宋" w:hint="eastAsia"/>
          <w:sz w:val="32"/>
          <w:szCs w:val="32"/>
          <w:lang w:eastAsia="zh-CN"/>
        </w:rPr>
        <w:drawing>
          <wp:anchor distT="0" distB="0" distL="114300" distR="114300" simplePos="0" relativeHeight="20" behindDoc="0" locked="0" layoutInCell="1" hidden="0" allowOverlap="1">
            <wp:simplePos x="0" y="0"/>
            <wp:positionH relativeFrom="column">
              <wp:posOffset>273685</wp:posOffset>
            </wp:positionH>
            <wp:positionV relativeFrom="paragraph">
              <wp:posOffset>119379</wp:posOffset>
            </wp:positionV>
            <wp:extent cx="5079998" cy="3810000"/>
            <wp:effectExtent l="0" t="0" r="0" b="0"/>
            <wp:wrapNone/>
            <wp:docPr id="1" name="图表 1"/>
            <wp:cNvGraphicFramePr>
              <a:graphicFrameLocks noChangeAspect="0"/>
            </wp:cNvGraphicFramePr>
            <a:graphic>
              <a:graphicData uri="http://schemas.openxmlformats.org/drawingml/2006/chart">
                <c:chart xmlns:c="http://schemas.openxmlformats.org/drawingml/2006/chart" r:id="rId4"/>
              </a:graphicData>
            </a:graphic>
          </wp:anchor>
        </w:drawing>
      </w:r>
    </w:p>
    <w:p>
      <w:pPr>
        <w:rPr>
          <w:rFonts w:ascii="仿宋" w:eastAsia="仿宋" w:hint="eastAsia"/>
          <w:sz w:val="32"/>
          <w:szCs w:val="32"/>
        </w:rPr>
      </w:pPr>
    </w:p>
    <w:p>
      <w:pPr>
        <w:pStyle w:val="27"/>
        <w:rPr>
          <w:rFonts w:ascii="仿宋" w:eastAsia="仿宋" w:hint="eastAsia"/>
          <w:sz w:val="32"/>
          <w:szCs w:val="32"/>
        </w:rPr>
      </w:pPr>
    </w:p>
    <w:p>
      <w:pPr>
        <w:rPr>
          <w:rFonts w:ascii="仿宋" w:eastAsia="仿宋" w:hint="eastAsia"/>
          <w:sz w:val="32"/>
          <w:szCs w:val="32"/>
        </w:rPr>
      </w:pPr>
    </w:p>
    <w:p>
      <w:pPr>
        <w:pStyle w:val="27"/>
        <w:rPr>
          <w:rFonts w:ascii="仿宋" w:eastAsia="仿宋" w:hint="eastAsia"/>
          <w:sz w:val="32"/>
          <w:szCs w:val="32"/>
        </w:rPr>
      </w:pPr>
    </w:p>
    <w:p>
      <w:pPr>
        <w:rPr>
          <w:rFonts w:ascii="仿宋" w:eastAsia="仿宋" w:hint="eastAsia"/>
          <w:sz w:val="32"/>
          <w:szCs w:val="32"/>
        </w:rPr>
      </w:pPr>
    </w:p>
    <w:p>
      <w:pPr>
        <w:pStyle w:val="27"/>
        <w:rPr>
          <w:rFonts w:ascii="仿宋" w:eastAsia="仿宋" w:hint="eastAsia"/>
          <w:sz w:val="32"/>
          <w:szCs w:val="32"/>
        </w:rPr>
      </w:pPr>
    </w:p>
    <w:p/>
    <w:p>
      <w:pPr>
        <w:pageBreakBefore w:val="0"/>
        <w:widowControl w:val="0"/>
        <w:kinsoku/>
        <w:wordWrap/>
        <w:overflowPunct/>
        <w:topLinePunct w:val="0"/>
        <w:bidi w:val="0"/>
        <w:snapToGrid/>
        <w:spacing w:line="576" w:lineRule="exact"/>
        <w:ind w:firstLineChars="200" w:firstLine="640"/>
        <w:textAlignment w:val="auto"/>
        <w:rPr>
          <w:rFonts w:ascii="仿宋" w:eastAsia="仿宋" w:hint="eastAsia"/>
          <w:sz w:val="32"/>
          <w:szCs w:val="32"/>
        </w:rPr>
      </w:pPr>
    </w:p>
    <w:p>
      <w:pPr>
        <w:pageBreakBefore w:val="0"/>
        <w:widowControl w:val="0"/>
        <w:kinsoku/>
        <w:wordWrap/>
        <w:overflowPunct/>
        <w:topLinePunct w:val="0"/>
        <w:bidi w:val="0"/>
        <w:snapToGrid/>
        <w:spacing w:line="576" w:lineRule="exact"/>
        <w:ind w:firstLineChars="200" w:firstLine="640"/>
        <w:textAlignment w:val="auto"/>
        <w:rPr>
          <w:rFonts w:ascii="仿宋" w:eastAsia="仿宋" w:hint="eastAsia"/>
          <w:sz w:val="32"/>
          <w:szCs w:val="32"/>
        </w:rPr>
      </w:pPr>
    </w:p>
    <w:p>
      <w:pPr>
        <w:pageBreakBefore w:val="0"/>
        <w:widowControl w:val="0"/>
        <w:kinsoku/>
        <w:wordWrap/>
        <w:overflowPunct/>
        <w:topLinePunct w:val="0"/>
        <w:bidi w:val="0"/>
        <w:snapToGrid/>
        <w:spacing w:line="576" w:lineRule="exact"/>
        <w:ind w:firstLineChars="200" w:firstLine="640"/>
        <w:textAlignment w:val="auto"/>
        <w:rPr>
          <w:rFonts w:ascii="仿宋" w:eastAsia="仿宋" w:hint="eastAsia"/>
          <w:sz w:val="32"/>
          <w:szCs w:val="32"/>
        </w:rPr>
      </w:pPr>
    </w:p>
    <w:p>
      <w:pPr>
        <w:pageBreakBefore w:val="0"/>
        <w:widowControl w:val="0"/>
        <w:kinsoku/>
        <w:wordWrap/>
        <w:overflowPunct/>
        <w:topLinePunct w:val="0"/>
        <w:bidi w:val="0"/>
        <w:snapToGrid/>
        <w:spacing w:line="576" w:lineRule="exact"/>
        <w:ind w:firstLineChars="200" w:firstLine="640"/>
        <w:textAlignment w:val="auto"/>
        <w:rPr>
          <w:rFonts w:ascii="仿宋" w:eastAsia="仿宋"/>
          <w:sz w:val="32"/>
          <w:szCs w:val="32"/>
        </w:rPr>
      </w:pPr>
      <w:r>
        <w:rPr>
          <w:rFonts w:ascii="仿宋" w:eastAsia="仿宋" w:hint="eastAsia"/>
          <w:sz w:val="32"/>
          <w:szCs w:val="32"/>
        </w:rPr>
        <w:t>（图</w:t>
      </w:r>
      <w:r>
        <w:rPr>
          <w:rFonts w:ascii="仿宋" w:eastAsia="仿宋"/>
          <w:sz w:val="32"/>
          <w:szCs w:val="32"/>
        </w:rPr>
        <w:t>1</w:t>
      </w:r>
      <w:r>
        <w:rPr>
          <w:rFonts w:ascii="仿宋" w:eastAsia="仿宋" w:hint="eastAsia"/>
          <w:sz w:val="32"/>
          <w:szCs w:val="32"/>
        </w:rPr>
        <w:t>：收、支决算总计变动情况图）（柱状图）</w:t>
      </w:r>
    </w:p>
    <w:p>
      <w:pPr>
        <w:pStyle w:val="33"/>
        <w:pageBreakBefore w:val="0"/>
        <w:widowControl w:val="0"/>
        <w:numPr>
          <w:ilvl w:val="0"/>
          <w:numId w:val="1"/>
        </w:numPr>
        <w:kinsoku/>
        <w:wordWrap/>
        <w:overflowPunct/>
        <w:topLinePunct w:val="0"/>
        <w:bidi w:val="0"/>
        <w:snapToGrid/>
        <w:spacing w:line="576" w:lineRule="exact"/>
        <w:ind w:firstLineChars="0"/>
        <w:textAlignment w:val="auto"/>
        <w:outlineLvl w:val="1"/>
        <w:rPr>
          <w:rStyle w:val="2Char"/>
          <w:rFonts w:ascii="黑体" w:eastAsia="黑体"/>
          <w:b w:val="0"/>
        </w:rPr>
      </w:pPr>
      <w:bookmarkStart w:id="20" w:name="_Toc15396604"/>
      <w:bookmarkStart w:id="21" w:name="_Toc15377206"/>
      <w:r>
        <w:rPr>
          <w:rFonts w:ascii="黑体" w:eastAsia="黑体" w:hint="eastAsia"/>
          <w:sz w:val="32"/>
          <w:szCs w:val="32"/>
        </w:rPr>
        <w:t>收</w:t>
      </w:r>
      <w:r>
        <w:rPr>
          <w:rStyle w:val="2Char"/>
          <w:rFonts w:ascii="黑体" w:eastAsia="黑体" w:hint="eastAsia"/>
          <w:b w:val="0"/>
        </w:rPr>
        <w:t>入决算情况说明</w:t>
      </w:r>
      <w:bookmarkEnd w:id="20"/>
      <w:bookmarkEnd w:id="21"/>
    </w:p>
    <w:p>
      <w:pPr>
        <w:pageBreakBefore w:val="0"/>
        <w:widowControl w:val="0"/>
        <w:kinsoku/>
        <w:wordWrap/>
        <w:overflowPunct/>
        <w:topLinePunct w:val="0"/>
        <w:bidi w:val="0"/>
        <w:snapToGrid/>
        <w:spacing w:line="576" w:lineRule="exact"/>
        <w:ind w:firstLineChars="200" w:firstLine="640"/>
        <w:textAlignment w:val="auto"/>
        <w:outlineLvl w:val="1"/>
        <w:rPr>
          <w:rFonts w:ascii="仿宋" w:eastAsia="仿宋" w:hint="eastAsia"/>
          <w:b/>
          <w:sz w:val="32"/>
          <w:szCs w:val="32"/>
        </w:rPr>
      </w:pPr>
      <w:r>
        <w:rPr>
          <w:rFonts w:ascii="仿宋" w:eastAsia="仿宋" w:hint="eastAsia"/>
          <w:sz w:val="32"/>
          <w:szCs w:val="32"/>
        </w:rPr>
        <w:t>2023年度本年收入合计</w:t>
      </w:r>
      <w:r>
        <w:rPr>
          <w:rFonts w:ascii="仿宋" w:eastAsia="仿宋"/>
          <w:b/>
          <w:sz w:val="32"/>
          <w:szCs w:val="32"/>
        </w:rPr>
        <w:t>27</w:t>
      </w:r>
      <w:r>
        <w:rPr>
          <w:rFonts w:ascii="仿宋" w:eastAsia="仿宋" w:hint="eastAsia"/>
          <w:b/>
          <w:sz w:val="32"/>
          <w:szCs w:val="32"/>
          <w:lang w:val="en-US" w:eastAsia="zh-CN"/>
        </w:rPr>
        <w:t>,</w:t>
      </w:r>
      <w:r>
        <w:rPr>
          <w:rFonts w:ascii="仿宋" w:eastAsia="仿宋"/>
          <w:b/>
          <w:sz w:val="32"/>
          <w:szCs w:val="32"/>
        </w:rPr>
        <w:t>316.75</w:t>
      </w:r>
      <w:r>
        <w:rPr>
          <w:rFonts w:ascii="仿宋" w:eastAsia="仿宋" w:hint="eastAsia"/>
          <w:sz w:val="32"/>
          <w:szCs w:val="32"/>
        </w:rPr>
        <w:t>万元，其中：一般公共预算财政拨款收入</w:t>
      </w:r>
      <w:r>
        <w:rPr>
          <w:rFonts w:ascii="仿宋" w:eastAsia="仿宋"/>
          <w:b/>
          <w:sz w:val="32"/>
          <w:szCs w:val="32"/>
        </w:rPr>
        <w:t>27</w:t>
      </w:r>
      <w:r>
        <w:rPr>
          <w:rFonts w:ascii="仿宋" w:eastAsia="仿宋" w:hint="eastAsia"/>
          <w:b/>
          <w:sz w:val="32"/>
          <w:szCs w:val="32"/>
          <w:lang w:val="en-US" w:eastAsia="zh-CN"/>
        </w:rPr>
        <w:t>,</w:t>
      </w:r>
      <w:r>
        <w:rPr>
          <w:rFonts w:ascii="仿宋" w:eastAsia="仿宋"/>
          <w:b/>
          <w:sz w:val="32"/>
          <w:szCs w:val="32"/>
        </w:rPr>
        <w:t>285.74</w:t>
      </w:r>
      <w:r>
        <w:rPr>
          <w:rFonts w:ascii="仿宋" w:eastAsia="仿宋" w:hint="eastAsia"/>
          <w:sz w:val="32"/>
          <w:szCs w:val="32"/>
        </w:rPr>
        <w:t>万元，占</w:t>
      </w:r>
      <w:r>
        <w:rPr>
          <w:rFonts w:ascii="仿宋" w:eastAsia="仿宋"/>
          <w:b/>
          <w:sz w:val="32"/>
          <w:szCs w:val="32"/>
        </w:rPr>
        <w:t>99.88%</w:t>
      </w:r>
      <w:r>
        <w:rPr>
          <w:rFonts w:ascii="仿宋" w:eastAsia="仿宋" w:hint="eastAsia"/>
          <w:sz w:val="32"/>
          <w:szCs w:val="32"/>
        </w:rPr>
        <w:t>；政府性基金预算财政拨款收入</w:t>
      </w:r>
      <w:r>
        <w:rPr>
          <w:rFonts w:ascii="仿宋" w:eastAsia="仿宋"/>
          <w:b/>
          <w:sz w:val="32"/>
          <w:szCs w:val="32"/>
        </w:rPr>
        <w:t>0</w:t>
      </w:r>
      <w:r>
        <w:rPr>
          <w:rFonts w:ascii="仿宋" w:eastAsia="仿宋" w:hint="eastAsia"/>
          <w:sz w:val="32"/>
          <w:szCs w:val="32"/>
        </w:rPr>
        <w:t>万元，占</w:t>
      </w:r>
      <w:r>
        <w:rPr>
          <w:rFonts w:ascii="仿宋" w:eastAsia="仿宋"/>
          <w:b/>
          <w:sz w:val="32"/>
          <w:szCs w:val="32"/>
        </w:rPr>
        <w:t>0</w:t>
      </w:r>
      <w:r>
        <w:rPr>
          <w:rFonts w:ascii="仿宋" w:eastAsia="仿宋"/>
          <w:sz w:val="32"/>
          <w:szCs w:val="32"/>
        </w:rPr>
        <w:t>%</w:t>
      </w:r>
      <w:r>
        <w:rPr>
          <w:rFonts w:ascii="仿宋" w:eastAsia="仿宋" w:hint="eastAsia"/>
          <w:sz w:val="32"/>
          <w:szCs w:val="32"/>
        </w:rPr>
        <w:t>；国有资本经营预算财政拨款收入</w:t>
      </w:r>
      <w:r>
        <w:rPr>
          <w:rFonts w:ascii="仿宋" w:eastAsia="仿宋"/>
          <w:b/>
          <w:sz w:val="32"/>
          <w:szCs w:val="32"/>
        </w:rPr>
        <w:t>0</w:t>
      </w:r>
      <w:r>
        <w:rPr>
          <w:rFonts w:ascii="仿宋" w:eastAsia="仿宋" w:hint="eastAsia"/>
          <w:sz w:val="32"/>
          <w:szCs w:val="32"/>
        </w:rPr>
        <w:t>万元，占</w:t>
      </w:r>
      <w:r>
        <w:rPr>
          <w:rFonts w:ascii="仿宋" w:eastAsia="仿宋"/>
          <w:b/>
          <w:sz w:val="32"/>
          <w:szCs w:val="32"/>
        </w:rPr>
        <w:t>0</w:t>
      </w:r>
      <w:r>
        <w:rPr>
          <w:rFonts w:ascii="仿宋" w:eastAsia="仿宋"/>
          <w:sz w:val="32"/>
          <w:szCs w:val="32"/>
        </w:rPr>
        <w:t>%</w:t>
      </w:r>
      <w:r>
        <w:rPr>
          <w:rFonts w:ascii="仿宋" w:eastAsia="仿宋" w:hint="eastAsia"/>
          <w:sz w:val="32"/>
          <w:szCs w:val="32"/>
        </w:rPr>
        <w:t>；上级补助收入</w:t>
      </w:r>
      <w:r>
        <w:rPr>
          <w:rFonts w:ascii="仿宋" w:eastAsia="仿宋"/>
          <w:b/>
          <w:sz w:val="32"/>
          <w:szCs w:val="32"/>
        </w:rPr>
        <w:t>0</w:t>
      </w:r>
      <w:r>
        <w:rPr>
          <w:rFonts w:ascii="仿宋" w:eastAsia="仿宋" w:hint="eastAsia"/>
          <w:sz w:val="32"/>
          <w:szCs w:val="32"/>
        </w:rPr>
        <w:t>万元，占</w:t>
      </w:r>
      <w:r>
        <w:rPr>
          <w:rFonts w:ascii="仿宋" w:eastAsia="仿宋"/>
          <w:sz w:val="32"/>
          <w:szCs w:val="32"/>
        </w:rPr>
        <w:t>0%</w:t>
      </w:r>
      <w:r>
        <w:rPr>
          <w:rFonts w:ascii="仿宋" w:eastAsia="仿宋" w:hint="eastAsia"/>
          <w:sz w:val="32"/>
          <w:szCs w:val="32"/>
        </w:rPr>
        <w:t>；事业收入</w:t>
      </w:r>
      <w:r>
        <w:rPr>
          <w:rFonts w:ascii="仿宋" w:eastAsia="仿宋"/>
          <w:b/>
          <w:sz w:val="32"/>
          <w:szCs w:val="32"/>
        </w:rPr>
        <w:t>0</w:t>
      </w:r>
      <w:r>
        <w:rPr>
          <w:rFonts w:ascii="仿宋" w:eastAsia="仿宋" w:hint="eastAsia"/>
          <w:sz w:val="32"/>
          <w:szCs w:val="32"/>
        </w:rPr>
        <w:t>万元，占</w:t>
      </w:r>
      <w:r>
        <w:rPr>
          <w:rFonts w:ascii="仿宋" w:eastAsia="仿宋"/>
          <w:b/>
          <w:sz w:val="32"/>
          <w:szCs w:val="32"/>
        </w:rPr>
        <w:t>0</w:t>
      </w:r>
      <w:r>
        <w:rPr>
          <w:rFonts w:ascii="仿宋" w:eastAsia="仿宋"/>
          <w:sz w:val="32"/>
          <w:szCs w:val="32"/>
        </w:rPr>
        <w:t>%</w:t>
      </w:r>
      <w:r>
        <w:rPr>
          <w:rFonts w:ascii="仿宋" w:eastAsia="仿宋" w:hint="eastAsia"/>
          <w:sz w:val="32"/>
          <w:szCs w:val="32"/>
        </w:rPr>
        <w:t>；经营收入</w:t>
      </w:r>
      <w:r>
        <w:rPr>
          <w:rFonts w:ascii="仿宋" w:eastAsia="仿宋"/>
          <w:b/>
          <w:sz w:val="32"/>
          <w:szCs w:val="32"/>
        </w:rPr>
        <w:t>0</w:t>
      </w:r>
      <w:r>
        <w:rPr>
          <w:rFonts w:ascii="仿宋" w:eastAsia="仿宋" w:hint="eastAsia"/>
          <w:sz w:val="32"/>
          <w:szCs w:val="32"/>
        </w:rPr>
        <w:t>万元，占</w:t>
      </w:r>
      <w:r>
        <w:rPr>
          <w:rFonts w:ascii="仿宋" w:eastAsia="仿宋"/>
          <w:b/>
          <w:sz w:val="32"/>
          <w:szCs w:val="32"/>
        </w:rPr>
        <w:t>0</w:t>
      </w:r>
      <w:r>
        <w:rPr>
          <w:rFonts w:ascii="仿宋" w:eastAsia="仿宋"/>
          <w:sz w:val="32"/>
          <w:szCs w:val="32"/>
        </w:rPr>
        <w:t>%</w:t>
      </w:r>
      <w:r>
        <w:rPr>
          <w:rFonts w:ascii="仿宋" w:eastAsia="仿宋" w:hint="eastAsia"/>
          <w:sz w:val="32"/>
          <w:szCs w:val="32"/>
        </w:rPr>
        <w:t>；附属单位上缴收入</w:t>
      </w:r>
      <w:r>
        <w:rPr>
          <w:rFonts w:ascii="仿宋" w:eastAsia="仿宋"/>
          <w:b/>
          <w:sz w:val="32"/>
          <w:szCs w:val="32"/>
        </w:rPr>
        <w:t>0</w:t>
      </w:r>
      <w:r>
        <w:rPr>
          <w:rFonts w:ascii="仿宋" w:eastAsia="仿宋" w:hint="eastAsia"/>
          <w:sz w:val="32"/>
          <w:szCs w:val="32"/>
        </w:rPr>
        <w:t>万元，占</w:t>
      </w:r>
      <w:r>
        <w:rPr>
          <w:rFonts w:ascii="仿宋" w:eastAsia="仿宋"/>
          <w:b/>
          <w:sz w:val="32"/>
          <w:szCs w:val="32"/>
        </w:rPr>
        <w:t>0</w:t>
      </w:r>
      <w:r>
        <w:rPr>
          <w:rFonts w:ascii="仿宋" w:eastAsia="仿宋"/>
          <w:sz w:val="32"/>
          <w:szCs w:val="32"/>
        </w:rPr>
        <w:t>%</w:t>
      </w:r>
      <w:r>
        <w:rPr>
          <w:rFonts w:ascii="仿宋" w:eastAsia="仿宋" w:hint="eastAsia"/>
          <w:sz w:val="32"/>
          <w:szCs w:val="32"/>
        </w:rPr>
        <w:t>；其他收入</w:t>
      </w:r>
      <w:r>
        <w:rPr>
          <w:rFonts w:ascii="仿宋" w:eastAsia="仿宋"/>
          <w:b/>
          <w:sz w:val="32"/>
          <w:szCs w:val="32"/>
        </w:rPr>
        <w:t>31.01</w:t>
      </w:r>
      <w:r>
        <w:rPr>
          <w:rFonts w:ascii="仿宋" w:eastAsia="仿宋" w:hint="eastAsia"/>
          <w:sz w:val="32"/>
          <w:szCs w:val="32"/>
        </w:rPr>
        <w:t>万元，占</w:t>
      </w:r>
      <w:r>
        <w:rPr>
          <w:rFonts w:ascii="仿宋" w:eastAsia="仿宋"/>
          <w:b/>
          <w:sz w:val="32"/>
          <w:szCs w:val="32"/>
        </w:rPr>
        <w:t>0.1</w:t>
      </w:r>
      <w:r>
        <w:rPr>
          <w:rFonts w:ascii="仿宋" w:eastAsia="仿宋" w:hint="eastAsia"/>
          <w:b/>
          <w:sz w:val="32"/>
          <w:szCs w:val="32"/>
          <w:lang w:val="en-US" w:eastAsia="zh-CN"/>
        </w:rPr>
        <w:t>2</w:t>
      </w:r>
      <w:r>
        <w:rPr>
          <w:rFonts w:ascii="仿宋" w:eastAsia="仿宋"/>
          <w:sz w:val="32"/>
          <w:szCs w:val="32"/>
        </w:rPr>
        <w:t>%</w:t>
      </w:r>
    </w:p>
    <w:p>
      <w:pPr>
        <w:pageBreakBefore w:val="0"/>
        <w:widowControl w:val="0"/>
        <w:kinsoku/>
        <w:wordWrap/>
        <w:overflowPunct/>
        <w:topLinePunct w:val="0"/>
        <w:bidi w:val="0"/>
        <w:snapToGrid/>
        <w:spacing w:line="576" w:lineRule="exact"/>
        <w:textAlignment w:val="auto"/>
        <w:outlineLvl w:val="1"/>
        <w:rPr>
          <w:rFonts w:ascii="仿宋" w:eastAsia="仿宋"/>
          <w:b/>
          <w:sz w:val="32"/>
          <w:szCs w:val="32"/>
        </w:rPr>
      </w:pPr>
      <w:r>
        <w:rPr>
          <w:rFonts w:ascii="仿宋" w:eastAsia="仿宋" w:hint="eastAsia"/>
          <w:b/>
          <w:sz w:val="32"/>
          <w:szCs w:val="32"/>
        </w:rPr>
        <w:t>（注：数据来源于财决</w:t>
      </w:r>
      <w:r>
        <w:rPr>
          <w:rFonts w:ascii="仿宋" w:eastAsia="仿宋"/>
          <w:b/>
          <w:sz w:val="32"/>
          <w:szCs w:val="32"/>
        </w:rPr>
        <w:t>01表</w:t>
      </w:r>
      <w:r>
        <w:rPr>
          <w:rFonts w:ascii="仿宋" w:eastAsia="仿宋" w:hint="eastAsia"/>
          <w:b/>
          <w:sz w:val="32"/>
          <w:szCs w:val="32"/>
        </w:rPr>
        <w:t>，仅罗列本单位涉及的收入。</w:t>
      </w:r>
      <w:r>
        <w:rPr>
          <w:rFonts w:ascii="仿宋" w:eastAsia="仿宋"/>
          <w:b/>
          <w:sz w:val="32"/>
          <w:szCs w:val="32"/>
        </w:rPr>
        <w:t>）</w:t>
      </w:r>
    </w:p>
    <w:p>
      <w:pPr>
        <w:pageBreakBefore w:val="0"/>
        <w:widowControl w:val="0"/>
        <w:kinsoku/>
        <w:wordWrap/>
        <w:overflowPunct/>
        <w:topLinePunct w:val="0"/>
        <w:bidi w:val="0"/>
        <w:snapToGrid/>
        <w:spacing w:line="576" w:lineRule="exact"/>
        <w:ind w:firstLineChars="200" w:firstLine="420"/>
        <w:textAlignment w:val="auto"/>
        <w:outlineLvl w:val="1"/>
        <w:rPr>
          <w:rFonts w:ascii="仿宋" w:eastAsia="仿宋"/>
          <w:sz w:val="32"/>
          <w:szCs w:val="32"/>
        </w:rPr>
      </w:pPr>
      <w:r>
        <w:rPr>
          <w:rFonts w:eastAsia="仿宋" w:hint="eastAsia"/>
          <w:lang w:eastAsia="zh-CN"/>
        </w:rPr>
        <w:drawing>
          <wp:anchor distT="0" distB="0" distL="114300" distR="114300" simplePos="0" relativeHeight="22" behindDoc="0" locked="0" layoutInCell="1" hidden="0" allowOverlap="1">
            <wp:simplePos x="0" y="0"/>
            <wp:positionH relativeFrom="column">
              <wp:posOffset>147320</wp:posOffset>
            </wp:positionH>
            <wp:positionV relativeFrom="paragraph">
              <wp:posOffset>191135</wp:posOffset>
            </wp:positionV>
            <wp:extent cx="5079998" cy="3810000"/>
            <wp:effectExtent l="0" t="0" r="0" b="0"/>
            <wp:wrapNone/>
            <wp:docPr id="2" name="图表 2"/>
            <wp:cNvGraphicFramePr>
              <a:graphicFrameLocks noChangeAspect="0"/>
            </wp:cNvGraphicFramePr>
            <a:graphic>
              <a:graphicData uri="http://schemas.openxmlformats.org/drawingml/2006/chart">
                <c:chart xmlns:c="http://schemas.openxmlformats.org/drawingml/2006/chart" r:id="rId5"/>
              </a:graphicData>
            </a:graphic>
          </wp:anchor>
        </w:drawing>
      </w:r>
    </w:p>
    <w:p>
      <w:pPr>
        <w:pStyle w:val="27"/>
        <w:rPr>
          <w:rFonts w:eastAsia="仿宋" w:hint="eastAsia"/>
          <w:lang w:eastAsia="zh-CN"/>
        </w:rPr>
      </w:pPr>
    </w:p>
    <w:p>
      <w:pPr>
        <w:pStyle w:val="27"/>
        <w:rPr>
          <w:rFonts w:ascii="仿宋" w:eastAsia="仿宋"/>
          <w:sz w:val="32"/>
          <w:szCs w:val="32"/>
        </w:rPr>
      </w:pPr>
    </w:p>
    <w:p>
      <w:pPr>
        <w:rPr>
          <w:rFonts w:ascii="仿宋" w:eastAsia="仿宋"/>
          <w:sz w:val="32"/>
          <w:szCs w:val="32"/>
        </w:rPr>
      </w:pPr>
    </w:p>
    <w:p>
      <w:pPr>
        <w:pStyle w:val="27"/>
        <w:rPr>
          <w:rFonts w:ascii="仿宋" w:eastAsia="仿宋"/>
          <w:sz w:val="32"/>
          <w:szCs w:val="32"/>
        </w:rPr>
      </w:pPr>
    </w:p>
    <w:p>
      <w:pPr>
        <w:rPr>
          <w:rFonts w:ascii="仿宋" w:eastAsia="仿宋"/>
          <w:sz w:val="32"/>
          <w:szCs w:val="32"/>
        </w:rPr>
      </w:pPr>
    </w:p>
    <w:p>
      <w:pPr>
        <w:pStyle w:val="27"/>
        <w:rPr>
          <w:rFonts w:ascii="仿宋" w:eastAsia="仿宋"/>
          <w:sz w:val="32"/>
          <w:szCs w:val="32"/>
        </w:rPr>
      </w:pPr>
    </w:p>
    <w:p/>
    <w:p>
      <w:pPr>
        <w:pStyle w:val="27"/>
        <w:rPr>
          <w:rFonts w:ascii="仿宋" w:eastAsia="仿宋"/>
          <w:sz w:val="32"/>
          <w:szCs w:val="32"/>
        </w:rPr>
      </w:pPr>
    </w:p>
    <w:p>
      <w:pPr>
        <w:rPr>
          <w:rFonts w:ascii="仿宋" w:eastAsia="仿宋"/>
          <w:sz w:val="32"/>
          <w:szCs w:val="32"/>
        </w:rPr>
      </w:pPr>
    </w:p>
    <w:p>
      <w:pPr>
        <w:pStyle w:val="27"/>
        <w:rPr>
          <w:rFonts w:ascii="仿宋" w:eastAsia="仿宋"/>
          <w:sz w:val="32"/>
          <w:szCs w:val="32"/>
        </w:rPr>
      </w:pPr>
    </w:p>
    <w:p>
      <w:pPr>
        <w:pStyle w:val="27"/>
      </w:pPr>
    </w:p>
    <w:p>
      <w:pPr>
        <w:pageBreakBefore w:val="0"/>
        <w:widowControl w:val="0"/>
        <w:kinsoku/>
        <w:wordWrap/>
        <w:overflowPunct/>
        <w:topLinePunct w:val="0"/>
        <w:bidi w:val="0"/>
        <w:snapToGrid/>
        <w:spacing w:line="576" w:lineRule="exact"/>
        <w:ind w:firstLineChars="200" w:firstLine="640"/>
        <w:textAlignment w:val="auto"/>
        <w:rPr>
          <w:rFonts w:ascii="仿宋" w:eastAsia="仿宋"/>
          <w:sz w:val="32"/>
          <w:szCs w:val="32"/>
        </w:rPr>
      </w:pPr>
      <w:r>
        <w:rPr>
          <w:rFonts w:ascii="仿宋" w:eastAsia="仿宋" w:hint="eastAsia"/>
          <w:sz w:val="32"/>
          <w:szCs w:val="32"/>
        </w:rPr>
        <w:t>（图2：收入决算结构图）（饼状图）</w:t>
      </w:r>
    </w:p>
    <w:p>
      <w:pPr>
        <w:pStyle w:val="33"/>
        <w:pageBreakBefore w:val="0"/>
        <w:widowControl w:val="0"/>
        <w:numPr>
          <w:ilvl w:val="0"/>
          <w:numId w:val="1"/>
        </w:numPr>
        <w:kinsoku/>
        <w:wordWrap/>
        <w:overflowPunct/>
        <w:topLinePunct w:val="0"/>
        <w:bidi w:val="0"/>
        <w:snapToGrid/>
        <w:spacing w:line="576" w:lineRule="exact"/>
        <w:ind w:firstLineChars="0"/>
        <w:textAlignment w:val="auto"/>
        <w:outlineLvl w:val="1"/>
        <w:rPr>
          <w:rStyle w:val="2Char"/>
          <w:rFonts w:ascii="黑体" w:eastAsia="黑体"/>
          <w:b w:val="0"/>
        </w:rPr>
      </w:pPr>
      <w:bookmarkStart w:id="22" w:name="_Toc15377207"/>
      <w:bookmarkStart w:id="23" w:name="_Toc15396605"/>
      <w:r>
        <w:rPr>
          <w:rFonts w:ascii="黑体" w:eastAsia="黑体" w:hint="eastAsia"/>
          <w:sz w:val="32"/>
          <w:szCs w:val="32"/>
        </w:rPr>
        <w:t>支</w:t>
      </w:r>
      <w:r>
        <w:rPr>
          <w:rStyle w:val="2Char"/>
          <w:rFonts w:ascii="黑体" w:eastAsia="黑体" w:hint="eastAsia"/>
          <w:b w:val="0"/>
        </w:rPr>
        <w:t>出决算情况说明</w:t>
      </w:r>
      <w:bookmarkEnd w:id="22"/>
      <w:bookmarkEnd w:id="23"/>
    </w:p>
    <w:p>
      <w:pPr>
        <w:pageBreakBefore w:val="0"/>
        <w:widowControl w:val="0"/>
        <w:kinsoku/>
        <w:wordWrap/>
        <w:overflowPunct/>
        <w:topLinePunct w:val="0"/>
        <w:bidi w:val="0"/>
        <w:snapToGrid/>
        <w:spacing w:line="576" w:lineRule="exact"/>
        <w:ind w:firstLineChars="200" w:firstLine="640"/>
        <w:textAlignment w:val="auto"/>
        <w:outlineLvl w:val="1"/>
        <w:rPr>
          <w:rFonts w:ascii="仿宋" w:eastAsia="仿宋"/>
          <w:sz w:val="32"/>
          <w:szCs w:val="32"/>
        </w:rPr>
      </w:pPr>
      <w:r>
        <w:rPr>
          <w:rFonts w:ascii="仿宋" w:eastAsia="仿宋" w:hint="eastAsia"/>
          <w:sz w:val="32"/>
          <w:szCs w:val="32"/>
        </w:rPr>
        <w:t>2023年度本年支出合计</w:t>
      </w:r>
      <w:r>
        <w:rPr>
          <w:rFonts w:ascii="仿宋" w:eastAsia="仿宋"/>
          <w:b/>
          <w:sz w:val="32"/>
          <w:szCs w:val="32"/>
        </w:rPr>
        <w:t>27</w:t>
      </w:r>
      <w:r>
        <w:rPr>
          <w:rFonts w:ascii="仿宋" w:eastAsia="仿宋" w:hint="eastAsia"/>
          <w:b/>
          <w:sz w:val="32"/>
          <w:szCs w:val="32"/>
          <w:lang w:val="en-US" w:eastAsia="zh-CN"/>
        </w:rPr>
        <w:t>,</w:t>
      </w:r>
      <w:r>
        <w:rPr>
          <w:rFonts w:ascii="仿宋" w:eastAsia="仿宋"/>
          <w:b/>
          <w:sz w:val="32"/>
          <w:szCs w:val="32"/>
        </w:rPr>
        <w:t>335.13</w:t>
      </w:r>
      <w:r>
        <w:rPr>
          <w:rFonts w:ascii="仿宋" w:eastAsia="仿宋" w:hint="eastAsia"/>
          <w:sz w:val="32"/>
          <w:szCs w:val="32"/>
        </w:rPr>
        <w:t>万元，其中：基本支出</w:t>
      </w:r>
      <w:r>
        <w:rPr>
          <w:rFonts w:ascii="仿宋" w:eastAsia="仿宋"/>
          <w:b/>
          <w:sz w:val="32"/>
          <w:szCs w:val="32"/>
        </w:rPr>
        <w:t>21</w:t>
      </w:r>
      <w:r>
        <w:rPr>
          <w:rFonts w:ascii="仿宋" w:eastAsia="仿宋" w:hint="eastAsia"/>
          <w:b/>
          <w:sz w:val="32"/>
          <w:szCs w:val="32"/>
          <w:lang w:val="en-US" w:eastAsia="zh-CN"/>
        </w:rPr>
        <w:t>,</w:t>
      </w:r>
      <w:r>
        <w:rPr>
          <w:rFonts w:ascii="仿宋" w:eastAsia="仿宋"/>
          <w:b/>
          <w:sz w:val="32"/>
          <w:szCs w:val="32"/>
        </w:rPr>
        <w:t>442.47</w:t>
      </w:r>
      <w:r>
        <w:rPr>
          <w:rFonts w:ascii="仿宋" w:eastAsia="仿宋" w:hint="eastAsia"/>
          <w:sz w:val="32"/>
          <w:szCs w:val="32"/>
        </w:rPr>
        <w:t>万元，占</w:t>
      </w:r>
      <w:r>
        <w:rPr>
          <w:rFonts w:ascii="仿宋" w:eastAsia="仿宋"/>
          <w:b/>
          <w:sz w:val="32"/>
          <w:szCs w:val="32"/>
        </w:rPr>
        <w:t>78.44</w:t>
      </w:r>
      <w:r>
        <w:rPr>
          <w:rFonts w:ascii="仿宋" w:eastAsia="仿宋"/>
          <w:sz w:val="32"/>
          <w:szCs w:val="32"/>
        </w:rPr>
        <w:t>%</w:t>
      </w:r>
      <w:r>
        <w:rPr>
          <w:rFonts w:ascii="仿宋" w:eastAsia="仿宋" w:hint="eastAsia"/>
          <w:sz w:val="32"/>
          <w:szCs w:val="32"/>
        </w:rPr>
        <w:t>；项目支出</w:t>
      </w:r>
      <w:r>
        <w:rPr>
          <w:rFonts w:ascii="仿宋" w:eastAsia="仿宋"/>
          <w:b/>
          <w:sz w:val="32"/>
          <w:szCs w:val="32"/>
        </w:rPr>
        <w:t>5</w:t>
      </w:r>
      <w:r>
        <w:rPr>
          <w:rFonts w:ascii="仿宋" w:eastAsia="仿宋" w:hint="eastAsia"/>
          <w:b/>
          <w:sz w:val="32"/>
          <w:szCs w:val="32"/>
          <w:lang w:val="en-US" w:eastAsia="zh-CN"/>
        </w:rPr>
        <w:t>,</w:t>
      </w:r>
      <w:r>
        <w:rPr>
          <w:rFonts w:ascii="仿宋" w:eastAsia="仿宋"/>
          <w:b/>
          <w:sz w:val="32"/>
          <w:szCs w:val="32"/>
        </w:rPr>
        <w:t>892.66</w:t>
      </w:r>
      <w:r>
        <w:rPr>
          <w:rFonts w:ascii="仿宋" w:eastAsia="仿宋" w:hint="eastAsia"/>
          <w:sz w:val="32"/>
          <w:szCs w:val="32"/>
        </w:rPr>
        <w:t>万元，占</w:t>
      </w:r>
      <w:r>
        <w:rPr>
          <w:rFonts w:ascii="仿宋" w:eastAsia="仿宋"/>
          <w:b/>
          <w:sz w:val="32"/>
          <w:szCs w:val="32"/>
        </w:rPr>
        <w:t>21.55</w:t>
      </w:r>
      <w:r>
        <w:rPr>
          <w:rFonts w:ascii="仿宋" w:eastAsia="仿宋"/>
          <w:sz w:val="32"/>
          <w:szCs w:val="32"/>
        </w:rPr>
        <w:t>%</w:t>
      </w:r>
      <w:r>
        <w:rPr>
          <w:rFonts w:ascii="仿宋" w:eastAsia="仿宋" w:hint="eastAsia"/>
          <w:sz w:val="32"/>
          <w:szCs w:val="32"/>
        </w:rPr>
        <w:t>；上缴上级支出</w:t>
      </w:r>
      <w:r>
        <w:rPr>
          <w:rFonts w:ascii="仿宋" w:eastAsia="仿宋"/>
          <w:b/>
          <w:sz w:val="32"/>
          <w:szCs w:val="32"/>
        </w:rPr>
        <w:t>0</w:t>
      </w:r>
      <w:r>
        <w:rPr>
          <w:rFonts w:ascii="仿宋" w:eastAsia="仿宋" w:hint="eastAsia"/>
          <w:sz w:val="32"/>
          <w:szCs w:val="32"/>
        </w:rPr>
        <w:t>万元，占</w:t>
      </w:r>
      <w:r>
        <w:rPr>
          <w:rFonts w:ascii="仿宋" w:eastAsia="仿宋" w:hint="eastAsia"/>
          <w:b/>
          <w:sz w:val="32"/>
          <w:szCs w:val="32"/>
        </w:rPr>
        <w:t>0</w:t>
      </w:r>
      <w:r>
        <w:rPr>
          <w:rFonts w:ascii="仿宋" w:eastAsia="仿宋"/>
          <w:sz w:val="32"/>
          <w:szCs w:val="32"/>
        </w:rPr>
        <w:t>%</w:t>
      </w:r>
      <w:r>
        <w:rPr>
          <w:rFonts w:ascii="仿宋" w:eastAsia="仿宋" w:hint="eastAsia"/>
          <w:sz w:val="32"/>
          <w:szCs w:val="32"/>
        </w:rPr>
        <w:t>；经营支出</w:t>
      </w:r>
      <w:r>
        <w:rPr>
          <w:rFonts w:ascii="仿宋" w:eastAsia="仿宋"/>
          <w:b/>
          <w:sz w:val="32"/>
          <w:szCs w:val="32"/>
        </w:rPr>
        <w:t>0</w:t>
      </w:r>
      <w:r>
        <w:rPr>
          <w:rFonts w:ascii="仿宋" w:eastAsia="仿宋" w:hint="eastAsia"/>
          <w:sz w:val="32"/>
          <w:szCs w:val="32"/>
        </w:rPr>
        <w:t>万元，占</w:t>
      </w:r>
      <w:r>
        <w:rPr>
          <w:rFonts w:ascii="仿宋" w:eastAsia="仿宋"/>
          <w:b/>
          <w:sz w:val="32"/>
          <w:szCs w:val="32"/>
        </w:rPr>
        <w:t>0</w:t>
      </w:r>
      <w:r>
        <w:rPr>
          <w:rFonts w:ascii="仿宋" w:eastAsia="仿宋"/>
          <w:sz w:val="32"/>
          <w:szCs w:val="32"/>
        </w:rPr>
        <w:t>%</w:t>
      </w:r>
      <w:r>
        <w:rPr>
          <w:rFonts w:ascii="仿宋" w:eastAsia="仿宋" w:hint="eastAsia"/>
          <w:sz w:val="32"/>
          <w:szCs w:val="32"/>
        </w:rPr>
        <w:t>；对附属单位补助支出</w:t>
      </w:r>
      <w:r>
        <w:rPr>
          <w:rFonts w:ascii="仿宋" w:eastAsia="仿宋"/>
          <w:b/>
          <w:sz w:val="32"/>
          <w:szCs w:val="32"/>
        </w:rPr>
        <w:t>0</w:t>
      </w:r>
      <w:r>
        <w:rPr>
          <w:rFonts w:ascii="仿宋" w:eastAsia="仿宋" w:hint="eastAsia"/>
          <w:sz w:val="32"/>
          <w:szCs w:val="32"/>
        </w:rPr>
        <w:t>万元，占</w:t>
      </w:r>
      <w:r>
        <w:rPr>
          <w:rFonts w:ascii="仿宋" w:eastAsia="仿宋"/>
          <w:b/>
          <w:sz w:val="32"/>
          <w:szCs w:val="32"/>
        </w:rPr>
        <w:t>0</w:t>
      </w:r>
      <w:r>
        <w:rPr>
          <w:rFonts w:ascii="仿宋" w:eastAsia="仿宋"/>
          <w:sz w:val="32"/>
          <w:szCs w:val="32"/>
        </w:rPr>
        <w:t>%</w:t>
      </w:r>
      <w:r>
        <w:rPr>
          <w:rFonts w:ascii="仿宋" w:eastAsia="仿宋" w:hint="eastAsia"/>
          <w:sz w:val="32"/>
          <w:szCs w:val="32"/>
        </w:rPr>
        <w:t>。</w:t>
      </w:r>
    </w:p>
    <w:p>
      <w:pPr>
        <w:pageBreakBefore w:val="0"/>
        <w:widowControl w:val="0"/>
        <w:kinsoku/>
        <w:wordWrap/>
        <w:overflowPunct/>
        <w:topLinePunct w:val="0"/>
        <w:bidi w:val="0"/>
        <w:snapToGrid/>
        <w:spacing w:line="576" w:lineRule="exact"/>
        <w:textAlignment w:val="auto"/>
        <w:outlineLvl w:val="1"/>
        <w:rPr>
          <w:rFonts w:ascii="仿宋" w:eastAsia="仿宋"/>
          <w:b/>
          <w:sz w:val="32"/>
          <w:szCs w:val="32"/>
        </w:rPr>
      </w:pPr>
      <w:r>
        <w:rPr>
          <w:rFonts w:ascii="仿宋" w:eastAsia="仿宋" w:hint="eastAsia"/>
          <w:b/>
          <w:sz w:val="32"/>
          <w:szCs w:val="32"/>
        </w:rPr>
        <w:t>（注：数据来源于财决</w:t>
      </w:r>
      <w:r>
        <w:rPr>
          <w:rFonts w:ascii="仿宋" w:eastAsia="仿宋"/>
          <w:b/>
          <w:sz w:val="32"/>
          <w:szCs w:val="32"/>
        </w:rPr>
        <w:t>04</w:t>
      </w:r>
      <w:r>
        <w:rPr>
          <w:rFonts w:ascii="仿宋" w:eastAsia="仿宋" w:hint="eastAsia"/>
          <w:b/>
          <w:sz w:val="32"/>
          <w:szCs w:val="32"/>
        </w:rPr>
        <w:t>表，仅罗列本单位涉及的支出。）</w:t>
      </w:r>
    </w:p>
    <w:p>
      <w:pPr>
        <w:pageBreakBefore w:val="0"/>
        <w:widowControl w:val="0"/>
        <w:kinsoku/>
        <w:wordWrap/>
        <w:overflowPunct/>
        <w:topLinePunct w:val="0"/>
        <w:bidi w:val="0"/>
        <w:snapToGrid/>
        <w:spacing w:line="576" w:lineRule="exact"/>
        <w:ind w:firstLine="640"/>
        <w:textAlignment w:val="auto"/>
        <w:rPr>
          <w:rFonts w:ascii="仿宋" w:eastAsia="仿宋"/>
          <w:sz w:val="32"/>
          <w:szCs w:val="32"/>
          <w:shd w:val="pct10" w:color="auto" w:fill="FFFFFF"/>
        </w:rPr>
      </w:pPr>
      <w:r>
        <w:rPr>
          <w:rFonts w:ascii="仿宋" w:eastAsia="仿宋" w:hint="eastAsia"/>
          <w:sz w:val="32"/>
          <w:szCs w:val="32"/>
          <w:shd w:val="pct10" w:color="auto" w:fill="FFFFFF"/>
          <w:lang w:eastAsia="zh-CN"/>
        </w:rPr>
        <w:drawing>
          <wp:anchor distT="0" distB="0" distL="114300" distR="114300" simplePos="0" relativeHeight="24" behindDoc="0" locked="0" layoutInCell="1" hidden="0" allowOverlap="1">
            <wp:simplePos x="0" y="0"/>
            <wp:positionH relativeFrom="column">
              <wp:posOffset>92075</wp:posOffset>
            </wp:positionH>
            <wp:positionV relativeFrom="paragraph">
              <wp:posOffset>174625</wp:posOffset>
            </wp:positionV>
            <wp:extent cx="5079998" cy="3810000"/>
            <wp:effectExtent l="0" t="0" r="0" b="0"/>
            <wp:wrapNone/>
            <wp:docPr id="3" name="图表 4"/>
            <wp:cNvGraphicFramePr>
              <a:graphicFrameLocks noChangeAspect="0"/>
            </wp:cNvGraphicFramePr>
            <a:graphic>
              <a:graphicData uri="http://schemas.openxmlformats.org/drawingml/2006/chart">
                <c:chart xmlns:c="http://schemas.openxmlformats.org/drawingml/2006/chart" r:id="rId6"/>
              </a:graphicData>
            </a:graphic>
          </wp:anchor>
        </w:drawing>
      </w:r>
    </w:p>
    <w:p>
      <w:pPr>
        <w:pStyle w:val="27"/>
        <w:rPr>
          <w:rFonts w:ascii="仿宋" w:eastAsia="仿宋" w:hint="eastAsia"/>
          <w:sz w:val="32"/>
          <w:szCs w:val="32"/>
          <w:shd w:val="pct10" w:color="auto" w:fill="FFFFFF"/>
          <w:lang w:eastAsia="zh-CN"/>
        </w:rPr>
      </w:pPr>
    </w:p>
    <w:p>
      <w:pPr>
        <w:rPr>
          <w:rFonts w:ascii="仿宋" w:eastAsia="仿宋"/>
          <w:sz w:val="32"/>
          <w:szCs w:val="32"/>
          <w:shd w:val="pct10" w:color="auto" w:fill="FFFFFF"/>
        </w:rPr>
      </w:pPr>
    </w:p>
    <w:p>
      <w:pPr>
        <w:pStyle w:val="27"/>
        <w:rPr>
          <w:rFonts w:ascii="仿宋" w:eastAsia="仿宋"/>
          <w:sz w:val="32"/>
          <w:szCs w:val="32"/>
          <w:shd w:val="pct10" w:color="auto" w:fill="FFFFFF"/>
        </w:rPr>
      </w:pPr>
    </w:p>
    <w:p>
      <w:pPr>
        <w:rPr>
          <w:rFonts w:ascii="仿宋" w:eastAsia="仿宋"/>
          <w:sz w:val="32"/>
          <w:szCs w:val="32"/>
          <w:shd w:val="pct10" w:color="auto" w:fill="FFFFFF"/>
        </w:rPr>
      </w:pPr>
    </w:p>
    <w:p>
      <w:pPr>
        <w:pStyle w:val="27"/>
        <w:rPr>
          <w:rFonts w:ascii="仿宋" w:eastAsia="仿宋"/>
          <w:sz w:val="32"/>
          <w:szCs w:val="32"/>
          <w:shd w:val="pct10" w:color="auto" w:fill="FFFFFF"/>
        </w:rPr>
      </w:pPr>
    </w:p>
    <w:p>
      <w:pPr>
        <w:rPr>
          <w:rFonts w:ascii="仿宋" w:eastAsia="仿宋"/>
          <w:sz w:val="32"/>
          <w:szCs w:val="32"/>
          <w:shd w:val="pct10" w:color="auto" w:fill="FFFFFF"/>
        </w:rPr>
      </w:pPr>
    </w:p>
    <w:p>
      <w:pPr>
        <w:pStyle w:val="27"/>
        <w:rPr>
          <w:rFonts w:ascii="仿宋" w:eastAsia="仿宋"/>
          <w:sz w:val="32"/>
          <w:szCs w:val="32"/>
          <w:shd w:val="pct10" w:color="auto" w:fill="FFFFFF"/>
        </w:rPr>
      </w:pPr>
    </w:p>
    <w:p>
      <w:pPr>
        <w:rPr>
          <w:rFonts w:ascii="仿宋" w:eastAsia="仿宋"/>
          <w:sz w:val="32"/>
          <w:szCs w:val="32"/>
          <w:shd w:val="pct10" w:color="auto" w:fill="FFFFFF"/>
        </w:rPr>
      </w:pPr>
    </w:p>
    <w:p>
      <w:pPr>
        <w:pStyle w:val="27"/>
        <w:rPr>
          <w:rFonts w:ascii="仿宋" w:eastAsia="仿宋"/>
          <w:sz w:val="32"/>
          <w:szCs w:val="32"/>
          <w:shd w:val="pct10" w:color="auto" w:fill="FFFFFF"/>
        </w:rPr>
      </w:pPr>
    </w:p>
    <w:p>
      <w:pPr>
        <w:pageBreakBefore w:val="0"/>
        <w:widowControl w:val="0"/>
        <w:kinsoku/>
        <w:wordWrap/>
        <w:overflowPunct/>
        <w:topLinePunct w:val="0"/>
        <w:bidi w:val="0"/>
        <w:snapToGrid/>
        <w:spacing w:line="576" w:lineRule="exact"/>
        <w:ind w:firstLineChars="200" w:firstLine="640"/>
        <w:textAlignment w:val="auto"/>
        <w:rPr>
          <w:rFonts w:ascii="仿宋" w:eastAsia="仿宋"/>
          <w:sz w:val="32"/>
          <w:szCs w:val="32"/>
        </w:rPr>
      </w:pPr>
      <w:r>
        <w:rPr>
          <w:rFonts w:ascii="仿宋" w:eastAsia="仿宋" w:hint="eastAsia"/>
          <w:sz w:val="32"/>
          <w:szCs w:val="32"/>
        </w:rPr>
        <w:t>（图3：支出决算结构图）（饼状图）</w:t>
      </w:r>
    </w:p>
    <w:p>
      <w:pPr>
        <w:pageBreakBefore w:val="0"/>
        <w:widowControl w:val="0"/>
        <w:kinsoku/>
        <w:wordWrap/>
        <w:overflowPunct/>
        <w:topLinePunct w:val="0"/>
        <w:bidi w:val="0"/>
        <w:snapToGrid/>
        <w:spacing w:line="576" w:lineRule="exact"/>
        <w:ind w:firstLineChars="200" w:firstLine="640"/>
        <w:textAlignment w:val="auto"/>
        <w:outlineLvl w:val="1"/>
        <w:rPr>
          <w:rStyle w:val="2Char"/>
          <w:rFonts w:ascii="黑体" w:eastAsia="黑体"/>
          <w:b w:val="0"/>
        </w:rPr>
      </w:pPr>
      <w:bookmarkStart w:id="24" w:name="_Toc15377208"/>
      <w:bookmarkStart w:id="25" w:name="_Toc15396606"/>
      <w:r>
        <w:rPr>
          <w:rFonts w:ascii="黑体" w:eastAsia="黑体" w:hint="eastAsia"/>
          <w:sz w:val="32"/>
          <w:szCs w:val="32"/>
        </w:rPr>
        <w:t>四、财</w:t>
      </w:r>
      <w:r>
        <w:rPr>
          <w:rStyle w:val="2Char"/>
          <w:rFonts w:ascii="黑体" w:eastAsia="黑体" w:hint="eastAsia"/>
          <w:b w:val="0"/>
        </w:rPr>
        <w:t>政拨款收入支出决算总体情况说明</w:t>
      </w:r>
      <w:bookmarkEnd w:id="24"/>
      <w:bookmarkEnd w:id="25"/>
    </w:p>
    <w:p>
      <w:pPr>
        <w:pageBreakBefore w:val="0"/>
        <w:widowControl w:val="0"/>
        <w:kinsoku/>
        <w:wordWrap/>
        <w:overflowPunct/>
        <w:topLinePunct w:val="0"/>
        <w:bidi w:val="0"/>
        <w:snapToGrid/>
        <w:spacing w:line="576" w:lineRule="exact"/>
        <w:ind w:firstLineChars="200" w:firstLine="640"/>
        <w:textAlignment w:val="auto"/>
        <w:rPr>
          <w:rFonts w:ascii="仿宋" w:eastAsia="仿宋" w:hint="eastAsia"/>
          <w:sz w:val="32"/>
          <w:szCs w:val="32"/>
        </w:rPr>
      </w:pPr>
      <w:r>
        <w:rPr>
          <w:rFonts w:ascii="仿宋" w:eastAsia="仿宋" w:hint="eastAsia"/>
          <w:sz w:val="32"/>
          <w:szCs w:val="32"/>
        </w:rPr>
        <w:t>2023年度财政拨款收、支总计均为</w:t>
      </w:r>
      <w:r>
        <w:rPr>
          <w:rFonts w:ascii="仿宋" w:eastAsia="仿宋"/>
          <w:b/>
          <w:sz w:val="32"/>
          <w:szCs w:val="32"/>
        </w:rPr>
        <w:t>27</w:t>
      </w:r>
      <w:r>
        <w:rPr>
          <w:rFonts w:ascii="仿宋" w:eastAsia="仿宋" w:hint="eastAsia"/>
          <w:b/>
          <w:sz w:val="32"/>
          <w:szCs w:val="32"/>
          <w:lang w:val="en-US" w:eastAsia="zh-CN"/>
        </w:rPr>
        <w:t>,</w:t>
      </w:r>
      <w:r>
        <w:rPr>
          <w:rFonts w:ascii="仿宋" w:eastAsia="仿宋"/>
          <w:b/>
          <w:sz w:val="32"/>
          <w:szCs w:val="32"/>
        </w:rPr>
        <w:t>285.74</w:t>
      </w:r>
      <w:r>
        <w:rPr>
          <w:rFonts w:ascii="仿宋" w:eastAsia="仿宋" w:hint="eastAsia"/>
          <w:sz w:val="32"/>
          <w:szCs w:val="32"/>
        </w:rPr>
        <w:t>万元。与2022年度相比，收</w:t>
      </w:r>
      <w:r>
        <w:rPr>
          <w:rFonts w:ascii="仿宋" w:eastAsia="仿宋" w:hint="eastAsia"/>
          <w:sz w:val="32"/>
          <w:szCs w:val="32"/>
          <w:lang w:eastAsia="zh-CN"/>
        </w:rPr>
        <w:t>入总计</w:t>
      </w:r>
      <w:r>
        <w:rPr>
          <w:rFonts w:ascii="仿宋" w:eastAsia="仿宋" w:hint="eastAsia"/>
          <w:sz w:val="32"/>
          <w:szCs w:val="32"/>
        </w:rPr>
        <w:t>增加</w:t>
      </w:r>
      <w:r>
        <w:rPr>
          <w:rFonts w:ascii="仿宋" w:eastAsia="仿宋" w:hint="eastAsia"/>
          <w:sz w:val="32"/>
          <w:szCs w:val="32"/>
          <w:lang w:val="en-US" w:eastAsia="zh-CN"/>
        </w:rPr>
        <w:t>2,221.89万元</w:t>
      </w:r>
      <w:r>
        <w:rPr>
          <w:rFonts w:ascii="仿宋" w:eastAsia="仿宋" w:hint="eastAsia"/>
          <w:sz w:val="32"/>
          <w:szCs w:val="32"/>
        </w:rPr>
        <w:t>、增长</w:t>
      </w:r>
      <w:r>
        <w:rPr>
          <w:rFonts w:ascii="仿宋" w:eastAsia="仿宋" w:hint="eastAsia"/>
          <w:sz w:val="32"/>
          <w:szCs w:val="32"/>
          <w:lang w:val="en-US" w:eastAsia="zh-CN"/>
        </w:rPr>
        <w:t>8.86</w:t>
      </w:r>
      <w:r>
        <w:rPr>
          <w:rFonts w:ascii="仿宋" w:eastAsia="仿宋"/>
          <w:sz w:val="32"/>
          <w:szCs w:val="32"/>
        </w:rPr>
        <w:t>%</w:t>
      </w:r>
      <w:r>
        <w:rPr>
          <w:rFonts w:ascii="仿宋" w:eastAsia="仿宋" w:hint="eastAsia"/>
          <w:sz w:val="32"/>
          <w:szCs w:val="32"/>
          <w:lang w:eastAsia="zh-CN"/>
        </w:rPr>
        <w:t>；</w:t>
      </w:r>
      <w:r>
        <w:rPr>
          <w:rFonts w:ascii="仿宋" w:eastAsia="仿宋" w:hint="eastAsia"/>
          <w:sz w:val="32"/>
          <w:szCs w:val="32"/>
        </w:rPr>
        <w:t>支</w:t>
      </w:r>
      <w:r>
        <w:rPr>
          <w:rFonts w:ascii="仿宋" w:eastAsia="仿宋" w:hint="eastAsia"/>
          <w:sz w:val="32"/>
          <w:szCs w:val="32"/>
          <w:lang w:eastAsia="zh-CN"/>
        </w:rPr>
        <w:t>出</w:t>
      </w:r>
      <w:r>
        <w:rPr>
          <w:rFonts w:ascii="仿宋" w:eastAsia="仿宋" w:hint="eastAsia"/>
          <w:sz w:val="32"/>
          <w:szCs w:val="32"/>
        </w:rPr>
        <w:t>总计增加</w:t>
      </w:r>
      <w:r>
        <w:rPr>
          <w:rFonts w:ascii="仿宋" w:eastAsia="仿宋" w:hint="eastAsia"/>
          <w:sz w:val="32"/>
          <w:szCs w:val="32"/>
          <w:lang w:val="en-US" w:eastAsia="zh-CN"/>
        </w:rPr>
        <w:t>2,221.89万元</w:t>
      </w:r>
      <w:r>
        <w:rPr>
          <w:rFonts w:ascii="仿宋" w:eastAsia="仿宋" w:hint="eastAsia"/>
          <w:sz w:val="32"/>
          <w:szCs w:val="32"/>
        </w:rPr>
        <w:t>、增长</w:t>
      </w:r>
      <w:r>
        <w:rPr>
          <w:rFonts w:ascii="仿宋" w:eastAsia="仿宋" w:hint="eastAsia"/>
          <w:sz w:val="32"/>
          <w:szCs w:val="32"/>
          <w:lang w:val="en-US" w:eastAsia="zh-CN"/>
        </w:rPr>
        <w:t>8.86</w:t>
      </w:r>
      <w:r>
        <w:rPr>
          <w:rFonts w:ascii="仿宋" w:eastAsia="仿宋"/>
          <w:sz w:val="32"/>
          <w:szCs w:val="32"/>
        </w:rPr>
        <w:t>%</w:t>
      </w:r>
      <w:r>
        <w:rPr>
          <w:rFonts w:ascii="仿宋" w:eastAsia="仿宋" w:hint="eastAsia"/>
          <w:sz w:val="32"/>
          <w:szCs w:val="32"/>
        </w:rPr>
        <w:t>。主要变动原因</w:t>
      </w:r>
      <w:r>
        <w:rPr>
          <w:rFonts w:ascii="仿宋" w:eastAsia="仿宋" w:hint="eastAsia"/>
          <w:sz w:val="32"/>
          <w:szCs w:val="32"/>
          <w:lang w:eastAsia="zh-CN"/>
        </w:rPr>
        <w:t>：</w:t>
      </w:r>
      <w:r>
        <w:rPr>
          <w:rFonts w:ascii="仿宋" w:eastAsia="仿宋" w:hint="eastAsia"/>
          <w:b/>
          <w:bCs/>
          <w:sz w:val="32"/>
          <w:szCs w:val="32"/>
          <w:lang w:eastAsia="zh-CN"/>
        </w:rPr>
        <w:t>一是</w:t>
      </w:r>
      <w:r>
        <w:rPr>
          <w:rFonts w:ascii="仿宋" w:eastAsia="仿宋" w:hint="eastAsia"/>
          <w:sz w:val="32"/>
          <w:szCs w:val="32"/>
          <w:lang w:val="en-US" w:eastAsia="zh-CN"/>
        </w:rPr>
        <w:t>2023年特警未分流及民警职级晋升调资，导致社会保障和就业支出、医疗保险缴费、卫生健康支出、住房保障支出均比上年度增加。</w:t>
      </w:r>
      <w:r>
        <w:rPr>
          <w:rFonts w:ascii="仿宋" w:eastAsia="仿宋" w:hint="eastAsia"/>
          <w:b/>
          <w:bCs/>
          <w:sz w:val="32"/>
          <w:szCs w:val="32"/>
          <w:lang w:val="en-US" w:eastAsia="zh-CN"/>
        </w:rPr>
        <w:t>二是</w:t>
      </w:r>
      <w:r>
        <w:rPr>
          <w:rFonts w:ascii="仿宋" w:eastAsia="仿宋" w:hint="eastAsia"/>
          <w:sz w:val="32"/>
          <w:szCs w:val="32"/>
          <w:lang w:val="en-US" w:eastAsia="zh-CN"/>
        </w:rPr>
        <w:t>项目支出增加，阿坝州公安交管大数据指挥中心业务技术用房2022年预算1000万元，实际支出175.25万元，2023年预算2000万元，实际支出1,445.37万元</w:t>
      </w:r>
      <w:r>
        <w:rPr>
          <w:rFonts w:ascii="仿宋" w:eastAsia="仿宋" w:hint="eastAsia"/>
          <w:sz w:val="32"/>
          <w:szCs w:val="32"/>
        </w:rPr>
        <w:t>。</w:t>
      </w:r>
    </w:p>
    <w:p>
      <w:pPr>
        <w:pageBreakBefore w:val="0"/>
        <w:widowControl w:val="0"/>
        <w:kinsoku/>
        <w:wordWrap/>
        <w:overflowPunct/>
        <w:topLinePunct w:val="0"/>
        <w:bidi w:val="0"/>
        <w:snapToGrid/>
        <w:spacing w:line="576" w:lineRule="exact"/>
        <w:ind w:firstLine="640"/>
        <w:textAlignment w:val="auto"/>
        <w:rPr>
          <w:rFonts w:ascii="仿宋" w:eastAsia="仿宋"/>
          <w:b/>
          <w:sz w:val="32"/>
          <w:szCs w:val="32"/>
        </w:rPr>
      </w:pPr>
      <w:r>
        <w:rPr>
          <w:rFonts w:ascii="仿宋" w:eastAsia="仿宋" w:hint="eastAsia"/>
          <w:b/>
          <w:sz w:val="32"/>
          <w:szCs w:val="32"/>
        </w:rPr>
        <w:t>（注：数据来源于财决</w:t>
      </w:r>
      <w:r>
        <w:rPr>
          <w:rFonts w:ascii="仿宋" w:eastAsia="仿宋"/>
          <w:b/>
          <w:sz w:val="32"/>
          <w:szCs w:val="32"/>
        </w:rPr>
        <w:t>01-1</w:t>
      </w:r>
      <w:r>
        <w:rPr>
          <w:rFonts w:ascii="仿宋" w:eastAsia="仿宋" w:hint="eastAsia"/>
          <w:b/>
          <w:sz w:val="32"/>
          <w:szCs w:val="32"/>
        </w:rPr>
        <w:t>表</w:t>
      </w:r>
      <w:r>
        <w:rPr>
          <w:rFonts w:ascii="仿宋" w:eastAsia="仿宋"/>
          <w:b/>
          <w:sz w:val="32"/>
          <w:szCs w:val="32"/>
        </w:rPr>
        <w:t>）</w:t>
      </w:r>
    </w:p>
    <w:p>
      <w:pPr>
        <w:pageBreakBefore w:val="0"/>
        <w:widowControl w:val="0"/>
        <w:kinsoku/>
        <w:wordWrap/>
        <w:overflowPunct/>
        <w:topLinePunct w:val="0"/>
        <w:bidi w:val="0"/>
        <w:snapToGrid/>
        <w:spacing w:line="576" w:lineRule="exact"/>
        <w:textAlignment w:val="auto"/>
        <w:rPr>
          <w:rFonts w:ascii="仿宋" w:eastAsia="仿宋"/>
          <w:sz w:val="32"/>
          <w:szCs w:val="32"/>
        </w:rPr>
      </w:pPr>
    </w:p>
    <w:p>
      <w:pPr>
        <w:pageBreakBefore w:val="0"/>
        <w:widowControl w:val="0"/>
        <w:kinsoku/>
        <w:wordWrap/>
        <w:overflowPunct/>
        <w:topLinePunct w:val="0"/>
        <w:bidi w:val="0"/>
        <w:snapToGrid/>
        <w:spacing w:line="576" w:lineRule="exact"/>
        <w:textAlignment w:val="auto"/>
        <w:rPr>
          <w:rFonts w:ascii="仿宋" w:eastAsia="仿宋"/>
          <w:sz w:val="32"/>
          <w:szCs w:val="32"/>
        </w:rPr>
      </w:pPr>
      <w:r>
        <w:rPr>
          <w:rFonts w:ascii="仿宋" w:eastAsia="仿宋" w:hint="eastAsia"/>
          <w:sz w:val="32"/>
          <w:szCs w:val="32"/>
          <w:lang w:eastAsia="zh-CN"/>
        </w:rPr>
        <w:drawing>
          <wp:anchor distT="0" distB="0" distL="114300" distR="114300" simplePos="0" relativeHeight="2" behindDoc="1" locked="0" layoutInCell="1" hidden="0" allowOverlap="1">
            <wp:simplePos x="0" y="0"/>
            <wp:positionH relativeFrom="column">
              <wp:posOffset>43815</wp:posOffset>
            </wp:positionH>
            <wp:positionV relativeFrom="paragraph">
              <wp:posOffset>198754</wp:posOffset>
            </wp:positionV>
            <wp:extent cx="5079998" cy="3810000"/>
            <wp:effectExtent l="0" t="0" r="0" b="0"/>
            <wp:wrapNone/>
            <wp:docPr id="4" name="图表 5"/>
            <wp:cNvGraphicFramePr>
              <a:graphicFrameLocks noChangeAspect="0"/>
            </wp:cNvGraphicFramePr>
            <a:graphic>
              <a:graphicData uri="http://schemas.openxmlformats.org/drawingml/2006/chart">
                <c:chart xmlns:c="http://schemas.openxmlformats.org/drawingml/2006/chart" r:id="rId7"/>
              </a:graphicData>
            </a:graphic>
          </wp:anchor>
        </w:drawing>
      </w:r>
    </w:p>
    <w:p>
      <w:pPr>
        <w:pStyle w:val="27"/>
        <w:rPr>
          <w:rFonts w:ascii="仿宋" w:eastAsia="仿宋" w:hint="eastAsia"/>
          <w:sz w:val="32"/>
          <w:szCs w:val="32"/>
          <w:lang w:eastAsia="zh-CN"/>
        </w:rPr>
      </w:pPr>
    </w:p>
    <w:p>
      <w:pPr>
        <w:rPr>
          <w:rFonts w:ascii="仿宋" w:eastAsia="仿宋"/>
          <w:sz w:val="32"/>
          <w:szCs w:val="32"/>
        </w:rPr>
      </w:pPr>
    </w:p>
    <w:p>
      <w:pPr>
        <w:pStyle w:val="27"/>
      </w:pPr>
    </w:p>
    <w:p>
      <w:pPr>
        <w:rPr>
          <w:rFonts w:ascii="仿宋" w:eastAsia="仿宋"/>
          <w:sz w:val="32"/>
          <w:szCs w:val="32"/>
        </w:rPr>
      </w:pPr>
    </w:p>
    <w:p>
      <w:pPr>
        <w:pStyle w:val="27"/>
        <w:rPr>
          <w:rFonts w:ascii="仿宋" w:eastAsia="仿宋"/>
          <w:sz w:val="32"/>
          <w:szCs w:val="32"/>
        </w:rPr>
      </w:pPr>
    </w:p>
    <w:p>
      <w:pPr>
        <w:rPr>
          <w:rFonts w:ascii="仿宋" w:eastAsia="仿宋"/>
          <w:sz w:val="32"/>
          <w:szCs w:val="32"/>
        </w:rPr>
      </w:pPr>
    </w:p>
    <w:p>
      <w:pPr>
        <w:pStyle w:val="27"/>
        <w:rPr>
          <w:rFonts w:ascii="仿宋" w:eastAsia="仿宋"/>
          <w:sz w:val="32"/>
          <w:szCs w:val="32"/>
        </w:rPr>
      </w:pPr>
    </w:p>
    <w:p>
      <w:pPr>
        <w:rPr>
          <w:rFonts w:ascii="仿宋" w:eastAsia="仿宋"/>
          <w:sz w:val="32"/>
          <w:szCs w:val="32"/>
        </w:rPr>
      </w:pPr>
    </w:p>
    <w:p>
      <w:pPr>
        <w:pStyle w:val="27"/>
        <w:rPr>
          <w:rFonts w:ascii="仿宋" w:eastAsia="仿宋"/>
          <w:sz w:val="32"/>
          <w:szCs w:val="32"/>
        </w:rPr>
      </w:pPr>
    </w:p>
    <w:p/>
    <w:p>
      <w:pPr>
        <w:pStyle w:val="27"/>
      </w:pPr>
    </w:p>
    <w:p>
      <w:pPr>
        <w:pageBreakBefore w:val="0"/>
        <w:widowControl w:val="0"/>
        <w:kinsoku/>
        <w:wordWrap/>
        <w:overflowPunct/>
        <w:topLinePunct w:val="0"/>
        <w:bidi w:val="0"/>
        <w:snapToGrid/>
        <w:spacing w:line="576" w:lineRule="exact"/>
        <w:ind w:firstLineChars="200" w:firstLine="640"/>
        <w:textAlignment w:val="auto"/>
        <w:rPr>
          <w:rFonts w:ascii="仿宋" w:eastAsia="仿宋"/>
          <w:sz w:val="32"/>
          <w:szCs w:val="32"/>
        </w:rPr>
      </w:pPr>
      <w:r>
        <w:rPr>
          <w:rFonts w:ascii="仿宋" w:eastAsia="仿宋" w:hint="eastAsia"/>
          <w:sz w:val="32"/>
          <w:szCs w:val="32"/>
        </w:rPr>
        <w:t>（图4：财政拨款收、支决算总计变动情况）（柱状图）</w:t>
      </w:r>
    </w:p>
    <w:p>
      <w:pPr>
        <w:pageBreakBefore w:val="0"/>
        <w:widowControl w:val="0"/>
        <w:kinsoku/>
        <w:wordWrap/>
        <w:overflowPunct/>
        <w:topLinePunct w:val="0"/>
        <w:bidi w:val="0"/>
        <w:snapToGrid/>
        <w:spacing w:line="576" w:lineRule="exact"/>
        <w:ind w:firstLineChars="200" w:firstLine="640"/>
        <w:textAlignment w:val="auto"/>
        <w:outlineLvl w:val="1"/>
        <w:rPr>
          <w:rStyle w:val="2Char"/>
          <w:rFonts w:ascii="黑体" w:eastAsia="黑体"/>
          <w:b w:val="0"/>
        </w:rPr>
      </w:pPr>
      <w:bookmarkStart w:id="26" w:name="_Toc15396607"/>
      <w:bookmarkStart w:id="27" w:name="_Toc15377209"/>
      <w:r>
        <w:rPr>
          <w:rFonts w:ascii="黑体" w:eastAsia="黑体" w:hint="eastAsia"/>
          <w:sz w:val="32"/>
          <w:szCs w:val="32"/>
        </w:rPr>
        <w:t>五、</w:t>
      </w:r>
      <w:r>
        <w:rPr>
          <w:rFonts w:ascii="黑体" w:eastAsia="黑体" w:hint="eastAsia"/>
          <w:b/>
          <w:sz w:val="32"/>
          <w:szCs w:val="32"/>
        </w:rPr>
        <w:t>一</w:t>
      </w:r>
      <w:r>
        <w:rPr>
          <w:rStyle w:val="2Char"/>
          <w:rFonts w:ascii="黑体" w:eastAsia="黑体" w:hint="eastAsia"/>
          <w:b w:val="0"/>
        </w:rPr>
        <w:t>般公共预算财政拨款支出决算情况说明</w:t>
      </w:r>
      <w:bookmarkEnd w:id="26"/>
      <w:bookmarkEnd w:id="27"/>
    </w:p>
    <w:p>
      <w:pPr>
        <w:pStyle w:val="27"/>
        <w:ind w:firstLineChars="200" w:firstLine="640"/>
        <w:rPr>
          <w:rFonts w:ascii="楷体" w:eastAsia="楷体" w:cs="楷体" w:hint="eastAsia"/>
          <w:b/>
          <w:bCs/>
          <w:sz w:val="32"/>
          <w:szCs w:val="32"/>
          <w:lang w:val="en-US" w:eastAsia="zh-CN"/>
        </w:rPr>
      </w:pPr>
      <w:bookmarkStart w:id="28" w:name="_Toc15377210"/>
      <w:r>
        <w:rPr>
          <w:rFonts w:ascii="楷体" w:eastAsia="楷体" w:cs="楷体" w:hint="eastAsia"/>
          <w:b/>
          <w:bCs/>
          <w:sz w:val="32"/>
          <w:szCs w:val="32"/>
          <w:lang w:val="en-US" w:eastAsia="zh-CN"/>
        </w:rPr>
        <w:t>（一）一般公共预算财政拨款支出决算总体情况</w:t>
      </w:r>
      <w:bookmarkEnd w:id="28"/>
    </w:p>
    <w:p>
      <w:pPr>
        <w:pageBreakBefore w:val="0"/>
        <w:widowControl w:val="0"/>
        <w:kinsoku/>
        <w:wordWrap/>
        <w:overflowPunct/>
        <w:topLinePunct w:val="0"/>
        <w:bidi w:val="0"/>
        <w:snapToGrid/>
        <w:spacing w:line="576" w:lineRule="exact"/>
        <w:ind w:firstLineChars="200" w:firstLine="640"/>
        <w:textAlignment w:val="auto"/>
        <w:rPr>
          <w:rFonts w:ascii="仿宋" w:eastAsia="仿宋" w:hint="eastAsia"/>
          <w:sz w:val="32"/>
          <w:szCs w:val="32"/>
        </w:rPr>
      </w:pPr>
      <w:r>
        <w:rPr>
          <w:rFonts w:ascii="仿宋" w:eastAsia="仿宋" w:hint="eastAsia"/>
          <w:sz w:val="32"/>
          <w:szCs w:val="32"/>
        </w:rPr>
        <w:t>2023年度一般公共预算财政拨款支出</w:t>
      </w:r>
      <w:r>
        <w:rPr>
          <w:rFonts w:ascii="仿宋" w:eastAsia="仿宋"/>
          <w:b/>
          <w:sz w:val="32"/>
          <w:szCs w:val="32"/>
        </w:rPr>
        <w:t>27</w:t>
      </w:r>
      <w:r>
        <w:rPr>
          <w:rFonts w:ascii="仿宋" w:eastAsia="仿宋" w:hint="eastAsia"/>
          <w:b/>
          <w:sz w:val="32"/>
          <w:szCs w:val="32"/>
          <w:lang w:val="en-US" w:eastAsia="zh-CN"/>
        </w:rPr>
        <w:t>,</w:t>
      </w:r>
      <w:r>
        <w:rPr>
          <w:rFonts w:ascii="仿宋" w:eastAsia="仿宋"/>
          <w:b/>
          <w:sz w:val="32"/>
          <w:szCs w:val="32"/>
        </w:rPr>
        <w:t>285.74</w:t>
      </w:r>
      <w:r>
        <w:rPr>
          <w:rFonts w:ascii="仿宋" w:eastAsia="仿宋" w:hint="eastAsia"/>
          <w:sz w:val="32"/>
          <w:szCs w:val="32"/>
        </w:rPr>
        <w:t>万元，占本年支出合计的</w:t>
      </w:r>
      <w:r>
        <w:rPr>
          <w:rFonts w:ascii="仿宋" w:eastAsia="仿宋"/>
          <w:b/>
          <w:sz w:val="32"/>
          <w:szCs w:val="32"/>
        </w:rPr>
        <w:t>99.81</w:t>
      </w:r>
      <w:r>
        <w:rPr>
          <w:rFonts w:ascii="仿宋" w:eastAsia="仿宋"/>
          <w:sz w:val="32"/>
          <w:szCs w:val="32"/>
        </w:rPr>
        <w:t>%</w:t>
      </w:r>
      <w:r>
        <w:rPr>
          <w:rFonts w:ascii="仿宋" w:eastAsia="仿宋" w:hint="eastAsia"/>
          <w:sz w:val="32"/>
          <w:szCs w:val="32"/>
        </w:rPr>
        <w:t>。与2022年度相比，一般公共预算财政拨款支</w:t>
      </w:r>
      <w:r>
        <w:rPr>
          <w:rFonts w:ascii="仿宋" w:eastAsia="仿宋" w:hint="eastAsia"/>
          <w:sz w:val="32"/>
          <w:szCs w:val="32"/>
          <w:lang w:eastAsia="zh-CN"/>
        </w:rPr>
        <w:t>出</w:t>
      </w:r>
      <w:r>
        <w:rPr>
          <w:rFonts w:ascii="仿宋" w:eastAsia="仿宋" w:hint="eastAsia"/>
          <w:sz w:val="32"/>
          <w:szCs w:val="32"/>
        </w:rPr>
        <w:t>总计增加</w:t>
      </w:r>
      <w:r>
        <w:rPr>
          <w:rFonts w:ascii="仿宋" w:eastAsia="仿宋" w:hint="eastAsia"/>
          <w:sz w:val="32"/>
          <w:szCs w:val="32"/>
          <w:lang w:val="en-US" w:eastAsia="zh-CN"/>
        </w:rPr>
        <w:t>2,221.89万元</w:t>
      </w:r>
      <w:r>
        <w:rPr>
          <w:rFonts w:ascii="仿宋" w:eastAsia="仿宋" w:hint="eastAsia"/>
          <w:sz w:val="32"/>
          <w:szCs w:val="32"/>
        </w:rPr>
        <w:t>、增长</w:t>
      </w:r>
      <w:r>
        <w:rPr>
          <w:rFonts w:ascii="仿宋" w:eastAsia="仿宋" w:hint="eastAsia"/>
          <w:sz w:val="32"/>
          <w:szCs w:val="32"/>
          <w:lang w:val="en-US" w:eastAsia="zh-CN"/>
        </w:rPr>
        <w:t>8.86</w:t>
      </w:r>
      <w:r>
        <w:rPr>
          <w:rFonts w:ascii="仿宋" w:eastAsia="仿宋"/>
          <w:sz w:val="32"/>
          <w:szCs w:val="32"/>
        </w:rPr>
        <w:t>%</w:t>
      </w:r>
      <w:r>
        <w:rPr>
          <w:rFonts w:ascii="仿宋" w:eastAsia="仿宋" w:hint="eastAsia"/>
          <w:sz w:val="32"/>
          <w:szCs w:val="32"/>
        </w:rPr>
        <w:t>。主要变动原因</w:t>
      </w:r>
      <w:r>
        <w:rPr>
          <w:rFonts w:ascii="仿宋" w:eastAsia="仿宋" w:hint="eastAsia"/>
          <w:sz w:val="32"/>
          <w:szCs w:val="32"/>
          <w:lang w:eastAsia="zh-CN"/>
        </w:rPr>
        <w:t>：</w:t>
      </w:r>
      <w:r>
        <w:rPr>
          <w:rFonts w:ascii="仿宋" w:eastAsia="仿宋" w:hint="eastAsia"/>
          <w:b/>
          <w:bCs/>
          <w:sz w:val="32"/>
          <w:szCs w:val="32"/>
          <w:lang w:eastAsia="zh-CN"/>
        </w:rPr>
        <w:t>一是</w:t>
      </w:r>
      <w:r>
        <w:rPr>
          <w:rFonts w:ascii="仿宋" w:eastAsia="仿宋" w:hint="eastAsia"/>
          <w:sz w:val="32"/>
          <w:szCs w:val="32"/>
          <w:lang w:val="en-US" w:eastAsia="zh-CN"/>
        </w:rPr>
        <w:t>2023年特警未分流及民警职级晋升调资，导致社会保障和就业支出、医疗保险缴费、卫生健康支出、住房保障支出均比上年度增加。</w:t>
      </w:r>
      <w:r>
        <w:rPr>
          <w:rFonts w:ascii="仿宋" w:eastAsia="仿宋" w:hint="eastAsia"/>
          <w:b/>
          <w:bCs/>
          <w:sz w:val="32"/>
          <w:szCs w:val="32"/>
          <w:lang w:val="en-US" w:eastAsia="zh-CN"/>
        </w:rPr>
        <w:t>二是</w:t>
      </w:r>
      <w:r>
        <w:rPr>
          <w:rFonts w:ascii="仿宋" w:eastAsia="仿宋" w:hint="eastAsia"/>
          <w:sz w:val="32"/>
          <w:szCs w:val="32"/>
          <w:lang w:val="en-US" w:eastAsia="zh-CN"/>
        </w:rPr>
        <w:t>项目支出增加，阿坝州公安交管大数据指挥中心业务技术用房2022年支出175.25万元，2023年支出1,445.37万元</w:t>
      </w:r>
      <w:r>
        <w:rPr>
          <w:rFonts w:ascii="仿宋" w:eastAsia="仿宋" w:hint="eastAsia"/>
          <w:sz w:val="32"/>
          <w:szCs w:val="32"/>
        </w:rPr>
        <w:t>。</w:t>
      </w:r>
    </w:p>
    <w:p>
      <w:pPr>
        <w:pStyle w:val="27"/>
        <w:rPr>
          <w:rFonts w:ascii="仿宋" w:eastAsia="仿宋" w:hint="eastAsia"/>
          <w:sz w:val="32"/>
          <w:szCs w:val="32"/>
        </w:rPr>
      </w:pPr>
    </w:p>
    <w:p>
      <w:pPr>
        <w:rPr>
          <w:rFonts w:hint="eastAsia"/>
        </w:rPr>
      </w:pPr>
    </w:p>
    <w:p>
      <w:pPr>
        <w:pageBreakBefore w:val="0"/>
        <w:widowControl w:val="0"/>
        <w:kinsoku/>
        <w:wordWrap/>
        <w:overflowPunct/>
        <w:topLinePunct w:val="0"/>
        <w:bidi w:val="0"/>
        <w:snapToGrid/>
        <w:spacing w:line="576" w:lineRule="exact"/>
        <w:ind w:firstLineChars="200" w:firstLine="420"/>
        <w:textAlignment w:val="auto"/>
        <w:rPr>
          <w:rFonts w:ascii="仿宋" w:eastAsia="仿宋"/>
          <w:sz w:val="32"/>
          <w:szCs w:val="32"/>
        </w:rPr>
      </w:pPr>
      <w:r>
        <w:rPr>
          <w:rFonts w:eastAsia="仿宋" w:hint="eastAsia"/>
          <w:lang w:eastAsia="zh-CN"/>
        </w:rPr>
        <w:drawing>
          <wp:anchor distT="0" distB="0" distL="114300" distR="114300" simplePos="0" relativeHeight="26" behindDoc="0" locked="0" layoutInCell="1" hidden="0" allowOverlap="1">
            <wp:simplePos x="0" y="0"/>
            <wp:positionH relativeFrom="column">
              <wp:posOffset>27939</wp:posOffset>
            </wp:positionH>
            <wp:positionV relativeFrom="paragraph">
              <wp:posOffset>110490</wp:posOffset>
            </wp:positionV>
            <wp:extent cx="5079998" cy="3810000"/>
            <wp:effectExtent l="0" t="0" r="0" b="0"/>
            <wp:wrapNone/>
            <wp:docPr id="5" name="图表 6"/>
            <wp:cNvGraphicFramePr>
              <a:graphicFrameLocks noChangeAspect="0"/>
            </wp:cNvGraphicFramePr>
            <a:graphic>
              <a:graphicData uri="http://schemas.openxmlformats.org/drawingml/2006/chart">
                <c:chart xmlns:c="http://schemas.openxmlformats.org/drawingml/2006/chart" r:id="rId8"/>
              </a:graphicData>
            </a:graphic>
          </wp:anchor>
        </w:drawing>
      </w:r>
    </w:p>
    <w:p>
      <w:pPr>
        <w:pStyle w:val="27"/>
        <w:rPr>
          <w:rFonts w:ascii="仿宋" w:eastAsia="仿宋"/>
          <w:sz w:val="32"/>
          <w:szCs w:val="32"/>
        </w:rPr>
      </w:pPr>
    </w:p>
    <w:p>
      <w:pPr>
        <w:rPr>
          <w:rFonts w:ascii="仿宋" w:eastAsia="仿宋"/>
          <w:sz w:val="32"/>
          <w:szCs w:val="32"/>
        </w:rPr>
      </w:pPr>
    </w:p>
    <w:p>
      <w:pPr>
        <w:pStyle w:val="27"/>
        <w:rPr>
          <w:rFonts w:eastAsia="仿宋" w:hint="eastAsia"/>
          <w:lang w:eastAsia="zh-CN"/>
        </w:rPr>
      </w:pPr>
    </w:p>
    <w:p>
      <w:pPr>
        <w:rPr>
          <w:rFonts w:ascii="仿宋" w:eastAsia="仿宋"/>
          <w:sz w:val="32"/>
          <w:szCs w:val="32"/>
        </w:rPr>
      </w:pPr>
    </w:p>
    <w:p>
      <w:pPr>
        <w:pStyle w:val="27"/>
        <w:rPr>
          <w:rFonts w:ascii="仿宋" w:eastAsia="仿宋"/>
          <w:sz w:val="32"/>
          <w:szCs w:val="32"/>
        </w:rPr>
      </w:pPr>
    </w:p>
    <w:p>
      <w:pPr>
        <w:rPr>
          <w:rFonts w:ascii="仿宋" w:eastAsia="仿宋"/>
          <w:sz w:val="32"/>
          <w:szCs w:val="32"/>
        </w:rPr>
      </w:pPr>
    </w:p>
    <w:p>
      <w:pPr>
        <w:rPr>
          <w:rFonts w:ascii="仿宋" w:eastAsia="仿宋"/>
          <w:sz w:val="32"/>
          <w:szCs w:val="32"/>
          <w:lang w:val="en-US" w:eastAsia="zh-CN"/>
        </w:rPr>
      </w:pPr>
    </w:p>
    <w:p>
      <w:pPr>
        <w:pStyle w:val="27"/>
        <w:rPr>
          <w:rFonts w:ascii="仿宋" w:eastAsia="仿宋"/>
          <w:sz w:val="32"/>
          <w:szCs w:val="32"/>
        </w:rPr>
      </w:pPr>
    </w:p>
    <w:p>
      <w:pPr>
        <w:rPr>
          <w:rFonts w:ascii="仿宋" w:eastAsia="仿宋"/>
          <w:sz w:val="32"/>
          <w:szCs w:val="32"/>
        </w:rPr>
      </w:pPr>
    </w:p>
    <w:p>
      <w:pPr>
        <w:pStyle w:val="27"/>
      </w:pPr>
    </w:p>
    <w:p/>
    <w:p>
      <w:pPr>
        <w:pageBreakBefore w:val="0"/>
        <w:widowControl w:val="0"/>
        <w:kinsoku/>
        <w:wordWrap/>
        <w:overflowPunct/>
        <w:topLinePunct w:val="0"/>
        <w:bidi w:val="0"/>
        <w:snapToGrid/>
        <w:spacing w:line="576" w:lineRule="exact"/>
        <w:textAlignment w:val="auto"/>
        <w:rPr>
          <w:rFonts w:ascii="仿宋" w:eastAsia="仿宋"/>
          <w:sz w:val="32"/>
          <w:szCs w:val="32"/>
        </w:rPr>
      </w:pPr>
      <w:r>
        <w:rPr>
          <w:rFonts w:ascii="仿宋" w:eastAsia="仿宋" w:hint="eastAsia"/>
          <w:sz w:val="32"/>
          <w:szCs w:val="32"/>
        </w:rPr>
        <w:t>（图5：一般公共预算财政拨款支出决算变动情况）（柱状图）</w:t>
      </w:r>
    </w:p>
    <w:p>
      <w:pPr>
        <w:pStyle w:val="27"/>
        <w:ind w:firstLineChars="200" w:firstLine="640"/>
        <w:rPr>
          <w:rFonts w:ascii="楷体" w:eastAsia="楷体" w:cs="楷体" w:hint="eastAsia"/>
          <w:b/>
          <w:bCs/>
          <w:sz w:val="32"/>
          <w:szCs w:val="32"/>
          <w:lang w:val="en-US" w:eastAsia="zh-CN"/>
        </w:rPr>
      </w:pPr>
      <w:bookmarkStart w:id="29" w:name="_Toc15377211"/>
      <w:r>
        <w:rPr>
          <w:rFonts w:ascii="楷体" w:eastAsia="楷体" w:cs="楷体" w:hint="eastAsia"/>
          <w:b/>
          <w:bCs/>
          <w:sz w:val="32"/>
          <w:szCs w:val="32"/>
          <w:lang w:val="en-US" w:eastAsia="zh-CN"/>
        </w:rPr>
        <w:t>（二）一般公共预算财政拨款支出决算结构情况</w:t>
      </w:r>
      <w:bookmarkEnd w:id="29"/>
    </w:p>
    <w:p>
      <w:pPr>
        <w:pageBreakBefore w:val="0"/>
        <w:widowControl w:val="0"/>
        <w:kinsoku/>
        <w:wordWrap/>
        <w:overflowPunct/>
        <w:topLinePunct w:val="0"/>
        <w:bidi w:val="0"/>
        <w:snapToGrid/>
        <w:spacing w:line="576" w:lineRule="exact"/>
        <w:ind w:firstLine="640"/>
        <w:textAlignment w:val="auto"/>
        <w:rPr>
          <w:rFonts w:ascii="仿宋" w:eastAsia="仿宋"/>
          <w:b/>
          <w:sz w:val="32"/>
          <w:szCs w:val="32"/>
        </w:rPr>
      </w:pPr>
      <w:r>
        <w:rPr>
          <w:rFonts w:ascii="仿宋" w:eastAsia="仿宋" w:hint="eastAsia"/>
          <w:sz w:val="32"/>
          <w:szCs w:val="32"/>
        </w:rPr>
        <w:t>2023年度一般公共预算财政拨款支出</w:t>
      </w:r>
      <w:r>
        <w:rPr>
          <w:rFonts w:ascii="仿宋" w:eastAsia="仿宋"/>
          <w:b/>
          <w:sz w:val="32"/>
          <w:szCs w:val="32"/>
        </w:rPr>
        <w:t>27</w:t>
      </w:r>
      <w:r>
        <w:rPr>
          <w:rFonts w:ascii="仿宋" w:eastAsia="仿宋" w:hint="eastAsia"/>
          <w:b/>
          <w:sz w:val="32"/>
          <w:szCs w:val="32"/>
          <w:lang w:eastAsia="zh-CN"/>
        </w:rPr>
        <w:t>，</w:t>
      </w:r>
      <w:r>
        <w:rPr>
          <w:rFonts w:ascii="仿宋" w:eastAsia="仿宋"/>
          <w:b/>
          <w:sz w:val="32"/>
          <w:szCs w:val="32"/>
        </w:rPr>
        <w:t>285.74</w:t>
      </w:r>
      <w:r>
        <w:rPr>
          <w:rFonts w:ascii="仿宋" w:eastAsia="仿宋" w:hint="eastAsia"/>
          <w:sz w:val="32"/>
          <w:szCs w:val="32"/>
        </w:rPr>
        <w:t>万元，主要用于以下方面</w:t>
      </w:r>
      <w:r>
        <w:rPr>
          <w:rFonts w:ascii="仿宋" w:eastAsia="仿宋"/>
          <w:sz w:val="32"/>
          <w:szCs w:val="32"/>
        </w:rPr>
        <w:t>:</w:t>
      </w:r>
      <w:r>
        <w:rPr>
          <w:rFonts w:ascii="仿宋" w:eastAsia="仿宋" w:hint="eastAsia"/>
          <w:b/>
          <w:sz w:val="32"/>
          <w:szCs w:val="32"/>
        </w:rPr>
        <w:t>一般公共服务</w:t>
      </w:r>
      <w:r>
        <w:rPr>
          <w:rFonts w:ascii="仿宋" w:eastAsia="仿宋" w:hint="eastAsia"/>
          <w:b/>
          <w:bCs/>
          <w:sz w:val="32"/>
          <w:szCs w:val="32"/>
        </w:rPr>
        <w:t>支出</w:t>
      </w:r>
      <w:r>
        <w:rPr>
          <w:rFonts w:ascii="仿宋" w:eastAsia="仿宋" w:hint="eastAsia"/>
          <w:sz w:val="32"/>
          <w:szCs w:val="32"/>
          <w:lang w:val="en-US" w:eastAsia="zh-CN"/>
        </w:rPr>
        <w:t>0</w:t>
      </w:r>
      <w:r>
        <w:rPr>
          <w:rFonts w:ascii="仿宋" w:eastAsia="仿宋" w:hint="eastAsia"/>
          <w:sz w:val="32"/>
          <w:szCs w:val="32"/>
        </w:rPr>
        <w:t>万元，占</w:t>
      </w:r>
      <w:r>
        <w:rPr>
          <w:rFonts w:ascii="仿宋" w:eastAsia="仿宋" w:hint="eastAsia"/>
          <w:sz w:val="32"/>
          <w:szCs w:val="32"/>
          <w:lang w:val="en-US" w:eastAsia="zh-CN"/>
        </w:rPr>
        <w:t>0</w:t>
      </w:r>
      <w:r>
        <w:rPr>
          <w:rFonts w:ascii="仿宋" w:eastAsia="仿宋"/>
          <w:sz w:val="32"/>
          <w:szCs w:val="32"/>
        </w:rPr>
        <w:t>%</w:t>
      </w:r>
      <w:r>
        <w:rPr>
          <w:rFonts w:ascii="仿宋" w:eastAsia="仿宋" w:hint="eastAsia"/>
          <w:sz w:val="32"/>
          <w:szCs w:val="32"/>
        </w:rPr>
        <w:t>；</w:t>
      </w:r>
      <w:r>
        <w:rPr>
          <w:rFonts w:ascii="仿宋" w:eastAsia="仿宋" w:hint="eastAsia"/>
          <w:b/>
          <w:sz w:val="32"/>
          <w:szCs w:val="32"/>
        </w:rPr>
        <w:t>教育支出</w:t>
      </w:r>
      <w:r>
        <w:rPr>
          <w:rFonts w:ascii="仿宋" w:eastAsia="仿宋" w:hint="eastAsia"/>
          <w:sz w:val="32"/>
          <w:szCs w:val="32"/>
          <w:lang w:val="en-US" w:eastAsia="zh-CN"/>
        </w:rPr>
        <w:t>0</w:t>
      </w:r>
      <w:r>
        <w:rPr>
          <w:rFonts w:ascii="仿宋" w:eastAsia="仿宋" w:hint="eastAsia"/>
          <w:sz w:val="32"/>
          <w:szCs w:val="32"/>
        </w:rPr>
        <w:t>万元，占</w:t>
      </w:r>
      <w:r>
        <w:rPr>
          <w:rFonts w:ascii="仿宋" w:eastAsia="仿宋" w:hint="eastAsia"/>
          <w:sz w:val="32"/>
          <w:szCs w:val="32"/>
          <w:lang w:val="en-US" w:eastAsia="zh-CN"/>
        </w:rPr>
        <w:t>0</w:t>
      </w:r>
      <w:r>
        <w:rPr>
          <w:rFonts w:ascii="仿宋" w:eastAsia="仿宋"/>
          <w:sz w:val="32"/>
          <w:szCs w:val="32"/>
        </w:rPr>
        <w:t>%</w:t>
      </w:r>
      <w:r>
        <w:rPr>
          <w:rFonts w:ascii="仿宋" w:eastAsia="仿宋" w:hint="eastAsia"/>
          <w:sz w:val="32"/>
          <w:szCs w:val="32"/>
        </w:rPr>
        <w:t>；</w:t>
      </w:r>
      <w:r>
        <w:rPr>
          <w:rFonts w:ascii="仿宋" w:eastAsia="仿宋" w:hint="eastAsia"/>
          <w:b/>
          <w:sz w:val="32"/>
          <w:szCs w:val="32"/>
        </w:rPr>
        <w:t>科学技术</w:t>
      </w:r>
      <w:r>
        <w:rPr>
          <w:rFonts w:ascii="仿宋" w:eastAsia="仿宋" w:hint="eastAsia"/>
          <w:b/>
          <w:bCs/>
          <w:sz w:val="32"/>
          <w:szCs w:val="32"/>
        </w:rPr>
        <w:t>支出</w:t>
      </w:r>
      <w:r>
        <w:rPr>
          <w:rFonts w:ascii="仿宋" w:eastAsia="仿宋" w:hint="eastAsia"/>
          <w:sz w:val="32"/>
          <w:szCs w:val="32"/>
          <w:lang w:val="en-US" w:eastAsia="zh-CN"/>
        </w:rPr>
        <w:t>0</w:t>
      </w:r>
      <w:r>
        <w:rPr>
          <w:rFonts w:ascii="仿宋" w:eastAsia="仿宋" w:hint="eastAsia"/>
          <w:sz w:val="32"/>
          <w:szCs w:val="32"/>
        </w:rPr>
        <w:t>万元，占</w:t>
      </w:r>
      <w:r>
        <w:rPr>
          <w:rFonts w:ascii="仿宋" w:eastAsia="仿宋" w:hint="eastAsia"/>
          <w:sz w:val="32"/>
          <w:szCs w:val="32"/>
          <w:lang w:val="en-US" w:eastAsia="zh-CN"/>
        </w:rPr>
        <w:t>0</w:t>
      </w:r>
      <w:r>
        <w:rPr>
          <w:rFonts w:ascii="仿宋" w:eastAsia="仿宋"/>
          <w:sz w:val="32"/>
          <w:szCs w:val="32"/>
        </w:rPr>
        <w:t>%</w:t>
      </w:r>
      <w:r>
        <w:rPr>
          <w:rFonts w:ascii="仿宋" w:eastAsia="仿宋" w:hint="eastAsia"/>
          <w:sz w:val="32"/>
          <w:szCs w:val="32"/>
        </w:rPr>
        <w:t>；</w:t>
      </w:r>
      <w:r>
        <w:rPr>
          <w:rFonts w:ascii="仿宋" w:eastAsia="仿宋" w:hint="eastAsia"/>
          <w:b/>
          <w:bCs/>
          <w:sz w:val="32"/>
          <w:szCs w:val="32"/>
        </w:rPr>
        <w:t>文化旅游体育与传媒支出</w:t>
      </w:r>
      <w:r>
        <w:rPr>
          <w:rFonts w:ascii="仿宋" w:eastAsia="仿宋" w:hint="eastAsia"/>
          <w:b/>
          <w:bCs/>
          <w:sz w:val="32"/>
          <w:szCs w:val="32"/>
          <w:lang w:val="en-US" w:eastAsia="zh-CN"/>
        </w:rPr>
        <w:t>0</w:t>
      </w:r>
      <w:r>
        <w:rPr>
          <w:rFonts w:ascii="仿宋" w:eastAsia="仿宋" w:hint="eastAsia"/>
          <w:b/>
          <w:bCs/>
          <w:sz w:val="32"/>
          <w:szCs w:val="32"/>
        </w:rPr>
        <w:t>万元，</w:t>
      </w:r>
      <w:r>
        <w:rPr>
          <w:rFonts w:ascii="仿宋" w:eastAsia="仿宋" w:hint="eastAsia"/>
          <w:b w:val="0"/>
          <w:bCs w:val="0"/>
          <w:sz w:val="32"/>
          <w:szCs w:val="32"/>
        </w:rPr>
        <w:t>占</w:t>
      </w:r>
      <w:r>
        <w:rPr>
          <w:rFonts w:ascii="仿宋" w:eastAsia="仿宋" w:hint="eastAsia"/>
          <w:b w:val="0"/>
          <w:bCs w:val="0"/>
          <w:sz w:val="32"/>
          <w:szCs w:val="32"/>
          <w:lang w:val="en-US" w:eastAsia="zh-CN"/>
        </w:rPr>
        <w:t>0</w:t>
      </w:r>
      <w:r>
        <w:rPr>
          <w:rFonts w:ascii="仿宋" w:eastAsia="仿宋"/>
          <w:b w:val="0"/>
          <w:bCs w:val="0"/>
          <w:sz w:val="32"/>
          <w:szCs w:val="32"/>
        </w:rPr>
        <w:t>%</w:t>
      </w:r>
      <w:r>
        <w:rPr>
          <w:rFonts w:ascii="仿宋" w:eastAsia="仿宋" w:hint="eastAsia"/>
          <w:sz w:val="32"/>
          <w:szCs w:val="32"/>
        </w:rPr>
        <w:t>；</w:t>
      </w:r>
      <w:r>
        <w:rPr>
          <w:rFonts w:ascii="仿宋" w:eastAsia="仿宋" w:cs="Times New Roman" w:hint="eastAsia"/>
          <w:b/>
          <w:sz w:val="32"/>
          <w:szCs w:val="32"/>
          <w:lang w:eastAsia="zh-CN"/>
        </w:rPr>
        <w:t>公共安全支出</w:t>
      </w:r>
      <w:r>
        <w:rPr>
          <w:rFonts w:ascii="仿宋" w:eastAsia="仿宋" w:hint="eastAsia"/>
          <w:sz w:val="32"/>
          <w:szCs w:val="32"/>
          <w:lang w:eastAsia="zh-CN"/>
        </w:rPr>
        <w:t>22,397.53万元，</w:t>
      </w:r>
      <w:r>
        <w:rPr>
          <w:rFonts w:ascii="仿宋" w:eastAsia="仿宋" w:cs="Times New Roman" w:hint="eastAsia"/>
          <w:b/>
          <w:sz w:val="32"/>
          <w:szCs w:val="32"/>
          <w:lang w:eastAsia="zh-CN"/>
        </w:rPr>
        <w:t>占</w:t>
      </w:r>
      <w:r>
        <w:rPr>
          <w:rFonts w:ascii="仿宋" w:eastAsia="仿宋" w:cs="Times New Roman" w:hint="eastAsia"/>
          <w:b/>
          <w:sz w:val="32"/>
          <w:szCs w:val="32"/>
          <w:lang w:val="en-US" w:eastAsia="zh-CN"/>
        </w:rPr>
        <w:t>82.09%</w:t>
      </w:r>
      <w:r>
        <w:rPr>
          <w:rFonts w:ascii="仿宋" w:eastAsia="仿宋" w:hint="eastAsia"/>
          <w:sz w:val="32"/>
          <w:szCs w:val="32"/>
          <w:lang w:val="en-US" w:eastAsia="zh-CN"/>
        </w:rPr>
        <w:t>；</w:t>
      </w:r>
      <w:r>
        <w:rPr>
          <w:rFonts w:ascii="仿宋" w:eastAsia="仿宋" w:hint="eastAsia"/>
          <w:b/>
          <w:sz w:val="32"/>
          <w:szCs w:val="32"/>
        </w:rPr>
        <w:t>社会保障和就业</w:t>
      </w:r>
      <w:r>
        <w:rPr>
          <w:rFonts w:ascii="仿宋" w:eastAsia="仿宋" w:hint="eastAsia"/>
          <w:b/>
          <w:bCs/>
          <w:sz w:val="32"/>
          <w:szCs w:val="32"/>
        </w:rPr>
        <w:t>支出</w:t>
      </w:r>
      <w:r>
        <w:rPr>
          <w:rFonts w:ascii="仿宋" w:eastAsia="仿宋" w:hint="eastAsia"/>
          <w:sz w:val="32"/>
          <w:szCs w:val="32"/>
        </w:rPr>
        <w:t>2,374.08万元，占</w:t>
      </w:r>
      <w:r>
        <w:rPr>
          <w:rFonts w:ascii="仿宋" w:eastAsia="仿宋" w:hint="eastAsia"/>
          <w:sz w:val="32"/>
          <w:szCs w:val="32"/>
          <w:lang w:val="en-US" w:eastAsia="zh-CN"/>
        </w:rPr>
        <w:t>8.7</w:t>
      </w:r>
      <w:r>
        <w:rPr>
          <w:rFonts w:ascii="仿宋" w:eastAsia="仿宋"/>
          <w:sz w:val="32"/>
          <w:szCs w:val="32"/>
        </w:rPr>
        <w:t>%</w:t>
      </w:r>
      <w:r>
        <w:rPr>
          <w:rFonts w:ascii="仿宋" w:eastAsia="仿宋" w:hint="eastAsia"/>
          <w:sz w:val="32"/>
          <w:szCs w:val="32"/>
        </w:rPr>
        <w:t>；</w:t>
      </w:r>
      <w:r>
        <w:rPr>
          <w:rFonts w:ascii="仿宋" w:eastAsia="仿宋" w:hint="eastAsia"/>
          <w:b/>
          <w:bCs/>
          <w:sz w:val="32"/>
          <w:szCs w:val="32"/>
        </w:rPr>
        <w:t>卫生健康支出</w:t>
      </w:r>
      <w:r>
        <w:rPr>
          <w:rFonts w:ascii="仿宋" w:eastAsia="仿宋" w:hint="eastAsia"/>
          <w:sz w:val="32"/>
          <w:szCs w:val="32"/>
          <w:lang w:val="en-US" w:eastAsia="zh-CN"/>
        </w:rPr>
        <w:t>1,139.96</w:t>
      </w:r>
      <w:r>
        <w:rPr>
          <w:rFonts w:ascii="仿宋" w:eastAsia="仿宋" w:hint="eastAsia"/>
          <w:sz w:val="32"/>
          <w:szCs w:val="32"/>
        </w:rPr>
        <w:t>万元，占</w:t>
      </w:r>
      <w:r>
        <w:rPr>
          <w:rFonts w:ascii="仿宋" w:eastAsia="仿宋" w:hint="eastAsia"/>
          <w:sz w:val="32"/>
          <w:szCs w:val="32"/>
          <w:lang w:val="en-US" w:eastAsia="zh-CN"/>
        </w:rPr>
        <w:t>4.18</w:t>
      </w:r>
      <w:r>
        <w:rPr>
          <w:rFonts w:ascii="仿宋" w:eastAsia="仿宋"/>
          <w:sz w:val="32"/>
          <w:szCs w:val="32"/>
        </w:rPr>
        <w:t>%</w:t>
      </w:r>
      <w:r>
        <w:rPr>
          <w:rFonts w:ascii="仿宋" w:eastAsia="仿宋" w:hint="eastAsia"/>
          <w:sz w:val="32"/>
          <w:szCs w:val="32"/>
        </w:rPr>
        <w:t>；</w:t>
      </w:r>
      <w:r>
        <w:rPr>
          <w:rFonts w:ascii="仿宋" w:eastAsia="仿宋" w:hint="eastAsia"/>
          <w:b/>
          <w:bCs/>
          <w:sz w:val="32"/>
          <w:szCs w:val="32"/>
        </w:rPr>
        <w:t>住房保障支出</w:t>
      </w:r>
      <w:r>
        <w:rPr>
          <w:rFonts w:ascii="仿宋" w:eastAsia="仿宋" w:hint="eastAsia"/>
          <w:sz w:val="32"/>
          <w:szCs w:val="32"/>
          <w:lang w:val="en-US" w:eastAsia="zh-CN"/>
        </w:rPr>
        <w:t>1,374.17</w:t>
      </w:r>
      <w:r>
        <w:rPr>
          <w:rFonts w:ascii="仿宋" w:eastAsia="仿宋" w:hint="eastAsia"/>
          <w:sz w:val="32"/>
          <w:szCs w:val="32"/>
        </w:rPr>
        <w:t>万元，占</w:t>
      </w:r>
      <w:r>
        <w:rPr>
          <w:rFonts w:ascii="仿宋" w:eastAsia="仿宋" w:hint="eastAsia"/>
          <w:sz w:val="32"/>
          <w:szCs w:val="32"/>
          <w:lang w:val="en-US" w:eastAsia="zh-CN"/>
        </w:rPr>
        <w:t>5.03</w:t>
      </w:r>
      <w:r>
        <w:rPr>
          <w:rFonts w:ascii="仿宋" w:eastAsia="仿宋"/>
          <w:sz w:val="32"/>
          <w:szCs w:val="32"/>
        </w:rPr>
        <w:t>%</w:t>
      </w:r>
      <w:r>
        <w:rPr>
          <w:rFonts w:ascii="仿宋" w:eastAsia="仿宋" w:hint="eastAsia"/>
          <w:sz w:val="32"/>
          <w:szCs w:val="32"/>
        </w:rPr>
        <w:t>。</w:t>
      </w:r>
    </w:p>
    <w:p>
      <w:pPr>
        <w:pageBreakBefore w:val="0"/>
        <w:widowControl w:val="0"/>
        <w:kinsoku/>
        <w:wordWrap/>
        <w:overflowPunct/>
        <w:topLinePunct w:val="0"/>
        <w:bidi w:val="0"/>
        <w:snapToGrid/>
        <w:spacing w:line="576" w:lineRule="exact"/>
        <w:ind w:firstLine="640"/>
        <w:textAlignment w:val="auto"/>
        <w:rPr>
          <w:rFonts w:ascii="仿宋" w:eastAsia="仿宋"/>
          <w:b/>
          <w:sz w:val="32"/>
          <w:szCs w:val="32"/>
        </w:rPr>
      </w:pPr>
      <w:r>
        <w:rPr>
          <w:rFonts w:ascii="仿宋" w:eastAsia="仿宋" w:hint="eastAsia"/>
          <w:b/>
          <w:sz w:val="32"/>
          <w:szCs w:val="32"/>
        </w:rPr>
        <w:t>（注：数据来源于财决01-1表，仅罗列本单位涉及的全部功能分类科目，至类级。）</w:t>
      </w:r>
    </w:p>
    <w:p>
      <w:pPr>
        <w:pageBreakBefore w:val="0"/>
        <w:widowControl w:val="0"/>
        <w:kinsoku/>
        <w:wordWrap/>
        <w:overflowPunct/>
        <w:topLinePunct w:val="0"/>
        <w:bidi w:val="0"/>
        <w:snapToGrid/>
        <w:spacing w:line="576" w:lineRule="exact"/>
        <w:ind w:firstLine="640"/>
        <w:textAlignment w:val="auto"/>
        <w:rPr>
          <w:rFonts w:ascii="仿宋" w:eastAsia="仿宋"/>
          <w:sz w:val="32"/>
          <w:szCs w:val="32"/>
        </w:rPr>
      </w:pPr>
    </w:p>
    <w:p>
      <w:pPr>
        <w:pStyle w:val="27"/>
        <w:rPr>
          <w:rFonts w:ascii="仿宋" w:eastAsia="仿宋"/>
          <w:sz w:val="32"/>
          <w:szCs w:val="32"/>
        </w:rPr>
      </w:pPr>
      <w:r>
        <w:rPr>
          <w:rFonts w:eastAsia="仿宋" w:hint="eastAsia"/>
          <w:lang w:eastAsia="zh-CN"/>
        </w:rPr>
        <w:drawing>
          <wp:anchor distT="0" distB="0" distL="114300" distR="114300" simplePos="0" relativeHeight="28" behindDoc="0" locked="0" layoutInCell="1" hidden="0" allowOverlap="1">
            <wp:simplePos x="0" y="0"/>
            <wp:positionH relativeFrom="column">
              <wp:posOffset>-3810</wp:posOffset>
            </wp:positionH>
            <wp:positionV relativeFrom="paragraph">
              <wp:posOffset>173355</wp:posOffset>
            </wp:positionV>
            <wp:extent cx="5079998" cy="3810000"/>
            <wp:effectExtent l="0" t="0" r="0" b="0"/>
            <wp:wrapNone/>
            <wp:docPr id="6" name="图表 7"/>
            <wp:cNvGraphicFramePr>
              <a:graphicFrameLocks noChangeAspect="0"/>
            </wp:cNvGraphicFramePr>
            <a:graphic>
              <a:graphicData uri="http://schemas.openxmlformats.org/drawingml/2006/chart">
                <c:chart xmlns:c="http://schemas.openxmlformats.org/drawingml/2006/chart" r:id="rId9"/>
              </a:graphicData>
            </a:graphic>
          </wp:anchor>
        </w:drawing>
      </w:r>
    </w:p>
    <w:p>
      <w:pPr>
        <w:rPr>
          <w:rFonts w:ascii="仿宋" w:eastAsia="仿宋"/>
          <w:sz w:val="32"/>
          <w:szCs w:val="32"/>
        </w:rPr>
      </w:pPr>
    </w:p>
    <w:p>
      <w:pPr>
        <w:pStyle w:val="27"/>
        <w:rPr>
          <w:rFonts w:eastAsia="仿宋" w:hint="eastAsia"/>
          <w:lang w:eastAsia="zh-CN"/>
        </w:rPr>
      </w:pPr>
    </w:p>
    <w:p>
      <w:pPr>
        <w:rPr>
          <w:rFonts w:ascii="仿宋" w:eastAsia="仿宋"/>
          <w:sz w:val="32"/>
          <w:szCs w:val="32"/>
        </w:rPr>
      </w:pPr>
    </w:p>
    <w:p>
      <w:pPr>
        <w:pStyle w:val="27"/>
        <w:rPr>
          <w:rFonts w:ascii="仿宋" w:eastAsia="仿宋"/>
          <w:sz w:val="32"/>
          <w:szCs w:val="32"/>
        </w:rPr>
      </w:pPr>
    </w:p>
    <w:p>
      <w:pPr>
        <w:rPr>
          <w:rFonts w:ascii="仿宋" w:eastAsia="仿宋"/>
          <w:sz w:val="32"/>
          <w:szCs w:val="32"/>
        </w:rPr>
      </w:pPr>
    </w:p>
    <w:p>
      <w:pPr>
        <w:pStyle w:val="27"/>
        <w:rPr>
          <w:rFonts w:ascii="仿宋" w:eastAsia="仿宋"/>
          <w:sz w:val="32"/>
          <w:szCs w:val="32"/>
        </w:rPr>
      </w:pPr>
    </w:p>
    <w:p>
      <w:pPr>
        <w:rPr>
          <w:rFonts w:ascii="仿宋" w:eastAsia="仿宋"/>
          <w:sz w:val="32"/>
          <w:szCs w:val="32"/>
        </w:rPr>
      </w:pPr>
    </w:p>
    <w:p>
      <w:pPr>
        <w:pStyle w:val="27"/>
      </w:pPr>
    </w:p>
    <w:p>
      <w:pPr>
        <w:rPr>
          <w:rFonts w:ascii="仿宋" w:eastAsia="仿宋"/>
          <w:sz w:val="32"/>
          <w:szCs w:val="32"/>
        </w:rPr>
      </w:pPr>
    </w:p>
    <w:p>
      <w:pPr>
        <w:pStyle w:val="27"/>
        <w:rPr>
          <w:rFonts w:ascii="仿宋" w:eastAsia="仿宋"/>
          <w:sz w:val="32"/>
          <w:szCs w:val="32"/>
        </w:rPr>
      </w:pPr>
    </w:p>
    <w:p/>
    <w:p>
      <w:pPr>
        <w:pageBreakBefore w:val="0"/>
        <w:widowControl w:val="0"/>
        <w:kinsoku/>
        <w:wordWrap/>
        <w:overflowPunct/>
        <w:topLinePunct w:val="0"/>
        <w:bidi w:val="0"/>
        <w:snapToGrid/>
        <w:spacing w:line="576" w:lineRule="exact"/>
        <w:ind w:firstLineChars="200" w:firstLine="640"/>
        <w:textAlignment w:val="auto"/>
        <w:rPr>
          <w:rFonts w:ascii="仿宋" w:eastAsia="仿宋"/>
          <w:sz w:val="32"/>
          <w:szCs w:val="32"/>
        </w:rPr>
      </w:pPr>
      <w:r>
        <w:rPr>
          <w:rFonts w:ascii="仿宋" w:eastAsia="仿宋" w:hint="eastAsia"/>
          <w:sz w:val="32"/>
          <w:szCs w:val="32"/>
        </w:rPr>
        <w:t>（图6：一般公共预算财政拨款支出决算结构）（饼状图）</w:t>
      </w:r>
    </w:p>
    <w:p>
      <w:pPr>
        <w:pStyle w:val="27"/>
        <w:ind w:firstLineChars="200" w:firstLine="640"/>
        <w:rPr>
          <w:rFonts w:ascii="楷体" w:eastAsia="楷体" w:cs="楷体" w:hint="eastAsia"/>
          <w:b/>
          <w:bCs/>
          <w:sz w:val="32"/>
          <w:szCs w:val="32"/>
          <w:lang w:val="en-US" w:eastAsia="zh-CN"/>
        </w:rPr>
      </w:pPr>
      <w:bookmarkStart w:id="30" w:name="_Toc15377212"/>
      <w:r>
        <w:rPr>
          <w:rFonts w:ascii="楷体" w:eastAsia="楷体" w:cs="楷体" w:hint="eastAsia"/>
          <w:b/>
          <w:bCs/>
          <w:sz w:val="32"/>
          <w:szCs w:val="32"/>
          <w:lang w:val="en-US" w:eastAsia="zh-CN"/>
        </w:rPr>
        <w:t>（三）一般公共预算财政拨款支出决算具体情况</w:t>
      </w:r>
      <w:bookmarkEnd w:id="30"/>
    </w:p>
    <w:p>
      <w:pPr>
        <w:pageBreakBefore w:val="0"/>
        <w:widowControl w:val="0"/>
        <w:kinsoku/>
        <w:wordWrap/>
        <w:overflowPunct/>
        <w:topLinePunct w:val="0"/>
        <w:bidi w:val="0"/>
        <w:snapToGrid/>
        <w:spacing w:line="576" w:lineRule="exact"/>
        <w:ind w:firstLineChars="200" w:firstLine="640"/>
        <w:textAlignment w:val="auto"/>
        <w:outlineLvl w:val="2"/>
        <w:rPr>
          <w:rFonts w:ascii="仿宋" w:eastAsia="仿宋"/>
          <w:sz w:val="32"/>
          <w:szCs w:val="32"/>
        </w:rPr>
      </w:pPr>
      <w:bookmarkStart w:id="31" w:name="_Toc15378460"/>
      <w:bookmarkStart w:id="32" w:name="_Toc15377213"/>
      <w:bookmarkStart w:id="33" w:name="_Toc15377444"/>
      <w:r>
        <w:rPr>
          <w:rFonts w:ascii="仿宋" w:eastAsia="仿宋" w:hint="eastAsia"/>
          <w:b/>
          <w:sz w:val="32"/>
          <w:szCs w:val="32"/>
        </w:rPr>
        <w:t>2023年度一般公共预算支出决算数为</w:t>
      </w:r>
      <w:r>
        <w:rPr>
          <w:rFonts w:ascii="仿宋" w:eastAsia="仿宋"/>
          <w:b/>
          <w:sz w:val="32"/>
          <w:szCs w:val="32"/>
        </w:rPr>
        <w:t>27</w:t>
      </w:r>
      <w:r>
        <w:rPr>
          <w:rFonts w:ascii="仿宋" w:eastAsia="仿宋" w:hint="eastAsia"/>
          <w:b/>
          <w:sz w:val="32"/>
          <w:szCs w:val="32"/>
          <w:lang w:val="en-US" w:eastAsia="zh-CN"/>
        </w:rPr>
        <w:t>,</w:t>
      </w:r>
      <w:r>
        <w:rPr>
          <w:rFonts w:ascii="仿宋" w:eastAsia="仿宋"/>
          <w:b/>
          <w:sz w:val="32"/>
          <w:szCs w:val="32"/>
        </w:rPr>
        <w:t>285.74</w:t>
      </w:r>
      <w:r>
        <w:rPr>
          <w:rFonts w:ascii="仿宋" w:eastAsia="仿宋" w:hint="eastAsia"/>
          <w:sz w:val="32"/>
          <w:szCs w:val="32"/>
        </w:rPr>
        <w:t>，</w:t>
      </w:r>
      <w:r>
        <w:rPr>
          <w:rStyle w:val="25"/>
          <w:rFonts w:ascii="仿宋" w:eastAsia="仿宋" w:hint="eastAsia"/>
          <w:bCs/>
          <w:sz w:val="32"/>
          <w:szCs w:val="32"/>
        </w:rPr>
        <w:t>完成预算</w:t>
      </w:r>
      <w:r>
        <w:rPr>
          <w:rStyle w:val="25"/>
          <w:rFonts w:ascii="仿宋" w:eastAsia="仿宋" w:hint="eastAsia"/>
          <w:bCs/>
          <w:sz w:val="32"/>
          <w:szCs w:val="32"/>
          <w:lang w:val="en-US" w:eastAsia="zh-CN"/>
        </w:rPr>
        <w:t>100</w:t>
      </w:r>
      <w:r>
        <w:rPr>
          <w:rStyle w:val="25"/>
          <w:rFonts w:ascii="仿宋" w:eastAsia="仿宋"/>
          <w:bCs/>
          <w:sz w:val="32"/>
          <w:szCs w:val="32"/>
        </w:rPr>
        <w:t>%</w:t>
      </w:r>
      <w:r>
        <w:rPr>
          <w:rStyle w:val="25"/>
          <w:rFonts w:ascii="仿宋" w:eastAsia="仿宋" w:hint="eastAsia"/>
          <w:bCs/>
          <w:sz w:val="32"/>
          <w:szCs w:val="32"/>
        </w:rPr>
        <w:t>。其中：</w:t>
      </w:r>
      <w:bookmarkEnd w:id="31"/>
      <w:bookmarkEnd w:id="32"/>
      <w:bookmarkEnd w:id="33"/>
    </w:p>
    <w:p>
      <w:pPr>
        <w:pageBreakBefore w:val="0"/>
        <w:widowControl w:val="0"/>
        <w:kinsoku/>
        <w:wordWrap/>
        <w:overflowPunct/>
        <w:topLinePunct w:val="0"/>
        <w:bidi w:val="0"/>
        <w:adjustRightInd w:val="0"/>
        <w:spacing w:afterAutospacing="0" w:line="576" w:lineRule="exact"/>
        <w:ind w:firstLineChars="200" w:firstLine="640"/>
        <w:textAlignment w:val="auto"/>
        <w:rPr>
          <w:rFonts w:ascii="仿宋" w:eastAsia="仿宋"/>
          <w:b/>
          <w:sz w:val="32"/>
          <w:szCs w:val="32"/>
        </w:rPr>
      </w:pPr>
      <w:r>
        <w:rPr>
          <w:rStyle w:val="25"/>
          <w:rFonts w:ascii="仿宋" w:eastAsia="仿宋"/>
          <w:bCs/>
          <w:sz w:val="32"/>
          <w:szCs w:val="32"/>
        </w:rPr>
        <w:t>1.</w:t>
      </w:r>
      <w:r>
        <w:rPr>
          <w:rStyle w:val="25"/>
          <w:rFonts w:ascii="仿宋" w:eastAsia="仿宋" w:hint="eastAsia"/>
          <w:bCs/>
          <w:sz w:val="32"/>
          <w:szCs w:val="32"/>
        </w:rPr>
        <w:t>一般公共服务（类）</w:t>
      </w:r>
      <w:r>
        <w:rPr>
          <w:rStyle w:val="25"/>
          <w:rFonts w:ascii="仿宋" w:eastAsia="仿宋"/>
          <w:bCs/>
          <w:sz w:val="32"/>
          <w:szCs w:val="32"/>
        </w:rPr>
        <w:t>***</w:t>
      </w:r>
      <w:r>
        <w:rPr>
          <w:rStyle w:val="25"/>
          <w:rFonts w:ascii="仿宋" w:eastAsia="仿宋" w:hint="eastAsia"/>
          <w:bCs/>
          <w:sz w:val="32"/>
          <w:szCs w:val="32"/>
        </w:rPr>
        <w:t>（款）</w:t>
      </w:r>
      <w:r>
        <w:rPr>
          <w:rStyle w:val="25"/>
          <w:rFonts w:ascii="仿宋" w:eastAsia="仿宋"/>
          <w:bCs/>
          <w:sz w:val="32"/>
          <w:szCs w:val="32"/>
        </w:rPr>
        <w:t>***</w:t>
      </w:r>
      <w:r>
        <w:rPr>
          <w:rStyle w:val="25"/>
          <w:rFonts w:ascii="仿宋" w:eastAsia="仿宋" w:hint="eastAsia"/>
          <w:bCs/>
          <w:sz w:val="32"/>
          <w:szCs w:val="32"/>
        </w:rPr>
        <w:t>（项）</w:t>
      </w:r>
      <w:r>
        <w:rPr>
          <w:rStyle w:val="25"/>
          <w:rFonts w:ascii="仿宋" w:eastAsia="仿宋"/>
          <w:bCs/>
          <w:sz w:val="32"/>
          <w:szCs w:val="32"/>
        </w:rPr>
        <w:t>:</w:t>
      </w:r>
      <w:r>
        <w:rPr>
          <w:rStyle w:val="25"/>
          <w:rFonts w:ascii="仿宋" w:eastAsia="仿宋"/>
          <w:b w:val="0"/>
          <w:bCs/>
          <w:sz w:val="32"/>
          <w:szCs w:val="32"/>
        </w:rPr>
        <w:t xml:space="preserve"> </w:t>
      </w:r>
      <w:r>
        <w:rPr>
          <w:rStyle w:val="25"/>
          <w:rFonts w:ascii="仿宋" w:eastAsia="仿宋" w:hint="eastAsia"/>
          <w:b w:val="0"/>
          <w:bCs/>
          <w:sz w:val="32"/>
          <w:szCs w:val="32"/>
          <w:lang w:eastAsia="zh-CN"/>
        </w:rPr>
        <w:t>本单位</w:t>
      </w:r>
      <w:r>
        <w:rPr>
          <w:rStyle w:val="25"/>
          <w:rFonts w:ascii="仿宋" w:eastAsia="仿宋" w:hint="eastAsia"/>
          <w:b w:val="0"/>
          <w:bCs/>
          <w:sz w:val="32"/>
          <w:szCs w:val="32"/>
          <w:lang w:val="en-US" w:eastAsia="zh-CN"/>
        </w:rPr>
        <w:t>2023年度一般公共服务支出为0</w:t>
      </w:r>
      <w:r>
        <w:rPr>
          <w:rStyle w:val="25"/>
          <w:rFonts w:ascii="仿宋" w:eastAsia="仿宋" w:hint="eastAsia"/>
          <w:b w:val="0"/>
          <w:bCs/>
          <w:sz w:val="32"/>
          <w:szCs w:val="32"/>
        </w:rPr>
        <w:t>。</w:t>
      </w:r>
    </w:p>
    <w:p>
      <w:pPr>
        <w:pageBreakBefore w:val="0"/>
        <w:widowControl w:val="0"/>
        <w:kinsoku/>
        <w:wordWrap/>
        <w:overflowPunct/>
        <w:topLinePunct w:val="0"/>
        <w:bidi w:val="0"/>
        <w:adjustRightInd w:val="0"/>
        <w:spacing w:afterAutospacing="0" w:line="576" w:lineRule="exact"/>
        <w:ind w:firstLineChars="200" w:firstLine="640"/>
        <w:textAlignment w:val="auto"/>
        <w:rPr>
          <w:rFonts w:ascii="仿宋" w:eastAsia="仿宋"/>
          <w:b/>
          <w:sz w:val="32"/>
          <w:szCs w:val="32"/>
        </w:rPr>
      </w:pPr>
      <w:r>
        <w:rPr>
          <w:rStyle w:val="25"/>
          <w:rFonts w:ascii="仿宋" w:eastAsia="仿宋"/>
          <w:bCs/>
          <w:sz w:val="32"/>
          <w:szCs w:val="32"/>
        </w:rPr>
        <w:t>2.</w:t>
      </w:r>
      <w:r>
        <w:rPr>
          <w:rStyle w:val="25"/>
          <w:rFonts w:ascii="仿宋" w:eastAsia="仿宋" w:hint="eastAsia"/>
          <w:bCs/>
          <w:sz w:val="32"/>
          <w:szCs w:val="32"/>
        </w:rPr>
        <w:t>教育（类）</w:t>
      </w:r>
      <w:r>
        <w:rPr>
          <w:rStyle w:val="25"/>
          <w:rFonts w:ascii="仿宋" w:eastAsia="仿宋"/>
          <w:bCs/>
          <w:sz w:val="32"/>
          <w:szCs w:val="32"/>
        </w:rPr>
        <w:t>***</w:t>
      </w:r>
      <w:r>
        <w:rPr>
          <w:rStyle w:val="25"/>
          <w:rFonts w:ascii="仿宋" w:eastAsia="仿宋" w:hint="eastAsia"/>
          <w:bCs/>
          <w:sz w:val="32"/>
          <w:szCs w:val="32"/>
        </w:rPr>
        <w:t>（款）</w:t>
      </w:r>
      <w:r>
        <w:rPr>
          <w:rStyle w:val="25"/>
          <w:rFonts w:ascii="仿宋" w:eastAsia="仿宋"/>
          <w:bCs/>
          <w:sz w:val="32"/>
          <w:szCs w:val="32"/>
        </w:rPr>
        <w:t>***</w:t>
      </w:r>
      <w:r>
        <w:rPr>
          <w:rStyle w:val="25"/>
          <w:rFonts w:ascii="仿宋" w:eastAsia="仿宋" w:hint="eastAsia"/>
          <w:bCs/>
          <w:sz w:val="32"/>
          <w:szCs w:val="32"/>
        </w:rPr>
        <w:t>（项）</w:t>
      </w:r>
      <w:r>
        <w:rPr>
          <w:rStyle w:val="25"/>
          <w:rFonts w:ascii="仿宋" w:eastAsia="仿宋"/>
          <w:bCs/>
          <w:sz w:val="32"/>
          <w:szCs w:val="32"/>
        </w:rPr>
        <w:t>:</w:t>
      </w:r>
      <w:r>
        <w:rPr>
          <w:rStyle w:val="25"/>
          <w:rFonts w:ascii="仿宋" w:eastAsia="仿宋"/>
          <w:b w:val="0"/>
          <w:bCs/>
          <w:sz w:val="32"/>
          <w:szCs w:val="32"/>
        </w:rPr>
        <w:t xml:space="preserve"> </w:t>
      </w:r>
      <w:r>
        <w:rPr>
          <w:rStyle w:val="25"/>
          <w:rFonts w:ascii="仿宋" w:eastAsia="仿宋" w:hint="eastAsia"/>
          <w:b w:val="0"/>
          <w:bCs/>
          <w:sz w:val="32"/>
          <w:szCs w:val="32"/>
          <w:lang w:eastAsia="zh-CN"/>
        </w:rPr>
        <w:t>本单位</w:t>
      </w:r>
      <w:r>
        <w:rPr>
          <w:rStyle w:val="25"/>
          <w:rFonts w:ascii="仿宋" w:eastAsia="仿宋" w:hint="eastAsia"/>
          <w:b w:val="0"/>
          <w:bCs/>
          <w:sz w:val="32"/>
          <w:szCs w:val="32"/>
          <w:lang w:val="en-US" w:eastAsia="zh-CN"/>
        </w:rPr>
        <w:t>2023年度一般公共服务支出为0</w:t>
      </w:r>
      <w:r>
        <w:rPr>
          <w:rStyle w:val="25"/>
          <w:rFonts w:ascii="仿宋" w:eastAsia="仿宋" w:hint="eastAsia"/>
          <w:b w:val="0"/>
          <w:bCs/>
          <w:sz w:val="32"/>
          <w:szCs w:val="32"/>
        </w:rPr>
        <w:t>。</w:t>
      </w:r>
    </w:p>
    <w:p>
      <w:pPr>
        <w:pageBreakBefore w:val="0"/>
        <w:widowControl w:val="0"/>
        <w:kinsoku/>
        <w:wordWrap/>
        <w:overflowPunct/>
        <w:topLinePunct w:val="0"/>
        <w:bidi w:val="0"/>
        <w:adjustRightInd w:val="0"/>
        <w:spacing w:afterAutospacing="0" w:line="576" w:lineRule="exact"/>
        <w:ind w:firstLineChars="200" w:firstLine="640"/>
        <w:textAlignment w:val="auto"/>
        <w:rPr>
          <w:rFonts w:ascii="仿宋" w:eastAsia="仿宋"/>
          <w:b/>
          <w:sz w:val="32"/>
          <w:szCs w:val="32"/>
        </w:rPr>
      </w:pPr>
      <w:r>
        <w:rPr>
          <w:rStyle w:val="25"/>
          <w:rFonts w:ascii="仿宋" w:eastAsia="仿宋"/>
          <w:bCs/>
          <w:sz w:val="32"/>
          <w:szCs w:val="32"/>
        </w:rPr>
        <w:t>3.</w:t>
      </w:r>
      <w:r>
        <w:rPr>
          <w:rStyle w:val="25"/>
          <w:rFonts w:ascii="仿宋" w:eastAsia="仿宋" w:hint="eastAsia"/>
          <w:bCs/>
          <w:sz w:val="32"/>
          <w:szCs w:val="32"/>
        </w:rPr>
        <w:t>科学技术（类）</w:t>
      </w:r>
      <w:r>
        <w:rPr>
          <w:rStyle w:val="25"/>
          <w:rFonts w:ascii="仿宋" w:eastAsia="仿宋"/>
          <w:bCs/>
          <w:sz w:val="32"/>
          <w:szCs w:val="32"/>
        </w:rPr>
        <w:t>***</w:t>
      </w:r>
      <w:r>
        <w:rPr>
          <w:rStyle w:val="25"/>
          <w:rFonts w:ascii="仿宋" w:eastAsia="仿宋" w:hint="eastAsia"/>
          <w:bCs/>
          <w:sz w:val="32"/>
          <w:szCs w:val="32"/>
        </w:rPr>
        <w:t>（款）</w:t>
      </w:r>
      <w:r>
        <w:rPr>
          <w:rStyle w:val="25"/>
          <w:rFonts w:ascii="仿宋" w:eastAsia="仿宋"/>
          <w:bCs/>
          <w:sz w:val="32"/>
          <w:szCs w:val="32"/>
        </w:rPr>
        <w:t>***</w:t>
      </w:r>
      <w:r>
        <w:rPr>
          <w:rStyle w:val="25"/>
          <w:rFonts w:ascii="仿宋" w:eastAsia="仿宋" w:hint="eastAsia"/>
          <w:bCs/>
          <w:sz w:val="32"/>
          <w:szCs w:val="32"/>
        </w:rPr>
        <w:t>（项）</w:t>
      </w:r>
      <w:r>
        <w:rPr>
          <w:rStyle w:val="25"/>
          <w:rFonts w:ascii="仿宋" w:eastAsia="仿宋"/>
          <w:bCs/>
          <w:sz w:val="32"/>
          <w:szCs w:val="32"/>
        </w:rPr>
        <w:t>:</w:t>
      </w:r>
      <w:r>
        <w:rPr>
          <w:rStyle w:val="25"/>
          <w:rFonts w:ascii="仿宋" w:eastAsia="仿宋"/>
          <w:b w:val="0"/>
          <w:bCs/>
          <w:sz w:val="32"/>
          <w:szCs w:val="32"/>
        </w:rPr>
        <w:t xml:space="preserve"> </w:t>
      </w:r>
      <w:r>
        <w:rPr>
          <w:rStyle w:val="25"/>
          <w:rFonts w:ascii="仿宋" w:eastAsia="仿宋" w:hint="eastAsia"/>
          <w:b w:val="0"/>
          <w:bCs/>
          <w:sz w:val="32"/>
          <w:szCs w:val="32"/>
          <w:lang w:eastAsia="zh-CN"/>
        </w:rPr>
        <w:t>本单位</w:t>
      </w:r>
      <w:r>
        <w:rPr>
          <w:rStyle w:val="25"/>
          <w:rFonts w:ascii="仿宋" w:eastAsia="仿宋" w:hint="eastAsia"/>
          <w:b w:val="0"/>
          <w:bCs/>
          <w:sz w:val="32"/>
          <w:szCs w:val="32"/>
          <w:lang w:val="en-US" w:eastAsia="zh-CN"/>
        </w:rPr>
        <w:t>2023年度一般公共服务支出为0</w:t>
      </w:r>
      <w:r>
        <w:rPr>
          <w:rStyle w:val="25"/>
          <w:rFonts w:ascii="仿宋" w:eastAsia="仿宋" w:hint="eastAsia"/>
          <w:b w:val="0"/>
          <w:bCs/>
          <w:sz w:val="32"/>
          <w:szCs w:val="32"/>
        </w:rPr>
        <w:t>。</w:t>
      </w:r>
    </w:p>
    <w:p>
      <w:pPr>
        <w:pageBreakBefore w:val="0"/>
        <w:widowControl w:val="0"/>
        <w:kinsoku/>
        <w:wordWrap/>
        <w:overflowPunct/>
        <w:topLinePunct w:val="0"/>
        <w:bidi w:val="0"/>
        <w:adjustRightInd w:val="0"/>
        <w:spacing w:afterAutospacing="0" w:line="576" w:lineRule="exact"/>
        <w:ind w:firstLineChars="200" w:firstLine="640"/>
        <w:textAlignment w:val="auto"/>
        <w:rPr>
          <w:rFonts w:ascii="仿宋" w:eastAsia="仿宋"/>
          <w:b/>
          <w:sz w:val="32"/>
          <w:szCs w:val="32"/>
        </w:rPr>
      </w:pPr>
      <w:r>
        <w:rPr>
          <w:rStyle w:val="25"/>
          <w:rFonts w:ascii="仿宋" w:eastAsia="仿宋"/>
          <w:bCs/>
          <w:sz w:val="32"/>
          <w:szCs w:val="32"/>
        </w:rPr>
        <w:t>4.</w:t>
      </w:r>
      <w:r>
        <w:rPr>
          <w:rStyle w:val="25"/>
          <w:rFonts w:ascii="仿宋" w:eastAsia="仿宋" w:hint="eastAsia"/>
          <w:bCs/>
          <w:sz w:val="32"/>
          <w:szCs w:val="32"/>
        </w:rPr>
        <w:t>文化旅游体育与传媒（类）</w:t>
      </w:r>
      <w:r>
        <w:rPr>
          <w:rStyle w:val="25"/>
          <w:rFonts w:ascii="仿宋" w:eastAsia="仿宋"/>
          <w:bCs/>
          <w:sz w:val="32"/>
          <w:szCs w:val="32"/>
        </w:rPr>
        <w:t>***</w:t>
      </w:r>
      <w:r>
        <w:rPr>
          <w:rStyle w:val="25"/>
          <w:rFonts w:ascii="仿宋" w:eastAsia="仿宋" w:hint="eastAsia"/>
          <w:bCs/>
          <w:sz w:val="32"/>
          <w:szCs w:val="32"/>
        </w:rPr>
        <w:t>（款）</w:t>
      </w:r>
      <w:r>
        <w:rPr>
          <w:rStyle w:val="25"/>
          <w:rFonts w:ascii="仿宋" w:eastAsia="仿宋"/>
          <w:bCs/>
          <w:sz w:val="32"/>
          <w:szCs w:val="32"/>
        </w:rPr>
        <w:t>***</w:t>
      </w:r>
      <w:r>
        <w:rPr>
          <w:rStyle w:val="25"/>
          <w:rFonts w:ascii="仿宋" w:eastAsia="仿宋" w:hint="eastAsia"/>
          <w:bCs/>
          <w:sz w:val="32"/>
          <w:szCs w:val="32"/>
        </w:rPr>
        <w:t>（项）</w:t>
      </w:r>
      <w:r>
        <w:rPr>
          <w:rStyle w:val="25"/>
          <w:rFonts w:ascii="仿宋" w:eastAsia="仿宋"/>
          <w:bCs/>
          <w:sz w:val="32"/>
          <w:szCs w:val="32"/>
        </w:rPr>
        <w:t>:</w:t>
      </w:r>
      <w:r>
        <w:rPr>
          <w:rStyle w:val="25"/>
          <w:rFonts w:ascii="仿宋" w:eastAsia="仿宋"/>
          <w:b w:val="0"/>
          <w:bCs/>
          <w:sz w:val="32"/>
          <w:szCs w:val="32"/>
        </w:rPr>
        <w:t xml:space="preserve"> </w:t>
      </w:r>
      <w:r>
        <w:rPr>
          <w:rStyle w:val="25"/>
          <w:rFonts w:ascii="仿宋" w:eastAsia="仿宋" w:hint="eastAsia"/>
          <w:b w:val="0"/>
          <w:bCs/>
          <w:sz w:val="32"/>
          <w:szCs w:val="32"/>
          <w:lang w:eastAsia="zh-CN"/>
        </w:rPr>
        <w:t>本单位</w:t>
      </w:r>
      <w:r>
        <w:rPr>
          <w:rStyle w:val="25"/>
          <w:rFonts w:ascii="仿宋" w:eastAsia="仿宋" w:hint="eastAsia"/>
          <w:b w:val="0"/>
          <w:bCs/>
          <w:sz w:val="32"/>
          <w:szCs w:val="32"/>
          <w:lang w:val="en-US" w:eastAsia="zh-CN"/>
        </w:rPr>
        <w:t>2023年度一般公共服务支出为0</w:t>
      </w:r>
      <w:r>
        <w:rPr>
          <w:rStyle w:val="25"/>
          <w:rFonts w:ascii="仿宋" w:eastAsia="仿宋" w:hint="eastAsia"/>
          <w:b w:val="0"/>
          <w:bCs/>
          <w:sz w:val="32"/>
          <w:szCs w:val="32"/>
        </w:rPr>
        <w:t>。</w:t>
      </w:r>
    </w:p>
    <w:p>
      <w:pPr>
        <w:pageBreakBefore w:val="0"/>
        <w:widowControl w:val="0"/>
        <w:kinsoku/>
        <w:wordWrap/>
        <w:overflowPunct/>
        <w:topLinePunct w:val="0"/>
        <w:bidi w:val="0"/>
        <w:snapToGrid/>
        <w:spacing w:line="576" w:lineRule="exact"/>
        <w:ind w:firstLineChars="200" w:firstLine="640"/>
        <w:textAlignment w:val="auto"/>
        <w:rPr>
          <w:rStyle w:val="25"/>
          <w:rFonts w:ascii="仿宋" w:eastAsia="仿宋" w:hint="eastAsia"/>
          <w:b w:val="0"/>
          <w:bCs/>
          <w:sz w:val="32"/>
          <w:szCs w:val="32"/>
        </w:rPr>
      </w:pPr>
      <w:r>
        <w:rPr>
          <w:rStyle w:val="25"/>
          <w:rFonts w:ascii="仿宋" w:eastAsia="仿宋"/>
          <w:bCs/>
          <w:sz w:val="32"/>
          <w:szCs w:val="32"/>
        </w:rPr>
        <w:t>5.</w:t>
      </w:r>
      <w:r>
        <w:rPr>
          <w:rStyle w:val="25"/>
          <w:rFonts w:ascii="仿宋" w:eastAsia="仿宋" w:hint="eastAsia"/>
          <w:bCs/>
          <w:sz w:val="32"/>
          <w:szCs w:val="32"/>
        </w:rPr>
        <w:t>公共安全（204）公安（02）行政运行（01）</w:t>
      </w:r>
      <w:r>
        <w:rPr>
          <w:rStyle w:val="25"/>
          <w:rFonts w:ascii="仿宋" w:eastAsia="仿宋"/>
          <w:bCs/>
          <w:sz w:val="32"/>
          <w:szCs w:val="32"/>
        </w:rPr>
        <w:t>:</w:t>
      </w:r>
      <w:r>
        <w:rPr>
          <w:rStyle w:val="25"/>
          <w:rFonts w:ascii="仿宋" w:eastAsia="仿宋"/>
          <w:b w:val="0"/>
          <w:bCs/>
          <w:sz w:val="32"/>
          <w:szCs w:val="32"/>
        </w:rPr>
        <w:t xml:space="preserve"> </w:t>
      </w:r>
      <w:r>
        <w:rPr>
          <w:rStyle w:val="25"/>
          <w:rFonts w:ascii="仿宋" w:eastAsia="仿宋" w:hint="eastAsia"/>
          <w:b w:val="0"/>
          <w:bCs/>
          <w:sz w:val="32"/>
          <w:szCs w:val="32"/>
        </w:rPr>
        <w:t>支出决算为</w:t>
      </w:r>
      <w:r>
        <w:rPr>
          <w:rStyle w:val="25"/>
          <w:rFonts w:ascii="仿宋" w:eastAsia="仿宋" w:hint="eastAsia"/>
          <w:b w:val="0"/>
          <w:bCs/>
          <w:sz w:val="32"/>
          <w:szCs w:val="32"/>
          <w:lang w:val="en-US" w:eastAsia="zh-CN"/>
        </w:rPr>
        <w:t>16,504.87</w:t>
      </w:r>
      <w:r>
        <w:rPr>
          <w:rStyle w:val="25"/>
          <w:rFonts w:ascii="仿宋" w:eastAsia="仿宋" w:hint="eastAsia"/>
          <w:b w:val="0"/>
          <w:bCs/>
          <w:sz w:val="32"/>
          <w:szCs w:val="32"/>
        </w:rPr>
        <w:t>万元，完成预算</w:t>
      </w:r>
      <w:r>
        <w:rPr>
          <w:rStyle w:val="25"/>
          <w:rFonts w:ascii="仿宋" w:eastAsia="仿宋" w:hint="eastAsia"/>
          <w:b w:val="0"/>
          <w:bCs/>
          <w:sz w:val="32"/>
          <w:szCs w:val="32"/>
          <w:lang w:val="en-US" w:eastAsia="zh-CN"/>
        </w:rPr>
        <w:t>100</w:t>
      </w:r>
      <w:r>
        <w:rPr>
          <w:rStyle w:val="25"/>
          <w:rFonts w:ascii="仿宋" w:eastAsia="仿宋"/>
          <w:b w:val="0"/>
          <w:bCs/>
          <w:sz w:val="32"/>
          <w:szCs w:val="32"/>
        </w:rPr>
        <w:t>%</w:t>
      </w:r>
      <w:r>
        <w:rPr>
          <w:rStyle w:val="25"/>
          <w:rFonts w:ascii="仿宋" w:eastAsia="仿宋" w:hint="eastAsia"/>
          <w:b w:val="0"/>
          <w:bCs/>
          <w:sz w:val="32"/>
          <w:szCs w:val="32"/>
        </w:rPr>
        <w:t>，决算数等于预算数。</w:t>
      </w:r>
    </w:p>
    <w:p>
      <w:pPr>
        <w:pageBreakBefore w:val="0"/>
        <w:widowControl w:val="0"/>
        <w:kinsoku/>
        <w:wordWrap/>
        <w:overflowPunct/>
        <w:topLinePunct w:val="0"/>
        <w:bidi w:val="0"/>
        <w:snapToGrid/>
        <w:spacing w:line="576" w:lineRule="exact"/>
        <w:ind w:firstLineChars="200" w:firstLine="640"/>
        <w:textAlignment w:val="auto"/>
        <w:rPr>
          <w:rStyle w:val="25"/>
          <w:rFonts w:ascii="仿宋" w:eastAsia="仿宋" w:hint="eastAsia"/>
          <w:b w:val="0"/>
          <w:bCs/>
          <w:sz w:val="32"/>
          <w:szCs w:val="32"/>
        </w:rPr>
      </w:pPr>
      <w:r>
        <w:rPr>
          <w:rStyle w:val="25"/>
          <w:rFonts w:ascii="仿宋" w:eastAsia="仿宋" w:hint="eastAsia"/>
          <w:bCs/>
          <w:sz w:val="32"/>
          <w:szCs w:val="32"/>
          <w:lang w:val="en-US" w:eastAsia="zh-CN"/>
        </w:rPr>
        <w:t>6.</w:t>
      </w:r>
      <w:r>
        <w:rPr>
          <w:rStyle w:val="25"/>
          <w:rFonts w:ascii="仿宋" w:eastAsia="仿宋" w:hint="eastAsia"/>
          <w:bCs/>
          <w:sz w:val="32"/>
          <w:szCs w:val="32"/>
        </w:rPr>
        <w:t>公共安全（204）公安（02）一般行政管理事务（0</w:t>
      </w:r>
      <w:r>
        <w:rPr>
          <w:rStyle w:val="25"/>
          <w:rFonts w:ascii="仿宋" w:eastAsia="仿宋" w:hint="eastAsia"/>
          <w:bCs/>
          <w:sz w:val="32"/>
          <w:szCs w:val="32"/>
          <w:lang w:val="en-US" w:eastAsia="zh-CN"/>
        </w:rPr>
        <w:t>2</w:t>
      </w:r>
      <w:r>
        <w:rPr>
          <w:rStyle w:val="25"/>
          <w:rFonts w:ascii="仿宋" w:eastAsia="仿宋" w:hint="eastAsia"/>
          <w:bCs/>
          <w:sz w:val="32"/>
          <w:szCs w:val="32"/>
        </w:rPr>
        <w:t>）</w:t>
      </w:r>
      <w:r>
        <w:rPr>
          <w:rStyle w:val="25"/>
          <w:rFonts w:ascii="仿宋" w:eastAsia="仿宋"/>
          <w:bCs/>
          <w:sz w:val="32"/>
          <w:szCs w:val="32"/>
        </w:rPr>
        <w:t>:</w:t>
      </w:r>
      <w:r>
        <w:rPr>
          <w:rStyle w:val="25"/>
          <w:rFonts w:ascii="仿宋" w:eastAsia="仿宋"/>
          <w:b w:val="0"/>
          <w:bCs/>
          <w:sz w:val="32"/>
          <w:szCs w:val="32"/>
        </w:rPr>
        <w:t xml:space="preserve"> </w:t>
      </w:r>
      <w:r>
        <w:rPr>
          <w:rStyle w:val="25"/>
          <w:rFonts w:ascii="仿宋" w:eastAsia="仿宋" w:hint="eastAsia"/>
          <w:b w:val="0"/>
          <w:bCs/>
          <w:sz w:val="32"/>
          <w:szCs w:val="32"/>
        </w:rPr>
        <w:t>支出决算为</w:t>
      </w:r>
      <w:r>
        <w:rPr>
          <w:rStyle w:val="25"/>
          <w:rFonts w:ascii="仿宋" w:eastAsia="仿宋" w:hint="eastAsia"/>
          <w:b w:val="0"/>
          <w:bCs/>
          <w:sz w:val="32"/>
          <w:szCs w:val="32"/>
          <w:lang w:val="en-US" w:eastAsia="zh-CN"/>
        </w:rPr>
        <w:t>5,353.04</w:t>
      </w:r>
      <w:r>
        <w:rPr>
          <w:rStyle w:val="25"/>
          <w:rFonts w:ascii="仿宋" w:eastAsia="仿宋" w:hint="eastAsia"/>
          <w:b w:val="0"/>
          <w:bCs/>
          <w:sz w:val="32"/>
          <w:szCs w:val="32"/>
        </w:rPr>
        <w:t>万元，完成预算</w:t>
      </w:r>
      <w:r>
        <w:rPr>
          <w:rStyle w:val="25"/>
          <w:rFonts w:ascii="仿宋" w:eastAsia="仿宋" w:hint="eastAsia"/>
          <w:b w:val="0"/>
          <w:bCs/>
          <w:sz w:val="32"/>
          <w:szCs w:val="32"/>
          <w:lang w:val="en-US" w:eastAsia="zh-CN"/>
        </w:rPr>
        <w:t>100</w:t>
      </w:r>
      <w:r>
        <w:rPr>
          <w:rStyle w:val="25"/>
          <w:rFonts w:ascii="仿宋" w:eastAsia="仿宋"/>
          <w:b w:val="0"/>
          <w:bCs/>
          <w:sz w:val="32"/>
          <w:szCs w:val="32"/>
        </w:rPr>
        <w:t>%</w:t>
      </w:r>
      <w:r>
        <w:rPr>
          <w:rStyle w:val="25"/>
          <w:rFonts w:ascii="仿宋" w:eastAsia="仿宋" w:hint="eastAsia"/>
          <w:b w:val="0"/>
          <w:bCs/>
          <w:sz w:val="32"/>
          <w:szCs w:val="32"/>
        </w:rPr>
        <w:t>，决算数等于预算数。</w:t>
      </w:r>
    </w:p>
    <w:p>
      <w:pPr>
        <w:pageBreakBefore w:val="0"/>
        <w:widowControl w:val="0"/>
        <w:kinsoku/>
        <w:wordWrap/>
        <w:overflowPunct/>
        <w:topLinePunct w:val="0"/>
        <w:bidi w:val="0"/>
        <w:snapToGrid/>
        <w:spacing w:line="576" w:lineRule="exact"/>
        <w:ind w:firstLineChars="200" w:firstLine="640"/>
        <w:textAlignment w:val="auto"/>
        <w:rPr>
          <w:rStyle w:val="25"/>
          <w:rFonts w:ascii="仿宋" w:eastAsia="仿宋" w:hint="eastAsia"/>
          <w:b w:val="0"/>
          <w:bCs/>
          <w:sz w:val="32"/>
          <w:szCs w:val="32"/>
        </w:rPr>
      </w:pPr>
      <w:r>
        <w:rPr>
          <w:rStyle w:val="25"/>
          <w:rFonts w:ascii="仿宋" w:eastAsia="仿宋" w:hint="eastAsia"/>
          <w:bCs/>
          <w:sz w:val="32"/>
          <w:szCs w:val="32"/>
          <w:lang w:val="en-US" w:eastAsia="zh-CN"/>
        </w:rPr>
        <w:t>7.</w:t>
      </w:r>
      <w:r>
        <w:rPr>
          <w:rStyle w:val="25"/>
          <w:rFonts w:ascii="仿宋" w:eastAsia="仿宋" w:hint="eastAsia"/>
          <w:bCs/>
          <w:sz w:val="32"/>
          <w:szCs w:val="32"/>
        </w:rPr>
        <w:t>公共安全（204）公安（02）信息化建设（</w:t>
      </w:r>
      <w:r>
        <w:rPr>
          <w:rStyle w:val="25"/>
          <w:rFonts w:ascii="仿宋" w:eastAsia="仿宋" w:hint="eastAsia"/>
          <w:bCs/>
          <w:sz w:val="32"/>
          <w:szCs w:val="32"/>
          <w:lang w:val="en-US" w:eastAsia="zh-CN"/>
        </w:rPr>
        <w:t>19</w:t>
      </w:r>
      <w:r>
        <w:rPr>
          <w:rStyle w:val="25"/>
          <w:rFonts w:ascii="仿宋" w:eastAsia="仿宋" w:hint="eastAsia"/>
          <w:bCs/>
          <w:sz w:val="32"/>
          <w:szCs w:val="32"/>
        </w:rPr>
        <w:t>）</w:t>
      </w:r>
      <w:r>
        <w:rPr>
          <w:rStyle w:val="25"/>
          <w:rFonts w:ascii="仿宋" w:eastAsia="仿宋"/>
          <w:bCs/>
          <w:sz w:val="32"/>
          <w:szCs w:val="32"/>
        </w:rPr>
        <w:t>:</w:t>
      </w:r>
      <w:r>
        <w:rPr>
          <w:rStyle w:val="25"/>
          <w:rFonts w:ascii="仿宋" w:eastAsia="仿宋"/>
          <w:b w:val="0"/>
          <w:bCs/>
          <w:sz w:val="32"/>
          <w:szCs w:val="32"/>
        </w:rPr>
        <w:t xml:space="preserve"> </w:t>
      </w:r>
      <w:r>
        <w:rPr>
          <w:rStyle w:val="25"/>
          <w:rFonts w:ascii="仿宋" w:eastAsia="仿宋" w:hint="eastAsia"/>
          <w:b w:val="0"/>
          <w:bCs/>
          <w:sz w:val="32"/>
          <w:szCs w:val="32"/>
        </w:rPr>
        <w:t>支出决算为</w:t>
      </w:r>
      <w:r>
        <w:rPr>
          <w:rStyle w:val="25"/>
          <w:rFonts w:ascii="仿宋" w:eastAsia="仿宋" w:hint="eastAsia"/>
          <w:b w:val="0"/>
          <w:bCs/>
          <w:sz w:val="32"/>
          <w:szCs w:val="32"/>
          <w:lang w:val="en-US" w:eastAsia="zh-CN"/>
        </w:rPr>
        <w:t>484.06</w:t>
      </w:r>
      <w:r>
        <w:rPr>
          <w:rStyle w:val="25"/>
          <w:rFonts w:ascii="仿宋" w:eastAsia="仿宋" w:hint="eastAsia"/>
          <w:b w:val="0"/>
          <w:bCs/>
          <w:sz w:val="32"/>
          <w:szCs w:val="32"/>
        </w:rPr>
        <w:t>万元，完成预算</w:t>
      </w:r>
      <w:r>
        <w:rPr>
          <w:rStyle w:val="25"/>
          <w:rFonts w:ascii="仿宋" w:eastAsia="仿宋" w:hint="eastAsia"/>
          <w:b w:val="0"/>
          <w:bCs/>
          <w:sz w:val="32"/>
          <w:szCs w:val="32"/>
          <w:lang w:val="en-US" w:eastAsia="zh-CN"/>
        </w:rPr>
        <w:t>100</w:t>
      </w:r>
      <w:r>
        <w:rPr>
          <w:rStyle w:val="25"/>
          <w:rFonts w:ascii="仿宋" w:eastAsia="仿宋"/>
          <w:b w:val="0"/>
          <w:bCs/>
          <w:sz w:val="32"/>
          <w:szCs w:val="32"/>
        </w:rPr>
        <w:t>%</w:t>
      </w:r>
      <w:r>
        <w:rPr>
          <w:rStyle w:val="25"/>
          <w:rFonts w:ascii="仿宋" w:eastAsia="仿宋" w:hint="eastAsia"/>
          <w:b w:val="0"/>
          <w:bCs/>
          <w:sz w:val="32"/>
          <w:szCs w:val="32"/>
        </w:rPr>
        <w:t>，决算数等于预算数。</w:t>
      </w:r>
    </w:p>
    <w:p>
      <w:pPr>
        <w:pageBreakBefore w:val="0"/>
        <w:widowControl w:val="0"/>
        <w:kinsoku/>
        <w:wordWrap/>
        <w:overflowPunct/>
        <w:topLinePunct w:val="0"/>
        <w:bidi w:val="0"/>
        <w:snapToGrid/>
        <w:spacing w:line="576" w:lineRule="exact"/>
        <w:ind w:firstLineChars="200" w:firstLine="640"/>
        <w:textAlignment w:val="auto"/>
        <w:rPr>
          <w:rStyle w:val="25"/>
          <w:rFonts w:ascii="仿宋" w:eastAsia="仿宋" w:hint="eastAsia"/>
          <w:b w:val="0"/>
          <w:bCs/>
          <w:sz w:val="32"/>
          <w:szCs w:val="32"/>
        </w:rPr>
      </w:pPr>
      <w:r>
        <w:rPr>
          <w:rStyle w:val="25"/>
          <w:rFonts w:ascii="仿宋" w:eastAsia="仿宋" w:hint="eastAsia"/>
          <w:bCs/>
          <w:sz w:val="32"/>
          <w:szCs w:val="32"/>
          <w:lang w:val="en-US" w:eastAsia="zh-CN"/>
        </w:rPr>
        <w:t>8.</w:t>
      </w:r>
      <w:r>
        <w:rPr>
          <w:rStyle w:val="25"/>
          <w:rFonts w:ascii="仿宋" w:eastAsia="仿宋" w:hint="eastAsia"/>
          <w:bCs/>
          <w:sz w:val="32"/>
          <w:szCs w:val="32"/>
        </w:rPr>
        <w:t>公共安全（204）公安（02）其他公安支出（</w:t>
      </w:r>
      <w:r>
        <w:rPr>
          <w:rStyle w:val="25"/>
          <w:rFonts w:ascii="仿宋" w:eastAsia="仿宋" w:hint="eastAsia"/>
          <w:bCs/>
          <w:sz w:val="32"/>
          <w:szCs w:val="32"/>
          <w:lang w:val="en-US" w:eastAsia="zh-CN"/>
        </w:rPr>
        <w:t>99</w:t>
      </w:r>
      <w:r>
        <w:rPr>
          <w:rStyle w:val="25"/>
          <w:rFonts w:ascii="仿宋" w:eastAsia="仿宋" w:hint="eastAsia"/>
          <w:bCs/>
          <w:sz w:val="32"/>
          <w:szCs w:val="32"/>
        </w:rPr>
        <w:t>）</w:t>
      </w:r>
      <w:r>
        <w:rPr>
          <w:rStyle w:val="25"/>
          <w:rFonts w:ascii="仿宋" w:eastAsia="仿宋"/>
          <w:bCs/>
          <w:sz w:val="32"/>
          <w:szCs w:val="32"/>
        </w:rPr>
        <w:t>:</w:t>
      </w:r>
      <w:r>
        <w:rPr>
          <w:rStyle w:val="25"/>
          <w:rFonts w:ascii="仿宋" w:eastAsia="仿宋"/>
          <w:b w:val="0"/>
          <w:bCs/>
          <w:sz w:val="32"/>
          <w:szCs w:val="32"/>
        </w:rPr>
        <w:t xml:space="preserve"> </w:t>
      </w:r>
      <w:r>
        <w:rPr>
          <w:rStyle w:val="25"/>
          <w:rFonts w:ascii="仿宋" w:eastAsia="仿宋" w:hint="eastAsia"/>
          <w:b w:val="0"/>
          <w:bCs/>
          <w:sz w:val="32"/>
          <w:szCs w:val="32"/>
        </w:rPr>
        <w:t>支出决算为</w:t>
      </w:r>
      <w:r>
        <w:rPr>
          <w:rStyle w:val="25"/>
          <w:rFonts w:ascii="仿宋" w:eastAsia="仿宋" w:hint="eastAsia"/>
          <w:b w:val="0"/>
          <w:bCs/>
          <w:sz w:val="32"/>
          <w:szCs w:val="32"/>
          <w:lang w:val="en-US" w:eastAsia="zh-CN"/>
        </w:rPr>
        <w:t>9.52</w:t>
      </w:r>
      <w:r>
        <w:rPr>
          <w:rStyle w:val="25"/>
          <w:rFonts w:ascii="仿宋" w:eastAsia="仿宋" w:hint="eastAsia"/>
          <w:b w:val="0"/>
          <w:bCs/>
          <w:sz w:val="32"/>
          <w:szCs w:val="32"/>
        </w:rPr>
        <w:t>万元，完成预算</w:t>
      </w:r>
      <w:r>
        <w:rPr>
          <w:rStyle w:val="25"/>
          <w:rFonts w:ascii="仿宋" w:eastAsia="仿宋" w:hint="eastAsia"/>
          <w:b w:val="0"/>
          <w:bCs/>
          <w:sz w:val="32"/>
          <w:szCs w:val="32"/>
          <w:lang w:val="en-US" w:eastAsia="zh-CN"/>
        </w:rPr>
        <w:t>100</w:t>
      </w:r>
      <w:r>
        <w:rPr>
          <w:rStyle w:val="25"/>
          <w:rFonts w:ascii="仿宋" w:eastAsia="仿宋"/>
          <w:b w:val="0"/>
          <w:bCs/>
          <w:sz w:val="32"/>
          <w:szCs w:val="32"/>
        </w:rPr>
        <w:t>%</w:t>
      </w:r>
      <w:r>
        <w:rPr>
          <w:rStyle w:val="25"/>
          <w:rFonts w:ascii="仿宋" w:eastAsia="仿宋" w:hint="eastAsia"/>
          <w:b w:val="0"/>
          <w:bCs/>
          <w:sz w:val="32"/>
          <w:szCs w:val="32"/>
        </w:rPr>
        <w:t>，决算数等于预算数。</w:t>
      </w:r>
    </w:p>
    <w:p>
      <w:pPr>
        <w:pageBreakBefore w:val="0"/>
        <w:widowControl w:val="0"/>
        <w:kinsoku/>
        <w:wordWrap/>
        <w:overflowPunct/>
        <w:topLinePunct w:val="0"/>
        <w:bidi w:val="0"/>
        <w:snapToGrid/>
        <w:spacing w:line="576" w:lineRule="exact"/>
        <w:ind w:firstLineChars="200" w:firstLine="640"/>
        <w:textAlignment w:val="auto"/>
        <w:rPr>
          <w:rStyle w:val="25"/>
          <w:rFonts w:ascii="仿宋" w:eastAsia="仿宋" w:hint="eastAsia"/>
          <w:b w:val="0"/>
          <w:bCs/>
          <w:sz w:val="32"/>
          <w:szCs w:val="32"/>
        </w:rPr>
      </w:pPr>
      <w:r>
        <w:rPr>
          <w:rStyle w:val="25"/>
          <w:rFonts w:ascii="仿宋" w:eastAsia="仿宋" w:hint="eastAsia"/>
          <w:bCs/>
          <w:sz w:val="32"/>
          <w:szCs w:val="32"/>
          <w:lang w:val="en-US" w:eastAsia="zh-CN"/>
        </w:rPr>
        <w:t>9.</w:t>
      </w:r>
      <w:r>
        <w:rPr>
          <w:rStyle w:val="25"/>
          <w:rFonts w:ascii="仿宋" w:eastAsia="仿宋" w:hint="eastAsia"/>
          <w:bCs/>
          <w:sz w:val="32"/>
          <w:szCs w:val="32"/>
        </w:rPr>
        <w:t>公共安全（204）其他公共安全支出（</w:t>
      </w:r>
      <w:r>
        <w:rPr>
          <w:rStyle w:val="25"/>
          <w:rFonts w:ascii="仿宋" w:eastAsia="仿宋" w:hint="eastAsia"/>
          <w:bCs/>
          <w:sz w:val="32"/>
          <w:szCs w:val="32"/>
          <w:lang w:val="en-US" w:eastAsia="zh-CN"/>
        </w:rPr>
        <w:t>99</w:t>
      </w:r>
      <w:r>
        <w:rPr>
          <w:rStyle w:val="25"/>
          <w:rFonts w:ascii="仿宋" w:eastAsia="仿宋" w:hint="eastAsia"/>
          <w:bCs/>
          <w:sz w:val="32"/>
          <w:szCs w:val="32"/>
        </w:rPr>
        <w:t>）其他公安支出（</w:t>
      </w:r>
      <w:r>
        <w:rPr>
          <w:rStyle w:val="25"/>
          <w:rFonts w:ascii="仿宋" w:eastAsia="仿宋" w:hint="eastAsia"/>
          <w:bCs/>
          <w:sz w:val="32"/>
          <w:szCs w:val="32"/>
          <w:lang w:val="en-US" w:eastAsia="zh-CN"/>
        </w:rPr>
        <w:t>99</w:t>
      </w:r>
      <w:r>
        <w:rPr>
          <w:rStyle w:val="25"/>
          <w:rFonts w:ascii="仿宋" w:eastAsia="仿宋" w:hint="eastAsia"/>
          <w:bCs/>
          <w:sz w:val="32"/>
          <w:szCs w:val="32"/>
        </w:rPr>
        <w:t>）</w:t>
      </w:r>
      <w:r>
        <w:rPr>
          <w:rStyle w:val="25"/>
          <w:rFonts w:ascii="仿宋" w:eastAsia="仿宋"/>
          <w:bCs/>
          <w:sz w:val="32"/>
          <w:szCs w:val="32"/>
        </w:rPr>
        <w:t>:</w:t>
      </w:r>
      <w:r>
        <w:rPr>
          <w:rStyle w:val="25"/>
          <w:rFonts w:ascii="仿宋" w:eastAsia="仿宋"/>
          <w:b w:val="0"/>
          <w:bCs/>
          <w:sz w:val="32"/>
          <w:szCs w:val="32"/>
        </w:rPr>
        <w:t xml:space="preserve"> </w:t>
      </w:r>
      <w:r>
        <w:rPr>
          <w:rStyle w:val="25"/>
          <w:rFonts w:ascii="仿宋" w:eastAsia="仿宋" w:hint="eastAsia"/>
          <w:b w:val="0"/>
          <w:bCs/>
          <w:sz w:val="32"/>
          <w:szCs w:val="32"/>
        </w:rPr>
        <w:t>支出决算为</w:t>
      </w:r>
      <w:r>
        <w:rPr>
          <w:rStyle w:val="25"/>
          <w:rFonts w:ascii="仿宋" w:eastAsia="仿宋" w:hint="eastAsia"/>
          <w:b w:val="0"/>
          <w:bCs/>
          <w:sz w:val="32"/>
          <w:szCs w:val="32"/>
          <w:lang w:val="en-US" w:eastAsia="zh-CN"/>
        </w:rPr>
        <w:t>77.05</w:t>
      </w:r>
      <w:r>
        <w:rPr>
          <w:rStyle w:val="25"/>
          <w:rFonts w:ascii="仿宋" w:eastAsia="仿宋" w:hint="eastAsia"/>
          <w:b w:val="0"/>
          <w:bCs/>
          <w:sz w:val="32"/>
          <w:szCs w:val="32"/>
        </w:rPr>
        <w:t>万元，完成预算</w:t>
      </w:r>
      <w:r>
        <w:rPr>
          <w:rStyle w:val="25"/>
          <w:rFonts w:ascii="仿宋" w:eastAsia="仿宋" w:hint="eastAsia"/>
          <w:b w:val="0"/>
          <w:bCs/>
          <w:sz w:val="32"/>
          <w:szCs w:val="32"/>
          <w:lang w:val="en-US" w:eastAsia="zh-CN"/>
        </w:rPr>
        <w:t>100</w:t>
      </w:r>
      <w:r>
        <w:rPr>
          <w:rStyle w:val="25"/>
          <w:rFonts w:ascii="仿宋" w:eastAsia="仿宋"/>
          <w:b w:val="0"/>
          <w:bCs/>
          <w:sz w:val="32"/>
          <w:szCs w:val="32"/>
        </w:rPr>
        <w:t>%</w:t>
      </w:r>
      <w:r>
        <w:rPr>
          <w:rStyle w:val="25"/>
          <w:rFonts w:ascii="仿宋" w:eastAsia="仿宋" w:hint="eastAsia"/>
          <w:b w:val="0"/>
          <w:bCs/>
          <w:sz w:val="32"/>
          <w:szCs w:val="32"/>
        </w:rPr>
        <w:t>，决算数等于预算数。</w:t>
      </w:r>
    </w:p>
    <w:p>
      <w:pPr>
        <w:pageBreakBefore w:val="0"/>
        <w:widowControl w:val="0"/>
        <w:kinsoku/>
        <w:wordWrap/>
        <w:overflowPunct/>
        <w:topLinePunct w:val="0"/>
        <w:bidi w:val="0"/>
        <w:snapToGrid/>
        <w:spacing w:line="576" w:lineRule="exact"/>
        <w:ind w:firstLineChars="200" w:firstLine="640"/>
        <w:textAlignment w:val="auto"/>
        <w:rPr>
          <w:rStyle w:val="25"/>
          <w:rFonts w:ascii="仿宋" w:eastAsia="仿宋" w:hint="eastAsia"/>
          <w:b w:val="0"/>
          <w:bCs/>
          <w:sz w:val="32"/>
          <w:szCs w:val="32"/>
        </w:rPr>
      </w:pPr>
      <w:r>
        <w:rPr>
          <w:rStyle w:val="25"/>
          <w:rFonts w:ascii="仿宋" w:eastAsia="仿宋" w:hint="eastAsia"/>
          <w:bCs/>
          <w:sz w:val="32"/>
          <w:szCs w:val="32"/>
          <w:lang w:val="en-US" w:eastAsia="zh-CN"/>
        </w:rPr>
        <w:t>10.</w:t>
      </w:r>
      <w:r>
        <w:rPr>
          <w:rStyle w:val="25"/>
          <w:rFonts w:ascii="仿宋" w:eastAsia="仿宋" w:hint="eastAsia"/>
          <w:bCs/>
          <w:sz w:val="32"/>
          <w:szCs w:val="32"/>
        </w:rPr>
        <w:t>社会保障和就业（</w:t>
      </w:r>
      <w:r>
        <w:rPr>
          <w:rStyle w:val="25"/>
          <w:rFonts w:ascii="仿宋" w:eastAsia="仿宋" w:hint="eastAsia"/>
          <w:bCs/>
          <w:sz w:val="32"/>
          <w:szCs w:val="32"/>
          <w:lang w:val="en-US" w:eastAsia="zh-CN"/>
        </w:rPr>
        <w:t>204</w:t>
      </w:r>
      <w:r>
        <w:rPr>
          <w:rStyle w:val="25"/>
          <w:rFonts w:ascii="仿宋" w:eastAsia="仿宋" w:hint="eastAsia"/>
          <w:bCs/>
          <w:sz w:val="32"/>
          <w:szCs w:val="32"/>
        </w:rPr>
        <w:t>）行政事业单位养老支出（</w:t>
      </w:r>
      <w:r>
        <w:rPr>
          <w:rStyle w:val="25"/>
          <w:rFonts w:ascii="仿宋" w:eastAsia="仿宋" w:hint="eastAsia"/>
          <w:bCs/>
          <w:sz w:val="32"/>
          <w:szCs w:val="32"/>
          <w:lang w:val="en-US" w:eastAsia="zh-CN"/>
        </w:rPr>
        <w:t>08</w:t>
      </w:r>
      <w:r>
        <w:rPr>
          <w:rStyle w:val="25"/>
          <w:rFonts w:ascii="仿宋" w:eastAsia="仿宋" w:hint="eastAsia"/>
          <w:bCs/>
          <w:sz w:val="32"/>
          <w:szCs w:val="32"/>
        </w:rPr>
        <w:t>）机关事业单位基本养老保险缴费支出（</w:t>
      </w:r>
      <w:r>
        <w:rPr>
          <w:rStyle w:val="25"/>
          <w:rFonts w:ascii="仿宋" w:eastAsia="仿宋" w:hint="eastAsia"/>
          <w:bCs/>
          <w:sz w:val="32"/>
          <w:szCs w:val="32"/>
          <w:lang w:val="en-US" w:eastAsia="zh-CN"/>
        </w:rPr>
        <w:t>05</w:t>
      </w:r>
      <w:r>
        <w:rPr>
          <w:rStyle w:val="25"/>
          <w:rFonts w:ascii="仿宋" w:eastAsia="仿宋" w:hint="eastAsia"/>
          <w:bCs/>
          <w:sz w:val="32"/>
          <w:szCs w:val="32"/>
        </w:rPr>
        <w:t>）</w:t>
      </w:r>
      <w:r>
        <w:rPr>
          <w:rStyle w:val="25"/>
          <w:rFonts w:ascii="仿宋" w:eastAsia="仿宋"/>
          <w:bCs/>
          <w:sz w:val="32"/>
          <w:szCs w:val="32"/>
        </w:rPr>
        <w:t>:</w:t>
      </w:r>
      <w:r>
        <w:rPr>
          <w:rStyle w:val="25"/>
          <w:rFonts w:ascii="仿宋" w:eastAsia="仿宋"/>
          <w:b w:val="0"/>
          <w:bCs/>
          <w:sz w:val="32"/>
          <w:szCs w:val="32"/>
        </w:rPr>
        <w:t xml:space="preserve"> </w:t>
      </w:r>
      <w:r>
        <w:rPr>
          <w:rStyle w:val="25"/>
          <w:rFonts w:ascii="仿宋" w:eastAsia="仿宋" w:hint="eastAsia"/>
          <w:b w:val="0"/>
          <w:bCs/>
          <w:sz w:val="32"/>
          <w:szCs w:val="32"/>
        </w:rPr>
        <w:t>支出决算为</w:t>
      </w:r>
      <w:r>
        <w:rPr>
          <w:rStyle w:val="25"/>
          <w:rFonts w:ascii="仿宋" w:eastAsia="仿宋" w:hint="eastAsia"/>
          <w:b w:val="0"/>
          <w:bCs/>
          <w:sz w:val="32"/>
          <w:szCs w:val="32"/>
          <w:lang w:val="en-US" w:eastAsia="zh-CN"/>
        </w:rPr>
        <w:t>1,582.05</w:t>
      </w:r>
      <w:r>
        <w:rPr>
          <w:rStyle w:val="25"/>
          <w:rFonts w:ascii="仿宋" w:eastAsia="仿宋" w:hint="eastAsia"/>
          <w:b w:val="0"/>
          <w:bCs/>
          <w:sz w:val="32"/>
          <w:szCs w:val="32"/>
        </w:rPr>
        <w:t>万元，完成预算</w:t>
      </w:r>
      <w:r>
        <w:rPr>
          <w:rStyle w:val="25"/>
          <w:rFonts w:ascii="仿宋" w:eastAsia="仿宋" w:hint="eastAsia"/>
          <w:b w:val="0"/>
          <w:bCs/>
          <w:sz w:val="32"/>
          <w:szCs w:val="32"/>
          <w:lang w:val="en-US" w:eastAsia="zh-CN"/>
        </w:rPr>
        <w:t>100</w:t>
      </w:r>
      <w:r>
        <w:rPr>
          <w:rStyle w:val="25"/>
          <w:rFonts w:ascii="仿宋" w:eastAsia="仿宋"/>
          <w:b w:val="0"/>
          <w:bCs/>
          <w:sz w:val="32"/>
          <w:szCs w:val="32"/>
        </w:rPr>
        <w:t>%</w:t>
      </w:r>
      <w:r>
        <w:rPr>
          <w:rStyle w:val="25"/>
          <w:rFonts w:ascii="仿宋" w:eastAsia="仿宋" w:hint="eastAsia"/>
          <w:b w:val="0"/>
          <w:bCs/>
          <w:sz w:val="32"/>
          <w:szCs w:val="32"/>
        </w:rPr>
        <w:t>，决算数等于预算数。</w:t>
      </w:r>
    </w:p>
    <w:p>
      <w:pPr>
        <w:pageBreakBefore w:val="0"/>
        <w:widowControl w:val="0"/>
        <w:kinsoku/>
        <w:wordWrap/>
        <w:overflowPunct/>
        <w:topLinePunct w:val="0"/>
        <w:bidi w:val="0"/>
        <w:snapToGrid/>
        <w:spacing w:line="576" w:lineRule="exact"/>
        <w:ind w:firstLineChars="200" w:firstLine="640"/>
        <w:textAlignment w:val="auto"/>
        <w:rPr>
          <w:rStyle w:val="25"/>
          <w:rFonts w:ascii="仿宋" w:eastAsia="仿宋" w:hint="eastAsia"/>
          <w:b w:val="0"/>
          <w:bCs/>
          <w:sz w:val="32"/>
          <w:szCs w:val="32"/>
        </w:rPr>
      </w:pPr>
      <w:r>
        <w:rPr>
          <w:rStyle w:val="25"/>
          <w:rFonts w:ascii="仿宋" w:eastAsia="仿宋" w:hint="eastAsia"/>
          <w:bCs/>
          <w:sz w:val="32"/>
          <w:szCs w:val="32"/>
          <w:lang w:val="en-US" w:eastAsia="zh-CN"/>
        </w:rPr>
        <w:t>11.</w:t>
      </w:r>
      <w:r>
        <w:rPr>
          <w:rStyle w:val="25"/>
          <w:rFonts w:ascii="仿宋" w:eastAsia="仿宋" w:hint="eastAsia"/>
          <w:bCs/>
          <w:sz w:val="32"/>
          <w:szCs w:val="32"/>
        </w:rPr>
        <w:t>社会保障和就业（</w:t>
      </w:r>
      <w:r>
        <w:rPr>
          <w:rStyle w:val="25"/>
          <w:rFonts w:ascii="仿宋" w:eastAsia="仿宋" w:hint="eastAsia"/>
          <w:bCs/>
          <w:sz w:val="32"/>
          <w:szCs w:val="32"/>
          <w:lang w:val="en-US" w:eastAsia="zh-CN"/>
        </w:rPr>
        <w:t>204</w:t>
      </w:r>
      <w:r>
        <w:rPr>
          <w:rStyle w:val="25"/>
          <w:rFonts w:ascii="仿宋" w:eastAsia="仿宋" w:hint="eastAsia"/>
          <w:bCs/>
          <w:sz w:val="32"/>
          <w:szCs w:val="32"/>
        </w:rPr>
        <w:t>）行政事业单位养老支出（</w:t>
      </w:r>
      <w:r>
        <w:rPr>
          <w:rStyle w:val="25"/>
          <w:rFonts w:ascii="仿宋" w:eastAsia="仿宋" w:hint="eastAsia"/>
          <w:bCs/>
          <w:sz w:val="32"/>
          <w:szCs w:val="32"/>
          <w:lang w:val="en-US" w:eastAsia="zh-CN"/>
        </w:rPr>
        <w:t>08</w:t>
      </w:r>
      <w:r>
        <w:rPr>
          <w:rStyle w:val="25"/>
          <w:rFonts w:ascii="仿宋" w:eastAsia="仿宋" w:hint="eastAsia"/>
          <w:bCs/>
          <w:sz w:val="32"/>
          <w:szCs w:val="32"/>
        </w:rPr>
        <w:t>）机关事业单位职业年金缴费支出（</w:t>
      </w:r>
      <w:r>
        <w:rPr>
          <w:rStyle w:val="25"/>
          <w:rFonts w:ascii="仿宋" w:eastAsia="仿宋" w:hint="eastAsia"/>
          <w:bCs/>
          <w:sz w:val="32"/>
          <w:szCs w:val="32"/>
          <w:lang w:val="en-US" w:eastAsia="zh-CN"/>
        </w:rPr>
        <w:t>06</w:t>
      </w:r>
      <w:r>
        <w:rPr>
          <w:rStyle w:val="25"/>
          <w:rFonts w:ascii="仿宋" w:eastAsia="仿宋" w:hint="eastAsia"/>
          <w:bCs/>
          <w:sz w:val="32"/>
          <w:szCs w:val="32"/>
        </w:rPr>
        <w:t>）</w:t>
      </w:r>
      <w:r>
        <w:rPr>
          <w:rStyle w:val="25"/>
          <w:rFonts w:ascii="仿宋" w:eastAsia="仿宋"/>
          <w:bCs/>
          <w:sz w:val="32"/>
          <w:szCs w:val="32"/>
        </w:rPr>
        <w:t>:</w:t>
      </w:r>
      <w:r>
        <w:rPr>
          <w:rStyle w:val="25"/>
          <w:rFonts w:ascii="仿宋" w:eastAsia="仿宋"/>
          <w:b w:val="0"/>
          <w:bCs/>
          <w:sz w:val="32"/>
          <w:szCs w:val="32"/>
        </w:rPr>
        <w:t xml:space="preserve"> </w:t>
      </w:r>
      <w:r>
        <w:rPr>
          <w:rStyle w:val="25"/>
          <w:rFonts w:ascii="仿宋" w:eastAsia="仿宋" w:hint="eastAsia"/>
          <w:b w:val="0"/>
          <w:bCs/>
          <w:sz w:val="32"/>
          <w:szCs w:val="32"/>
        </w:rPr>
        <w:t>支出决算为</w:t>
      </w:r>
      <w:r>
        <w:rPr>
          <w:rStyle w:val="25"/>
          <w:rFonts w:ascii="仿宋" w:eastAsia="仿宋" w:hint="eastAsia"/>
          <w:b w:val="0"/>
          <w:bCs/>
          <w:sz w:val="32"/>
          <w:szCs w:val="32"/>
          <w:lang w:val="en-US" w:eastAsia="zh-CN"/>
        </w:rPr>
        <w:t>792.03</w:t>
      </w:r>
      <w:r>
        <w:rPr>
          <w:rStyle w:val="25"/>
          <w:rFonts w:ascii="仿宋" w:eastAsia="仿宋" w:hint="eastAsia"/>
          <w:b w:val="0"/>
          <w:bCs/>
          <w:sz w:val="32"/>
          <w:szCs w:val="32"/>
        </w:rPr>
        <w:t>万元，完成预算</w:t>
      </w:r>
      <w:r>
        <w:rPr>
          <w:rStyle w:val="25"/>
          <w:rFonts w:ascii="仿宋" w:eastAsia="仿宋" w:hint="eastAsia"/>
          <w:b w:val="0"/>
          <w:bCs/>
          <w:sz w:val="32"/>
          <w:szCs w:val="32"/>
          <w:lang w:val="en-US" w:eastAsia="zh-CN"/>
        </w:rPr>
        <w:t>100</w:t>
      </w:r>
      <w:r>
        <w:rPr>
          <w:rStyle w:val="25"/>
          <w:rFonts w:ascii="仿宋" w:eastAsia="仿宋"/>
          <w:b w:val="0"/>
          <w:bCs/>
          <w:sz w:val="32"/>
          <w:szCs w:val="32"/>
        </w:rPr>
        <w:t>%</w:t>
      </w:r>
      <w:r>
        <w:rPr>
          <w:rStyle w:val="25"/>
          <w:rFonts w:ascii="仿宋" w:eastAsia="仿宋" w:hint="eastAsia"/>
          <w:b w:val="0"/>
          <w:bCs/>
          <w:sz w:val="32"/>
          <w:szCs w:val="32"/>
        </w:rPr>
        <w:t>，决算数等于预算数。</w:t>
      </w:r>
    </w:p>
    <w:p>
      <w:pPr>
        <w:pageBreakBefore w:val="0"/>
        <w:widowControl w:val="0"/>
        <w:kinsoku/>
        <w:wordWrap/>
        <w:overflowPunct/>
        <w:topLinePunct w:val="0"/>
        <w:bidi w:val="0"/>
        <w:snapToGrid/>
        <w:spacing w:line="576" w:lineRule="exact"/>
        <w:ind w:firstLineChars="200" w:firstLine="640"/>
        <w:textAlignment w:val="auto"/>
        <w:rPr>
          <w:rStyle w:val="25"/>
          <w:rFonts w:ascii="仿宋" w:eastAsia="仿宋" w:hint="eastAsia"/>
          <w:b w:val="0"/>
          <w:bCs/>
          <w:sz w:val="32"/>
          <w:szCs w:val="32"/>
        </w:rPr>
      </w:pPr>
      <w:r>
        <w:rPr>
          <w:rStyle w:val="25"/>
          <w:rFonts w:ascii="仿宋" w:eastAsia="仿宋" w:hint="eastAsia"/>
          <w:bCs/>
          <w:sz w:val="32"/>
          <w:szCs w:val="32"/>
          <w:lang w:val="en-US" w:eastAsia="zh-CN"/>
        </w:rPr>
        <w:t>12</w:t>
      </w:r>
      <w:r>
        <w:rPr>
          <w:rStyle w:val="25"/>
          <w:rFonts w:ascii="仿宋" w:eastAsia="仿宋"/>
          <w:bCs/>
          <w:sz w:val="32"/>
          <w:szCs w:val="32"/>
        </w:rPr>
        <w:t>.</w:t>
      </w:r>
      <w:r>
        <w:rPr>
          <w:rStyle w:val="25"/>
          <w:rFonts w:ascii="仿宋" w:eastAsia="仿宋" w:hint="eastAsia"/>
          <w:bCs/>
          <w:sz w:val="32"/>
          <w:szCs w:val="32"/>
        </w:rPr>
        <w:t>卫生健康支出（210）行政事业单位医疗（11）行政单位医疗（01）</w:t>
      </w:r>
      <w:r>
        <w:rPr>
          <w:rStyle w:val="25"/>
          <w:rFonts w:ascii="仿宋" w:eastAsia="仿宋"/>
          <w:bCs/>
          <w:sz w:val="32"/>
          <w:szCs w:val="32"/>
        </w:rPr>
        <w:t>:</w:t>
      </w:r>
      <w:r>
        <w:rPr>
          <w:rStyle w:val="25"/>
          <w:rFonts w:ascii="仿宋" w:eastAsia="仿宋" w:hint="eastAsia"/>
          <w:b w:val="0"/>
          <w:bCs/>
          <w:sz w:val="32"/>
          <w:szCs w:val="32"/>
        </w:rPr>
        <w:t>支出决算为</w:t>
      </w:r>
      <w:r>
        <w:rPr>
          <w:rStyle w:val="25"/>
          <w:rFonts w:ascii="仿宋" w:eastAsia="仿宋" w:hint="eastAsia"/>
          <w:b w:val="0"/>
          <w:bCs/>
          <w:sz w:val="32"/>
          <w:szCs w:val="32"/>
          <w:lang w:val="en-US" w:eastAsia="zh-CN"/>
        </w:rPr>
        <w:t>948.7</w:t>
      </w:r>
      <w:r>
        <w:rPr>
          <w:rStyle w:val="25"/>
          <w:rFonts w:ascii="仿宋" w:eastAsia="仿宋" w:hint="eastAsia"/>
          <w:b w:val="0"/>
          <w:bCs/>
          <w:sz w:val="32"/>
          <w:szCs w:val="32"/>
        </w:rPr>
        <w:t>万元，完成预算</w:t>
      </w:r>
      <w:r>
        <w:rPr>
          <w:rStyle w:val="25"/>
          <w:rFonts w:ascii="仿宋" w:eastAsia="仿宋" w:hint="eastAsia"/>
          <w:b w:val="0"/>
          <w:bCs/>
          <w:sz w:val="32"/>
          <w:szCs w:val="32"/>
          <w:lang w:val="en-US" w:eastAsia="zh-CN"/>
        </w:rPr>
        <w:t>100</w:t>
      </w:r>
      <w:r>
        <w:rPr>
          <w:rStyle w:val="25"/>
          <w:rFonts w:ascii="仿宋" w:eastAsia="仿宋"/>
          <w:b w:val="0"/>
          <w:bCs/>
          <w:sz w:val="32"/>
          <w:szCs w:val="32"/>
        </w:rPr>
        <w:t>%</w:t>
      </w:r>
      <w:r>
        <w:rPr>
          <w:rStyle w:val="25"/>
          <w:rFonts w:ascii="仿宋" w:eastAsia="仿宋" w:hint="eastAsia"/>
          <w:b w:val="0"/>
          <w:bCs/>
          <w:sz w:val="32"/>
          <w:szCs w:val="32"/>
        </w:rPr>
        <w:t>，决算数等于预算数。</w:t>
      </w:r>
    </w:p>
    <w:p>
      <w:pPr>
        <w:pageBreakBefore w:val="0"/>
        <w:widowControl w:val="0"/>
        <w:kinsoku/>
        <w:wordWrap/>
        <w:overflowPunct/>
        <w:topLinePunct w:val="0"/>
        <w:bidi w:val="0"/>
        <w:snapToGrid/>
        <w:spacing w:line="576" w:lineRule="exact"/>
        <w:ind w:firstLineChars="200" w:firstLine="640"/>
        <w:textAlignment w:val="auto"/>
        <w:rPr>
          <w:rStyle w:val="25"/>
          <w:rFonts w:ascii="仿宋" w:eastAsia="仿宋" w:hint="eastAsia"/>
          <w:b w:val="0"/>
          <w:bCs/>
          <w:sz w:val="32"/>
          <w:szCs w:val="32"/>
        </w:rPr>
      </w:pPr>
      <w:r>
        <w:rPr>
          <w:rStyle w:val="25"/>
          <w:rFonts w:ascii="仿宋" w:eastAsia="仿宋" w:hint="eastAsia"/>
          <w:bCs/>
          <w:sz w:val="32"/>
          <w:szCs w:val="32"/>
          <w:lang w:val="en-US" w:eastAsia="zh-CN"/>
        </w:rPr>
        <w:t>13</w:t>
      </w:r>
      <w:r>
        <w:rPr>
          <w:rStyle w:val="25"/>
          <w:rFonts w:ascii="仿宋" w:eastAsia="仿宋"/>
          <w:bCs/>
          <w:sz w:val="32"/>
          <w:szCs w:val="32"/>
        </w:rPr>
        <w:t>.</w:t>
      </w:r>
      <w:r>
        <w:rPr>
          <w:rStyle w:val="25"/>
          <w:rFonts w:ascii="仿宋" w:eastAsia="仿宋" w:hint="eastAsia"/>
          <w:bCs/>
          <w:sz w:val="32"/>
          <w:szCs w:val="32"/>
        </w:rPr>
        <w:t>卫生健康支出（210）行政事业单位医疗（11）公务员医疗补助（0</w:t>
      </w:r>
      <w:r>
        <w:rPr>
          <w:rStyle w:val="25"/>
          <w:rFonts w:ascii="仿宋" w:eastAsia="仿宋" w:hint="eastAsia"/>
          <w:bCs/>
          <w:sz w:val="32"/>
          <w:szCs w:val="32"/>
          <w:lang w:val="en-US" w:eastAsia="zh-CN"/>
        </w:rPr>
        <w:t>2</w:t>
      </w:r>
      <w:r>
        <w:rPr>
          <w:rStyle w:val="25"/>
          <w:rFonts w:ascii="仿宋" w:eastAsia="仿宋" w:hint="eastAsia"/>
          <w:bCs/>
          <w:sz w:val="32"/>
          <w:szCs w:val="32"/>
        </w:rPr>
        <w:t>）</w:t>
      </w:r>
      <w:r>
        <w:rPr>
          <w:rStyle w:val="25"/>
          <w:rFonts w:ascii="仿宋" w:eastAsia="仿宋"/>
          <w:bCs/>
          <w:sz w:val="32"/>
          <w:szCs w:val="32"/>
        </w:rPr>
        <w:t>:</w:t>
      </w:r>
      <w:r>
        <w:rPr>
          <w:rStyle w:val="25"/>
          <w:rFonts w:ascii="仿宋" w:eastAsia="仿宋" w:hint="eastAsia"/>
          <w:b w:val="0"/>
          <w:bCs/>
          <w:sz w:val="32"/>
          <w:szCs w:val="32"/>
        </w:rPr>
        <w:t>支出决算为</w:t>
      </w:r>
      <w:r>
        <w:rPr>
          <w:rStyle w:val="25"/>
          <w:rFonts w:ascii="仿宋" w:eastAsia="仿宋" w:hint="eastAsia"/>
          <w:b w:val="0"/>
          <w:bCs/>
          <w:sz w:val="32"/>
          <w:szCs w:val="32"/>
          <w:lang w:val="en-US" w:eastAsia="zh-CN"/>
        </w:rPr>
        <w:t>191.25</w:t>
      </w:r>
      <w:r>
        <w:rPr>
          <w:rStyle w:val="25"/>
          <w:rFonts w:ascii="仿宋" w:eastAsia="仿宋" w:hint="eastAsia"/>
          <w:b w:val="0"/>
          <w:bCs/>
          <w:sz w:val="32"/>
          <w:szCs w:val="32"/>
        </w:rPr>
        <w:t>万元，完成预算</w:t>
      </w:r>
      <w:r>
        <w:rPr>
          <w:rStyle w:val="25"/>
          <w:rFonts w:ascii="仿宋" w:eastAsia="仿宋" w:hint="eastAsia"/>
          <w:b w:val="0"/>
          <w:bCs/>
          <w:sz w:val="32"/>
          <w:szCs w:val="32"/>
          <w:lang w:val="en-US" w:eastAsia="zh-CN"/>
        </w:rPr>
        <w:t>100</w:t>
      </w:r>
      <w:r>
        <w:rPr>
          <w:rStyle w:val="25"/>
          <w:rFonts w:ascii="仿宋" w:eastAsia="仿宋"/>
          <w:b w:val="0"/>
          <w:bCs/>
          <w:sz w:val="32"/>
          <w:szCs w:val="32"/>
        </w:rPr>
        <w:t>%</w:t>
      </w:r>
      <w:r>
        <w:rPr>
          <w:rStyle w:val="25"/>
          <w:rFonts w:ascii="仿宋" w:eastAsia="仿宋" w:hint="eastAsia"/>
          <w:b w:val="0"/>
          <w:bCs/>
          <w:sz w:val="32"/>
          <w:szCs w:val="32"/>
        </w:rPr>
        <w:t>，决算数等于预算数。</w:t>
      </w:r>
    </w:p>
    <w:p>
      <w:pPr>
        <w:pageBreakBefore w:val="0"/>
        <w:widowControl w:val="0"/>
        <w:kinsoku/>
        <w:wordWrap/>
        <w:overflowPunct/>
        <w:topLinePunct w:val="0"/>
        <w:bidi w:val="0"/>
        <w:snapToGrid/>
        <w:spacing w:line="576" w:lineRule="exact"/>
        <w:ind w:firstLineChars="200" w:firstLine="640"/>
        <w:textAlignment w:val="auto"/>
        <w:rPr>
          <w:rStyle w:val="25"/>
          <w:rFonts w:ascii="仿宋" w:eastAsia="仿宋" w:hint="eastAsia"/>
          <w:b w:val="0"/>
          <w:bCs/>
          <w:sz w:val="32"/>
          <w:szCs w:val="32"/>
        </w:rPr>
      </w:pPr>
      <w:r>
        <w:rPr>
          <w:rStyle w:val="25"/>
          <w:rFonts w:ascii="仿宋" w:eastAsia="仿宋" w:cs="Arial" w:hint="eastAsia"/>
          <w:bCs/>
          <w:sz w:val="32"/>
          <w:szCs w:val="32"/>
          <w:lang w:val="en-US" w:eastAsia="zh-CN"/>
        </w:rPr>
        <w:t>14.</w:t>
      </w:r>
      <w:r>
        <w:rPr>
          <w:rStyle w:val="25"/>
          <w:rFonts w:ascii="仿宋" w:eastAsia="仿宋" w:cs="Arial" w:hint="eastAsia"/>
          <w:bCs/>
          <w:sz w:val="32"/>
          <w:szCs w:val="32"/>
        </w:rPr>
        <w:t xml:space="preserve">住房保障支出（221）住房改革支出（02）住房公积金（01）: </w:t>
      </w:r>
      <w:r>
        <w:rPr>
          <w:rStyle w:val="25"/>
          <w:rFonts w:ascii="仿宋" w:eastAsia="仿宋" w:cs="Arial" w:hint="eastAsia"/>
          <w:b w:val="0"/>
          <w:bCs/>
          <w:sz w:val="32"/>
          <w:szCs w:val="32"/>
        </w:rPr>
        <w:t>支出决算数1,3</w:t>
      </w:r>
      <w:r>
        <w:rPr>
          <w:rStyle w:val="25"/>
          <w:rFonts w:ascii="仿宋" w:eastAsia="仿宋" w:cs="Arial" w:hint="eastAsia"/>
          <w:b w:val="0"/>
          <w:bCs/>
          <w:sz w:val="32"/>
          <w:szCs w:val="32"/>
          <w:lang w:val="en-US" w:eastAsia="zh-CN"/>
        </w:rPr>
        <w:t>60.77</w:t>
      </w:r>
      <w:r>
        <w:rPr>
          <w:rStyle w:val="25"/>
          <w:rFonts w:ascii="仿宋" w:eastAsia="仿宋" w:cs="Arial" w:hint="eastAsia"/>
          <w:b w:val="0"/>
          <w:bCs/>
          <w:sz w:val="32"/>
          <w:szCs w:val="32"/>
        </w:rPr>
        <w:t>万元，</w:t>
      </w:r>
      <w:r>
        <w:rPr>
          <w:rStyle w:val="25"/>
          <w:rFonts w:ascii="仿宋" w:eastAsia="仿宋" w:hint="eastAsia"/>
          <w:b w:val="0"/>
          <w:bCs/>
          <w:sz w:val="32"/>
          <w:szCs w:val="32"/>
        </w:rPr>
        <w:t>完成预算</w:t>
      </w:r>
      <w:r>
        <w:rPr>
          <w:rStyle w:val="25"/>
          <w:rFonts w:ascii="仿宋" w:eastAsia="仿宋" w:hint="eastAsia"/>
          <w:b w:val="0"/>
          <w:bCs/>
          <w:sz w:val="32"/>
          <w:szCs w:val="32"/>
          <w:lang w:val="en-US" w:eastAsia="zh-CN"/>
        </w:rPr>
        <w:t>100</w:t>
      </w:r>
      <w:r>
        <w:rPr>
          <w:rStyle w:val="25"/>
          <w:rFonts w:ascii="仿宋" w:eastAsia="仿宋"/>
          <w:b w:val="0"/>
          <w:bCs/>
          <w:sz w:val="32"/>
          <w:szCs w:val="32"/>
        </w:rPr>
        <w:t>%</w:t>
      </w:r>
      <w:r>
        <w:rPr>
          <w:rStyle w:val="25"/>
          <w:rFonts w:ascii="仿宋" w:eastAsia="仿宋" w:hint="eastAsia"/>
          <w:b w:val="0"/>
          <w:bCs/>
          <w:sz w:val="32"/>
          <w:szCs w:val="32"/>
        </w:rPr>
        <w:t>，决算数等于预算数。</w:t>
      </w:r>
    </w:p>
    <w:p>
      <w:pPr>
        <w:pageBreakBefore w:val="0"/>
        <w:widowControl w:val="0"/>
        <w:kinsoku/>
        <w:wordWrap/>
        <w:overflowPunct/>
        <w:topLinePunct w:val="0"/>
        <w:bidi w:val="0"/>
        <w:snapToGrid/>
        <w:spacing w:line="576" w:lineRule="exact"/>
        <w:ind w:firstLineChars="200" w:firstLine="640"/>
        <w:textAlignment w:val="auto"/>
        <w:rPr>
          <w:rStyle w:val="25"/>
          <w:rFonts w:ascii="仿宋" w:eastAsia="仿宋" w:hint="eastAsia"/>
          <w:b w:val="0"/>
          <w:bCs/>
          <w:sz w:val="32"/>
          <w:szCs w:val="32"/>
        </w:rPr>
      </w:pPr>
      <w:r>
        <w:rPr>
          <w:rStyle w:val="25"/>
          <w:rFonts w:ascii="仿宋" w:eastAsia="仿宋" w:cs="Arial" w:hint="eastAsia"/>
          <w:bCs/>
          <w:sz w:val="32"/>
          <w:szCs w:val="32"/>
          <w:lang w:val="en-US" w:eastAsia="zh-CN"/>
        </w:rPr>
        <w:t>15.</w:t>
      </w:r>
      <w:r>
        <w:rPr>
          <w:rStyle w:val="25"/>
          <w:rFonts w:ascii="仿宋" w:eastAsia="仿宋" w:cs="Arial" w:hint="eastAsia"/>
          <w:bCs/>
          <w:sz w:val="32"/>
          <w:szCs w:val="32"/>
        </w:rPr>
        <w:t>住房保障支出（221）住房改革支出（02）购房补贴（03）：</w:t>
      </w:r>
      <w:r>
        <w:rPr>
          <w:rStyle w:val="25"/>
          <w:rFonts w:ascii="仿宋" w:eastAsia="仿宋" w:cs="Arial" w:hint="eastAsia"/>
          <w:b w:val="0"/>
          <w:bCs/>
          <w:sz w:val="32"/>
          <w:szCs w:val="32"/>
        </w:rPr>
        <w:t>支出决算数</w:t>
      </w:r>
      <w:r>
        <w:rPr>
          <w:rStyle w:val="25"/>
          <w:rFonts w:ascii="仿宋" w:eastAsia="仿宋" w:cs="Arial" w:hint="eastAsia"/>
          <w:b w:val="0"/>
          <w:bCs/>
          <w:sz w:val="32"/>
          <w:szCs w:val="32"/>
          <w:lang w:val="en-US" w:eastAsia="zh-CN"/>
        </w:rPr>
        <w:t>13.4</w:t>
      </w:r>
      <w:r>
        <w:rPr>
          <w:rStyle w:val="25"/>
          <w:rFonts w:ascii="仿宋" w:eastAsia="仿宋" w:cs="Arial" w:hint="eastAsia"/>
          <w:b w:val="0"/>
          <w:bCs/>
          <w:sz w:val="32"/>
          <w:szCs w:val="32"/>
        </w:rPr>
        <w:t>万元，完成预算100%</w:t>
      </w:r>
      <w:r>
        <w:rPr>
          <w:rStyle w:val="25"/>
          <w:rFonts w:ascii="仿宋" w:eastAsia="仿宋" w:hint="eastAsia"/>
          <w:b w:val="0"/>
          <w:bCs/>
          <w:sz w:val="32"/>
          <w:szCs w:val="32"/>
        </w:rPr>
        <w:t>，决算数等于预算数。</w:t>
      </w:r>
    </w:p>
    <w:p>
      <w:pPr>
        <w:pageBreakBefore w:val="0"/>
        <w:widowControl w:val="0"/>
        <w:kinsoku/>
        <w:wordWrap/>
        <w:overflowPunct/>
        <w:topLinePunct w:val="0"/>
        <w:bidi w:val="0"/>
        <w:snapToGrid/>
        <w:spacing w:line="576" w:lineRule="exact"/>
        <w:ind w:firstLineChars="200" w:firstLine="640"/>
        <w:textAlignment w:val="auto"/>
        <w:rPr>
          <w:rFonts w:ascii="仿宋" w:eastAsia="仿宋"/>
          <w:b/>
          <w:sz w:val="32"/>
          <w:szCs w:val="32"/>
        </w:rPr>
      </w:pPr>
      <w:r>
        <w:rPr>
          <w:rFonts w:ascii="仿宋" w:eastAsia="仿宋" w:hint="eastAsia"/>
          <w:b/>
          <w:sz w:val="32"/>
          <w:szCs w:val="32"/>
        </w:rPr>
        <w:t>（注：数据来源于财决</w:t>
      </w:r>
      <w:r>
        <w:rPr>
          <w:rFonts w:ascii="仿宋" w:eastAsia="仿宋"/>
          <w:b/>
          <w:sz w:val="32"/>
          <w:szCs w:val="32"/>
        </w:rPr>
        <w:t>0</w:t>
      </w:r>
      <w:r>
        <w:rPr>
          <w:rFonts w:ascii="仿宋" w:eastAsia="仿宋" w:hint="eastAsia"/>
          <w:b/>
          <w:sz w:val="32"/>
          <w:szCs w:val="32"/>
        </w:rPr>
        <w:t>1-1表和财决08表，仅罗列本单位涉及的全部功能分类科目，至项级。上述“预算”口径为全年预算数。增减变动原因为决算数</w:t>
      </w:r>
      <w:r>
        <w:rPr>
          <w:rFonts w:ascii="仿宋" w:eastAsia="仿宋"/>
          <w:b/>
          <w:sz w:val="32"/>
          <w:szCs w:val="32"/>
        </w:rPr>
        <w:t>&lt;</w:t>
      </w:r>
      <w:r>
        <w:rPr>
          <w:rFonts w:ascii="仿宋" w:eastAsia="仿宋" w:hint="eastAsia"/>
          <w:b/>
          <w:sz w:val="32"/>
          <w:szCs w:val="32"/>
        </w:rPr>
        <w:t>项级</w:t>
      </w:r>
      <w:r>
        <w:rPr>
          <w:rFonts w:ascii="仿宋" w:eastAsia="仿宋"/>
          <w:b/>
          <w:sz w:val="32"/>
          <w:szCs w:val="32"/>
        </w:rPr>
        <w:t>&gt;</w:t>
      </w:r>
      <w:r>
        <w:rPr>
          <w:rFonts w:ascii="仿宋" w:eastAsia="仿宋" w:hint="eastAsia"/>
          <w:b/>
          <w:sz w:val="32"/>
          <w:szCs w:val="32"/>
        </w:rPr>
        <w:t>和全年预算数</w:t>
      </w:r>
      <w:r>
        <w:rPr>
          <w:rFonts w:ascii="仿宋" w:eastAsia="仿宋"/>
          <w:b/>
          <w:sz w:val="32"/>
          <w:szCs w:val="32"/>
        </w:rPr>
        <w:t>&lt;</w:t>
      </w:r>
      <w:r>
        <w:rPr>
          <w:rFonts w:ascii="仿宋" w:eastAsia="仿宋" w:hint="eastAsia"/>
          <w:b/>
          <w:sz w:val="32"/>
          <w:szCs w:val="32"/>
        </w:rPr>
        <w:t>项级</w:t>
      </w:r>
      <w:r>
        <w:rPr>
          <w:rFonts w:ascii="仿宋" w:eastAsia="仿宋"/>
          <w:b/>
          <w:sz w:val="32"/>
          <w:szCs w:val="32"/>
        </w:rPr>
        <w:t>&gt;</w:t>
      </w:r>
      <w:r>
        <w:rPr>
          <w:rFonts w:ascii="仿宋" w:eastAsia="仿宋" w:hint="eastAsia"/>
          <w:b/>
          <w:sz w:val="32"/>
          <w:szCs w:val="32"/>
        </w:rPr>
        <w:t>比较，与预算数持平可以不写原因。）</w:t>
      </w:r>
    </w:p>
    <w:p>
      <w:pPr>
        <w:pageBreakBefore w:val="0"/>
        <w:widowControl w:val="0"/>
        <w:tabs>
          <w:tab w:val="right" w:pos="8306"/>
        </w:tabs>
        <w:kinsoku/>
        <w:wordWrap/>
        <w:overflowPunct/>
        <w:topLinePunct w:val="0"/>
        <w:bidi w:val="0"/>
        <w:snapToGrid/>
        <w:spacing w:line="576" w:lineRule="exact"/>
        <w:ind w:firstLine="640"/>
        <w:textAlignment w:val="auto"/>
        <w:outlineLvl w:val="1"/>
        <w:rPr>
          <w:rStyle w:val="2Char"/>
        </w:rPr>
      </w:pPr>
      <w:bookmarkStart w:id="34" w:name="_Toc15396608"/>
      <w:bookmarkStart w:id="35" w:name="_Toc15377214"/>
      <w:r>
        <w:rPr>
          <w:rFonts w:ascii="黑体" w:eastAsia="黑体" w:hint="eastAsia"/>
          <w:sz w:val="32"/>
          <w:szCs w:val="32"/>
        </w:rPr>
        <w:t>六</w:t>
      </w:r>
      <w:r>
        <w:rPr>
          <w:rFonts w:ascii="黑体" w:eastAsia="黑体" w:hint="eastAsia"/>
          <w:b/>
          <w:sz w:val="32"/>
          <w:szCs w:val="32"/>
        </w:rPr>
        <w:t>、一</w:t>
      </w:r>
      <w:r>
        <w:rPr>
          <w:rStyle w:val="2Char"/>
          <w:rFonts w:ascii="黑体" w:eastAsia="黑体" w:hint="eastAsia"/>
          <w:b w:val="0"/>
        </w:rPr>
        <w:t>般公共预算财政拨款基本支出决算情况说明</w:t>
      </w:r>
      <w:bookmarkEnd w:id="34"/>
      <w:bookmarkEnd w:id="35"/>
      <w:r>
        <w:rPr>
          <w:rStyle w:val="2Char"/>
          <w:rFonts w:ascii="黑体" w:eastAsia="黑体"/>
          <w:b w:val="0"/>
        </w:rPr>
        <w:tab/>
      </w:r>
    </w:p>
    <w:p>
      <w:pPr>
        <w:pageBreakBefore w:val="0"/>
        <w:widowControl w:val="0"/>
        <w:kinsoku/>
        <w:wordWrap/>
        <w:overflowPunct/>
        <w:topLinePunct w:val="0"/>
        <w:bidi w:val="0"/>
        <w:snapToGrid/>
        <w:spacing w:line="576" w:lineRule="exact"/>
        <w:ind w:firstLine="645"/>
        <w:textAlignment w:val="auto"/>
        <w:rPr>
          <w:rFonts w:ascii="仿宋" w:eastAsia="仿宋"/>
          <w:sz w:val="32"/>
          <w:szCs w:val="32"/>
        </w:rPr>
      </w:pPr>
      <w:r>
        <w:rPr>
          <w:rFonts w:ascii="仿宋" w:eastAsia="仿宋" w:hint="eastAsia"/>
          <w:sz w:val="32"/>
          <w:szCs w:val="32"/>
        </w:rPr>
        <w:t>2023年度一般公共预算财政拨款基本支出</w:t>
      </w:r>
      <w:r>
        <w:rPr>
          <w:rFonts w:ascii="仿宋" w:eastAsia="仿宋"/>
          <w:b/>
          <w:sz w:val="32"/>
          <w:szCs w:val="32"/>
        </w:rPr>
        <w:t>21</w:t>
      </w:r>
      <w:r>
        <w:rPr>
          <w:rFonts w:ascii="仿宋" w:eastAsia="仿宋" w:hint="eastAsia"/>
          <w:b/>
          <w:sz w:val="32"/>
          <w:szCs w:val="32"/>
          <w:lang w:val="en-US" w:eastAsia="zh-CN"/>
        </w:rPr>
        <w:t>,</w:t>
      </w:r>
      <w:r>
        <w:rPr>
          <w:rFonts w:ascii="仿宋" w:eastAsia="仿宋"/>
          <w:b/>
          <w:sz w:val="32"/>
          <w:szCs w:val="32"/>
        </w:rPr>
        <w:t>393.08</w:t>
      </w:r>
      <w:r>
        <w:rPr>
          <w:rFonts w:ascii="仿宋" w:eastAsia="仿宋" w:hint="eastAsia"/>
          <w:sz w:val="32"/>
          <w:szCs w:val="32"/>
        </w:rPr>
        <w:t>万元，其中：</w:t>
      </w:r>
    </w:p>
    <w:p>
      <w:pPr>
        <w:pageBreakBefore w:val="0"/>
        <w:widowControl w:val="0"/>
        <w:kinsoku/>
        <w:wordWrap/>
        <w:overflowPunct/>
        <w:topLinePunct w:val="0"/>
        <w:bidi w:val="0"/>
        <w:snapToGrid/>
        <w:spacing w:line="576" w:lineRule="exact"/>
        <w:ind w:firstLine="645"/>
        <w:textAlignment w:val="auto"/>
        <w:rPr>
          <w:rFonts w:ascii="仿宋" w:eastAsia="仿宋"/>
          <w:sz w:val="32"/>
          <w:szCs w:val="32"/>
        </w:rPr>
      </w:pPr>
      <w:r>
        <w:rPr>
          <w:rFonts w:ascii="仿宋" w:eastAsia="仿宋" w:hint="eastAsia"/>
          <w:sz w:val="32"/>
          <w:szCs w:val="32"/>
        </w:rPr>
        <w:t>人员经费</w:t>
      </w:r>
      <w:r>
        <w:rPr>
          <w:rFonts w:ascii="仿宋" w:eastAsia="仿宋"/>
          <w:b/>
          <w:sz w:val="32"/>
          <w:szCs w:val="32"/>
        </w:rPr>
        <w:t>19</w:t>
      </w:r>
      <w:r>
        <w:rPr>
          <w:rFonts w:ascii="仿宋" w:eastAsia="仿宋" w:hint="eastAsia"/>
          <w:b/>
          <w:sz w:val="32"/>
          <w:szCs w:val="32"/>
          <w:lang w:val="en-US" w:eastAsia="zh-CN"/>
        </w:rPr>
        <w:t>,</w:t>
      </w:r>
      <w:r>
        <w:rPr>
          <w:rFonts w:ascii="仿宋" w:eastAsia="仿宋"/>
          <w:b/>
          <w:sz w:val="32"/>
          <w:szCs w:val="32"/>
        </w:rPr>
        <w:t>665.98</w:t>
      </w:r>
      <w:r>
        <w:rPr>
          <w:rFonts w:ascii="仿宋" w:eastAsia="仿宋" w:hint="eastAsia"/>
          <w:sz w:val="32"/>
          <w:szCs w:val="32"/>
        </w:rPr>
        <w:t>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r>
        <w:rPr>
          <w:rFonts w:ascii="仿宋" w:eastAsia="仿宋"/>
          <w:sz w:val="32"/>
          <w:szCs w:val="32"/>
        </w:rPr>
        <w:br/>
      </w:r>
      <w:r>
        <w:rPr>
          <w:rFonts w:ascii="仿宋" w:eastAsia="仿宋" w:hint="eastAsia"/>
          <w:sz w:val="32"/>
          <w:szCs w:val="32"/>
        </w:rPr>
        <w:t>　　公用经费</w:t>
      </w:r>
      <w:r>
        <w:rPr>
          <w:rFonts w:ascii="仿宋" w:eastAsia="仿宋"/>
          <w:b/>
          <w:sz w:val="32"/>
          <w:szCs w:val="32"/>
        </w:rPr>
        <w:t>1</w:t>
      </w:r>
      <w:r>
        <w:rPr>
          <w:rFonts w:ascii="仿宋" w:eastAsia="仿宋" w:hint="eastAsia"/>
          <w:b/>
          <w:sz w:val="32"/>
          <w:szCs w:val="32"/>
          <w:lang w:val="en-US" w:eastAsia="zh-CN"/>
        </w:rPr>
        <w:t>,</w:t>
      </w:r>
      <w:r>
        <w:rPr>
          <w:rFonts w:ascii="仿宋" w:eastAsia="仿宋"/>
          <w:b/>
          <w:sz w:val="32"/>
          <w:szCs w:val="32"/>
        </w:rPr>
        <w:t>727.1</w:t>
      </w:r>
      <w:r>
        <w:rPr>
          <w:rFonts w:ascii="仿宋" w:eastAsia="仿宋" w:hint="eastAsia"/>
          <w:sz w:val="32"/>
          <w:szCs w:val="32"/>
        </w:rPr>
        <w:t>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pPr>
        <w:pageBreakBefore w:val="0"/>
        <w:widowControl w:val="0"/>
        <w:kinsoku/>
        <w:wordWrap/>
        <w:overflowPunct/>
        <w:topLinePunct w:val="0"/>
        <w:bidi w:val="0"/>
        <w:snapToGrid/>
        <w:spacing w:line="576" w:lineRule="exact"/>
        <w:ind w:firstLine="645"/>
        <w:textAlignment w:val="auto"/>
        <w:rPr>
          <w:rFonts w:ascii="仿宋" w:eastAsia="仿宋"/>
          <w:b/>
          <w:sz w:val="32"/>
          <w:szCs w:val="32"/>
        </w:rPr>
      </w:pPr>
      <w:r>
        <w:rPr>
          <w:rFonts w:ascii="仿宋" w:eastAsia="仿宋" w:hint="eastAsia"/>
          <w:b/>
          <w:sz w:val="32"/>
          <w:szCs w:val="32"/>
        </w:rPr>
        <w:t>（注：数据来源于财决</w:t>
      </w:r>
      <w:r>
        <w:rPr>
          <w:rFonts w:ascii="仿宋" w:eastAsia="仿宋"/>
          <w:b/>
          <w:sz w:val="32"/>
          <w:szCs w:val="32"/>
        </w:rPr>
        <w:t>0</w:t>
      </w:r>
      <w:r>
        <w:rPr>
          <w:rFonts w:ascii="仿宋" w:eastAsia="仿宋" w:hint="eastAsia"/>
          <w:b/>
          <w:sz w:val="32"/>
          <w:szCs w:val="32"/>
        </w:rPr>
        <w:t>7表和财决08-1表，仅罗列本单位实际支出涉及的经济分类科目。）</w:t>
      </w:r>
    </w:p>
    <w:p>
      <w:pPr>
        <w:pageBreakBefore w:val="0"/>
        <w:widowControl w:val="0"/>
        <w:kinsoku/>
        <w:wordWrap/>
        <w:overflowPunct/>
        <w:topLinePunct w:val="0"/>
        <w:bidi w:val="0"/>
        <w:snapToGrid/>
        <w:spacing w:line="576" w:lineRule="exact"/>
        <w:ind w:firstLine="640"/>
        <w:textAlignment w:val="auto"/>
        <w:outlineLvl w:val="1"/>
        <w:rPr>
          <w:rStyle w:val="2Char"/>
          <w:rFonts w:ascii="黑体" w:eastAsia="黑体"/>
          <w:b w:val="0"/>
        </w:rPr>
      </w:pPr>
      <w:bookmarkStart w:id="36" w:name="_Toc15377215"/>
      <w:bookmarkStart w:id="37" w:name="_Toc15396609"/>
      <w:r>
        <w:rPr>
          <w:rFonts w:ascii="黑体" w:eastAsia="黑体" w:hint="eastAsia"/>
          <w:sz w:val="32"/>
          <w:szCs w:val="32"/>
        </w:rPr>
        <w:t>七、</w:t>
      </w:r>
      <w:r>
        <w:rPr>
          <w:rStyle w:val="2Char"/>
          <w:rFonts w:ascii="黑体" w:eastAsia="黑体" w:hint="eastAsia"/>
          <w:b w:val="0"/>
        </w:rPr>
        <w:t>财政拨款</w:t>
      </w:r>
      <w:r>
        <w:rPr>
          <w:rStyle w:val="2Char"/>
          <w:rFonts w:ascii="黑体" w:eastAsia="黑体" w:hint="eastAsia"/>
        </w:rPr>
        <w:t>“</w:t>
      </w:r>
      <w:r>
        <w:rPr>
          <w:rStyle w:val="2Char"/>
          <w:rFonts w:ascii="黑体" w:eastAsia="黑体" w:hint="eastAsia"/>
          <w:b w:val="0"/>
        </w:rPr>
        <w:t>三公”经费支出决算情况说明</w:t>
      </w:r>
      <w:bookmarkEnd w:id="36"/>
      <w:bookmarkEnd w:id="37"/>
    </w:p>
    <w:p>
      <w:pPr>
        <w:pStyle w:val="27"/>
        <w:ind w:firstLineChars="200" w:firstLine="640"/>
        <w:rPr>
          <w:rFonts w:ascii="楷体" w:eastAsia="楷体" w:cs="楷体" w:hint="eastAsia"/>
          <w:b/>
          <w:bCs/>
          <w:sz w:val="32"/>
          <w:szCs w:val="32"/>
          <w:lang w:val="en-US" w:eastAsia="zh-CN"/>
        </w:rPr>
      </w:pPr>
      <w:bookmarkStart w:id="38" w:name="_Toc15377216"/>
      <w:r>
        <w:rPr>
          <w:rFonts w:ascii="楷体" w:eastAsia="楷体" w:cs="楷体" w:hint="eastAsia"/>
          <w:b/>
          <w:bCs/>
          <w:sz w:val="32"/>
          <w:szCs w:val="32"/>
          <w:lang w:val="en-US" w:eastAsia="zh-CN"/>
        </w:rPr>
        <w:t>（一）“三公”经费财政拨款支出决算总体情况说明</w:t>
      </w:r>
      <w:bookmarkEnd w:id="38"/>
    </w:p>
    <w:p>
      <w:pPr>
        <w:pageBreakBefore w:val="0"/>
        <w:widowControl w:val="0"/>
        <w:kinsoku/>
        <w:wordWrap/>
        <w:overflowPunct/>
        <w:topLinePunct w:val="0"/>
        <w:bidi w:val="0"/>
        <w:adjustRightInd w:val="0"/>
        <w:spacing w:afterAutospacing="0" w:line="576" w:lineRule="exact"/>
        <w:ind w:firstLine="640"/>
        <w:textAlignment w:val="auto"/>
        <w:rPr>
          <w:rFonts w:ascii="仿宋" w:eastAsia="仿宋"/>
          <w:sz w:val="32"/>
          <w:szCs w:val="32"/>
        </w:rPr>
      </w:pPr>
      <w:r>
        <w:rPr>
          <w:rFonts w:ascii="仿宋" w:eastAsia="仿宋" w:hint="eastAsia"/>
          <w:sz w:val="32"/>
          <w:szCs w:val="32"/>
        </w:rPr>
        <w:t>2023年度“三公”经费财政拨款支出决算为</w:t>
      </w:r>
      <w:r>
        <w:rPr>
          <w:rFonts w:ascii="仿宋" w:eastAsia="仿宋"/>
          <w:b/>
          <w:sz w:val="32"/>
          <w:szCs w:val="32"/>
        </w:rPr>
        <w:t>430.75</w:t>
      </w:r>
      <w:r>
        <w:rPr>
          <w:rFonts w:ascii="仿宋" w:eastAsia="仿宋" w:hint="eastAsia"/>
          <w:sz w:val="32"/>
          <w:szCs w:val="32"/>
        </w:rPr>
        <w:t>万元，完成预算</w:t>
      </w:r>
      <w:r>
        <w:rPr>
          <w:rFonts w:ascii="仿宋" w:eastAsia="仿宋"/>
          <w:b/>
          <w:sz w:val="32"/>
          <w:szCs w:val="32"/>
        </w:rPr>
        <w:t>92.98</w:t>
      </w:r>
      <w:r>
        <w:rPr>
          <w:rFonts w:ascii="仿宋" w:eastAsia="仿宋"/>
          <w:sz w:val="32"/>
          <w:szCs w:val="32"/>
        </w:rPr>
        <w:t>%</w:t>
      </w:r>
      <w:r>
        <w:rPr>
          <w:rFonts w:ascii="仿宋" w:eastAsia="仿宋" w:hint="eastAsia"/>
          <w:sz w:val="32"/>
          <w:szCs w:val="32"/>
        </w:rPr>
        <w:t>，较上年度减少</w:t>
      </w:r>
      <w:r>
        <w:rPr>
          <w:rFonts w:ascii="仿宋" w:eastAsia="仿宋" w:hint="eastAsia"/>
          <w:sz w:val="32"/>
          <w:szCs w:val="32"/>
          <w:lang w:val="en-US" w:eastAsia="zh-CN"/>
        </w:rPr>
        <w:t>83.09</w:t>
      </w:r>
      <w:r>
        <w:rPr>
          <w:rFonts w:ascii="仿宋" w:eastAsia="仿宋" w:hint="eastAsia"/>
          <w:sz w:val="32"/>
          <w:szCs w:val="32"/>
        </w:rPr>
        <w:t>万元，下降</w:t>
      </w:r>
      <w:r>
        <w:rPr>
          <w:rFonts w:ascii="仿宋" w:eastAsia="仿宋" w:hint="eastAsia"/>
          <w:sz w:val="32"/>
          <w:szCs w:val="32"/>
          <w:lang w:val="en-US" w:eastAsia="zh-CN"/>
        </w:rPr>
        <w:t>16.17</w:t>
      </w:r>
      <w:r>
        <w:rPr>
          <w:rFonts w:ascii="仿宋" w:eastAsia="仿宋" w:hint="eastAsia"/>
          <w:sz w:val="32"/>
          <w:szCs w:val="32"/>
        </w:rPr>
        <w:t>%。决算数小于预算数的主要原因是</w:t>
      </w:r>
      <w:r>
        <w:rPr>
          <w:rFonts w:ascii="仿宋" w:eastAsia="仿宋" w:hint="eastAsia"/>
          <w:sz w:val="32"/>
          <w:szCs w:val="32"/>
          <w:lang w:val="en-US" w:eastAsia="zh-CN"/>
        </w:rPr>
        <w:t>:</w:t>
      </w:r>
      <w:r>
        <w:rPr>
          <w:rFonts w:ascii="仿宋" w:eastAsia="仿宋" w:hint="eastAsia"/>
          <w:sz w:val="32"/>
          <w:szCs w:val="32"/>
          <w:lang w:eastAsia="zh-CN"/>
        </w:rPr>
        <w:t>我单位按照相关规定厉行节俭，从严控制“三公经费”支出</w:t>
      </w:r>
      <w:r>
        <w:rPr>
          <w:rFonts w:ascii="仿宋" w:eastAsia="仿宋" w:hint="eastAsia"/>
          <w:sz w:val="32"/>
          <w:szCs w:val="32"/>
        </w:rPr>
        <w:t>。</w:t>
      </w:r>
    </w:p>
    <w:p>
      <w:pPr>
        <w:pageBreakBefore w:val="0"/>
        <w:widowControl w:val="0"/>
        <w:kinsoku/>
        <w:wordWrap/>
        <w:overflowPunct/>
        <w:topLinePunct w:val="0"/>
        <w:bidi w:val="0"/>
        <w:snapToGrid/>
        <w:spacing w:line="576" w:lineRule="exact"/>
        <w:ind w:firstLine="640"/>
        <w:textAlignment w:val="auto"/>
        <w:rPr>
          <w:rFonts w:ascii="仿宋" w:eastAsia="仿宋"/>
          <w:b/>
          <w:sz w:val="32"/>
          <w:szCs w:val="32"/>
        </w:rPr>
      </w:pPr>
      <w:r>
        <w:rPr>
          <w:rFonts w:ascii="仿宋" w:eastAsia="仿宋" w:hint="eastAsia"/>
          <w:b/>
          <w:sz w:val="32"/>
          <w:szCs w:val="32"/>
        </w:rPr>
        <w:t>（注：上述“预算”口径为全年预算数，包括一般公共预算和政府性基金预算财政拨款支出决算情况。）</w:t>
      </w:r>
    </w:p>
    <w:p>
      <w:pPr>
        <w:pStyle w:val="27"/>
        <w:ind w:firstLineChars="200" w:firstLine="640"/>
        <w:rPr>
          <w:rFonts w:ascii="楷体" w:eastAsia="楷体" w:cs="楷体" w:hint="eastAsia"/>
          <w:b/>
          <w:bCs/>
          <w:sz w:val="32"/>
          <w:szCs w:val="32"/>
          <w:lang w:val="en-US" w:eastAsia="zh-CN"/>
        </w:rPr>
      </w:pPr>
      <w:bookmarkStart w:id="39" w:name="_Toc15377217"/>
      <w:r>
        <w:rPr>
          <w:rFonts w:ascii="楷体" w:eastAsia="楷体" w:cs="楷体" w:hint="eastAsia"/>
          <w:b/>
          <w:bCs/>
          <w:sz w:val="32"/>
          <w:szCs w:val="32"/>
          <w:lang w:val="en-US" w:eastAsia="zh-CN"/>
        </w:rPr>
        <w:t>（二）“三公”经费财政拨款支出决算具体情况说明</w:t>
      </w:r>
      <w:bookmarkEnd w:id="39"/>
    </w:p>
    <w:p>
      <w:pPr>
        <w:pageBreakBefore w:val="0"/>
        <w:widowControl w:val="0"/>
        <w:kinsoku/>
        <w:wordWrap/>
        <w:overflowPunct/>
        <w:topLinePunct w:val="0"/>
        <w:bidi w:val="0"/>
        <w:snapToGrid/>
        <w:spacing w:line="576" w:lineRule="exact"/>
        <w:ind w:firstLine="640"/>
        <w:textAlignment w:val="auto"/>
        <w:rPr>
          <w:rFonts w:ascii="仿宋" w:eastAsia="仿宋" w:hint="eastAsia"/>
          <w:sz w:val="32"/>
          <w:szCs w:val="32"/>
        </w:rPr>
      </w:pPr>
      <w:r>
        <w:rPr>
          <w:rFonts w:ascii="仿宋" w:eastAsia="仿宋" w:hint="eastAsia"/>
          <w:sz w:val="32"/>
          <w:szCs w:val="32"/>
        </w:rPr>
        <w:t>2023年度“三公”经费财政拨款支出决算中，因公出国（境）费支出决算</w:t>
      </w:r>
      <w:r>
        <w:rPr>
          <w:rFonts w:ascii="仿宋" w:eastAsia="仿宋"/>
          <w:b/>
          <w:sz w:val="32"/>
          <w:szCs w:val="32"/>
        </w:rPr>
        <w:t>0</w:t>
      </w:r>
      <w:r>
        <w:rPr>
          <w:rFonts w:ascii="仿宋" w:eastAsia="仿宋" w:hint="eastAsia"/>
          <w:sz w:val="32"/>
          <w:szCs w:val="32"/>
        </w:rPr>
        <w:t>万元，占</w:t>
      </w:r>
      <w:r>
        <w:rPr>
          <w:rFonts w:ascii="仿宋" w:eastAsia="仿宋"/>
          <w:b/>
          <w:sz w:val="32"/>
          <w:szCs w:val="32"/>
        </w:rPr>
        <w:t>0</w:t>
      </w:r>
      <w:r>
        <w:rPr>
          <w:rFonts w:ascii="仿宋" w:eastAsia="仿宋"/>
          <w:sz w:val="32"/>
          <w:szCs w:val="32"/>
        </w:rPr>
        <w:t>%</w:t>
      </w:r>
      <w:r>
        <w:rPr>
          <w:rFonts w:ascii="仿宋" w:eastAsia="仿宋" w:hint="eastAsia"/>
          <w:sz w:val="32"/>
          <w:szCs w:val="32"/>
        </w:rPr>
        <w:t>；公务用车购置及运行维护费支出决算</w:t>
      </w:r>
      <w:r>
        <w:rPr>
          <w:rFonts w:ascii="仿宋" w:eastAsia="仿宋"/>
          <w:b/>
          <w:sz w:val="32"/>
          <w:szCs w:val="32"/>
        </w:rPr>
        <w:t>429.66</w:t>
      </w:r>
      <w:r>
        <w:rPr>
          <w:rFonts w:ascii="仿宋" w:eastAsia="仿宋" w:hint="eastAsia"/>
          <w:sz w:val="32"/>
          <w:szCs w:val="32"/>
        </w:rPr>
        <w:t>万元，占</w:t>
      </w:r>
      <w:r>
        <w:rPr>
          <w:rFonts w:ascii="仿宋" w:eastAsia="仿宋"/>
          <w:b/>
          <w:sz w:val="32"/>
          <w:szCs w:val="32"/>
        </w:rPr>
        <w:t>99.74</w:t>
      </w:r>
      <w:r>
        <w:rPr>
          <w:rFonts w:ascii="仿宋" w:eastAsia="仿宋"/>
          <w:sz w:val="32"/>
          <w:szCs w:val="32"/>
        </w:rPr>
        <w:t>%</w:t>
      </w:r>
      <w:r>
        <w:rPr>
          <w:rFonts w:ascii="仿宋" w:eastAsia="仿宋" w:hint="eastAsia"/>
          <w:sz w:val="32"/>
          <w:szCs w:val="32"/>
        </w:rPr>
        <w:t>；公务接待费支出决算</w:t>
      </w:r>
      <w:r>
        <w:rPr>
          <w:rFonts w:ascii="仿宋" w:eastAsia="仿宋"/>
          <w:b/>
          <w:sz w:val="32"/>
          <w:szCs w:val="32"/>
        </w:rPr>
        <w:t>1.09</w:t>
      </w:r>
      <w:r>
        <w:rPr>
          <w:rFonts w:ascii="仿宋" w:eastAsia="仿宋" w:hint="eastAsia"/>
          <w:sz w:val="32"/>
          <w:szCs w:val="32"/>
        </w:rPr>
        <w:t>万元，占</w:t>
      </w:r>
      <w:r>
        <w:rPr>
          <w:rFonts w:ascii="仿宋" w:eastAsia="仿宋"/>
          <w:b/>
          <w:sz w:val="32"/>
          <w:szCs w:val="32"/>
        </w:rPr>
        <w:t>0.25</w:t>
      </w:r>
      <w:r>
        <w:rPr>
          <w:rFonts w:ascii="仿宋" w:eastAsia="仿宋"/>
          <w:sz w:val="32"/>
          <w:szCs w:val="32"/>
        </w:rPr>
        <w:t>%</w:t>
      </w:r>
      <w:r>
        <w:rPr>
          <w:rFonts w:ascii="仿宋" w:eastAsia="仿宋" w:hint="eastAsia"/>
          <w:sz w:val="32"/>
          <w:szCs w:val="32"/>
        </w:rPr>
        <w:t>。具体情况如下：</w:t>
      </w:r>
    </w:p>
    <w:p>
      <w:pPr>
        <w:pStyle w:val="27"/>
        <w:rPr>
          <w:rFonts w:ascii="仿宋" w:eastAsia="仿宋" w:hint="eastAsia"/>
          <w:sz w:val="32"/>
          <w:szCs w:val="32"/>
        </w:rPr>
      </w:pPr>
      <w:r>
        <w:rPr>
          <w:rFonts w:ascii="仿宋" w:eastAsia="仿宋" w:hint="eastAsia"/>
          <w:sz w:val="32"/>
          <w:szCs w:val="32"/>
          <w:lang w:eastAsia="zh-CN"/>
        </w:rPr>
        <w:drawing>
          <wp:anchor distT="0" distB="0" distL="114300" distR="114300" simplePos="0" relativeHeight="30" behindDoc="0" locked="0" layoutInCell="1" hidden="0" allowOverlap="1">
            <wp:simplePos x="0" y="0"/>
            <wp:positionH relativeFrom="column">
              <wp:posOffset>170815</wp:posOffset>
            </wp:positionH>
            <wp:positionV relativeFrom="paragraph">
              <wp:posOffset>78740</wp:posOffset>
            </wp:positionV>
            <wp:extent cx="4961254" cy="3603625"/>
            <wp:effectExtent l="0" t="0" r="0" b="0"/>
            <wp:wrapNone/>
            <wp:docPr id="7" name="图表 8"/>
            <wp:cNvGraphicFramePr>
              <a:graphicFrameLocks noChangeAspect="0"/>
            </wp:cNvGraphicFramePr>
            <a:graphic>
              <a:graphicData uri="http://schemas.openxmlformats.org/drawingml/2006/chart">
                <c:chart xmlns:c="http://schemas.openxmlformats.org/drawingml/2006/chart" r:id="rId10"/>
              </a:graphicData>
            </a:graphic>
          </wp:anchor>
        </w:drawing>
      </w:r>
    </w:p>
    <w:p>
      <w:pPr>
        <w:rPr>
          <w:rFonts w:ascii="仿宋" w:eastAsia="仿宋" w:hint="eastAsia"/>
          <w:sz w:val="32"/>
          <w:szCs w:val="32"/>
        </w:rPr>
      </w:pPr>
    </w:p>
    <w:p>
      <w:pPr>
        <w:pStyle w:val="27"/>
        <w:rPr>
          <w:rFonts w:ascii="仿宋" w:eastAsia="仿宋" w:hint="eastAsia"/>
          <w:sz w:val="32"/>
          <w:szCs w:val="32"/>
          <w:lang w:eastAsia="zh-CN"/>
        </w:rPr>
      </w:pPr>
    </w:p>
    <w:p>
      <w:pPr>
        <w:rPr>
          <w:rFonts w:ascii="仿宋" w:eastAsia="仿宋" w:hint="eastAsia"/>
          <w:sz w:val="32"/>
          <w:szCs w:val="32"/>
        </w:rPr>
      </w:pPr>
    </w:p>
    <w:p>
      <w:pPr>
        <w:pStyle w:val="27"/>
        <w:rPr>
          <w:rFonts w:ascii="仿宋" w:eastAsia="仿宋" w:hint="eastAsia"/>
          <w:sz w:val="32"/>
          <w:szCs w:val="32"/>
        </w:rPr>
      </w:pPr>
    </w:p>
    <w:p>
      <w:pPr>
        <w:rPr>
          <w:rFonts w:ascii="仿宋" w:eastAsia="仿宋" w:hint="eastAsia"/>
          <w:sz w:val="32"/>
          <w:szCs w:val="32"/>
        </w:rPr>
      </w:pPr>
    </w:p>
    <w:p>
      <w:pPr>
        <w:pStyle w:val="27"/>
        <w:rPr>
          <w:rFonts w:ascii="仿宋" w:eastAsia="仿宋" w:hint="eastAsia"/>
          <w:sz w:val="32"/>
          <w:szCs w:val="32"/>
        </w:rPr>
      </w:pPr>
    </w:p>
    <w:p/>
    <w:p>
      <w:pPr>
        <w:pageBreakBefore w:val="0"/>
        <w:widowControl w:val="0"/>
        <w:kinsoku/>
        <w:wordWrap/>
        <w:overflowPunct/>
        <w:topLinePunct w:val="0"/>
        <w:bidi w:val="0"/>
        <w:snapToGrid/>
        <w:spacing w:line="576" w:lineRule="exact"/>
        <w:ind w:firstLine="640"/>
        <w:textAlignment w:val="auto"/>
        <w:rPr>
          <w:rFonts w:ascii="仿宋" w:eastAsia="仿宋"/>
          <w:sz w:val="32"/>
          <w:szCs w:val="32"/>
        </w:rPr>
      </w:pPr>
      <w:r>
        <w:rPr>
          <w:rFonts w:ascii="仿宋" w:eastAsia="仿宋" w:hint="eastAsia"/>
          <w:sz w:val="32"/>
          <w:szCs w:val="32"/>
        </w:rPr>
        <w:t>（图7：“三公”经费财政拨款支出结构）（饼状图）</w:t>
      </w:r>
    </w:p>
    <w:p>
      <w:pPr>
        <w:pageBreakBefore w:val="0"/>
        <w:widowControl w:val="0"/>
        <w:kinsoku/>
        <w:wordWrap/>
        <w:overflowPunct/>
        <w:topLinePunct w:val="0"/>
        <w:bidi w:val="0"/>
        <w:snapToGrid/>
        <w:spacing w:line="576" w:lineRule="exact"/>
        <w:ind w:left="0" w:firstLineChars="200" w:firstLine="640"/>
        <w:textAlignment w:val="auto"/>
        <w:rPr>
          <w:rFonts w:ascii="仿宋_GB2312" w:eastAsia="仿宋_GB2312" w:hint="eastAsia"/>
          <w:sz w:val="32"/>
          <w:szCs w:val="32"/>
          <w:lang w:val="en-US" w:eastAsia="zh-CN"/>
        </w:rPr>
      </w:pPr>
      <w:bookmarkStart w:id="40" w:name="_Toc15396610"/>
      <w:bookmarkStart w:id="41" w:name="_Toc15377218"/>
      <w:r>
        <w:rPr>
          <w:rFonts w:ascii="仿宋_GB2312" w:eastAsia="仿宋_GB2312" w:hint="eastAsia"/>
          <w:b/>
          <w:sz w:val="32"/>
          <w:szCs w:val="32"/>
          <w:lang w:val="en-US" w:eastAsia="zh-CN"/>
        </w:rPr>
        <w:t>1.</w:t>
      </w:r>
      <w:r>
        <w:rPr>
          <w:rFonts w:ascii="仿宋_GB2312" w:eastAsia="仿宋_GB2312" w:hint="eastAsia"/>
          <w:b/>
          <w:sz w:val="32"/>
          <w:szCs w:val="32"/>
        </w:rPr>
        <w:t>因公出国（境）经费支出</w:t>
      </w:r>
      <w:r>
        <w:rPr>
          <w:rFonts w:ascii="仿宋" w:eastAsia="仿宋"/>
          <w:b/>
          <w:sz w:val="32"/>
          <w:szCs w:val="32"/>
        </w:rPr>
        <w:t>0</w:t>
      </w:r>
      <w:r>
        <w:rPr>
          <w:rFonts w:ascii="仿宋_GB2312" w:eastAsia="仿宋_GB2312" w:hint="eastAsia"/>
          <w:sz w:val="32"/>
          <w:szCs w:val="32"/>
        </w:rPr>
        <w:t>万元，</w:t>
      </w:r>
      <w:r>
        <w:rPr>
          <w:rStyle w:val="25"/>
          <w:rFonts w:ascii="仿宋" w:eastAsia="仿宋" w:hint="eastAsia"/>
          <w:b w:val="0"/>
          <w:bCs/>
          <w:sz w:val="32"/>
          <w:szCs w:val="32"/>
        </w:rPr>
        <w:t>完成预算</w:t>
      </w:r>
      <w:r>
        <w:rPr>
          <w:rStyle w:val="25"/>
          <w:rFonts w:ascii="仿宋" w:eastAsia="仿宋"/>
          <w:bCs/>
          <w:sz w:val="32"/>
          <w:szCs w:val="32"/>
        </w:rPr>
        <w:t>0</w:t>
      </w:r>
      <w:r>
        <w:rPr>
          <w:rStyle w:val="25"/>
          <w:rFonts w:ascii="仿宋" w:eastAsia="仿宋"/>
          <w:b w:val="0"/>
          <w:bCs/>
          <w:sz w:val="32"/>
          <w:szCs w:val="32"/>
        </w:rPr>
        <w:t>%</w:t>
      </w:r>
      <w:r>
        <w:rPr>
          <w:rStyle w:val="25"/>
          <w:rFonts w:ascii="仿宋" w:eastAsia="仿宋" w:hint="eastAsia"/>
          <w:b w:val="0"/>
          <w:bCs/>
          <w:sz w:val="32"/>
          <w:szCs w:val="32"/>
        </w:rPr>
        <w:t>。</w:t>
      </w:r>
      <w:r>
        <w:rPr>
          <w:rFonts w:ascii="仿宋_GB2312" w:eastAsia="仿宋_GB2312" w:hint="eastAsia"/>
          <w:sz w:val="32"/>
          <w:szCs w:val="32"/>
        </w:rPr>
        <w:t>全年安排因公出国（境）团组</w:t>
      </w:r>
      <w:r>
        <w:rPr>
          <w:rFonts w:ascii="仿宋_GB2312" w:eastAsia="仿宋_GB2312"/>
          <w:b/>
          <w:sz w:val="32"/>
          <w:szCs w:val="32"/>
        </w:rPr>
        <w:t>0</w:t>
      </w:r>
      <w:r>
        <w:rPr>
          <w:rFonts w:ascii="仿宋_GB2312" w:eastAsia="仿宋_GB2312" w:hint="eastAsia"/>
          <w:sz w:val="32"/>
          <w:szCs w:val="32"/>
        </w:rPr>
        <w:t>次，出国（境）</w:t>
      </w:r>
      <w:r>
        <w:rPr>
          <w:rFonts w:ascii="仿宋_GB2312" w:eastAsia="仿宋_GB2312"/>
          <w:b/>
          <w:sz w:val="32"/>
          <w:szCs w:val="32"/>
        </w:rPr>
        <w:t>0</w:t>
      </w:r>
      <w:r>
        <w:rPr>
          <w:rFonts w:ascii="仿宋_GB2312" w:eastAsia="仿宋_GB2312" w:hint="eastAsia"/>
          <w:sz w:val="32"/>
          <w:szCs w:val="32"/>
        </w:rPr>
        <w:t>人。因公出国（境）支出决算</w:t>
      </w:r>
      <w:r>
        <w:rPr>
          <w:rFonts w:ascii="仿宋_GB2312" w:eastAsia="仿宋_GB2312" w:hint="eastAsia"/>
          <w:sz w:val="32"/>
          <w:szCs w:val="32"/>
          <w:lang w:eastAsia="zh-CN"/>
        </w:rPr>
        <w:t>与</w:t>
      </w:r>
      <w:r>
        <w:rPr>
          <w:rFonts w:ascii="仿宋_GB2312" w:eastAsia="仿宋_GB2312" w:hint="eastAsia"/>
          <w:sz w:val="32"/>
          <w:szCs w:val="32"/>
        </w:rPr>
        <w:t>2022年</w:t>
      </w:r>
      <w:r>
        <w:rPr>
          <w:rFonts w:ascii="仿宋_GB2312" w:eastAsia="仿宋_GB2312" w:hint="eastAsia"/>
          <w:sz w:val="32"/>
          <w:szCs w:val="32"/>
          <w:lang w:eastAsia="zh-CN"/>
        </w:rPr>
        <w:t>持平</w:t>
      </w:r>
      <w:r>
        <w:rPr>
          <w:rFonts w:ascii="仿宋_GB2312" w:eastAsia="仿宋_GB2312" w:hint="eastAsia"/>
          <w:sz w:val="32"/>
          <w:szCs w:val="32"/>
        </w:rPr>
        <w:t>，</w:t>
      </w:r>
      <w:r>
        <w:rPr>
          <w:rFonts w:ascii="仿宋_GB2312" w:eastAsia="仿宋_GB2312" w:hint="eastAsia"/>
          <w:sz w:val="32"/>
          <w:szCs w:val="32"/>
          <w:lang w:eastAsia="zh-CN"/>
        </w:rPr>
        <w:t>均为</w:t>
      </w:r>
      <w:r>
        <w:rPr>
          <w:rFonts w:ascii="仿宋_GB2312" w:eastAsia="仿宋_GB2312" w:hint="eastAsia"/>
          <w:sz w:val="32"/>
          <w:szCs w:val="32"/>
          <w:lang w:val="en-US" w:eastAsia="zh-CN"/>
        </w:rPr>
        <w:t>0。</w:t>
      </w:r>
    </w:p>
    <w:p>
      <w:pPr>
        <w:pageBreakBefore w:val="0"/>
        <w:widowControl w:val="0"/>
        <w:kinsoku/>
        <w:wordWrap/>
        <w:overflowPunct/>
        <w:topLinePunct w:val="0"/>
        <w:bidi w:val="0"/>
        <w:adjustRightInd w:val="0"/>
        <w:spacing w:afterAutospacing="0" w:line="576" w:lineRule="exact"/>
        <w:ind w:firstLine="640"/>
        <w:textAlignment w:val="auto"/>
        <w:rPr>
          <w:rFonts w:ascii="仿宋" w:eastAsia="仿宋"/>
          <w:sz w:val="32"/>
          <w:szCs w:val="32"/>
        </w:rPr>
      </w:pPr>
      <w:r>
        <w:rPr>
          <w:rFonts w:ascii="仿宋_GB2312" w:eastAsia="仿宋_GB2312"/>
          <w:b/>
          <w:sz w:val="32"/>
          <w:szCs w:val="32"/>
        </w:rPr>
        <w:t>2.</w:t>
      </w:r>
      <w:r>
        <w:rPr>
          <w:rFonts w:ascii="仿宋_GB2312" w:eastAsia="仿宋_GB2312" w:hint="eastAsia"/>
          <w:b/>
          <w:sz w:val="32"/>
          <w:szCs w:val="32"/>
        </w:rPr>
        <w:t>公务用车购置及运行维护费支出</w:t>
      </w:r>
      <w:r>
        <w:rPr>
          <w:rFonts w:ascii="仿宋" w:eastAsia="仿宋"/>
          <w:b/>
          <w:sz w:val="32"/>
          <w:szCs w:val="32"/>
        </w:rPr>
        <w:t>429.66</w:t>
      </w:r>
      <w:r>
        <w:rPr>
          <w:rFonts w:ascii="仿宋_GB2312" w:eastAsia="仿宋_GB2312" w:hint="eastAsia"/>
          <w:sz w:val="32"/>
          <w:szCs w:val="32"/>
        </w:rPr>
        <w:t>万元,</w:t>
      </w:r>
      <w:r>
        <w:rPr>
          <w:rStyle w:val="25"/>
          <w:rFonts w:ascii="仿宋" w:eastAsia="仿宋" w:hint="eastAsia"/>
          <w:b w:val="0"/>
          <w:bCs/>
          <w:sz w:val="32"/>
          <w:szCs w:val="32"/>
        </w:rPr>
        <w:t>完成预算</w:t>
      </w:r>
      <w:r>
        <w:rPr>
          <w:rStyle w:val="25"/>
          <w:rFonts w:ascii="仿宋" w:eastAsia="仿宋"/>
          <w:bCs/>
          <w:sz w:val="32"/>
          <w:szCs w:val="32"/>
        </w:rPr>
        <w:t>93.29</w:t>
      </w:r>
      <w:r>
        <w:rPr>
          <w:rStyle w:val="25"/>
          <w:rFonts w:ascii="仿宋" w:eastAsia="仿宋"/>
          <w:b w:val="0"/>
          <w:bCs/>
          <w:sz w:val="32"/>
          <w:szCs w:val="32"/>
        </w:rPr>
        <w:t>%</w:t>
      </w:r>
      <w:r>
        <w:rPr>
          <w:rStyle w:val="25"/>
          <w:rFonts w:ascii="仿宋" w:eastAsia="仿宋" w:hint="eastAsia"/>
          <w:b w:val="0"/>
          <w:bCs/>
          <w:sz w:val="32"/>
          <w:szCs w:val="32"/>
        </w:rPr>
        <w:t>。</w:t>
      </w:r>
      <w:r>
        <w:rPr>
          <w:rFonts w:ascii="仿宋_GB2312" w:eastAsia="仿宋_GB2312" w:hint="eastAsia"/>
          <w:sz w:val="32"/>
          <w:szCs w:val="32"/>
        </w:rPr>
        <w:t>公务用车购置及运行维护费支出决算比2022年度减少</w:t>
      </w:r>
      <w:r>
        <w:rPr>
          <w:rFonts w:ascii="仿宋_GB2312" w:eastAsia="仿宋_GB2312" w:hint="eastAsia"/>
          <w:sz w:val="32"/>
          <w:szCs w:val="32"/>
          <w:lang w:val="en-US" w:eastAsia="zh-CN"/>
        </w:rPr>
        <w:t>83.91</w:t>
      </w:r>
      <w:r>
        <w:rPr>
          <w:rFonts w:ascii="仿宋_GB2312" w:eastAsia="仿宋_GB2312" w:hint="eastAsia"/>
          <w:sz w:val="32"/>
          <w:szCs w:val="32"/>
        </w:rPr>
        <w:t>万元，下降</w:t>
      </w:r>
      <w:r>
        <w:rPr>
          <w:rFonts w:ascii="仿宋_GB2312" w:eastAsia="仿宋_GB2312" w:hint="eastAsia"/>
          <w:sz w:val="32"/>
          <w:szCs w:val="32"/>
          <w:lang w:val="en-US" w:eastAsia="zh-CN"/>
        </w:rPr>
        <w:t>16.33</w:t>
      </w:r>
      <w:r>
        <w:rPr>
          <w:rFonts w:ascii="仿宋_GB2312" w:eastAsia="仿宋_GB2312"/>
          <w:sz w:val="32"/>
          <w:szCs w:val="32"/>
        </w:rPr>
        <w:t>%</w:t>
      </w:r>
      <w:r>
        <w:rPr>
          <w:rFonts w:ascii="仿宋_GB2312" w:eastAsia="仿宋_GB2312" w:hint="eastAsia"/>
          <w:sz w:val="32"/>
          <w:szCs w:val="32"/>
        </w:rPr>
        <w:t>。主要原因</w:t>
      </w:r>
      <w:r>
        <w:rPr>
          <w:rFonts w:ascii="仿宋_GB2312" w:eastAsia="仿宋_GB2312" w:hint="eastAsia"/>
          <w:sz w:val="32"/>
          <w:szCs w:val="32"/>
          <w:lang w:val="en-US" w:eastAsia="zh-CN"/>
        </w:rPr>
        <w:t>:</w:t>
      </w:r>
      <w:r>
        <w:rPr>
          <w:rFonts w:ascii="仿宋_GB2312" w:eastAsia="仿宋_GB2312" w:hint="eastAsia"/>
          <w:b/>
          <w:bCs/>
          <w:sz w:val="32"/>
          <w:szCs w:val="32"/>
          <w:lang w:val="en-US" w:eastAsia="zh-CN"/>
        </w:rPr>
        <w:t>一</w:t>
      </w:r>
      <w:r>
        <w:rPr>
          <w:rFonts w:ascii="仿宋_GB2312" w:eastAsia="仿宋_GB2312" w:hint="eastAsia"/>
          <w:b/>
          <w:bCs/>
          <w:sz w:val="32"/>
          <w:szCs w:val="32"/>
        </w:rPr>
        <w:t>是</w:t>
      </w:r>
      <w:r>
        <w:rPr>
          <w:rFonts w:ascii="仿宋_GB2312" w:eastAsia="仿宋_GB2312" w:hint="eastAsia"/>
          <w:sz w:val="32"/>
          <w:szCs w:val="32"/>
          <w:lang w:val="en-US" w:eastAsia="zh-CN"/>
        </w:rPr>
        <w:t>2022年按规定更新购置公务用车2辆，支出44.35万元；2023年未购置公务用车，支付2辆新车购置税3.92万元</w:t>
      </w:r>
      <w:r>
        <w:rPr>
          <w:rFonts w:ascii="仿宋_GB2312" w:eastAsia="仿宋_GB2312" w:hint="eastAsia"/>
          <w:sz w:val="32"/>
          <w:szCs w:val="32"/>
        </w:rPr>
        <w:t>。</w:t>
      </w:r>
      <w:r>
        <w:rPr>
          <w:rFonts w:ascii="仿宋_GB2312" w:eastAsia="仿宋_GB2312" w:hint="eastAsia"/>
          <w:b/>
          <w:bCs/>
          <w:sz w:val="32"/>
          <w:szCs w:val="32"/>
          <w:lang w:eastAsia="zh-CN"/>
        </w:rPr>
        <w:t>二是</w:t>
      </w:r>
      <w:r>
        <w:rPr>
          <w:rFonts w:ascii="仿宋" w:eastAsia="仿宋" w:hint="eastAsia"/>
          <w:sz w:val="32"/>
          <w:szCs w:val="32"/>
          <w:lang w:eastAsia="zh-CN"/>
        </w:rPr>
        <w:t>按照相关规定厉行节俭，从严控制公务用车运行维护费支出</w:t>
      </w:r>
      <w:r>
        <w:rPr>
          <w:rFonts w:ascii="仿宋" w:eastAsia="仿宋" w:hint="eastAsia"/>
          <w:sz w:val="32"/>
          <w:szCs w:val="32"/>
        </w:rPr>
        <w:t>。</w:t>
      </w:r>
    </w:p>
    <w:p>
      <w:pPr>
        <w:pageBreakBefore w:val="0"/>
        <w:widowControl w:val="0"/>
        <w:kinsoku/>
        <w:wordWrap/>
        <w:overflowPunct/>
        <w:topLinePunct w:val="0"/>
        <w:bidi w:val="0"/>
        <w:snapToGrid/>
        <w:spacing w:line="576" w:lineRule="exact"/>
        <w:ind w:firstLineChars="200" w:firstLine="640"/>
        <w:textAlignment w:val="auto"/>
        <w:rPr>
          <w:rFonts w:ascii="仿宋_GB2312" w:eastAsia="仿宋_GB2312"/>
          <w:b/>
          <w:sz w:val="32"/>
          <w:szCs w:val="32"/>
        </w:rPr>
      </w:pPr>
      <w:r>
        <w:rPr>
          <w:rFonts w:ascii="仿宋_GB2312" w:eastAsia="仿宋_GB2312" w:hint="eastAsia"/>
          <w:sz w:val="32"/>
          <w:szCs w:val="32"/>
        </w:rPr>
        <w:t>其中：</w:t>
      </w:r>
      <w:r>
        <w:rPr>
          <w:rFonts w:ascii="仿宋_GB2312" w:eastAsia="仿宋_GB2312" w:hint="eastAsia"/>
          <w:b/>
          <w:sz w:val="32"/>
          <w:szCs w:val="32"/>
        </w:rPr>
        <w:t>公务用车购置支出</w:t>
      </w:r>
      <w:r>
        <w:rPr>
          <w:rFonts w:ascii="仿宋" w:eastAsia="仿宋"/>
          <w:b/>
          <w:sz w:val="32"/>
          <w:szCs w:val="32"/>
        </w:rPr>
        <w:t>3.92</w:t>
      </w:r>
      <w:r>
        <w:rPr>
          <w:rFonts w:ascii="仿宋_GB2312" w:eastAsia="仿宋_GB2312" w:hint="eastAsia"/>
          <w:sz w:val="32"/>
          <w:szCs w:val="32"/>
        </w:rPr>
        <w:t>万元。全年按规定更新购置公务用车</w:t>
      </w:r>
      <w:r>
        <w:rPr>
          <w:rFonts w:ascii="仿宋_GB2312" w:eastAsia="仿宋_GB2312" w:hint="eastAsia"/>
          <w:sz w:val="32"/>
          <w:szCs w:val="32"/>
          <w:lang w:val="en-US" w:eastAsia="zh-CN"/>
        </w:rPr>
        <w:t>0</w:t>
      </w:r>
      <w:r>
        <w:rPr>
          <w:rFonts w:ascii="仿宋_GB2312" w:eastAsia="仿宋_GB2312" w:hint="eastAsia"/>
          <w:sz w:val="32"/>
          <w:szCs w:val="32"/>
        </w:rPr>
        <w:t>辆，其中：轿车</w:t>
      </w:r>
      <w:r>
        <w:rPr>
          <w:rFonts w:ascii="仿宋_GB2312" w:eastAsia="仿宋_GB2312" w:hint="eastAsia"/>
          <w:sz w:val="32"/>
          <w:szCs w:val="32"/>
          <w:lang w:val="en-US" w:eastAsia="zh-CN"/>
        </w:rPr>
        <w:t>0</w:t>
      </w:r>
      <w:r>
        <w:rPr>
          <w:rFonts w:ascii="仿宋_GB2312" w:eastAsia="仿宋_GB2312" w:hint="eastAsia"/>
          <w:sz w:val="32"/>
          <w:szCs w:val="32"/>
        </w:rPr>
        <w:t>辆、金额</w:t>
      </w:r>
      <w:r>
        <w:rPr>
          <w:rFonts w:ascii="仿宋_GB2312" w:eastAsia="仿宋_GB2312" w:hint="eastAsia"/>
          <w:sz w:val="32"/>
          <w:szCs w:val="32"/>
          <w:lang w:val="en-US" w:eastAsia="zh-CN"/>
        </w:rPr>
        <w:t>0</w:t>
      </w:r>
      <w:r>
        <w:rPr>
          <w:rFonts w:ascii="仿宋_GB2312" w:eastAsia="仿宋_GB2312" w:hint="eastAsia"/>
          <w:sz w:val="32"/>
          <w:szCs w:val="32"/>
        </w:rPr>
        <w:t>万元，越野车</w:t>
      </w:r>
      <w:r>
        <w:rPr>
          <w:rFonts w:ascii="仿宋_GB2312" w:eastAsia="仿宋_GB2312" w:hint="eastAsia"/>
          <w:sz w:val="32"/>
          <w:szCs w:val="32"/>
          <w:lang w:val="en-US" w:eastAsia="zh-CN"/>
        </w:rPr>
        <w:t>0</w:t>
      </w:r>
      <w:r>
        <w:rPr>
          <w:rFonts w:ascii="仿宋_GB2312" w:eastAsia="仿宋_GB2312" w:hint="eastAsia"/>
          <w:sz w:val="32"/>
          <w:szCs w:val="32"/>
        </w:rPr>
        <w:t>辆、金额</w:t>
      </w:r>
      <w:r>
        <w:rPr>
          <w:rFonts w:ascii="仿宋_GB2312" w:eastAsia="仿宋_GB2312" w:hint="eastAsia"/>
          <w:sz w:val="32"/>
          <w:szCs w:val="32"/>
          <w:lang w:val="en-US" w:eastAsia="zh-CN"/>
        </w:rPr>
        <w:t>0</w:t>
      </w:r>
      <w:r>
        <w:rPr>
          <w:rFonts w:ascii="仿宋_GB2312" w:eastAsia="仿宋_GB2312" w:hint="eastAsia"/>
          <w:sz w:val="32"/>
          <w:szCs w:val="32"/>
        </w:rPr>
        <w:t>万元，载客汽车</w:t>
      </w:r>
      <w:r>
        <w:rPr>
          <w:rFonts w:ascii="仿宋_GB2312" w:eastAsia="仿宋_GB2312" w:hint="eastAsia"/>
          <w:sz w:val="32"/>
          <w:szCs w:val="32"/>
          <w:lang w:val="en-US" w:eastAsia="zh-CN"/>
        </w:rPr>
        <w:t>0</w:t>
      </w:r>
      <w:r>
        <w:rPr>
          <w:rFonts w:ascii="仿宋_GB2312" w:eastAsia="仿宋_GB2312" w:hint="eastAsia"/>
          <w:sz w:val="32"/>
          <w:szCs w:val="32"/>
        </w:rPr>
        <w:t>辆、金额</w:t>
      </w:r>
      <w:r>
        <w:rPr>
          <w:rFonts w:ascii="仿宋_GB2312" w:eastAsia="仿宋_GB2312" w:hint="eastAsia"/>
          <w:sz w:val="32"/>
          <w:szCs w:val="32"/>
          <w:lang w:val="en-US" w:eastAsia="zh-CN"/>
        </w:rPr>
        <w:t>0</w:t>
      </w:r>
      <w:r>
        <w:rPr>
          <w:rFonts w:ascii="仿宋_GB2312" w:eastAsia="仿宋_GB2312" w:hint="eastAsia"/>
          <w:sz w:val="32"/>
          <w:szCs w:val="32"/>
        </w:rPr>
        <w:t>万元，主要用于</w:t>
      </w:r>
      <w:r>
        <w:rPr>
          <w:rFonts w:ascii="仿宋_GB2312" w:eastAsia="仿宋_GB2312" w:hint="eastAsia"/>
          <w:sz w:val="32"/>
          <w:szCs w:val="32"/>
          <w:lang w:eastAsia="zh-CN"/>
        </w:rPr>
        <w:t>：支付</w:t>
      </w:r>
      <w:r>
        <w:rPr>
          <w:rFonts w:ascii="仿宋_GB2312" w:eastAsia="仿宋_GB2312" w:hint="eastAsia"/>
          <w:sz w:val="32"/>
          <w:szCs w:val="32"/>
          <w:lang w:val="en-US" w:eastAsia="zh-CN"/>
        </w:rPr>
        <w:t>2辆新车车辆购置税</w:t>
      </w:r>
      <w:r>
        <w:rPr>
          <w:rFonts w:ascii="仿宋_GB2312" w:eastAsia="仿宋_GB2312" w:hint="eastAsia"/>
          <w:sz w:val="32"/>
          <w:szCs w:val="32"/>
        </w:rPr>
        <w:t>。截至2023年</w:t>
      </w:r>
      <w:r>
        <w:rPr>
          <w:rFonts w:ascii="仿宋_GB2312" w:eastAsia="仿宋_GB2312"/>
          <w:sz w:val="32"/>
          <w:szCs w:val="32"/>
        </w:rPr>
        <w:t>12</w:t>
      </w:r>
      <w:r>
        <w:rPr>
          <w:rFonts w:ascii="仿宋_GB2312" w:eastAsia="仿宋_GB2312" w:hint="eastAsia"/>
          <w:sz w:val="32"/>
          <w:szCs w:val="32"/>
        </w:rPr>
        <w:t>月31日，单位共有公务用车</w:t>
      </w:r>
      <w:r>
        <w:rPr>
          <w:rFonts w:ascii="仿宋_GB2312" w:eastAsia="仿宋_GB2312"/>
          <w:sz w:val="32"/>
          <w:szCs w:val="32"/>
        </w:rPr>
        <w:t>**</w:t>
      </w:r>
      <w:r>
        <w:rPr>
          <w:rFonts w:ascii="仿宋_GB2312" w:eastAsia="仿宋_GB2312" w:hint="eastAsia"/>
          <w:sz w:val="32"/>
          <w:szCs w:val="32"/>
        </w:rPr>
        <w:t>辆，其中：轿车</w:t>
      </w:r>
      <w:r>
        <w:rPr>
          <w:rFonts w:ascii="仿宋_GB2312" w:eastAsia="仿宋_GB2312"/>
          <w:sz w:val="32"/>
          <w:szCs w:val="32"/>
        </w:rPr>
        <w:t>**</w:t>
      </w:r>
      <w:r>
        <w:rPr>
          <w:rFonts w:ascii="仿宋_GB2312" w:eastAsia="仿宋_GB2312" w:hint="eastAsia"/>
          <w:sz w:val="32"/>
          <w:szCs w:val="32"/>
        </w:rPr>
        <w:t>辆、越野车</w:t>
      </w:r>
      <w:r>
        <w:rPr>
          <w:rFonts w:ascii="仿宋_GB2312" w:eastAsia="仿宋_GB2312"/>
          <w:sz w:val="32"/>
          <w:szCs w:val="32"/>
        </w:rPr>
        <w:t>**</w:t>
      </w:r>
      <w:r>
        <w:rPr>
          <w:rFonts w:ascii="仿宋_GB2312" w:eastAsia="仿宋_GB2312" w:hint="eastAsia"/>
          <w:sz w:val="32"/>
          <w:szCs w:val="32"/>
        </w:rPr>
        <w:t>辆、载客汽车</w:t>
      </w:r>
      <w:r>
        <w:rPr>
          <w:rFonts w:ascii="仿宋_GB2312" w:eastAsia="仿宋_GB2312"/>
          <w:sz w:val="32"/>
          <w:szCs w:val="32"/>
        </w:rPr>
        <w:t>**</w:t>
      </w:r>
      <w:r>
        <w:rPr>
          <w:rFonts w:ascii="仿宋_GB2312" w:eastAsia="仿宋_GB2312" w:hint="eastAsia"/>
          <w:sz w:val="32"/>
          <w:szCs w:val="32"/>
        </w:rPr>
        <w:t>辆。</w:t>
      </w:r>
    </w:p>
    <w:p>
      <w:pPr>
        <w:pageBreakBefore w:val="0"/>
        <w:widowControl w:val="0"/>
        <w:kinsoku/>
        <w:wordWrap/>
        <w:overflowPunct/>
        <w:topLinePunct w:val="0"/>
        <w:bidi w:val="0"/>
        <w:snapToGrid/>
        <w:spacing w:line="576" w:lineRule="exact"/>
        <w:ind w:firstLine="640"/>
        <w:textAlignment w:val="auto"/>
        <w:rPr>
          <w:rFonts w:ascii="仿宋_GB2312" w:eastAsia="仿宋_GB2312"/>
          <w:sz w:val="32"/>
          <w:szCs w:val="32"/>
        </w:rPr>
      </w:pPr>
      <w:r>
        <w:rPr>
          <w:rFonts w:ascii="仿宋_GB2312" w:eastAsia="仿宋_GB2312" w:hint="eastAsia"/>
          <w:b/>
          <w:sz w:val="32"/>
          <w:szCs w:val="32"/>
        </w:rPr>
        <w:t>公务用车运行维护费支出</w:t>
      </w:r>
      <w:r>
        <w:rPr>
          <w:rFonts w:ascii="仿宋" w:eastAsia="仿宋"/>
          <w:b/>
          <w:sz w:val="32"/>
          <w:szCs w:val="32"/>
        </w:rPr>
        <w:t>425.73</w:t>
      </w:r>
      <w:r>
        <w:rPr>
          <w:rFonts w:ascii="仿宋_GB2312" w:eastAsia="仿宋_GB2312" w:hint="eastAsia"/>
          <w:sz w:val="32"/>
          <w:szCs w:val="32"/>
        </w:rPr>
        <w:t>万元。主要用于保障</w:t>
      </w:r>
      <w:r>
        <w:rPr>
          <w:rFonts w:ascii="仿宋_GB2312" w:eastAsia="仿宋_GB2312" w:hint="eastAsia"/>
          <w:sz w:val="32"/>
          <w:szCs w:val="32"/>
          <w:lang w:eastAsia="zh-CN"/>
        </w:rPr>
        <w:t>州公安局</w:t>
      </w:r>
      <w:r>
        <w:rPr>
          <w:rFonts w:ascii="仿宋_GB2312" w:eastAsia="仿宋_GB2312" w:hint="eastAsia"/>
          <w:sz w:val="32"/>
          <w:szCs w:val="32"/>
        </w:rPr>
        <w:t>正常运转、完成日常工作、开展各类执法执勤活动、侦办案件、公安宣传等所需的公务用车燃料费、维修费、过路过桥费、保险费等支出。</w:t>
      </w:r>
    </w:p>
    <w:p>
      <w:pPr>
        <w:pageBreakBefore w:val="0"/>
        <w:widowControl w:val="0"/>
        <w:kinsoku/>
        <w:wordWrap/>
        <w:overflowPunct/>
        <w:topLinePunct w:val="0"/>
        <w:bidi w:val="0"/>
        <w:snapToGrid/>
        <w:spacing w:line="576" w:lineRule="exact"/>
        <w:ind w:left="0" w:firstLineChars="200" w:firstLine="640"/>
        <w:textAlignment w:val="auto"/>
        <w:rPr>
          <w:rFonts w:ascii="仿宋_GB2312" w:eastAsia="仿宋_GB2312" w:hint="eastAsia"/>
          <w:sz w:val="32"/>
          <w:szCs w:val="32"/>
        </w:rPr>
      </w:pPr>
      <w:r>
        <w:rPr>
          <w:rFonts w:ascii="仿宋_GB2312" w:eastAsia="仿宋_GB2312" w:hint="eastAsia"/>
          <w:b/>
          <w:sz w:val="32"/>
          <w:szCs w:val="32"/>
          <w:lang w:val="en-US" w:eastAsia="zh-CN"/>
        </w:rPr>
        <w:t>3.</w:t>
      </w:r>
      <w:r>
        <w:rPr>
          <w:rFonts w:ascii="仿宋_GB2312" w:eastAsia="仿宋_GB2312" w:hint="eastAsia"/>
          <w:b/>
          <w:sz w:val="32"/>
          <w:szCs w:val="32"/>
        </w:rPr>
        <w:t>公务接待费支出</w:t>
      </w:r>
      <w:r>
        <w:rPr>
          <w:rFonts w:ascii="仿宋" w:eastAsia="仿宋"/>
          <w:b/>
          <w:sz w:val="32"/>
          <w:szCs w:val="32"/>
        </w:rPr>
        <w:t>1.09</w:t>
      </w:r>
      <w:r>
        <w:rPr>
          <w:rFonts w:ascii="仿宋_GB2312" w:eastAsia="仿宋_GB2312" w:hint="eastAsia"/>
          <w:sz w:val="32"/>
          <w:szCs w:val="32"/>
        </w:rPr>
        <w:t>万元，</w:t>
      </w:r>
      <w:r>
        <w:rPr>
          <w:rStyle w:val="25"/>
          <w:rFonts w:ascii="仿宋" w:eastAsia="仿宋" w:hint="eastAsia"/>
          <w:b w:val="0"/>
          <w:bCs/>
          <w:sz w:val="32"/>
          <w:szCs w:val="32"/>
        </w:rPr>
        <w:t>完成预算</w:t>
      </w:r>
      <w:r>
        <w:rPr>
          <w:rStyle w:val="25"/>
          <w:rFonts w:ascii="仿宋" w:eastAsia="仿宋"/>
          <w:b w:val="0"/>
          <w:bCs/>
          <w:sz w:val="32"/>
          <w:szCs w:val="32"/>
        </w:rPr>
        <w:t>40.27%</w:t>
      </w:r>
      <w:r>
        <w:rPr>
          <w:rStyle w:val="25"/>
          <w:rFonts w:ascii="仿宋" w:eastAsia="仿宋" w:hint="eastAsia"/>
          <w:b w:val="0"/>
          <w:bCs/>
          <w:sz w:val="32"/>
          <w:szCs w:val="32"/>
        </w:rPr>
        <w:t>。</w:t>
      </w:r>
      <w:r>
        <w:rPr>
          <w:rFonts w:ascii="仿宋_GB2312" w:eastAsia="仿宋_GB2312" w:hint="eastAsia"/>
          <w:sz w:val="32"/>
          <w:szCs w:val="32"/>
        </w:rPr>
        <w:t>公务接待费支出决算比2022年度增加</w:t>
      </w:r>
      <w:r>
        <w:rPr>
          <w:rFonts w:ascii="仿宋_GB2312" w:eastAsia="仿宋_GB2312" w:hint="eastAsia"/>
          <w:sz w:val="32"/>
          <w:szCs w:val="32"/>
          <w:lang w:val="en-US" w:eastAsia="zh-CN"/>
        </w:rPr>
        <w:t>0.82</w:t>
      </w:r>
      <w:r>
        <w:rPr>
          <w:rFonts w:ascii="仿宋_GB2312" w:eastAsia="仿宋_GB2312" w:hint="eastAsia"/>
          <w:sz w:val="32"/>
          <w:szCs w:val="32"/>
        </w:rPr>
        <w:t>万元，增长</w:t>
      </w:r>
      <w:r>
        <w:rPr>
          <w:rFonts w:ascii="仿宋_GB2312" w:eastAsia="仿宋_GB2312" w:hint="eastAsia"/>
          <w:sz w:val="32"/>
          <w:szCs w:val="32"/>
          <w:lang w:val="en-US" w:eastAsia="zh-CN"/>
        </w:rPr>
        <w:t>303.7</w:t>
      </w:r>
      <w:r>
        <w:rPr>
          <w:rFonts w:ascii="仿宋_GB2312" w:eastAsia="仿宋_GB2312"/>
          <w:sz w:val="32"/>
          <w:szCs w:val="32"/>
        </w:rPr>
        <w:t>%</w:t>
      </w:r>
      <w:r>
        <w:rPr>
          <w:rFonts w:ascii="仿宋_GB2312" w:eastAsia="仿宋_GB2312" w:hint="eastAsia"/>
          <w:sz w:val="32"/>
          <w:szCs w:val="32"/>
        </w:rPr>
        <w:t>。主要原因是</w:t>
      </w:r>
      <w:r>
        <w:rPr>
          <w:rFonts w:ascii="仿宋_GB2312" w:eastAsia="仿宋_GB2312" w:hint="eastAsia"/>
          <w:sz w:val="32"/>
          <w:szCs w:val="32"/>
          <w:lang w:eastAsia="zh-CN"/>
        </w:rPr>
        <w:t>：省公安厅、其他省、地市州公安机关人员到我单位来访人员增加</w:t>
      </w:r>
      <w:r>
        <w:rPr>
          <w:rFonts w:ascii="仿宋_GB2312" w:eastAsia="仿宋_GB2312" w:hint="eastAsia"/>
          <w:sz w:val="32"/>
          <w:szCs w:val="32"/>
        </w:rPr>
        <w:t>。</w:t>
      </w:r>
    </w:p>
    <w:p>
      <w:pPr>
        <w:pageBreakBefore w:val="0"/>
        <w:widowControl w:val="0"/>
        <w:kinsoku/>
        <w:wordWrap/>
        <w:overflowPunct/>
        <w:topLinePunct w:val="0"/>
        <w:bidi w:val="0"/>
        <w:snapToGrid/>
        <w:spacing w:line="576" w:lineRule="exact"/>
        <w:ind w:left="0" w:firstLineChars="200" w:firstLine="640"/>
        <w:textAlignment w:val="auto"/>
        <w:rPr>
          <w:rFonts w:ascii="仿宋_GB2312" w:eastAsia="仿宋_GB2312"/>
          <w:sz w:val="32"/>
          <w:szCs w:val="32"/>
        </w:rPr>
      </w:pPr>
      <w:r>
        <w:rPr>
          <w:rFonts w:ascii="仿宋_GB2312" w:eastAsia="仿宋_GB2312" w:hint="eastAsia"/>
          <w:sz w:val="32"/>
          <w:szCs w:val="32"/>
        </w:rPr>
        <w:t>其中：</w:t>
      </w:r>
      <w:r>
        <w:rPr>
          <w:rFonts w:ascii="仿宋" w:eastAsia="仿宋" w:hint="eastAsia"/>
          <w:b/>
          <w:sz w:val="32"/>
          <w:szCs w:val="32"/>
        </w:rPr>
        <w:t>国内公务接待支出</w:t>
      </w:r>
      <w:r>
        <w:rPr>
          <w:rFonts w:ascii="仿宋" w:eastAsia="仿宋"/>
          <w:b/>
          <w:sz w:val="32"/>
          <w:szCs w:val="32"/>
        </w:rPr>
        <w:t>1.09</w:t>
      </w:r>
      <w:r>
        <w:rPr>
          <w:rFonts w:ascii="仿宋_GB2312" w:eastAsia="仿宋_GB2312" w:hint="eastAsia"/>
          <w:sz w:val="32"/>
          <w:szCs w:val="32"/>
        </w:rPr>
        <w:t>万元，主要用于</w:t>
      </w:r>
      <w:r>
        <w:rPr>
          <w:rFonts w:ascii="仿宋_GB2312" w:eastAsia="仿宋_GB2312" w:hint="eastAsia"/>
          <w:sz w:val="32"/>
          <w:szCs w:val="32"/>
          <w:lang w:eastAsia="zh-CN"/>
        </w:rPr>
        <w:t>：省公安厅、其他省、地市州公安机关人员到我单位</w:t>
      </w:r>
      <w:r>
        <w:rPr>
          <w:rFonts w:ascii="仿宋_GB2312" w:eastAsia="仿宋_GB2312" w:hint="eastAsia"/>
          <w:sz w:val="32"/>
          <w:szCs w:val="32"/>
        </w:rPr>
        <w:t>执行公务、开展业务活动开支的交通费、住宿费、用餐费等。国内公务接待</w:t>
      </w:r>
      <w:r>
        <w:rPr>
          <w:rFonts w:ascii="仿宋_GB2312" w:eastAsia="仿宋_GB2312" w:hint="eastAsia"/>
          <w:sz w:val="32"/>
          <w:szCs w:val="32"/>
          <w:lang w:val="en-US" w:eastAsia="zh-CN"/>
        </w:rPr>
        <w:t>8</w:t>
      </w:r>
      <w:r>
        <w:rPr>
          <w:rFonts w:ascii="仿宋_GB2312" w:eastAsia="仿宋_GB2312" w:hint="eastAsia"/>
          <w:sz w:val="32"/>
          <w:szCs w:val="32"/>
        </w:rPr>
        <w:t>批次，</w:t>
      </w:r>
      <w:r>
        <w:rPr>
          <w:rFonts w:ascii="仿宋_GB2312" w:eastAsia="仿宋_GB2312" w:hint="eastAsia"/>
          <w:sz w:val="32"/>
          <w:szCs w:val="32"/>
          <w:lang w:val="en-US" w:eastAsia="zh-CN"/>
        </w:rPr>
        <w:t>85</w:t>
      </w:r>
      <w:r>
        <w:rPr>
          <w:rFonts w:ascii="仿宋_GB2312" w:eastAsia="仿宋_GB2312" w:hint="eastAsia"/>
          <w:sz w:val="32"/>
          <w:szCs w:val="32"/>
        </w:rPr>
        <w:t>人次（不包括陪同人员），共计支出</w:t>
      </w:r>
      <w:r>
        <w:rPr>
          <w:rFonts w:ascii="仿宋_GB2312" w:eastAsia="仿宋_GB2312" w:hint="eastAsia"/>
          <w:sz w:val="32"/>
          <w:szCs w:val="32"/>
          <w:lang w:val="en-US" w:eastAsia="zh-CN"/>
        </w:rPr>
        <w:t>1.09</w:t>
      </w:r>
      <w:r>
        <w:rPr>
          <w:rFonts w:ascii="仿宋_GB2312" w:eastAsia="仿宋_GB2312" w:hint="eastAsia"/>
          <w:sz w:val="32"/>
          <w:szCs w:val="32"/>
        </w:rPr>
        <w:t>万元，具体内容包括：</w:t>
      </w:r>
      <w:r>
        <w:rPr>
          <w:rFonts w:ascii="仿宋_GB2312" w:eastAsia="仿宋_GB2312" w:hint="eastAsia"/>
          <w:sz w:val="32"/>
          <w:szCs w:val="32"/>
          <w:lang w:eastAsia="zh-CN"/>
        </w:rPr>
        <w:t>接待省公安厅工作组一行</w:t>
      </w:r>
      <w:r>
        <w:rPr>
          <w:rFonts w:ascii="仿宋_GB2312" w:eastAsia="仿宋_GB2312" w:hint="eastAsia"/>
          <w:sz w:val="32"/>
          <w:szCs w:val="32"/>
          <w:lang w:val="en-US" w:eastAsia="zh-CN"/>
        </w:rPr>
        <w:t>14人，支出0.18万元；接待四川警院工作组一行6人，支出0.18万元；接待南充考察团21人，支出0.27万元；接待四川警察学院老师赴州调研，支出0.06万元；接待成都</w:t>
      </w:r>
      <w:r>
        <w:rPr>
          <w:rFonts w:ascii="仿宋_GB2312" w:eastAsia="仿宋_GB2312"/>
          <w:sz w:val="32"/>
          <w:szCs w:val="32"/>
          <w:lang w:val="en-US" w:eastAsia="zh-CN"/>
        </w:rPr>
        <w:t>市</w:t>
      </w:r>
      <w:r>
        <w:rPr>
          <w:rFonts w:ascii="仿宋_GB2312" w:eastAsia="仿宋_GB2312" w:hint="eastAsia"/>
          <w:sz w:val="32"/>
          <w:szCs w:val="32"/>
          <w:lang w:val="en-US" w:eastAsia="zh-CN"/>
        </w:rPr>
        <w:t>公安局工作组一行10人，支出0.13万元；接待果洛州公安局工作组</w:t>
      </w:r>
      <w:r>
        <w:rPr>
          <w:rFonts w:ascii="仿宋_GB2312" w:eastAsia="仿宋_GB2312"/>
          <w:sz w:val="32"/>
          <w:szCs w:val="32"/>
          <w:lang w:val="en-US" w:eastAsia="zh-CN"/>
        </w:rPr>
        <w:t>一行</w:t>
      </w:r>
      <w:r>
        <w:rPr>
          <w:rFonts w:ascii="仿宋_GB2312" w:eastAsia="仿宋_GB2312" w:hint="eastAsia"/>
          <w:sz w:val="32"/>
          <w:szCs w:val="32"/>
          <w:lang w:val="en-US" w:eastAsia="zh-CN"/>
        </w:rPr>
        <w:t>15人，支出0.2万元；接待四川警察学院一行7人，支出0.08万元；接待省厅“爱警暖警”调研人员一行5人，支出0.08万元</w:t>
      </w:r>
      <w:r>
        <w:rPr>
          <w:rFonts w:ascii="仿宋_GB2312" w:eastAsia="仿宋_GB2312" w:hint="eastAsia"/>
          <w:sz w:val="32"/>
          <w:szCs w:val="32"/>
        </w:rPr>
        <w:t>。</w:t>
      </w:r>
    </w:p>
    <w:p>
      <w:pPr>
        <w:pageBreakBefore w:val="0"/>
        <w:widowControl w:val="0"/>
        <w:kinsoku/>
        <w:wordWrap/>
        <w:overflowPunct/>
        <w:topLinePunct w:val="0"/>
        <w:bidi w:val="0"/>
        <w:snapToGrid/>
        <w:spacing w:line="576" w:lineRule="exact"/>
        <w:ind w:firstLineChars="200" w:firstLine="640"/>
        <w:textAlignment w:val="auto"/>
        <w:rPr>
          <w:rFonts w:ascii="仿宋_GB2312" w:eastAsia="仿宋_GB2312"/>
          <w:sz w:val="32"/>
          <w:szCs w:val="32"/>
        </w:rPr>
      </w:pPr>
      <w:r>
        <w:rPr>
          <w:rFonts w:ascii="仿宋" w:eastAsia="仿宋" w:hint="eastAsia"/>
          <w:b/>
          <w:sz w:val="32"/>
          <w:szCs w:val="32"/>
        </w:rPr>
        <w:t>外事接待支出</w:t>
      </w:r>
      <w:r>
        <w:rPr>
          <w:rFonts w:ascii="仿宋" w:eastAsia="仿宋"/>
          <w:b/>
          <w:sz w:val="32"/>
          <w:szCs w:val="32"/>
        </w:rPr>
        <w:t>0</w:t>
      </w:r>
      <w:r>
        <w:rPr>
          <w:rFonts w:ascii="仿宋_GB2312" w:eastAsia="仿宋_GB2312" w:hint="eastAsia"/>
          <w:sz w:val="32"/>
          <w:szCs w:val="32"/>
        </w:rPr>
        <w:t>万元，外事接待</w:t>
      </w:r>
      <w:r>
        <w:rPr>
          <w:rFonts w:ascii="仿宋_GB2312" w:eastAsia="仿宋_GB2312" w:hint="eastAsia"/>
          <w:sz w:val="32"/>
          <w:szCs w:val="32"/>
          <w:lang w:val="en-US" w:eastAsia="zh-CN"/>
        </w:rPr>
        <w:t>0</w:t>
      </w:r>
      <w:r>
        <w:rPr>
          <w:rFonts w:ascii="仿宋_GB2312" w:eastAsia="仿宋_GB2312" w:hint="eastAsia"/>
          <w:sz w:val="32"/>
          <w:szCs w:val="32"/>
        </w:rPr>
        <w:t>批次，</w:t>
      </w:r>
      <w:r>
        <w:rPr>
          <w:rFonts w:ascii="仿宋_GB2312" w:eastAsia="仿宋_GB2312" w:hint="eastAsia"/>
          <w:sz w:val="32"/>
          <w:szCs w:val="32"/>
          <w:lang w:val="en-US" w:eastAsia="zh-CN"/>
        </w:rPr>
        <w:t>0</w:t>
      </w:r>
      <w:r>
        <w:rPr>
          <w:rFonts w:ascii="仿宋_GB2312" w:eastAsia="仿宋_GB2312" w:hint="eastAsia"/>
          <w:sz w:val="32"/>
          <w:szCs w:val="32"/>
        </w:rPr>
        <w:t>人次（不包括陪同人员），共计支出</w:t>
      </w:r>
      <w:r>
        <w:rPr>
          <w:rFonts w:ascii="仿宋_GB2312" w:eastAsia="仿宋_GB2312" w:hint="eastAsia"/>
          <w:sz w:val="32"/>
          <w:szCs w:val="32"/>
          <w:lang w:val="en-US" w:eastAsia="zh-CN"/>
        </w:rPr>
        <w:t>0</w:t>
      </w:r>
      <w:r>
        <w:rPr>
          <w:rFonts w:ascii="仿宋_GB2312" w:eastAsia="仿宋_GB2312" w:hint="eastAsia"/>
          <w:sz w:val="32"/>
          <w:szCs w:val="32"/>
        </w:rPr>
        <w:t>万元。</w:t>
      </w:r>
    </w:p>
    <w:p>
      <w:pPr>
        <w:pageBreakBefore w:val="0"/>
        <w:widowControl w:val="0"/>
        <w:kinsoku/>
        <w:wordWrap/>
        <w:overflowPunct/>
        <w:topLinePunct w:val="0"/>
        <w:bidi w:val="0"/>
        <w:snapToGrid/>
        <w:spacing w:line="576" w:lineRule="exact"/>
        <w:ind w:firstLine="640"/>
        <w:textAlignment w:val="auto"/>
        <w:outlineLvl w:val="1"/>
        <w:rPr>
          <w:rStyle w:val="2Char"/>
          <w:rFonts w:ascii="黑体" w:eastAsia="黑体"/>
        </w:rPr>
      </w:pPr>
      <w:r>
        <w:rPr>
          <w:rFonts w:ascii="黑体" w:eastAsia="黑体" w:hint="eastAsia"/>
          <w:sz w:val="32"/>
          <w:szCs w:val="32"/>
        </w:rPr>
        <w:t>八、</w:t>
      </w:r>
      <w:r>
        <w:rPr>
          <w:rStyle w:val="2Char"/>
          <w:rFonts w:ascii="黑体" w:eastAsia="黑体" w:hint="eastAsia"/>
          <w:b w:val="0"/>
        </w:rPr>
        <w:t>政府性基金预算支出决算情况说明</w:t>
      </w:r>
      <w:bookmarkEnd w:id="40"/>
      <w:bookmarkEnd w:id="41"/>
    </w:p>
    <w:p>
      <w:pPr>
        <w:pageBreakBefore w:val="0"/>
        <w:widowControl w:val="0"/>
        <w:kinsoku/>
        <w:wordWrap/>
        <w:overflowPunct/>
        <w:topLinePunct w:val="0"/>
        <w:bidi w:val="0"/>
        <w:snapToGrid/>
        <w:spacing w:line="576" w:lineRule="exact"/>
        <w:ind w:firstLine="640"/>
        <w:textAlignment w:val="auto"/>
        <w:rPr>
          <w:rFonts w:ascii="仿宋_GB2312" w:eastAsia="仿宋_GB2312"/>
          <w:sz w:val="32"/>
          <w:szCs w:val="32"/>
        </w:rPr>
      </w:pPr>
      <w:r>
        <w:rPr>
          <w:rFonts w:ascii="仿宋_GB2312" w:eastAsia="仿宋_GB2312" w:hint="eastAsia"/>
          <w:sz w:val="32"/>
          <w:szCs w:val="32"/>
        </w:rPr>
        <w:t>2023年度政府性基金预算财政拨款支出</w:t>
      </w:r>
      <w:r>
        <w:rPr>
          <w:rFonts w:ascii="仿宋" w:eastAsia="仿宋"/>
          <w:b/>
          <w:sz w:val="32"/>
          <w:szCs w:val="32"/>
        </w:rPr>
        <w:t>0</w:t>
      </w:r>
      <w:r>
        <w:rPr>
          <w:rFonts w:ascii="仿宋_GB2312" w:eastAsia="仿宋_GB2312" w:hint="eastAsia"/>
          <w:sz w:val="32"/>
          <w:szCs w:val="32"/>
        </w:rPr>
        <w:t>万元。</w:t>
      </w:r>
    </w:p>
    <w:p>
      <w:pPr>
        <w:pageBreakBefore w:val="0"/>
        <w:widowControl w:val="0"/>
        <w:numPr>
          <w:ilvl w:val="0"/>
          <w:numId w:val="2"/>
        </w:numPr>
        <w:kinsoku/>
        <w:wordWrap/>
        <w:overflowPunct/>
        <w:topLinePunct w:val="0"/>
        <w:bidi w:val="0"/>
        <w:snapToGrid/>
        <w:spacing w:line="576" w:lineRule="exact"/>
        <w:ind w:left="0" w:firstLine="640"/>
        <w:textAlignment w:val="auto"/>
        <w:outlineLvl w:val="1"/>
        <w:rPr>
          <w:rStyle w:val="2Char"/>
          <w:rFonts w:ascii="黑体" w:eastAsia="黑体"/>
          <w:b w:val="0"/>
        </w:rPr>
      </w:pPr>
      <w:bookmarkStart w:id="42" w:name="_Toc15396611"/>
      <w:bookmarkStart w:id="43" w:name="_Toc15377219"/>
      <w:r>
        <w:rPr>
          <w:rStyle w:val="2Char"/>
          <w:rFonts w:ascii="黑体" w:eastAsia="黑体" w:hint="eastAsia"/>
          <w:b w:val="0"/>
        </w:rPr>
        <w:t>国有资本经营预算支出决算情况说明</w:t>
      </w:r>
      <w:bookmarkEnd w:id="42"/>
      <w:bookmarkEnd w:id="43"/>
    </w:p>
    <w:p>
      <w:pPr>
        <w:pageBreakBefore w:val="0"/>
        <w:widowControl w:val="0"/>
        <w:kinsoku/>
        <w:wordWrap/>
        <w:overflowPunct/>
        <w:topLinePunct w:val="0"/>
        <w:bidi w:val="0"/>
        <w:snapToGrid/>
        <w:spacing w:line="576" w:lineRule="exact"/>
        <w:ind w:firstLine="640"/>
        <w:textAlignment w:val="auto"/>
        <w:rPr>
          <w:rFonts w:ascii="仿宋_GB2312" w:eastAsia="仿宋_GB2312"/>
          <w:sz w:val="32"/>
          <w:szCs w:val="32"/>
        </w:rPr>
      </w:pPr>
      <w:r>
        <w:rPr>
          <w:rFonts w:ascii="仿宋_GB2312" w:eastAsia="仿宋_GB2312" w:hint="eastAsia"/>
          <w:sz w:val="32"/>
          <w:szCs w:val="32"/>
        </w:rPr>
        <w:t>2023年度国有资本经营预算财政拨款支出</w:t>
      </w:r>
      <w:r>
        <w:rPr>
          <w:rFonts w:ascii="仿宋" w:eastAsia="仿宋"/>
          <w:b/>
          <w:sz w:val="32"/>
          <w:szCs w:val="32"/>
        </w:rPr>
        <w:t>0</w:t>
      </w:r>
      <w:r>
        <w:rPr>
          <w:rFonts w:ascii="仿宋_GB2312" w:eastAsia="仿宋_GB2312" w:hint="eastAsia"/>
          <w:sz w:val="32"/>
          <w:szCs w:val="32"/>
        </w:rPr>
        <w:t>万元。</w:t>
      </w:r>
    </w:p>
    <w:p>
      <w:pPr>
        <w:pageBreakBefore w:val="0"/>
        <w:widowControl w:val="0"/>
        <w:numPr>
          <w:ilvl w:val="0"/>
          <w:numId w:val="2"/>
        </w:numPr>
        <w:kinsoku/>
        <w:wordWrap/>
        <w:overflowPunct/>
        <w:topLinePunct w:val="0"/>
        <w:bidi w:val="0"/>
        <w:snapToGrid/>
        <w:spacing w:line="576" w:lineRule="exact"/>
        <w:ind w:left="0" w:firstLine="640"/>
        <w:textAlignment w:val="auto"/>
        <w:outlineLvl w:val="1"/>
        <w:rPr>
          <w:rStyle w:val="2Char"/>
          <w:rFonts w:ascii="黑体" w:eastAsia="黑体"/>
          <w:b w:val="0"/>
        </w:rPr>
      </w:pPr>
      <w:bookmarkStart w:id="44" w:name="_Toc15396612"/>
      <w:bookmarkStart w:id="45" w:name="_Toc15377221"/>
      <w:r>
        <w:rPr>
          <w:rStyle w:val="2Char"/>
          <w:rFonts w:ascii="黑体" w:eastAsia="黑体" w:hint="eastAsia"/>
          <w:b w:val="0"/>
        </w:rPr>
        <w:t>其他重要事项的情况说明</w:t>
      </w:r>
      <w:bookmarkEnd w:id="44"/>
      <w:bookmarkEnd w:id="45"/>
    </w:p>
    <w:p>
      <w:pPr>
        <w:pStyle w:val="27"/>
        <w:ind w:firstLineChars="200" w:firstLine="640"/>
        <w:rPr>
          <w:rFonts w:ascii="楷体" w:eastAsia="楷体" w:cs="楷体" w:hint="eastAsia"/>
          <w:b/>
          <w:bCs/>
          <w:sz w:val="32"/>
          <w:szCs w:val="32"/>
          <w:lang w:val="en-US" w:eastAsia="zh-CN"/>
        </w:rPr>
      </w:pPr>
      <w:bookmarkStart w:id="46" w:name="_Toc15377222"/>
      <w:r>
        <w:rPr>
          <w:rFonts w:ascii="楷体" w:eastAsia="楷体" w:cs="楷体" w:hint="eastAsia"/>
          <w:b/>
          <w:bCs/>
          <w:sz w:val="32"/>
          <w:szCs w:val="32"/>
          <w:lang w:val="en-US" w:eastAsia="zh-CN"/>
        </w:rPr>
        <w:t>（一）机关运行经费支出情况</w:t>
      </w:r>
      <w:bookmarkEnd w:id="46"/>
    </w:p>
    <w:p>
      <w:pPr>
        <w:pageBreakBefore w:val="0"/>
        <w:widowControl w:val="0"/>
        <w:kinsoku/>
        <w:wordWrap/>
        <w:overflowPunct/>
        <w:topLinePunct w:val="0"/>
        <w:bidi w:val="0"/>
        <w:snapToGrid/>
        <w:spacing w:line="576" w:lineRule="exact"/>
        <w:ind w:firstLineChars="200" w:firstLine="640"/>
        <w:textAlignment w:val="auto"/>
        <w:rPr>
          <w:rFonts w:ascii="仿宋_GB2312" w:eastAsia="仿宋_GB2312"/>
          <w:sz w:val="32"/>
          <w:szCs w:val="32"/>
        </w:rPr>
      </w:pPr>
      <w:r>
        <w:rPr>
          <w:rFonts w:ascii="仿宋_GB2312" w:eastAsia="仿宋_GB2312" w:hint="eastAsia"/>
          <w:sz w:val="32"/>
          <w:szCs w:val="32"/>
        </w:rPr>
        <w:t>2023年度，</w:t>
      </w:r>
      <w:r>
        <w:rPr>
          <w:rFonts w:ascii="仿宋_GB2312" w:eastAsia="仿宋_GB2312"/>
          <w:b/>
          <w:sz w:val="32"/>
          <w:szCs w:val="32"/>
        </w:rPr>
        <w:t>四川省阿坝州公安局（本级）</w:t>
      </w:r>
      <w:r>
        <w:rPr>
          <w:rFonts w:ascii="仿宋_GB2312" w:eastAsia="仿宋_GB2312" w:hint="eastAsia"/>
          <w:sz w:val="32"/>
          <w:szCs w:val="32"/>
        </w:rPr>
        <w:t>机关运行经费支出</w:t>
      </w:r>
      <w:r>
        <w:rPr>
          <w:rFonts w:ascii="仿宋" w:eastAsia="仿宋"/>
          <w:b/>
          <w:sz w:val="32"/>
          <w:szCs w:val="32"/>
        </w:rPr>
        <w:t>1</w:t>
      </w:r>
      <w:r>
        <w:rPr>
          <w:rFonts w:ascii="仿宋" w:eastAsia="仿宋" w:hint="eastAsia"/>
          <w:b/>
          <w:sz w:val="32"/>
          <w:szCs w:val="32"/>
          <w:lang w:val="en-US" w:eastAsia="zh-CN"/>
        </w:rPr>
        <w:t>,</w:t>
      </w:r>
      <w:r>
        <w:rPr>
          <w:rFonts w:ascii="仿宋" w:eastAsia="仿宋"/>
          <w:b/>
          <w:sz w:val="32"/>
          <w:szCs w:val="32"/>
        </w:rPr>
        <w:t>727.1</w:t>
      </w:r>
      <w:r>
        <w:rPr>
          <w:rFonts w:ascii="仿宋_GB2312" w:eastAsia="仿宋_GB2312" w:hint="eastAsia"/>
          <w:sz w:val="32"/>
          <w:szCs w:val="32"/>
        </w:rPr>
        <w:t>万元，比2022年度增加</w:t>
      </w:r>
      <w:r>
        <w:rPr>
          <w:rFonts w:ascii="仿宋_GB2312" w:eastAsia="仿宋_GB2312" w:hint="eastAsia"/>
          <w:sz w:val="32"/>
          <w:szCs w:val="32"/>
          <w:lang w:val="en-US" w:eastAsia="zh-CN"/>
        </w:rPr>
        <w:t>241.71</w:t>
      </w:r>
      <w:r>
        <w:rPr>
          <w:rFonts w:ascii="仿宋_GB2312" w:eastAsia="仿宋_GB2312" w:hint="eastAsia"/>
          <w:sz w:val="32"/>
          <w:szCs w:val="32"/>
        </w:rPr>
        <w:t>万元，增长</w:t>
      </w:r>
      <w:r>
        <w:rPr>
          <w:rFonts w:ascii="仿宋_GB2312" w:eastAsia="仿宋_GB2312" w:hint="eastAsia"/>
          <w:sz w:val="32"/>
          <w:szCs w:val="32"/>
          <w:lang w:val="en-US" w:eastAsia="zh-CN"/>
        </w:rPr>
        <w:t>16.27</w:t>
      </w:r>
      <w:r>
        <w:rPr>
          <w:rFonts w:ascii="仿宋_GB2312" w:eastAsia="仿宋_GB2312"/>
          <w:sz w:val="32"/>
          <w:szCs w:val="32"/>
        </w:rPr>
        <w:t>%</w:t>
      </w:r>
      <w:r>
        <w:rPr>
          <w:rFonts w:ascii="仿宋_GB2312" w:eastAsia="仿宋_GB2312" w:hint="eastAsia"/>
          <w:sz w:val="32"/>
          <w:szCs w:val="32"/>
        </w:rPr>
        <w:t>。主要原因是</w:t>
      </w:r>
      <w:r>
        <w:rPr>
          <w:rFonts w:ascii="仿宋_GB2312" w:eastAsia="仿宋_GB2312" w:hint="eastAsia"/>
          <w:sz w:val="32"/>
          <w:szCs w:val="32"/>
          <w:lang w:val="en-US" w:eastAsia="zh-CN"/>
        </w:rPr>
        <w:t>:2023年成都大运会、阿坝州成立70周年安保以及3月、7月敏感节点维稳等重点工作，导致公务用车运行维护、备装购置、专用材料等费用增多；同时勤务较多，导致办公费、水费、电费等费用增多</w:t>
      </w:r>
      <w:r>
        <w:rPr>
          <w:rFonts w:ascii="仿宋_GB2312" w:eastAsia="仿宋_GB2312" w:hint="eastAsia"/>
          <w:sz w:val="32"/>
          <w:szCs w:val="32"/>
        </w:rPr>
        <w:t>。</w:t>
      </w:r>
    </w:p>
    <w:p>
      <w:pPr>
        <w:pageBreakBefore w:val="0"/>
        <w:widowControl w:val="0"/>
        <w:kinsoku/>
        <w:wordWrap/>
        <w:overflowPunct/>
        <w:topLinePunct w:val="0"/>
        <w:bidi w:val="0"/>
        <w:snapToGrid/>
        <w:spacing w:line="576" w:lineRule="exact"/>
        <w:ind w:firstLineChars="200" w:firstLine="640"/>
        <w:textAlignment w:val="auto"/>
        <w:rPr>
          <w:rFonts w:ascii="仿宋" w:eastAsia="仿宋"/>
          <w:b/>
          <w:sz w:val="32"/>
          <w:szCs w:val="32"/>
        </w:rPr>
      </w:pPr>
      <w:r>
        <w:rPr>
          <w:rFonts w:ascii="仿宋" w:eastAsia="仿宋" w:hint="eastAsia"/>
          <w:b/>
          <w:sz w:val="32"/>
          <w:szCs w:val="32"/>
        </w:rPr>
        <w:t>（注：数据来源于财决附</w:t>
      </w:r>
      <w:r>
        <w:rPr>
          <w:rFonts w:ascii="仿宋" w:eastAsia="仿宋"/>
          <w:b/>
          <w:sz w:val="32"/>
          <w:szCs w:val="32"/>
        </w:rPr>
        <w:t>03</w:t>
      </w:r>
      <w:r>
        <w:rPr>
          <w:rFonts w:ascii="仿宋" w:eastAsia="仿宋" w:hint="eastAsia"/>
          <w:b/>
          <w:sz w:val="32"/>
          <w:szCs w:val="32"/>
        </w:rPr>
        <w:t>表）</w:t>
      </w:r>
    </w:p>
    <w:p>
      <w:pPr>
        <w:pStyle w:val="27"/>
        <w:ind w:firstLineChars="200" w:firstLine="640"/>
        <w:rPr>
          <w:rFonts w:ascii="楷体" w:eastAsia="楷体" w:cs="楷体" w:hint="eastAsia"/>
          <w:b/>
          <w:bCs/>
          <w:sz w:val="32"/>
          <w:szCs w:val="32"/>
          <w:lang w:val="en-US" w:eastAsia="zh-CN"/>
        </w:rPr>
      </w:pPr>
      <w:bookmarkStart w:id="47" w:name="_Toc15377223"/>
      <w:r>
        <w:rPr>
          <w:rFonts w:ascii="楷体" w:eastAsia="楷体" w:cs="楷体" w:hint="eastAsia"/>
          <w:b/>
          <w:bCs/>
          <w:sz w:val="32"/>
          <w:szCs w:val="32"/>
          <w:lang w:val="en-US" w:eastAsia="zh-CN"/>
        </w:rPr>
        <w:t>（二）政府采购支出情况</w:t>
      </w:r>
      <w:bookmarkEnd w:id="47"/>
    </w:p>
    <w:p>
      <w:pPr>
        <w:pageBreakBefore w:val="0"/>
        <w:widowControl w:val="0"/>
        <w:kinsoku/>
        <w:wordWrap/>
        <w:overflowPunct/>
        <w:topLinePunct w:val="0"/>
        <w:bidi w:val="0"/>
        <w:snapToGrid/>
        <w:spacing w:line="576" w:lineRule="exact"/>
        <w:ind w:firstLineChars="200" w:firstLine="640"/>
        <w:textAlignment w:val="auto"/>
        <w:rPr>
          <w:rFonts w:ascii="仿宋_GB2312" w:eastAsia="仿宋_GB2312"/>
          <w:sz w:val="32"/>
          <w:szCs w:val="32"/>
        </w:rPr>
      </w:pPr>
      <w:r>
        <w:rPr>
          <w:rFonts w:ascii="仿宋_GB2312" w:eastAsia="仿宋_GB2312" w:hint="eastAsia"/>
          <w:sz w:val="32"/>
          <w:szCs w:val="32"/>
        </w:rPr>
        <w:t>2023年度，</w:t>
      </w:r>
      <w:r>
        <w:rPr>
          <w:rFonts w:ascii="仿宋_GB2312" w:eastAsia="仿宋_GB2312"/>
          <w:b/>
          <w:sz w:val="32"/>
          <w:szCs w:val="32"/>
        </w:rPr>
        <w:t>四川省阿坝州公安局（本级）</w:t>
      </w:r>
      <w:r>
        <w:rPr>
          <w:rFonts w:ascii="仿宋_GB2312" w:eastAsia="仿宋_GB2312" w:hint="eastAsia"/>
          <w:sz w:val="32"/>
          <w:szCs w:val="32"/>
        </w:rPr>
        <w:t>政府采购支出总额</w:t>
      </w:r>
      <w:r>
        <w:rPr>
          <w:rFonts w:ascii="仿宋" w:eastAsia="仿宋"/>
          <w:b/>
          <w:sz w:val="32"/>
          <w:szCs w:val="32"/>
        </w:rPr>
        <w:t>2</w:t>
      </w:r>
      <w:r>
        <w:rPr>
          <w:rFonts w:ascii="仿宋" w:eastAsia="仿宋" w:hint="eastAsia"/>
          <w:b/>
          <w:sz w:val="32"/>
          <w:szCs w:val="32"/>
          <w:lang w:val="en-US" w:eastAsia="zh-CN"/>
        </w:rPr>
        <w:t>,</w:t>
      </w:r>
      <w:r>
        <w:rPr>
          <w:rFonts w:ascii="仿宋" w:eastAsia="仿宋"/>
          <w:b/>
          <w:sz w:val="32"/>
          <w:szCs w:val="32"/>
        </w:rPr>
        <w:t>050.38</w:t>
      </w:r>
      <w:r>
        <w:rPr>
          <w:rFonts w:ascii="仿宋_GB2312" w:eastAsia="仿宋_GB2312" w:hint="eastAsia"/>
          <w:sz w:val="32"/>
          <w:szCs w:val="32"/>
        </w:rPr>
        <w:t>万元，其中：政府采购货物支出</w:t>
      </w:r>
      <w:r>
        <w:rPr>
          <w:rFonts w:ascii="仿宋" w:eastAsia="仿宋"/>
          <w:b/>
          <w:sz w:val="32"/>
          <w:szCs w:val="32"/>
        </w:rPr>
        <w:t>1</w:t>
      </w:r>
      <w:r>
        <w:rPr>
          <w:rFonts w:ascii="仿宋" w:eastAsia="仿宋" w:hint="eastAsia"/>
          <w:b/>
          <w:sz w:val="32"/>
          <w:szCs w:val="32"/>
          <w:lang w:val="en-US" w:eastAsia="zh-CN"/>
        </w:rPr>
        <w:t>,</w:t>
      </w:r>
      <w:r>
        <w:rPr>
          <w:rFonts w:ascii="仿宋" w:eastAsia="仿宋"/>
          <w:b/>
          <w:sz w:val="32"/>
          <w:szCs w:val="32"/>
        </w:rPr>
        <w:t>725.49</w:t>
      </w:r>
      <w:r>
        <w:rPr>
          <w:rFonts w:ascii="仿宋_GB2312" w:eastAsia="仿宋_GB2312" w:hint="eastAsia"/>
          <w:sz w:val="32"/>
          <w:szCs w:val="32"/>
        </w:rPr>
        <w:t>万元、政府采购工程支出</w:t>
      </w:r>
      <w:r>
        <w:rPr>
          <w:rFonts w:ascii="仿宋" w:eastAsia="仿宋"/>
          <w:b/>
          <w:sz w:val="32"/>
          <w:szCs w:val="32"/>
        </w:rPr>
        <w:t>0</w:t>
      </w:r>
      <w:r>
        <w:rPr>
          <w:rFonts w:ascii="仿宋_GB2312" w:eastAsia="仿宋_GB2312" w:hint="eastAsia"/>
          <w:sz w:val="32"/>
          <w:szCs w:val="32"/>
        </w:rPr>
        <w:t>万元、政府采购服务支出</w:t>
      </w:r>
      <w:r>
        <w:rPr>
          <w:rFonts w:ascii="仿宋" w:eastAsia="仿宋"/>
          <w:b/>
          <w:sz w:val="32"/>
          <w:szCs w:val="32"/>
        </w:rPr>
        <w:t>324.9</w:t>
      </w:r>
      <w:r>
        <w:rPr>
          <w:rFonts w:ascii="仿宋_GB2312" w:eastAsia="仿宋_GB2312" w:hint="eastAsia"/>
          <w:sz w:val="32"/>
          <w:szCs w:val="32"/>
        </w:rPr>
        <w:t>万元。主要用于</w:t>
      </w:r>
      <w:r>
        <w:rPr>
          <w:rFonts w:ascii="仿宋_GB2312" w:eastAsia="仿宋_GB2312" w:hint="eastAsia"/>
          <w:sz w:val="32"/>
          <w:szCs w:val="32"/>
          <w:lang w:val="en-US" w:eastAsia="zh-CN"/>
        </w:rPr>
        <w:t>:</w:t>
      </w:r>
      <w:r>
        <w:rPr>
          <w:rFonts w:ascii="仿宋_GB2312" w:eastAsia="仿宋_GB2312" w:hint="eastAsia"/>
          <w:sz w:val="32"/>
          <w:szCs w:val="32"/>
        </w:rPr>
        <w:t>办公设备购置、专用设备购置、信息网络及软件购置更新。授予中小企业合同金额</w:t>
      </w:r>
      <w:r>
        <w:rPr>
          <w:rFonts w:ascii="仿宋" w:eastAsia="仿宋"/>
          <w:b/>
          <w:sz w:val="32"/>
          <w:szCs w:val="32"/>
        </w:rPr>
        <w:t>2</w:t>
      </w:r>
      <w:r>
        <w:rPr>
          <w:rFonts w:ascii="仿宋" w:eastAsia="仿宋" w:hint="eastAsia"/>
          <w:b/>
          <w:sz w:val="32"/>
          <w:szCs w:val="32"/>
          <w:lang w:val="en-US" w:eastAsia="zh-CN"/>
        </w:rPr>
        <w:t>,</w:t>
      </w:r>
      <w:r>
        <w:rPr>
          <w:rFonts w:ascii="仿宋" w:eastAsia="仿宋"/>
          <w:b/>
          <w:sz w:val="32"/>
          <w:szCs w:val="32"/>
        </w:rPr>
        <w:t>031.42</w:t>
      </w:r>
      <w:r>
        <w:rPr>
          <w:rFonts w:ascii="仿宋_GB2312" w:eastAsia="仿宋_GB2312" w:hint="eastAsia"/>
          <w:sz w:val="32"/>
          <w:szCs w:val="32"/>
        </w:rPr>
        <w:t>万元，占政府采购支出总额的</w:t>
      </w:r>
      <w:r>
        <w:rPr>
          <w:rFonts w:ascii="仿宋_GB2312" w:eastAsia="仿宋_GB2312"/>
          <w:sz w:val="32"/>
          <w:szCs w:val="32"/>
        </w:rPr>
        <w:t>99%</w:t>
      </w:r>
      <w:r>
        <w:rPr>
          <w:rFonts w:ascii="仿宋_GB2312" w:eastAsia="仿宋_GB2312" w:hint="eastAsia"/>
          <w:sz w:val="32"/>
          <w:szCs w:val="32"/>
        </w:rPr>
        <w:t>，其中：授予小微企业合同金额</w:t>
      </w:r>
      <w:r>
        <w:rPr>
          <w:rFonts w:ascii="仿宋" w:eastAsia="仿宋"/>
          <w:b/>
          <w:sz w:val="32"/>
          <w:szCs w:val="32"/>
        </w:rPr>
        <w:t>1</w:t>
      </w:r>
      <w:r>
        <w:rPr>
          <w:rFonts w:ascii="仿宋" w:eastAsia="仿宋" w:hint="eastAsia"/>
          <w:b/>
          <w:sz w:val="32"/>
          <w:szCs w:val="32"/>
          <w:lang w:val="en-US" w:eastAsia="zh-CN"/>
        </w:rPr>
        <w:t>,</w:t>
      </w:r>
      <w:r>
        <w:rPr>
          <w:rFonts w:ascii="仿宋" w:eastAsia="仿宋"/>
          <w:b/>
          <w:sz w:val="32"/>
          <w:szCs w:val="32"/>
        </w:rPr>
        <w:t>226.44</w:t>
      </w:r>
      <w:r>
        <w:rPr>
          <w:rFonts w:ascii="仿宋_GB2312" w:eastAsia="仿宋_GB2312" w:hint="eastAsia"/>
          <w:sz w:val="32"/>
          <w:szCs w:val="32"/>
        </w:rPr>
        <w:t>万元，占政府采购支出总额的</w:t>
      </w:r>
      <w:r>
        <w:rPr>
          <w:rFonts w:ascii="仿宋_GB2312" w:eastAsia="仿宋_GB2312"/>
          <w:b/>
          <w:sz w:val="32"/>
          <w:szCs w:val="32"/>
        </w:rPr>
        <w:t>59.81</w:t>
      </w:r>
      <w:r>
        <w:rPr>
          <w:rFonts w:ascii="仿宋_GB2312" w:eastAsia="仿宋_GB2312"/>
          <w:sz w:val="32"/>
          <w:szCs w:val="32"/>
        </w:rPr>
        <w:t>%</w:t>
      </w:r>
      <w:r>
        <w:rPr>
          <w:rFonts w:ascii="仿宋_GB2312" w:eastAsia="仿宋_GB2312" w:hint="eastAsia"/>
          <w:sz w:val="32"/>
          <w:szCs w:val="32"/>
        </w:rPr>
        <w:t>。</w:t>
      </w:r>
    </w:p>
    <w:p>
      <w:pPr>
        <w:pageBreakBefore w:val="0"/>
        <w:widowControl w:val="0"/>
        <w:kinsoku/>
        <w:wordWrap/>
        <w:overflowPunct/>
        <w:topLinePunct w:val="0"/>
        <w:bidi w:val="0"/>
        <w:snapToGrid/>
        <w:spacing w:line="576" w:lineRule="exact"/>
        <w:ind w:firstLineChars="200" w:firstLine="640"/>
        <w:textAlignment w:val="auto"/>
        <w:rPr>
          <w:rFonts w:ascii="仿宋" w:eastAsia="仿宋"/>
          <w:b/>
          <w:sz w:val="32"/>
          <w:szCs w:val="32"/>
        </w:rPr>
      </w:pPr>
      <w:r>
        <w:rPr>
          <w:rFonts w:ascii="仿宋" w:eastAsia="仿宋" w:hint="eastAsia"/>
          <w:b/>
          <w:sz w:val="32"/>
          <w:szCs w:val="32"/>
        </w:rPr>
        <w:t>（注：数据来源于财决附</w:t>
      </w:r>
      <w:r>
        <w:rPr>
          <w:rFonts w:ascii="仿宋" w:eastAsia="仿宋"/>
          <w:b/>
          <w:sz w:val="32"/>
          <w:szCs w:val="32"/>
        </w:rPr>
        <w:t>03</w:t>
      </w:r>
      <w:r>
        <w:rPr>
          <w:rFonts w:ascii="仿宋" w:eastAsia="仿宋" w:hint="eastAsia"/>
          <w:b/>
          <w:sz w:val="32"/>
          <w:szCs w:val="32"/>
        </w:rPr>
        <w:t>表）</w:t>
      </w:r>
    </w:p>
    <w:p>
      <w:pPr>
        <w:pStyle w:val="27"/>
        <w:ind w:firstLineChars="200" w:firstLine="640"/>
        <w:rPr>
          <w:rFonts w:ascii="楷体" w:eastAsia="楷体" w:cs="楷体" w:hint="eastAsia"/>
          <w:b/>
          <w:bCs/>
          <w:sz w:val="32"/>
          <w:szCs w:val="32"/>
          <w:lang w:val="en-US" w:eastAsia="zh-CN"/>
        </w:rPr>
      </w:pPr>
      <w:bookmarkStart w:id="48" w:name="_Toc15377224"/>
      <w:r>
        <w:rPr>
          <w:rFonts w:ascii="楷体" w:eastAsia="楷体" w:cs="楷体" w:hint="eastAsia"/>
          <w:b/>
          <w:bCs/>
          <w:sz w:val="32"/>
          <w:szCs w:val="32"/>
          <w:lang w:val="en-US" w:eastAsia="zh-CN"/>
        </w:rPr>
        <w:t>（三）国有资产占有使用情况</w:t>
      </w:r>
      <w:bookmarkEnd w:id="48"/>
    </w:p>
    <w:p>
      <w:pPr>
        <w:pageBreakBefore w:val="0"/>
        <w:widowControl w:val="0"/>
        <w:kinsoku/>
        <w:wordWrap/>
        <w:overflowPunct/>
        <w:topLinePunct w:val="0"/>
        <w:autoSpaceDE w:val="0"/>
        <w:autoSpaceDN w:val="0"/>
        <w:bidi w:val="0"/>
        <w:adjustRightInd w:val="0"/>
        <w:snapToGrid/>
        <w:spacing w:line="576" w:lineRule="exact"/>
        <w:ind w:firstLineChars="200" w:firstLine="640"/>
        <w:jc w:val="left"/>
        <w:textAlignment w:val="auto"/>
        <w:rPr>
          <w:rFonts w:ascii="仿宋_GB2312" w:eastAsia="仿宋_GB2312"/>
          <w:sz w:val="32"/>
          <w:szCs w:val="32"/>
        </w:rPr>
      </w:pPr>
      <w:r>
        <w:rPr>
          <w:rFonts w:ascii="仿宋_GB2312" w:eastAsia="仿宋_GB2312" w:hint="eastAsia"/>
          <w:sz w:val="32"/>
          <w:szCs w:val="32"/>
        </w:rPr>
        <w:t>截至2023年</w:t>
      </w:r>
      <w:r>
        <w:rPr>
          <w:rFonts w:ascii="仿宋_GB2312" w:eastAsia="仿宋_GB2312"/>
          <w:sz w:val="32"/>
          <w:szCs w:val="32"/>
        </w:rPr>
        <w:t>12</w:t>
      </w:r>
      <w:r>
        <w:rPr>
          <w:rFonts w:ascii="仿宋_GB2312" w:eastAsia="仿宋_GB2312" w:hint="eastAsia"/>
          <w:sz w:val="32"/>
          <w:szCs w:val="32"/>
        </w:rPr>
        <w:t>月</w:t>
      </w:r>
      <w:r>
        <w:rPr>
          <w:rFonts w:ascii="仿宋_GB2312" w:eastAsia="仿宋_GB2312"/>
          <w:sz w:val="32"/>
          <w:szCs w:val="32"/>
        </w:rPr>
        <w:t>31</w:t>
      </w:r>
      <w:r>
        <w:rPr>
          <w:rFonts w:ascii="仿宋_GB2312" w:eastAsia="仿宋_GB2312" w:hint="eastAsia"/>
          <w:sz w:val="32"/>
          <w:szCs w:val="32"/>
        </w:rPr>
        <w:t>日，</w:t>
      </w:r>
      <w:r>
        <w:rPr>
          <w:rFonts w:ascii="仿宋_GB2312" w:eastAsia="仿宋_GB2312"/>
          <w:b/>
          <w:sz w:val="32"/>
          <w:szCs w:val="32"/>
        </w:rPr>
        <w:t>四川省阿坝州公安局（本级）</w:t>
      </w:r>
      <w:r>
        <w:rPr>
          <w:rFonts w:ascii="仿宋_GB2312" w:eastAsia="仿宋_GB2312" w:hint="eastAsia"/>
          <w:sz w:val="32"/>
          <w:szCs w:val="32"/>
        </w:rPr>
        <w:t>共有车辆</w:t>
      </w:r>
      <w:r>
        <w:rPr>
          <w:rFonts w:ascii="仿宋_GB2312" w:eastAsia="仿宋_GB2312"/>
          <w:sz w:val="32"/>
          <w:szCs w:val="32"/>
        </w:rPr>
        <w:t>**</w:t>
      </w:r>
      <w:r>
        <w:rPr>
          <w:rFonts w:ascii="仿宋_GB2312" w:eastAsia="仿宋_GB2312" w:hint="eastAsia"/>
          <w:sz w:val="32"/>
          <w:szCs w:val="32"/>
        </w:rPr>
        <w:t>辆，其中：主要领导干部用车</w:t>
      </w:r>
      <w:r>
        <w:rPr>
          <w:rFonts w:ascii="仿宋_GB2312" w:eastAsia="仿宋_GB2312"/>
          <w:sz w:val="32"/>
          <w:szCs w:val="32"/>
        </w:rPr>
        <w:t>**</w:t>
      </w:r>
      <w:r>
        <w:rPr>
          <w:rFonts w:ascii="仿宋_GB2312" w:eastAsia="仿宋_GB2312" w:hint="eastAsia"/>
          <w:sz w:val="32"/>
          <w:szCs w:val="32"/>
        </w:rPr>
        <w:t>辆、机要通信用车</w:t>
      </w:r>
      <w:r>
        <w:rPr>
          <w:rFonts w:ascii="仿宋_GB2312" w:eastAsia="仿宋_GB2312"/>
          <w:sz w:val="32"/>
          <w:szCs w:val="32"/>
        </w:rPr>
        <w:t>**</w:t>
      </w:r>
      <w:r>
        <w:rPr>
          <w:rFonts w:ascii="仿宋_GB2312" w:eastAsia="仿宋_GB2312" w:hint="eastAsia"/>
          <w:sz w:val="32"/>
          <w:szCs w:val="32"/>
        </w:rPr>
        <w:t>辆、应急保障用车</w:t>
      </w:r>
      <w:r>
        <w:rPr>
          <w:rFonts w:ascii="仿宋_GB2312" w:eastAsia="仿宋_GB2312"/>
          <w:sz w:val="32"/>
          <w:szCs w:val="32"/>
        </w:rPr>
        <w:t>**</w:t>
      </w:r>
      <w:r>
        <w:rPr>
          <w:rFonts w:ascii="仿宋_GB2312" w:eastAsia="仿宋_GB2312" w:hint="eastAsia"/>
          <w:sz w:val="32"/>
          <w:szCs w:val="32"/>
        </w:rPr>
        <w:t>辆、其他用车</w:t>
      </w:r>
      <w:r>
        <w:rPr>
          <w:rFonts w:ascii="仿宋_GB2312" w:eastAsia="仿宋_GB2312"/>
          <w:sz w:val="32"/>
          <w:szCs w:val="32"/>
        </w:rPr>
        <w:t>**</w:t>
      </w:r>
      <w:r>
        <w:rPr>
          <w:rFonts w:ascii="仿宋_GB2312" w:eastAsia="仿宋_GB2312" w:hint="eastAsia"/>
          <w:sz w:val="32"/>
          <w:szCs w:val="32"/>
        </w:rPr>
        <w:t>辆，其他用车主要</w:t>
      </w:r>
      <w:r>
        <w:rPr>
          <w:rFonts w:ascii="仿宋_GB2312" w:eastAsia="仿宋_GB2312" w:hint="eastAsia"/>
          <w:sz w:val="32"/>
          <w:szCs w:val="32"/>
          <w:lang w:val="en-US" w:eastAsia="zh-CN"/>
        </w:rPr>
        <w:t>:</w:t>
      </w:r>
      <w:r>
        <w:rPr>
          <w:rFonts w:ascii="仿宋_GB2312" w:eastAsia="仿宋_GB2312" w:hint="eastAsia"/>
          <w:sz w:val="32"/>
          <w:szCs w:val="32"/>
        </w:rPr>
        <w:t>是用于</w:t>
      </w:r>
      <w:r>
        <w:rPr>
          <w:rFonts w:ascii="仿宋_GB2312" w:eastAsia="仿宋_GB2312" w:hint="eastAsia"/>
          <w:sz w:val="32"/>
          <w:szCs w:val="32"/>
          <w:lang w:eastAsia="zh-CN"/>
        </w:rPr>
        <w:t>执法执勤用车</w:t>
      </w:r>
      <w:r>
        <w:rPr>
          <w:rFonts w:ascii="仿宋_GB2312" w:eastAsia="仿宋_GB2312" w:hint="eastAsia"/>
          <w:sz w:val="32"/>
          <w:szCs w:val="32"/>
        </w:rPr>
        <w:t>。单价</w:t>
      </w:r>
      <w:r>
        <w:rPr>
          <w:rFonts w:ascii="仿宋_GB2312" w:eastAsia="仿宋_GB2312"/>
          <w:sz w:val="32"/>
          <w:szCs w:val="32"/>
        </w:rPr>
        <w:t>100</w:t>
      </w:r>
      <w:r>
        <w:rPr>
          <w:rFonts w:ascii="仿宋_GB2312" w:eastAsia="仿宋_GB2312" w:hint="eastAsia"/>
          <w:sz w:val="32"/>
          <w:szCs w:val="32"/>
        </w:rPr>
        <w:t>万元以上设备（不含车辆）</w:t>
      </w:r>
      <w:r>
        <w:rPr>
          <w:rFonts w:ascii="仿宋_GB2312" w:eastAsia="仿宋_GB2312" w:hint="eastAsia"/>
          <w:b/>
          <w:sz w:val="32"/>
          <w:szCs w:val="32"/>
          <w:lang w:val="en-US" w:eastAsia="zh-CN"/>
        </w:rPr>
        <w:t>26</w:t>
      </w:r>
      <w:r>
        <w:rPr>
          <w:rFonts w:ascii="仿宋_GB2312" w:eastAsia="仿宋_GB2312" w:hint="eastAsia"/>
          <w:sz w:val="32"/>
          <w:szCs w:val="32"/>
        </w:rPr>
        <w:t>套。</w:t>
      </w:r>
    </w:p>
    <w:p>
      <w:pPr>
        <w:pageBreakBefore w:val="0"/>
        <w:widowControl w:val="0"/>
        <w:kinsoku/>
        <w:wordWrap/>
        <w:overflowPunct/>
        <w:topLinePunct w:val="0"/>
        <w:autoSpaceDE w:val="0"/>
        <w:autoSpaceDN w:val="0"/>
        <w:bidi w:val="0"/>
        <w:adjustRightInd w:val="0"/>
        <w:snapToGrid/>
        <w:spacing w:line="576" w:lineRule="exact"/>
        <w:ind w:firstLineChars="200" w:firstLine="640"/>
        <w:jc w:val="left"/>
        <w:textAlignment w:val="auto"/>
        <w:rPr>
          <w:rFonts w:ascii="仿宋" w:eastAsia="仿宋"/>
          <w:b/>
          <w:sz w:val="32"/>
          <w:szCs w:val="32"/>
        </w:rPr>
      </w:pPr>
      <w:r>
        <w:rPr>
          <w:rFonts w:ascii="仿宋" w:eastAsia="仿宋" w:hint="eastAsia"/>
          <w:b/>
          <w:sz w:val="32"/>
          <w:szCs w:val="32"/>
        </w:rPr>
        <w:t>（注：数据来源于财决附</w:t>
      </w:r>
      <w:r>
        <w:rPr>
          <w:rFonts w:ascii="仿宋" w:eastAsia="仿宋"/>
          <w:b/>
          <w:sz w:val="32"/>
          <w:szCs w:val="32"/>
        </w:rPr>
        <w:t>03</w:t>
      </w:r>
      <w:r>
        <w:rPr>
          <w:rFonts w:ascii="仿宋" w:eastAsia="仿宋" w:hint="eastAsia"/>
          <w:b/>
          <w:sz w:val="32"/>
          <w:szCs w:val="32"/>
        </w:rPr>
        <w:t>表，按单位决算报表填报数据罗列车辆情况。）</w:t>
      </w:r>
    </w:p>
    <w:p>
      <w:pPr>
        <w:pStyle w:val="27"/>
        <w:ind w:firstLineChars="200" w:firstLine="640"/>
        <w:rPr>
          <w:rFonts w:ascii="楷体" w:eastAsia="楷体" w:cs="楷体" w:hint="eastAsia"/>
          <w:b/>
          <w:bCs/>
          <w:sz w:val="32"/>
          <w:szCs w:val="32"/>
          <w:lang w:val="en-US" w:eastAsia="zh-CN"/>
        </w:rPr>
      </w:pPr>
      <w:r>
        <w:rPr>
          <w:rFonts w:ascii="楷体" w:eastAsia="楷体" w:cs="楷体" w:hint="eastAsia"/>
          <w:b/>
          <w:bCs/>
          <w:sz w:val="32"/>
          <w:szCs w:val="32"/>
          <w:lang w:val="en-US" w:eastAsia="zh-CN"/>
        </w:rPr>
        <w:t>（四）预算绩效管理情况</w:t>
      </w:r>
    </w:p>
    <w:p>
      <w:pPr>
        <w:pageBreakBefore w:val="0"/>
        <w:widowControl w:val="0"/>
        <w:kinsoku/>
        <w:wordWrap/>
        <w:overflowPunct/>
        <w:topLinePunct w:val="0"/>
        <w:bidi w:val="0"/>
        <w:snapToGrid/>
        <w:spacing w:line="576" w:lineRule="exact"/>
        <w:ind w:firstLineChars="200" w:firstLine="640"/>
        <w:textAlignment w:val="auto"/>
        <w:rPr>
          <w:rFonts w:ascii="仿宋_GB2312" w:eastAsia="仿宋_GB2312" w:hint="eastAsia"/>
          <w:sz w:val="32"/>
          <w:szCs w:val="32"/>
        </w:rPr>
      </w:pPr>
      <w:r>
        <w:rPr>
          <w:rFonts w:ascii="仿宋_GB2312" w:eastAsia="仿宋_GB2312" w:hint="eastAsia"/>
          <w:sz w:val="32"/>
          <w:szCs w:val="32"/>
        </w:rPr>
        <w:t>根据预算绩效管理要求，本单位在2023年度预算编制阶段，组织对</w:t>
      </w:r>
      <w:r>
        <w:rPr>
          <w:rFonts w:ascii="仿宋_GB2312" w:eastAsia="仿宋_GB2312" w:hint="eastAsia"/>
          <w:sz w:val="32"/>
          <w:szCs w:val="32"/>
          <w:lang w:val="en-US" w:eastAsia="zh-CN"/>
        </w:rPr>
        <w:t>车辆大修、公安局及特警房屋维修费、网络租赁及维护费</w:t>
      </w:r>
      <w:r>
        <w:rPr>
          <w:rFonts w:ascii="仿宋_GB2312" w:eastAsia="仿宋_GB2312" w:hint="eastAsia"/>
          <w:sz w:val="32"/>
          <w:szCs w:val="32"/>
        </w:rPr>
        <w:t>等</w:t>
      </w:r>
      <w:r>
        <w:rPr>
          <w:rFonts w:ascii="仿宋_GB2312" w:eastAsia="仿宋_GB2312" w:hint="eastAsia"/>
          <w:sz w:val="32"/>
          <w:szCs w:val="32"/>
          <w:lang w:val="en-US" w:eastAsia="zh-CN"/>
        </w:rPr>
        <w:t>65</w:t>
      </w:r>
      <w:r>
        <w:rPr>
          <w:rFonts w:ascii="仿宋_GB2312" w:eastAsia="仿宋_GB2312" w:hint="eastAsia"/>
          <w:sz w:val="32"/>
          <w:szCs w:val="32"/>
        </w:rPr>
        <w:t>个</w:t>
      </w:r>
      <w:r>
        <w:rPr>
          <w:rFonts w:ascii="仿宋_GB2312" w:eastAsia="仿宋_GB2312" w:hint="eastAsia"/>
          <w:sz w:val="32"/>
          <w:szCs w:val="32"/>
          <w:lang w:eastAsia="zh-CN"/>
        </w:rPr>
        <w:t>特定目标类</w:t>
      </w:r>
      <w:r>
        <w:rPr>
          <w:rFonts w:ascii="仿宋_GB2312" w:eastAsia="仿宋_GB2312" w:hint="eastAsia"/>
          <w:sz w:val="32"/>
          <w:szCs w:val="32"/>
        </w:rPr>
        <w:t>项目开展了预算事前绩效评估，对</w:t>
      </w:r>
      <w:r>
        <w:rPr>
          <w:rFonts w:ascii="仿宋_GB2312" w:eastAsia="仿宋_GB2312" w:hint="eastAsia"/>
          <w:sz w:val="32"/>
          <w:szCs w:val="32"/>
          <w:lang w:val="en-US" w:eastAsia="zh-CN"/>
        </w:rPr>
        <w:t>65</w:t>
      </w:r>
      <w:r>
        <w:rPr>
          <w:rFonts w:ascii="仿宋_GB2312" w:eastAsia="仿宋_GB2312" w:hint="eastAsia"/>
          <w:sz w:val="32"/>
          <w:szCs w:val="32"/>
        </w:rPr>
        <w:t>个</w:t>
      </w:r>
      <w:r>
        <w:rPr>
          <w:rFonts w:ascii="仿宋_GB2312" w:eastAsia="仿宋_GB2312" w:hint="eastAsia"/>
          <w:sz w:val="32"/>
          <w:szCs w:val="32"/>
          <w:lang w:eastAsia="zh-CN"/>
        </w:rPr>
        <w:t>特定目标类项目、</w:t>
      </w:r>
      <w:r>
        <w:rPr>
          <w:rFonts w:ascii="仿宋_GB2312" w:eastAsia="仿宋_GB2312" w:hint="eastAsia"/>
          <w:sz w:val="32"/>
          <w:szCs w:val="32"/>
          <w:lang w:val="en-US" w:eastAsia="zh-CN"/>
        </w:rPr>
        <w:t>15个人员经费类项目</w:t>
      </w:r>
      <w:r>
        <w:rPr>
          <w:rFonts w:ascii="仿宋_GB2312" w:eastAsia="仿宋_GB2312" w:hint="eastAsia"/>
          <w:sz w:val="32"/>
          <w:szCs w:val="32"/>
        </w:rPr>
        <w:t>编制了绩效目标，预算执行过程中，</w:t>
      </w:r>
      <w:r>
        <w:rPr>
          <w:rFonts w:ascii="仿宋_GB2312" w:eastAsia="仿宋_GB2312" w:hint="eastAsia"/>
          <w:sz w:val="32"/>
          <w:szCs w:val="32"/>
          <w:lang w:eastAsia="zh-CN"/>
        </w:rPr>
        <w:t>对</w:t>
      </w:r>
      <w:r>
        <w:rPr>
          <w:rFonts w:ascii="仿宋_GB2312" w:eastAsia="仿宋_GB2312" w:hint="eastAsia"/>
          <w:sz w:val="32"/>
          <w:szCs w:val="32"/>
          <w:lang w:val="en-US" w:eastAsia="zh-CN"/>
        </w:rPr>
        <w:t>80</w:t>
      </w:r>
      <w:r>
        <w:rPr>
          <w:rFonts w:ascii="仿宋_GB2312" w:eastAsia="仿宋_GB2312" w:hint="eastAsia"/>
          <w:sz w:val="32"/>
          <w:szCs w:val="32"/>
        </w:rPr>
        <w:t>个项目</w:t>
      </w:r>
      <w:r>
        <w:rPr>
          <w:rFonts w:ascii="仿宋_GB2312" w:eastAsia="仿宋_GB2312" w:hint="eastAsia"/>
          <w:sz w:val="32"/>
          <w:szCs w:val="32"/>
          <w:lang w:eastAsia="zh-CN"/>
        </w:rPr>
        <w:t>均</w:t>
      </w:r>
      <w:r>
        <w:rPr>
          <w:rFonts w:ascii="仿宋_GB2312" w:eastAsia="仿宋_GB2312" w:hint="eastAsia"/>
          <w:sz w:val="32"/>
          <w:szCs w:val="32"/>
        </w:rPr>
        <w:t>开展</w:t>
      </w:r>
      <w:r>
        <w:rPr>
          <w:rFonts w:ascii="仿宋_GB2312" w:eastAsia="仿宋_GB2312" w:hint="eastAsia"/>
          <w:sz w:val="32"/>
          <w:szCs w:val="32"/>
          <w:lang w:eastAsia="zh-CN"/>
        </w:rPr>
        <w:t>了</w:t>
      </w:r>
      <w:r>
        <w:rPr>
          <w:rFonts w:ascii="仿宋_GB2312" w:eastAsia="仿宋_GB2312" w:hint="eastAsia"/>
          <w:sz w:val="32"/>
          <w:szCs w:val="32"/>
        </w:rPr>
        <w:t>绩效监控，组织对</w:t>
      </w:r>
      <w:r>
        <w:rPr>
          <w:rFonts w:ascii="仿宋_GB2312" w:eastAsia="仿宋_GB2312" w:hint="eastAsia"/>
          <w:sz w:val="32"/>
          <w:szCs w:val="32"/>
          <w:lang w:val="en-US" w:eastAsia="zh-CN"/>
        </w:rPr>
        <w:t>80</w:t>
      </w:r>
      <w:r>
        <w:rPr>
          <w:rFonts w:ascii="仿宋_GB2312" w:eastAsia="仿宋_GB2312" w:hint="eastAsia"/>
          <w:sz w:val="32"/>
          <w:szCs w:val="32"/>
        </w:rPr>
        <w:t>个项目开展</w:t>
      </w:r>
      <w:r>
        <w:rPr>
          <w:rFonts w:ascii="仿宋_GB2312" w:eastAsia="仿宋_GB2312" w:hint="eastAsia"/>
          <w:sz w:val="32"/>
          <w:szCs w:val="32"/>
          <w:lang w:eastAsia="zh-CN"/>
        </w:rPr>
        <w:t>了</w:t>
      </w:r>
      <w:r>
        <w:rPr>
          <w:rFonts w:ascii="仿宋_GB2312" w:eastAsia="仿宋_GB2312" w:hint="eastAsia"/>
          <w:sz w:val="32"/>
          <w:szCs w:val="32"/>
        </w:rPr>
        <w:t>绩效自评，绩效自评表详见第四部分附件。</w:t>
      </w:r>
    </w:p>
    <w:p>
      <w:pPr>
        <w:pStyle w:val="27"/>
      </w:pPr>
    </w:p>
    <w:p>
      <w:pPr>
        <w:pageBreakBefore w:val="0"/>
        <w:widowControl w:val="0"/>
        <w:kinsoku/>
        <w:wordWrap/>
        <w:overflowPunct/>
        <w:topLinePunct w:val="0"/>
        <w:bidi w:val="0"/>
        <w:snapToGrid/>
        <w:spacing w:line="576" w:lineRule="exact"/>
        <w:ind w:firstLineChars="200" w:firstLine="640"/>
        <w:textAlignment w:val="auto"/>
        <w:rPr>
          <w:rFonts w:ascii="仿宋_GB2312" w:eastAsia="仿宋_GB2312"/>
          <w:sz w:val="32"/>
          <w:szCs w:val="32"/>
        </w:rPr>
      </w:pPr>
      <w:r>
        <w:rPr>
          <w:rFonts w:ascii="仿宋_GB2312" w:eastAsia="仿宋_GB2312" w:hint="eastAsia"/>
          <w:sz w:val="32"/>
          <w:szCs w:val="32"/>
        </w:rPr>
        <w:br w:type="page"/>
      </w:r>
    </w:p>
    <w:p>
      <w:pPr>
        <w:pageBreakBefore w:val="0"/>
        <w:widowControl w:val="0"/>
        <w:numPr>
          <w:ilvl w:val="0"/>
          <w:numId w:val="3"/>
        </w:numPr>
        <w:kinsoku/>
        <w:wordWrap/>
        <w:overflowPunct/>
        <w:topLinePunct w:val="0"/>
        <w:bidi w:val="0"/>
        <w:snapToGrid/>
        <w:spacing w:line="576" w:lineRule="exact"/>
        <w:ind w:left="0" w:firstLineChars="150" w:firstLine="660"/>
        <w:jc w:val="center"/>
        <w:textAlignment w:val="auto"/>
        <w:outlineLvl w:val="0"/>
        <w:rPr>
          <w:rStyle w:val="1Char"/>
          <w:rFonts w:ascii="黑体" w:eastAsia="黑体"/>
          <w:b w:val="0"/>
        </w:rPr>
      </w:pPr>
      <w:bookmarkStart w:id="49" w:name="_Toc15377225"/>
      <w:bookmarkStart w:id="50" w:name="_Toc15396613"/>
      <w:r>
        <w:rPr>
          <w:rFonts w:ascii="黑体" w:eastAsia="黑体" w:hint="eastAsia"/>
          <w:sz w:val="44"/>
          <w:szCs w:val="44"/>
        </w:rPr>
        <w:t>名</w:t>
      </w:r>
      <w:r>
        <w:rPr>
          <w:rStyle w:val="1Char"/>
          <w:rFonts w:ascii="黑体" w:eastAsia="黑体" w:hint="eastAsia"/>
          <w:b w:val="0"/>
        </w:rPr>
        <w:t>词解释</w:t>
      </w:r>
      <w:bookmarkEnd w:id="49"/>
      <w:bookmarkEnd w:id="50"/>
    </w:p>
    <w:p>
      <w:pPr>
        <w:pageBreakBefore w:val="0"/>
        <w:widowControl w:val="0"/>
        <w:kinsoku/>
        <w:wordWrap/>
        <w:overflowPunct/>
        <w:topLinePunct w:val="0"/>
        <w:bidi w:val="0"/>
        <w:snapToGrid/>
        <w:spacing w:line="576" w:lineRule="exact"/>
        <w:jc w:val="left"/>
        <w:textAlignment w:val="auto"/>
        <w:rPr>
          <w:rFonts w:ascii="宋体"/>
          <w:b/>
          <w:sz w:val="44"/>
          <w:szCs w:val="44"/>
        </w:rPr>
      </w:pPr>
    </w:p>
    <w:p>
      <w:pPr>
        <w:pStyle w:val="32"/>
        <w:keepNext w:val="0"/>
        <w:keepLines w:val="0"/>
        <w:pageBreakBefore w:val="0"/>
        <w:widowControl w:val="0"/>
        <w:suppressLineNumbers w:val="0"/>
        <w:kinsoku/>
        <w:wordWrap/>
        <w:overflowPunct/>
        <w:topLinePunct w:val="0"/>
        <w:autoSpaceDE w:val="0"/>
        <w:autoSpaceDN w:val="0"/>
        <w:bidi w:val="0"/>
        <w:adjustRightInd w:val="0"/>
        <w:snapToGrid/>
        <w:spacing w:line="576" w:lineRule="exact"/>
        <w:ind w:firstLineChars="200" w:firstLine="640"/>
        <w:textAlignment w:val="auto"/>
        <w:rPr>
          <w:rFonts w:ascii="仿宋_GB2312" w:eastAsia="仿宋_GB2312"/>
          <w:color w:val="auto"/>
          <w:sz w:val="32"/>
          <w:szCs w:val="32"/>
        </w:rPr>
      </w:pPr>
      <w:r>
        <w:rPr>
          <w:rFonts w:ascii="仿宋_GB2312" w:eastAsia="仿宋_GB2312"/>
          <w:color w:val="auto"/>
          <w:sz w:val="32"/>
          <w:szCs w:val="32"/>
        </w:rPr>
        <w:t>1.</w:t>
      </w:r>
      <w:r>
        <w:rPr>
          <w:rFonts w:ascii="仿宋_GB2312" w:eastAsia="仿宋_GB2312" w:hint="eastAsia"/>
          <w:color w:val="auto"/>
          <w:sz w:val="32"/>
          <w:szCs w:val="32"/>
        </w:rPr>
        <w:t>财政拨款收入：指单位从同级财政部门取得的财政预算资金。</w:t>
      </w:r>
    </w:p>
    <w:p>
      <w:pPr>
        <w:pStyle w:val="32"/>
        <w:keepNext w:val="0"/>
        <w:keepLines w:val="0"/>
        <w:pageBreakBefore w:val="0"/>
        <w:widowControl w:val="0"/>
        <w:suppressLineNumbers w:val="0"/>
        <w:kinsoku/>
        <w:wordWrap/>
        <w:overflowPunct/>
        <w:topLinePunct w:val="0"/>
        <w:autoSpaceDE w:val="0"/>
        <w:autoSpaceDN w:val="0"/>
        <w:bidi w:val="0"/>
        <w:adjustRightInd w:val="0"/>
        <w:snapToGrid/>
        <w:spacing w:line="576" w:lineRule="exact"/>
        <w:ind w:firstLineChars="200" w:firstLine="640"/>
        <w:textAlignment w:val="auto"/>
        <w:rPr>
          <w:rFonts w:ascii="仿宋_GB2312" w:eastAsia="仿宋_GB2312"/>
          <w:color w:val="auto"/>
          <w:sz w:val="32"/>
          <w:szCs w:val="32"/>
        </w:rPr>
      </w:pPr>
      <w:r>
        <w:rPr>
          <w:rFonts w:ascii="仿宋_GB2312" w:eastAsia="仿宋_GB2312"/>
          <w:color w:val="auto"/>
          <w:sz w:val="32"/>
          <w:szCs w:val="32"/>
        </w:rPr>
        <w:t>2.</w:t>
      </w:r>
      <w:r>
        <w:rPr>
          <w:rFonts w:ascii="仿宋_GB2312" w:eastAsia="仿宋_GB2312" w:hint="eastAsia"/>
          <w:color w:val="auto"/>
          <w:sz w:val="32"/>
          <w:szCs w:val="32"/>
        </w:rPr>
        <w:t>事业收入：指事业单位开展专业业务活动及辅助活动取得的收入。</w:t>
      </w:r>
    </w:p>
    <w:p>
      <w:pPr>
        <w:pStyle w:val="32"/>
        <w:keepNext w:val="0"/>
        <w:keepLines w:val="0"/>
        <w:pageBreakBefore w:val="0"/>
        <w:widowControl w:val="0"/>
        <w:suppressLineNumbers w:val="0"/>
        <w:kinsoku/>
        <w:wordWrap/>
        <w:overflowPunct/>
        <w:topLinePunct w:val="0"/>
        <w:autoSpaceDE w:val="0"/>
        <w:autoSpaceDN w:val="0"/>
        <w:bidi w:val="0"/>
        <w:adjustRightInd w:val="0"/>
        <w:snapToGrid/>
        <w:spacing w:line="576" w:lineRule="exact"/>
        <w:ind w:firstLineChars="200" w:firstLine="640"/>
        <w:textAlignment w:val="auto"/>
        <w:rPr>
          <w:rFonts w:ascii="仿宋_GB2312" w:eastAsia="仿宋_GB2312"/>
          <w:color w:val="auto"/>
          <w:sz w:val="32"/>
          <w:szCs w:val="32"/>
        </w:rPr>
      </w:pPr>
      <w:r>
        <w:rPr>
          <w:rFonts w:ascii="仿宋_GB2312" w:eastAsia="仿宋_GB2312"/>
          <w:color w:val="auto"/>
          <w:sz w:val="32"/>
          <w:szCs w:val="32"/>
        </w:rPr>
        <w:t>3.</w:t>
      </w:r>
      <w:r>
        <w:rPr>
          <w:rFonts w:ascii="仿宋_GB2312" w:eastAsia="仿宋_GB2312" w:hint="eastAsia"/>
          <w:color w:val="auto"/>
          <w:sz w:val="32"/>
          <w:szCs w:val="32"/>
        </w:rPr>
        <w:t>经营收入：指事业单位在专业业务活动及其辅助活动之外开展非独立核算经营活动取得的收入。。</w:t>
      </w:r>
    </w:p>
    <w:p>
      <w:pPr>
        <w:pStyle w:val="32"/>
        <w:keepNext w:val="0"/>
        <w:keepLines w:val="0"/>
        <w:pageBreakBefore w:val="0"/>
        <w:widowControl w:val="0"/>
        <w:suppressLineNumbers w:val="0"/>
        <w:kinsoku/>
        <w:wordWrap/>
        <w:overflowPunct/>
        <w:topLinePunct w:val="0"/>
        <w:autoSpaceDE w:val="0"/>
        <w:autoSpaceDN w:val="0"/>
        <w:bidi w:val="0"/>
        <w:adjustRightInd w:val="0"/>
        <w:snapToGrid/>
        <w:spacing w:line="576" w:lineRule="exact"/>
        <w:ind w:firstLineChars="200" w:firstLine="640"/>
        <w:textAlignment w:val="auto"/>
        <w:rPr>
          <w:rFonts w:ascii="仿宋_GB2312" w:eastAsia="仿宋_GB2312"/>
          <w:color w:val="auto"/>
          <w:sz w:val="32"/>
          <w:szCs w:val="32"/>
        </w:rPr>
      </w:pPr>
      <w:r>
        <w:rPr>
          <w:rFonts w:ascii="仿宋_GB2312" w:eastAsia="仿宋_GB2312"/>
          <w:color w:val="auto"/>
          <w:sz w:val="32"/>
          <w:szCs w:val="32"/>
        </w:rPr>
        <w:t>4.</w:t>
      </w:r>
      <w:r>
        <w:rPr>
          <w:rFonts w:ascii="仿宋_GB2312" w:eastAsia="仿宋_GB2312" w:hint="eastAsia"/>
          <w:color w:val="auto"/>
          <w:sz w:val="32"/>
          <w:szCs w:val="32"/>
        </w:rPr>
        <w:t>其他收入：指单位取得的除上述收入以外的各项收入。</w:t>
      </w:r>
      <w:r>
        <w:rPr>
          <w:rFonts w:ascii="仿宋_GB2312" w:eastAsia="仿宋_GB2312" w:hint="eastAsia"/>
          <w:color w:val="auto"/>
          <w:sz w:val="32"/>
          <w:szCs w:val="32"/>
          <w:lang w:eastAsia="zh-CN"/>
        </w:rPr>
        <w:t>本单位其他收入为</w:t>
      </w:r>
      <w:r>
        <w:rPr>
          <w:rFonts w:ascii="仿宋_GB2312" w:eastAsia="仿宋_GB2312" w:hint="eastAsia"/>
          <w:color w:val="auto"/>
          <w:sz w:val="32"/>
          <w:szCs w:val="32"/>
          <w:lang w:val="en-US" w:eastAsia="zh-CN"/>
        </w:rPr>
        <w:t>0</w:t>
      </w:r>
      <w:r>
        <w:rPr>
          <w:rFonts w:ascii="仿宋_GB2312" w:eastAsia="仿宋_GB2312" w:hint="eastAsia"/>
          <w:color w:val="auto"/>
          <w:sz w:val="32"/>
          <w:szCs w:val="32"/>
        </w:rPr>
        <w:t>。</w:t>
      </w:r>
      <w:r>
        <w:rPr>
          <w:rFonts w:ascii="仿宋_GB2312" w:eastAsia="仿宋_GB2312"/>
          <w:color w:val="auto"/>
          <w:sz w:val="32"/>
          <w:szCs w:val="32"/>
        </w:rPr>
        <w:t xml:space="preserve"> </w:t>
      </w:r>
    </w:p>
    <w:p>
      <w:pPr>
        <w:pStyle w:val="32"/>
        <w:keepNext w:val="0"/>
        <w:keepLines w:val="0"/>
        <w:pageBreakBefore w:val="0"/>
        <w:widowControl w:val="0"/>
        <w:suppressLineNumbers w:val="0"/>
        <w:kinsoku/>
        <w:wordWrap/>
        <w:overflowPunct/>
        <w:topLinePunct w:val="0"/>
        <w:autoSpaceDE w:val="0"/>
        <w:autoSpaceDN w:val="0"/>
        <w:bidi w:val="0"/>
        <w:adjustRightInd w:val="0"/>
        <w:snapToGrid/>
        <w:spacing w:line="576" w:lineRule="exact"/>
        <w:ind w:firstLineChars="200" w:firstLine="640"/>
        <w:jc w:val="both"/>
        <w:textAlignment w:val="auto"/>
        <w:rPr>
          <w:rFonts w:ascii="仿宋_GB2312" w:eastAsia="仿宋_GB2312"/>
          <w:color w:val="auto"/>
          <w:sz w:val="32"/>
          <w:szCs w:val="32"/>
        </w:rPr>
      </w:pPr>
      <w:r>
        <w:rPr>
          <w:rFonts w:ascii="仿宋_GB2312" w:eastAsia="仿宋_GB2312"/>
          <w:color w:val="auto"/>
          <w:sz w:val="32"/>
          <w:szCs w:val="32"/>
        </w:rPr>
        <w:t>5.</w:t>
      </w:r>
      <w:r>
        <w:rPr>
          <w:rFonts w:ascii="仿宋_GB2312" w:eastAsia="仿宋_GB2312" w:hint="eastAsia"/>
          <w:sz w:val="32"/>
          <w:szCs w:val="32"/>
        </w:rPr>
        <w:t>使用非财政拨款结余（含专用结余）</w:t>
      </w:r>
      <w:r>
        <w:rPr>
          <w:rFonts w:ascii="仿宋_GB2312" w:eastAsia="仿宋_GB2312" w:hint="eastAsia"/>
          <w:color w:val="auto"/>
          <w:sz w:val="32"/>
          <w:szCs w:val="32"/>
        </w:rPr>
        <w:t>：指事业单位使用以前年度积累的非财政拨款结余弥补当年收支差额的金额。</w:t>
      </w:r>
      <w:r>
        <w:rPr>
          <w:rFonts w:ascii="仿宋_GB2312" w:eastAsia="仿宋_GB2312"/>
          <w:color w:val="auto"/>
          <w:sz w:val="32"/>
          <w:szCs w:val="32"/>
        </w:rPr>
        <w:t xml:space="preserve"> </w:t>
      </w:r>
    </w:p>
    <w:p>
      <w:pPr>
        <w:pStyle w:val="32"/>
        <w:keepNext w:val="0"/>
        <w:keepLines w:val="0"/>
        <w:pageBreakBefore w:val="0"/>
        <w:widowControl w:val="0"/>
        <w:suppressLineNumbers w:val="0"/>
        <w:kinsoku/>
        <w:wordWrap/>
        <w:overflowPunct/>
        <w:topLinePunct w:val="0"/>
        <w:autoSpaceDE w:val="0"/>
        <w:autoSpaceDN w:val="0"/>
        <w:bidi w:val="0"/>
        <w:adjustRightInd w:val="0"/>
        <w:snapToGrid/>
        <w:spacing w:line="576" w:lineRule="exact"/>
        <w:ind w:firstLineChars="200" w:firstLine="640"/>
        <w:textAlignment w:val="auto"/>
        <w:rPr>
          <w:rFonts w:ascii="仿宋_GB2312" w:eastAsia="仿宋_GB2312"/>
          <w:color w:val="auto"/>
          <w:sz w:val="32"/>
          <w:szCs w:val="32"/>
        </w:rPr>
      </w:pPr>
      <w:r>
        <w:rPr>
          <w:rFonts w:ascii="仿宋_GB2312" w:eastAsia="仿宋_GB2312"/>
          <w:color w:val="auto"/>
          <w:sz w:val="32"/>
          <w:szCs w:val="32"/>
        </w:rPr>
        <w:t>6.</w:t>
      </w:r>
      <w:r>
        <w:rPr>
          <w:rFonts w:ascii="仿宋_GB2312" w:eastAsia="仿宋_GB2312" w:hint="eastAsia"/>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pPr>
        <w:pStyle w:val="32"/>
        <w:keepNext w:val="0"/>
        <w:keepLines w:val="0"/>
        <w:pageBreakBefore w:val="0"/>
        <w:widowControl w:val="0"/>
        <w:suppressLineNumbers w:val="0"/>
        <w:kinsoku/>
        <w:wordWrap/>
        <w:overflowPunct/>
        <w:topLinePunct w:val="0"/>
        <w:autoSpaceDE w:val="0"/>
        <w:autoSpaceDN w:val="0"/>
        <w:bidi w:val="0"/>
        <w:adjustRightInd w:val="0"/>
        <w:snapToGrid/>
        <w:spacing w:line="576" w:lineRule="exact"/>
        <w:ind w:firstLineChars="200" w:firstLine="640"/>
        <w:textAlignment w:val="auto"/>
        <w:rPr>
          <w:rFonts w:ascii="仿宋_GB2312" w:eastAsia="仿宋_GB2312"/>
          <w:color w:val="auto"/>
          <w:sz w:val="32"/>
          <w:szCs w:val="32"/>
        </w:rPr>
      </w:pPr>
      <w:r>
        <w:rPr>
          <w:rFonts w:ascii="仿宋_GB2312" w:eastAsia="仿宋_GB2312"/>
          <w:color w:val="auto"/>
          <w:sz w:val="32"/>
          <w:szCs w:val="32"/>
        </w:rPr>
        <w:t>7.</w:t>
      </w:r>
      <w:r>
        <w:rPr>
          <w:rFonts w:ascii="仿宋_GB2312" w:eastAsia="仿宋_GB2312" w:hint="eastAsia"/>
          <w:color w:val="auto"/>
          <w:sz w:val="32"/>
          <w:szCs w:val="32"/>
        </w:rPr>
        <w:t>结余分配：指事业单位按照会计制度规定缴纳的所得税、提取的专用结余以及转入非财政拨款结余的金额等。</w:t>
      </w:r>
    </w:p>
    <w:p>
      <w:pPr>
        <w:pStyle w:val="32"/>
        <w:keepNext w:val="0"/>
        <w:keepLines w:val="0"/>
        <w:pageBreakBefore w:val="0"/>
        <w:widowControl w:val="0"/>
        <w:suppressLineNumbers w:val="0"/>
        <w:kinsoku/>
        <w:wordWrap/>
        <w:overflowPunct/>
        <w:topLinePunct w:val="0"/>
        <w:autoSpaceDE w:val="0"/>
        <w:autoSpaceDN w:val="0"/>
        <w:bidi w:val="0"/>
        <w:adjustRightInd w:val="0"/>
        <w:snapToGrid/>
        <w:spacing w:line="576" w:lineRule="exact"/>
        <w:ind w:firstLineChars="200" w:firstLine="640"/>
        <w:textAlignment w:val="auto"/>
        <w:rPr>
          <w:rFonts w:ascii="仿宋_GB2312" w:eastAsia="仿宋_GB2312"/>
          <w:color w:val="auto"/>
          <w:sz w:val="32"/>
          <w:szCs w:val="32"/>
        </w:rPr>
      </w:pPr>
      <w:r>
        <w:rPr>
          <w:rFonts w:ascii="仿宋_GB2312" w:eastAsia="仿宋_GB2312"/>
          <w:color w:val="auto"/>
          <w:sz w:val="32"/>
          <w:szCs w:val="32"/>
        </w:rPr>
        <w:t>8</w:t>
      </w:r>
      <w:r>
        <w:rPr>
          <w:rFonts w:ascii="仿宋_GB2312" w:eastAsia="仿宋_GB2312" w:hint="eastAsia"/>
          <w:color w:val="auto"/>
          <w:sz w:val="32"/>
          <w:szCs w:val="32"/>
        </w:rPr>
        <w:t>.年末结转和结余：指单位按有关规定结转到下年或以后年度继续使用的资金。</w:t>
      </w:r>
    </w:p>
    <w:p>
      <w:pPr>
        <w:pageBreakBefore w:val="0"/>
        <w:widowControl w:val="0"/>
        <w:kinsoku/>
        <w:wordWrap/>
        <w:overflowPunct/>
        <w:topLinePunct w:val="0"/>
        <w:bidi w:val="0"/>
        <w:snapToGrid/>
        <w:spacing w:line="576" w:lineRule="exact"/>
        <w:ind w:firstLineChars="200" w:firstLine="640"/>
        <w:textAlignment w:val="auto"/>
        <w:rPr>
          <w:rFonts w:ascii="仿宋_GB2312" w:eastAsia="仿宋_GB2312" w:hint="eastAsia"/>
          <w:sz w:val="32"/>
          <w:szCs w:val="32"/>
        </w:rPr>
      </w:pPr>
      <w:r>
        <w:rPr>
          <w:rFonts w:ascii="仿宋_GB2312" w:eastAsia="仿宋_GB2312"/>
          <w:sz w:val="32"/>
          <w:szCs w:val="32"/>
        </w:rPr>
        <w:t>9.</w:t>
      </w:r>
      <w:r>
        <w:rPr>
          <w:rFonts w:ascii="仿宋_GB2312" w:eastAsia="仿宋_GB2312" w:hint="eastAsia"/>
          <w:sz w:val="32"/>
          <w:szCs w:val="32"/>
        </w:rPr>
        <w:t>公共安全支出（</w:t>
      </w:r>
      <w:r>
        <w:rPr>
          <w:rFonts w:ascii="仿宋_GB2312" w:eastAsia="仿宋_GB2312" w:hint="eastAsia"/>
          <w:sz w:val="32"/>
          <w:szCs w:val="32"/>
          <w:lang w:val="en-US" w:eastAsia="zh-CN"/>
        </w:rPr>
        <w:t>204</w:t>
      </w:r>
      <w:r>
        <w:rPr>
          <w:rFonts w:ascii="仿宋_GB2312" w:eastAsia="仿宋_GB2312" w:hint="eastAsia"/>
          <w:sz w:val="32"/>
          <w:szCs w:val="32"/>
        </w:rPr>
        <w:t>）公安（</w:t>
      </w:r>
      <w:r>
        <w:rPr>
          <w:rFonts w:ascii="仿宋_GB2312" w:eastAsia="仿宋_GB2312" w:hint="eastAsia"/>
          <w:sz w:val="32"/>
          <w:szCs w:val="32"/>
          <w:lang w:val="en-US" w:eastAsia="zh-CN"/>
        </w:rPr>
        <w:t>02</w:t>
      </w:r>
      <w:r>
        <w:rPr>
          <w:rFonts w:ascii="仿宋_GB2312" w:eastAsia="仿宋_GB2312" w:hint="eastAsia"/>
          <w:sz w:val="32"/>
          <w:szCs w:val="32"/>
        </w:rPr>
        <w:t>）行政运行（</w:t>
      </w:r>
      <w:r>
        <w:rPr>
          <w:rFonts w:ascii="仿宋_GB2312" w:eastAsia="仿宋_GB2312" w:hint="eastAsia"/>
          <w:sz w:val="32"/>
          <w:szCs w:val="32"/>
          <w:lang w:val="en-US" w:eastAsia="zh-CN"/>
        </w:rPr>
        <w:t>01</w:t>
      </w:r>
      <w:r>
        <w:rPr>
          <w:rFonts w:ascii="仿宋_GB2312" w:eastAsia="仿宋_GB2312" w:hint="eastAsia"/>
          <w:sz w:val="32"/>
          <w:szCs w:val="32"/>
        </w:rPr>
        <w:t>）：指行政单位的基本支出。</w:t>
      </w:r>
    </w:p>
    <w:p>
      <w:pPr>
        <w:pageBreakBefore w:val="0"/>
        <w:widowControl w:val="0"/>
        <w:kinsoku/>
        <w:wordWrap/>
        <w:overflowPunct/>
        <w:topLinePunct w:val="0"/>
        <w:bidi w:val="0"/>
        <w:snapToGrid/>
        <w:spacing w:line="576" w:lineRule="exact"/>
        <w:ind w:firstLineChars="200" w:firstLine="640"/>
        <w:textAlignment w:val="auto"/>
        <w:rPr>
          <w:rFonts w:ascii="仿宋_GB2312" w:eastAsia="仿宋_GB2312" w:hint="eastAsia"/>
          <w:sz w:val="32"/>
          <w:szCs w:val="32"/>
        </w:rPr>
      </w:pPr>
      <w:r>
        <w:rPr>
          <w:rFonts w:ascii="仿宋_GB2312" w:eastAsia="仿宋_GB2312"/>
          <w:sz w:val="32"/>
          <w:szCs w:val="32"/>
        </w:rPr>
        <w:t>10.</w:t>
      </w:r>
      <w:r>
        <w:rPr>
          <w:rFonts w:ascii="仿宋_GB2312" w:eastAsia="仿宋_GB2312" w:hint="eastAsia"/>
          <w:sz w:val="32"/>
          <w:szCs w:val="32"/>
        </w:rPr>
        <w:t>公共安全支出（</w:t>
      </w:r>
      <w:r>
        <w:rPr>
          <w:rFonts w:ascii="仿宋_GB2312" w:eastAsia="仿宋_GB2312" w:hint="eastAsia"/>
          <w:sz w:val="32"/>
          <w:szCs w:val="32"/>
          <w:lang w:val="en-US" w:eastAsia="zh-CN"/>
        </w:rPr>
        <w:t>204</w:t>
      </w:r>
      <w:r>
        <w:rPr>
          <w:rFonts w:ascii="仿宋_GB2312" w:eastAsia="仿宋_GB2312" w:hint="eastAsia"/>
          <w:sz w:val="32"/>
          <w:szCs w:val="32"/>
        </w:rPr>
        <w:t>）公安（</w:t>
      </w:r>
      <w:r>
        <w:rPr>
          <w:rFonts w:ascii="仿宋_GB2312" w:eastAsia="仿宋_GB2312" w:hint="eastAsia"/>
          <w:sz w:val="32"/>
          <w:szCs w:val="32"/>
          <w:lang w:val="en-US" w:eastAsia="zh-CN"/>
        </w:rPr>
        <w:t>02</w:t>
      </w:r>
      <w:r>
        <w:rPr>
          <w:rFonts w:ascii="仿宋_GB2312" w:eastAsia="仿宋_GB2312" w:hint="eastAsia"/>
          <w:sz w:val="32"/>
          <w:szCs w:val="32"/>
        </w:rPr>
        <w:t>）</w:t>
      </w:r>
      <w:r>
        <w:rPr>
          <w:rFonts w:ascii="仿宋_GB2312" w:eastAsia="仿宋_GB2312" w:hint="eastAsia"/>
          <w:sz w:val="32"/>
          <w:szCs w:val="32"/>
          <w:lang w:eastAsia="zh-CN"/>
        </w:rPr>
        <w:t>：</w:t>
      </w:r>
      <w:r>
        <w:rPr>
          <w:rFonts w:ascii="仿宋_GB2312" w:eastAsia="仿宋_GB2312" w:hint="eastAsia"/>
          <w:sz w:val="32"/>
          <w:szCs w:val="32"/>
        </w:rPr>
        <w:t>一般行政事务管理（</w:t>
      </w:r>
      <w:r>
        <w:rPr>
          <w:rFonts w:ascii="仿宋_GB2312" w:eastAsia="仿宋_GB2312" w:hint="eastAsia"/>
          <w:sz w:val="32"/>
          <w:szCs w:val="32"/>
          <w:lang w:val="en-US" w:eastAsia="zh-CN"/>
        </w:rPr>
        <w:t>02</w:t>
      </w:r>
      <w:r>
        <w:rPr>
          <w:rFonts w:ascii="仿宋_GB2312" w:eastAsia="仿宋_GB2312" w:hint="eastAsia"/>
          <w:sz w:val="32"/>
          <w:szCs w:val="32"/>
        </w:rPr>
        <w:t>）指行政单位未单独设置项级科目的其他项目支出。</w:t>
      </w:r>
    </w:p>
    <w:p>
      <w:pPr>
        <w:pageBreakBefore w:val="0"/>
        <w:widowControl w:val="0"/>
        <w:kinsoku/>
        <w:wordWrap/>
        <w:overflowPunct/>
        <w:topLinePunct w:val="0"/>
        <w:bidi w:val="0"/>
        <w:snapToGrid/>
        <w:spacing w:line="576" w:lineRule="exact"/>
        <w:ind w:firstLineChars="200" w:firstLine="640"/>
        <w:textAlignment w:val="auto"/>
        <w:rPr>
          <w:rFonts w:ascii="仿宋_GB2312" w:eastAsia="仿宋_GB2312" w:hint="eastAsia"/>
          <w:sz w:val="32"/>
          <w:szCs w:val="32"/>
        </w:rPr>
      </w:pPr>
      <w:r>
        <w:rPr>
          <w:rFonts w:ascii="仿宋_GB2312" w:eastAsia="仿宋_GB2312"/>
          <w:sz w:val="32"/>
          <w:szCs w:val="32"/>
        </w:rPr>
        <w:t>1</w:t>
      </w:r>
      <w:r>
        <w:rPr>
          <w:rFonts w:ascii="仿宋_GB2312" w:eastAsia="仿宋_GB2312" w:hint="eastAsia"/>
          <w:sz w:val="32"/>
          <w:szCs w:val="32"/>
          <w:lang w:val="en-US" w:eastAsia="zh-CN"/>
        </w:rPr>
        <w:t>1</w:t>
      </w:r>
      <w:r>
        <w:rPr>
          <w:rFonts w:ascii="仿宋_GB2312" w:eastAsia="仿宋_GB2312"/>
          <w:sz w:val="32"/>
          <w:szCs w:val="32"/>
        </w:rPr>
        <w:t>.</w:t>
      </w:r>
      <w:r>
        <w:rPr>
          <w:rFonts w:ascii="仿宋_GB2312" w:eastAsia="仿宋_GB2312" w:hint="eastAsia"/>
          <w:sz w:val="32"/>
          <w:szCs w:val="32"/>
        </w:rPr>
        <w:t>公共安全支出（</w:t>
      </w:r>
      <w:r>
        <w:rPr>
          <w:rFonts w:ascii="仿宋_GB2312" w:eastAsia="仿宋_GB2312" w:hint="eastAsia"/>
          <w:sz w:val="32"/>
          <w:szCs w:val="32"/>
          <w:lang w:val="en-US" w:eastAsia="zh-CN"/>
        </w:rPr>
        <w:t>204</w:t>
      </w:r>
      <w:r>
        <w:rPr>
          <w:rFonts w:ascii="仿宋_GB2312" w:eastAsia="仿宋_GB2312" w:hint="eastAsia"/>
          <w:sz w:val="32"/>
          <w:szCs w:val="32"/>
        </w:rPr>
        <w:t>）公安（</w:t>
      </w:r>
      <w:r>
        <w:rPr>
          <w:rFonts w:ascii="仿宋_GB2312" w:eastAsia="仿宋_GB2312" w:hint="eastAsia"/>
          <w:sz w:val="32"/>
          <w:szCs w:val="32"/>
          <w:lang w:val="en-US" w:eastAsia="zh-CN"/>
        </w:rPr>
        <w:t>02</w:t>
      </w:r>
      <w:r>
        <w:rPr>
          <w:rFonts w:ascii="仿宋_GB2312" w:eastAsia="仿宋_GB2312" w:hint="eastAsia"/>
          <w:sz w:val="32"/>
          <w:szCs w:val="32"/>
        </w:rPr>
        <w:t>）信息化建设（</w:t>
      </w:r>
      <w:r>
        <w:rPr>
          <w:rFonts w:ascii="仿宋_GB2312" w:eastAsia="仿宋_GB2312" w:hint="eastAsia"/>
          <w:sz w:val="32"/>
          <w:szCs w:val="32"/>
          <w:lang w:val="en-US" w:eastAsia="zh-CN"/>
        </w:rPr>
        <w:t>19</w:t>
      </w:r>
      <w:r>
        <w:rPr>
          <w:rFonts w:ascii="仿宋_GB2312" w:eastAsia="仿宋_GB2312" w:hint="eastAsia"/>
          <w:sz w:val="32"/>
          <w:szCs w:val="32"/>
        </w:rPr>
        <w:t>）</w:t>
      </w:r>
      <w:r>
        <w:rPr>
          <w:rFonts w:ascii="仿宋_GB2312" w:eastAsia="仿宋_GB2312" w:hint="eastAsia"/>
          <w:sz w:val="32"/>
          <w:szCs w:val="32"/>
          <w:lang w:eastAsia="zh-CN"/>
        </w:rPr>
        <w:t>：</w:t>
      </w:r>
      <w:r>
        <w:rPr>
          <w:rFonts w:ascii="仿宋_GB2312" w:eastAsia="仿宋_GB2312" w:hint="eastAsia"/>
          <w:sz w:val="32"/>
          <w:szCs w:val="32"/>
        </w:rPr>
        <w:t>指</w:t>
      </w:r>
      <w:r>
        <w:rPr>
          <w:rFonts w:ascii="仿宋_GB2312" w:eastAsia="仿宋_GB2312" w:hint="eastAsia"/>
          <w:sz w:val="32"/>
          <w:szCs w:val="32"/>
          <w:lang w:eastAsia="zh-CN"/>
        </w:rPr>
        <w:t>公安机关用于非涉密的信息网络建设和运行维护相关支出</w:t>
      </w:r>
      <w:r>
        <w:rPr>
          <w:rFonts w:ascii="仿宋_GB2312" w:eastAsia="仿宋_GB2312" w:hint="eastAsia"/>
          <w:sz w:val="32"/>
          <w:szCs w:val="32"/>
        </w:rPr>
        <w:t>。</w:t>
      </w:r>
    </w:p>
    <w:p>
      <w:pPr>
        <w:pageBreakBefore w:val="0"/>
        <w:widowControl w:val="0"/>
        <w:kinsoku/>
        <w:wordWrap/>
        <w:overflowPunct/>
        <w:topLinePunct w:val="0"/>
        <w:bidi w:val="0"/>
        <w:snapToGrid/>
        <w:spacing w:line="576" w:lineRule="exact"/>
        <w:ind w:firstLineChars="200" w:firstLine="640"/>
        <w:textAlignment w:val="auto"/>
        <w:rPr>
          <w:rFonts w:ascii="仿宋_GB2312" w:eastAsia="仿宋_GB2312" w:hint="eastAsia"/>
          <w:sz w:val="32"/>
          <w:szCs w:val="32"/>
        </w:rPr>
      </w:pPr>
      <w:r>
        <w:rPr>
          <w:rFonts w:ascii="仿宋_GB2312" w:eastAsia="仿宋_GB2312"/>
          <w:sz w:val="32"/>
          <w:szCs w:val="32"/>
        </w:rPr>
        <w:t>1</w:t>
      </w:r>
      <w:r>
        <w:rPr>
          <w:rFonts w:ascii="仿宋_GB2312" w:eastAsia="仿宋_GB2312" w:hint="eastAsia"/>
          <w:sz w:val="32"/>
          <w:szCs w:val="32"/>
          <w:lang w:val="en-US" w:eastAsia="zh-CN"/>
        </w:rPr>
        <w:t>2</w:t>
      </w:r>
      <w:r>
        <w:rPr>
          <w:rFonts w:ascii="仿宋_GB2312" w:eastAsia="仿宋_GB2312"/>
          <w:sz w:val="32"/>
          <w:szCs w:val="32"/>
        </w:rPr>
        <w:t>.</w:t>
      </w:r>
      <w:r>
        <w:rPr>
          <w:rFonts w:ascii="仿宋_GB2312" w:eastAsia="仿宋_GB2312" w:hint="eastAsia"/>
          <w:sz w:val="32"/>
          <w:szCs w:val="32"/>
        </w:rPr>
        <w:t>公共安全支出（</w:t>
      </w:r>
      <w:r>
        <w:rPr>
          <w:rFonts w:ascii="仿宋_GB2312" w:eastAsia="仿宋_GB2312" w:hint="eastAsia"/>
          <w:sz w:val="32"/>
          <w:szCs w:val="32"/>
          <w:lang w:val="en-US" w:eastAsia="zh-CN"/>
        </w:rPr>
        <w:t>204</w:t>
      </w:r>
      <w:r>
        <w:rPr>
          <w:rFonts w:ascii="仿宋_GB2312" w:eastAsia="仿宋_GB2312" w:hint="eastAsia"/>
          <w:sz w:val="32"/>
          <w:szCs w:val="32"/>
        </w:rPr>
        <w:t>）公安（</w:t>
      </w:r>
      <w:r>
        <w:rPr>
          <w:rFonts w:ascii="仿宋_GB2312" w:eastAsia="仿宋_GB2312" w:hint="eastAsia"/>
          <w:sz w:val="32"/>
          <w:szCs w:val="32"/>
          <w:lang w:val="en-US" w:eastAsia="zh-CN"/>
        </w:rPr>
        <w:t>02</w:t>
      </w:r>
      <w:r>
        <w:rPr>
          <w:rFonts w:ascii="仿宋_GB2312" w:eastAsia="仿宋_GB2312" w:hint="eastAsia"/>
          <w:sz w:val="32"/>
          <w:szCs w:val="32"/>
        </w:rPr>
        <w:t>）其他公安支出（</w:t>
      </w:r>
      <w:r>
        <w:rPr>
          <w:rFonts w:ascii="仿宋_GB2312" w:eastAsia="仿宋_GB2312" w:hint="eastAsia"/>
          <w:sz w:val="32"/>
          <w:szCs w:val="32"/>
          <w:lang w:val="en-US" w:eastAsia="zh-CN"/>
        </w:rPr>
        <w:t>99</w:t>
      </w:r>
      <w:r>
        <w:rPr>
          <w:rFonts w:ascii="仿宋_GB2312" w:eastAsia="仿宋_GB2312" w:hint="eastAsia"/>
          <w:sz w:val="32"/>
          <w:szCs w:val="32"/>
        </w:rPr>
        <w:t>）</w:t>
      </w:r>
      <w:r>
        <w:rPr>
          <w:rFonts w:ascii="仿宋_GB2312" w:eastAsia="仿宋_GB2312" w:hint="eastAsia"/>
          <w:sz w:val="32"/>
          <w:szCs w:val="32"/>
          <w:lang w:eastAsia="zh-CN"/>
        </w:rPr>
        <w:t>：</w:t>
      </w:r>
      <w:r>
        <w:rPr>
          <w:rFonts w:ascii="仿宋_GB2312" w:eastAsia="仿宋_GB2312" w:hint="eastAsia"/>
          <w:sz w:val="32"/>
          <w:szCs w:val="32"/>
        </w:rPr>
        <w:t>指</w:t>
      </w:r>
      <w:r>
        <w:rPr>
          <w:rFonts w:ascii="仿宋_GB2312" w:eastAsia="仿宋_GB2312" w:hint="eastAsia"/>
          <w:sz w:val="32"/>
          <w:szCs w:val="32"/>
          <w:lang w:eastAsia="zh-CN"/>
        </w:rPr>
        <w:t>除规定项目以外其他用于公安方面的支出</w:t>
      </w:r>
      <w:r>
        <w:rPr>
          <w:rFonts w:ascii="仿宋_GB2312" w:eastAsia="仿宋_GB2312" w:hint="eastAsia"/>
          <w:sz w:val="32"/>
          <w:szCs w:val="32"/>
        </w:rPr>
        <w:t>。</w:t>
      </w:r>
    </w:p>
    <w:p>
      <w:pPr>
        <w:pageBreakBefore w:val="0"/>
        <w:widowControl w:val="0"/>
        <w:kinsoku/>
        <w:wordWrap/>
        <w:overflowPunct/>
        <w:topLinePunct w:val="0"/>
        <w:bidi w:val="0"/>
        <w:snapToGrid/>
        <w:spacing w:line="576" w:lineRule="exact"/>
        <w:ind w:firstLineChars="200" w:firstLine="640"/>
        <w:textAlignment w:val="auto"/>
        <w:rPr>
          <w:rFonts w:ascii="仿宋_GB2312" w:eastAsia="仿宋_GB2312" w:hint="eastAsia"/>
          <w:sz w:val="32"/>
          <w:szCs w:val="32"/>
          <w:lang w:eastAsia="zh-CN"/>
        </w:rPr>
      </w:pPr>
      <w:r>
        <w:rPr>
          <w:rFonts w:ascii="仿宋_GB2312" w:eastAsia="仿宋_GB2312"/>
          <w:sz w:val="32"/>
          <w:szCs w:val="32"/>
        </w:rPr>
        <w:t>1</w:t>
      </w:r>
      <w:r>
        <w:rPr>
          <w:rFonts w:ascii="仿宋_GB2312" w:eastAsia="仿宋_GB2312" w:hint="eastAsia"/>
          <w:sz w:val="32"/>
          <w:szCs w:val="32"/>
          <w:lang w:val="en-US" w:eastAsia="zh-CN"/>
        </w:rPr>
        <w:t>3</w:t>
      </w:r>
      <w:r>
        <w:rPr>
          <w:rFonts w:ascii="仿宋_GB2312" w:eastAsia="仿宋_GB2312"/>
          <w:sz w:val="32"/>
          <w:szCs w:val="32"/>
        </w:rPr>
        <w:t>.</w:t>
      </w:r>
      <w:r>
        <w:rPr>
          <w:rFonts w:ascii="仿宋_GB2312" w:eastAsia="仿宋_GB2312" w:hint="eastAsia"/>
          <w:sz w:val="32"/>
          <w:szCs w:val="32"/>
        </w:rPr>
        <w:t>公共安全支出（</w:t>
      </w:r>
      <w:r>
        <w:rPr>
          <w:rFonts w:ascii="仿宋_GB2312" w:eastAsia="仿宋_GB2312" w:hint="eastAsia"/>
          <w:sz w:val="32"/>
          <w:szCs w:val="32"/>
          <w:lang w:val="en-US" w:eastAsia="zh-CN"/>
        </w:rPr>
        <w:t>204</w:t>
      </w:r>
      <w:r>
        <w:rPr>
          <w:rFonts w:ascii="仿宋_GB2312" w:eastAsia="仿宋_GB2312" w:hint="eastAsia"/>
          <w:sz w:val="32"/>
          <w:szCs w:val="32"/>
        </w:rPr>
        <w:t>）其他公共安全支出（</w:t>
      </w:r>
      <w:r>
        <w:rPr>
          <w:rFonts w:ascii="仿宋_GB2312" w:eastAsia="仿宋_GB2312" w:hint="eastAsia"/>
          <w:sz w:val="32"/>
          <w:szCs w:val="32"/>
          <w:lang w:val="en-US" w:eastAsia="zh-CN"/>
        </w:rPr>
        <w:t>99</w:t>
      </w:r>
      <w:r>
        <w:rPr>
          <w:rFonts w:ascii="仿宋_GB2312" w:eastAsia="仿宋_GB2312" w:hint="eastAsia"/>
          <w:sz w:val="32"/>
          <w:szCs w:val="32"/>
        </w:rPr>
        <w:t>）其他公安支出（</w:t>
      </w:r>
      <w:r>
        <w:rPr>
          <w:rFonts w:ascii="仿宋_GB2312" w:eastAsia="仿宋_GB2312" w:hint="eastAsia"/>
          <w:sz w:val="32"/>
          <w:szCs w:val="32"/>
          <w:lang w:val="en-US" w:eastAsia="zh-CN"/>
        </w:rPr>
        <w:t>99</w:t>
      </w:r>
      <w:r>
        <w:rPr>
          <w:rFonts w:ascii="仿宋_GB2312" w:eastAsia="仿宋_GB2312" w:hint="eastAsia"/>
          <w:sz w:val="32"/>
          <w:szCs w:val="32"/>
        </w:rPr>
        <w:t>）</w:t>
      </w:r>
      <w:r>
        <w:rPr>
          <w:rFonts w:ascii="仿宋_GB2312" w:eastAsia="仿宋_GB2312" w:hint="eastAsia"/>
          <w:sz w:val="32"/>
          <w:szCs w:val="32"/>
          <w:lang w:eastAsia="zh-CN"/>
        </w:rPr>
        <w:t>：</w:t>
      </w:r>
      <w:r>
        <w:rPr>
          <w:rFonts w:ascii="仿宋_GB2312" w:eastAsia="仿宋_GB2312" w:hint="eastAsia"/>
          <w:sz w:val="32"/>
          <w:szCs w:val="32"/>
        </w:rPr>
        <w:t>指</w:t>
      </w:r>
      <w:r>
        <w:rPr>
          <w:rFonts w:ascii="仿宋_GB2312" w:eastAsia="仿宋_GB2312" w:hint="eastAsia"/>
          <w:sz w:val="32"/>
          <w:szCs w:val="32"/>
          <w:lang w:eastAsia="zh-CN"/>
        </w:rPr>
        <w:t>除规定项目以外其他用于公共安全方面的支出。</w:t>
      </w:r>
    </w:p>
    <w:p>
      <w:pPr>
        <w:pageBreakBefore w:val="0"/>
        <w:widowControl w:val="0"/>
        <w:kinsoku/>
        <w:wordWrap/>
        <w:overflowPunct/>
        <w:topLinePunct w:val="0"/>
        <w:bidi w:val="0"/>
        <w:snapToGrid/>
        <w:spacing w:line="576" w:lineRule="exact"/>
        <w:ind w:firstLineChars="200" w:firstLine="640"/>
        <w:textAlignment w:val="auto"/>
        <w:rPr>
          <w:rFonts w:ascii="仿宋_GB2312" w:eastAsia="仿宋_GB2312" w:cs="Times New Roman" w:hint="eastAsia"/>
          <w:sz w:val="32"/>
          <w:szCs w:val="32"/>
          <w:lang w:eastAsia="zh-CN"/>
        </w:rPr>
      </w:pPr>
      <w:r>
        <w:rPr>
          <w:rFonts w:ascii="仿宋_GB2312" w:eastAsia="仿宋_GB2312" w:cs="Times New Roman" w:hint="eastAsia"/>
          <w:sz w:val="32"/>
          <w:szCs w:val="32"/>
          <w:lang w:val="en-US" w:eastAsia="zh-CN"/>
        </w:rPr>
        <w:t>14.</w:t>
      </w:r>
      <w:r>
        <w:rPr>
          <w:rFonts w:ascii="仿宋_GB2312" w:eastAsia="仿宋_GB2312" w:cs="Times New Roman" w:hint="eastAsia"/>
          <w:sz w:val="32"/>
          <w:szCs w:val="32"/>
          <w:lang w:eastAsia="zh-CN"/>
        </w:rPr>
        <w:t>社会保障和就业支出（</w:t>
      </w:r>
      <w:r>
        <w:rPr>
          <w:rFonts w:ascii="仿宋_GB2312" w:eastAsia="仿宋_GB2312" w:cs="Times New Roman" w:hint="eastAsia"/>
          <w:sz w:val="32"/>
          <w:szCs w:val="32"/>
          <w:lang w:val="en-US" w:eastAsia="zh-CN"/>
        </w:rPr>
        <w:t>208</w:t>
      </w:r>
      <w:r>
        <w:rPr>
          <w:rFonts w:ascii="仿宋_GB2312" w:eastAsia="仿宋_GB2312" w:cs="Times New Roman" w:hint="eastAsia"/>
          <w:sz w:val="32"/>
          <w:szCs w:val="32"/>
          <w:lang w:eastAsia="zh-CN"/>
        </w:rPr>
        <w:t>）行政事业单位养老支出（</w:t>
      </w:r>
      <w:r>
        <w:rPr>
          <w:rFonts w:ascii="仿宋_GB2312" w:eastAsia="仿宋_GB2312" w:cs="Times New Roman" w:hint="eastAsia"/>
          <w:sz w:val="32"/>
          <w:szCs w:val="32"/>
          <w:lang w:val="en-US" w:eastAsia="zh-CN"/>
        </w:rPr>
        <w:t>05</w:t>
      </w:r>
      <w:r>
        <w:rPr>
          <w:rFonts w:ascii="仿宋_GB2312" w:eastAsia="仿宋_GB2312" w:cs="Times New Roman" w:hint="eastAsia"/>
          <w:sz w:val="32"/>
          <w:szCs w:val="32"/>
          <w:lang w:eastAsia="zh-CN"/>
        </w:rPr>
        <w:t>）机关事业单位基本养老保险缴费支出（</w:t>
      </w:r>
      <w:r>
        <w:rPr>
          <w:rFonts w:ascii="仿宋_GB2312" w:eastAsia="仿宋_GB2312" w:cs="Times New Roman" w:hint="eastAsia"/>
          <w:sz w:val="32"/>
          <w:szCs w:val="32"/>
          <w:lang w:val="en-US" w:eastAsia="zh-CN"/>
        </w:rPr>
        <w:t>05</w:t>
      </w:r>
      <w:r>
        <w:rPr>
          <w:rFonts w:ascii="仿宋_GB2312" w:eastAsia="仿宋_GB2312" w:cs="Times New Roman" w:hint="eastAsia"/>
          <w:sz w:val="32"/>
          <w:szCs w:val="32"/>
          <w:lang w:eastAsia="zh-CN"/>
        </w:rPr>
        <w:t>）：指机关事业单位实施养老保险制度由单位缴纳的基本养老保险支出。</w:t>
      </w:r>
    </w:p>
    <w:p>
      <w:pPr>
        <w:pageBreakBefore w:val="0"/>
        <w:widowControl w:val="0"/>
        <w:kinsoku/>
        <w:wordWrap/>
        <w:overflowPunct/>
        <w:topLinePunct w:val="0"/>
        <w:bidi w:val="0"/>
        <w:snapToGrid/>
        <w:spacing w:line="576" w:lineRule="exact"/>
        <w:ind w:firstLineChars="200" w:firstLine="640"/>
        <w:textAlignment w:val="auto"/>
        <w:rPr>
          <w:rFonts w:ascii="仿宋_GB2312" w:eastAsia="仿宋_GB2312" w:cs="Times New Roman" w:hint="eastAsia"/>
          <w:sz w:val="32"/>
          <w:szCs w:val="32"/>
          <w:lang w:eastAsia="zh-CN"/>
        </w:rPr>
      </w:pPr>
      <w:r>
        <w:rPr>
          <w:rFonts w:ascii="仿宋_GB2312" w:eastAsia="仿宋_GB2312" w:cs="Times New Roman" w:hint="eastAsia"/>
          <w:sz w:val="32"/>
          <w:szCs w:val="32"/>
          <w:lang w:eastAsia="zh-CN"/>
        </w:rPr>
        <w:t>1</w:t>
      </w:r>
      <w:r>
        <w:rPr>
          <w:rFonts w:ascii="仿宋_GB2312" w:eastAsia="仿宋_GB2312" w:cs="Times New Roman" w:hint="eastAsia"/>
          <w:sz w:val="32"/>
          <w:szCs w:val="32"/>
          <w:lang w:val="en-US" w:eastAsia="zh-CN"/>
        </w:rPr>
        <w:t>5</w:t>
      </w:r>
      <w:r>
        <w:rPr>
          <w:rFonts w:ascii="仿宋_GB2312" w:eastAsia="仿宋_GB2312" w:cs="Times New Roman" w:hint="eastAsia"/>
          <w:sz w:val="32"/>
          <w:szCs w:val="32"/>
          <w:lang w:eastAsia="zh-CN"/>
        </w:rPr>
        <w:t>.社会保障和就业支出（</w:t>
      </w:r>
      <w:r>
        <w:rPr>
          <w:rFonts w:ascii="仿宋_GB2312" w:eastAsia="仿宋_GB2312" w:cs="Times New Roman" w:hint="eastAsia"/>
          <w:sz w:val="32"/>
          <w:szCs w:val="32"/>
          <w:lang w:val="en-US" w:eastAsia="zh-CN"/>
        </w:rPr>
        <w:t>208</w:t>
      </w:r>
      <w:r>
        <w:rPr>
          <w:rFonts w:ascii="仿宋_GB2312" w:eastAsia="仿宋_GB2312" w:cs="Times New Roman" w:hint="eastAsia"/>
          <w:sz w:val="32"/>
          <w:szCs w:val="32"/>
          <w:lang w:eastAsia="zh-CN"/>
        </w:rPr>
        <w:t>）行政事业单位养老支出（</w:t>
      </w:r>
      <w:r>
        <w:rPr>
          <w:rFonts w:ascii="仿宋_GB2312" w:eastAsia="仿宋_GB2312" w:cs="Times New Roman" w:hint="eastAsia"/>
          <w:sz w:val="32"/>
          <w:szCs w:val="32"/>
          <w:lang w:val="en-US" w:eastAsia="zh-CN"/>
        </w:rPr>
        <w:t>05</w:t>
      </w:r>
      <w:r>
        <w:rPr>
          <w:rFonts w:ascii="仿宋_GB2312" w:eastAsia="仿宋_GB2312" w:cs="Times New Roman" w:hint="eastAsia"/>
          <w:sz w:val="32"/>
          <w:szCs w:val="32"/>
          <w:lang w:eastAsia="zh-CN"/>
        </w:rPr>
        <w:t>）机关事业单位职业年金缴费支出（</w:t>
      </w:r>
      <w:r>
        <w:rPr>
          <w:rFonts w:ascii="仿宋_GB2312" w:eastAsia="仿宋_GB2312" w:cs="Times New Roman" w:hint="eastAsia"/>
          <w:sz w:val="32"/>
          <w:szCs w:val="32"/>
          <w:lang w:val="en-US" w:eastAsia="zh-CN"/>
        </w:rPr>
        <w:t>06</w:t>
      </w:r>
      <w:r>
        <w:rPr>
          <w:rFonts w:ascii="仿宋_GB2312" w:eastAsia="仿宋_GB2312" w:cs="Times New Roman" w:hint="eastAsia"/>
          <w:sz w:val="32"/>
          <w:szCs w:val="32"/>
          <w:lang w:eastAsia="zh-CN"/>
        </w:rPr>
        <w:t>）：指机关事业单位实施养老保险制度由单位实际缴纳的职业年金支出。</w:t>
      </w:r>
    </w:p>
    <w:p>
      <w:pPr>
        <w:pageBreakBefore w:val="0"/>
        <w:widowControl w:val="0"/>
        <w:kinsoku/>
        <w:wordWrap/>
        <w:overflowPunct/>
        <w:topLinePunct w:val="0"/>
        <w:bidi w:val="0"/>
        <w:snapToGrid/>
        <w:spacing w:line="576" w:lineRule="exact"/>
        <w:ind w:firstLineChars="200" w:firstLine="640"/>
        <w:textAlignment w:val="auto"/>
        <w:rPr>
          <w:rFonts w:ascii="宋体" w:eastAsia="宋体" w:cs="宋体" w:hint="eastAsia"/>
          <w:color w:val="000000"/>
          <w:kern w:val="0"/>
          <w:sz w:val="28"/>
          <w:szCs w:val="28"/>
          <w:shd w:val="clear" w:color="auto" w:fill="FFFFFF"/>
        </w:rPr>
      </w:pPr>
      <w:r>
        <w:rPr>
          <w:rFonts w:ascii="仿宋_GB2312" w:eastAsia="仿宋_GB2312" w:cs="Times New Roman" w:hint="eastAsia"/>
          <w:sz w:val="32"/>
          <w:szCs w:val="32"/>
          <w:lang w:val="en-US" w:eastAsia="zh-CN"/>
        </w:rPr>
        <w:t>16.</w:t>
      </w:r>
      <w:r>
        <w:rPr>
          <w:rFonts w:ascii="仿宋_GB2312" w:eastAsia="仿宋_GB2312" w:cs="Times New Roman" w:hint="eastAsia"/>
          <w:color w:val="auto"/>
          <w:kern w:val="2"/>
          <w:sz w:val="32"/>
          <w:szCs w:val="32"/>
          <w:lang w:val="en-US" w:eastAsia="zh-CN" w:bidi="ar-SA"/>
        </w:rPr>
        <w:t>卫生健康支出（210）行政事业单位医疗（11）行政单位医疗（01）:指财政部门集中安排的行政人员基本医疗保险缴费经费，未参加医疗保险的行政单位的公费医疗经费，按国家规定享受离休人员、红军老战士待遇人员的医疗经费。</w:t>
      </w:r>
    </w:p>
    <w:p>
      <w:pPr>
        <w:pageBreakBefore w:val="0"/>
        <w:widowControl w:val="0"/>
        <w:kinsoku/>
        <w:wordWrap/>
        <w:overflowPunct/>
        <w:topLinePunct w:val="0"/>
        <w:bidi w:val="0"/>
        <w:snapToGrid/>
        <w:spacing w:line="576" w:lineRule="exact"/>
        <w:ind w:firstLineChars="200" w:firstLine="640"/>
        <w:textAlignment w:val="auto"/>
        <w:rPr>
          <w:rFonts w:ascii="仿宋_GB2312" w:eastAsia="仿宋_GB2312" w:cs="Times New Roman" w:hint="eastAsia"/>
          <w:color w:val="auto"/>
          <w:kern w:val="2"/>
          <w:sz w:val="32"/>
          <w:szCs w:val="32"/>
          <w:lang w:val="en-US" w:eastAsia="zh-CN" w:bidi="ar-SA"/>
        </w:rPr>
      </w:pPr>
      <w:r>
        <w:rPr>
          <w:rFonts w:ascii="仿宋_GB2312" w:eastAsia="仿宋_GB2312" w:cs="Times New Roman" w:hint="eastAsia"/>
          <w:color w:val="auto"/>
          <w:kern w:val="2"/>
          <w:sz w:val="32"/>
          <w:szCs w:val="32"/>
          <w:lang w:val="en-US" w:eastAsia="zh-CN" w:bidi="ar-SA"/>
        </w:rPr>
        <w:t>17.卫生健康支出（210）行政事业单位医疗（11）公务员医疗补助（03）（2101103）：指财政部门安排的公务员医疗补助经费。</w:t>
      </w:r>
    </w:p>
    <w:p>
      <w:pPr>
        <w:pageBreakBefore w:val="0"/>
        <w:widowControl w:val="0"/>
        <w:kinsoku/>
        <w:wordWrap/>
        <w:overflowPunct/>
        <w:topLinePunct w:val="0"/>
        <w:bidi w:val="0"/>
        <w:snapToGrid/>
        <w:spacing w:line="576" w:lineRule="exact"/>
        <w:ind w:firstLineChars="200" w:firstLine="640"/>
        <w:textAlignment w:val="auto"/>
        <w:rPr>
          <w:rFonts w:ascii="仿宋_GB2312" w:eastAsia="仿宋_GB2312" w:cs="Times New Roman" w:hint="eastAsia"/>
          <w:color w:val="auto"/>
          <w:kern w:val="2"/>
          <w:sz w:val="32"/>
          <w:szCs w:val="32"/>
          <w:lang w:val="en-US" w:eastAsia="zh-CN" w:bidi="ar-SA"/>
        </w:rPr>
      </w:pPr>
      <w:r>
        <w:rPr>
          <w:rFonts w:ascii="仿宋_GB2312" w:eastAsia="仿宋_GB2312" w:cs="Times New Roman" w:hint="eastAsia"/>
          <w:color w:val="auto"/>
          <w:kern w:val="2"/>
          <w:sz w:val="32"/>
          <w:szCs w:val="32"/>
          <w:lang w:val="en-US" w:eastAsia="zh-CN" w:bidi="ar-SA"/>
        </w:rPr>
        <w:t>18.住房保障支出（221）住房改革支出（02）住房公积金（01）:指行政事业单位按人力资源和社会保障部、财政部规定的基本工资和津贴补贴以及规定比例为职工缴纳的住房公积金。</w:t>
      </w:r>
    </w:p>
    <w:p>
      <w:pPr>
        <w:pageBreakBefore w:val="0"/>
        <w:widowControl w:val="0"/>
        <w:kinsoku/>
        <w:wordWrap/>
        <w:overflowPunct/>
        <w:topLinePunct w:val="0"/>
        <w:bidi w:val="0"/>
        <w:snapToGrid/>
        <w:spacing w:line="576" w:lineRule="exact"/>
        <w:ind w:firstLineChars="200" w:firstLine="640"/>
        <w:textAlignment w:val="auto"/>
        <w:rPr>
          <w:rFonts w:ascii="仿宋_GB2312" w:eastAsia="仿宋_GB2312" w:cs="Times New Roman" w:hint="eastAsia"/>
          <w:color w:val="auto"/>
          <w:kern w:val="2"/>
          <w:sz w:val="32"/>
          <w:szCs w:val="32"/>
          <w:lang w:val="en-US" w:eastAsia="zh-CN" w:bidi="ar-SA"/>
        </w:rPr>
      </w:pPr>
      <w:r>
        <w:rPr>
          <w:rFonts w:ascii="仿宋_GB2312" w:eastAsia="仿宋_GB2312" w:cs="Times New Roman" w:hint="eastAsia"/>
          <w:color w:val="auto"/>
          <w:kern w:val="2"/>
          <w:sz w:val="32"/>
          <w:szCs w:val="32"/>
          <w:lang w:val="en-US" w:eastAsia="zh-CN" w:bidi="ar-SA"/>
        </w:rPr>
        <w:t>19.住房保障支出（221）住房改革支出（02）购房补贴（03）:指按房改政策规定，行政事业单位向符合条件职工（含离退休人员）、军队（含武警）向转役复员离退休人员防的用于购买住房的补贴。</w:t>
      </w:r>
    </w:p>
    <w:p>
      <w:pPr>
        <w:pageBreakBefore w:val="0"/>
        <w:widowControl w:val="0"/>
        <w:kinsoku/>
        <w:wordWrap/>
        <w:overflowPunct/>
        <w:topLinePunct w:val="0"/>
        <w:bidi w:val="0"/>
        <w:snapToGrid/>
        <w:spacing w:line="576" w:lineRule="exact"/>
        <w:ind w:firstLineChars="200" w:firstLine="640"/>
        <w:textAlignment w:val="auto"/>
        <w:rPr>
          <w:rFonts w:ascii="仿宋_GB2312" w:eastAsia="仿宋_GB2312"/>
          <w:sz w:val="32"/>
          <w:szCs w:val="32"/>
        </w:rPr>
      </w:pPr>
      <w:r>
        <w:rPr>
          <w:rFonts w:ascii="仿宋_GB2312" w:eastAsia="仿宋_GB2312"/>
          <w:sz w:val="32"/>
          <w:szCs w:val="32"/>
        </w:rPr>
        <w:t>2</w:t>
      </w:r>
      <w:r>
        <w:rPr>
          <w:rFonts w:ascii="仿宋_GB2312" w:eastAsia="仿宋_GB2312" w:hint="eastAsia"/>
          <w:sz w:val="32"/>
          <w:szCs w:val="32"/>
          <w:lang w:val="en-US" w:eastAsia="zh-CN"/>
        </w:rPr>
        <w:t>0</w:t>
      </w:r>
      <w:r>
        <w:rPr>
          <w:rFonts w:ascii="仿宋_GB2312" w:eastAsia="仿宋_GB2312"/>
          <w:sz w:val="32"/>
          <w:szCs w:val="32"/>
        </w:rPr>
        <w:t>.</w:t>
      </w:r>
      <w:r>
        <w:rPr>
          <w:rFonts w:ascii="仿宋_GB2312" w:eastAsia="仿宋_GB2312" w:hint="eastAsia"/>
          <w:sz w:val="32"/>
          <w:szCs w:val="32"/>
        </w:rPr>
        <w:t>基本支出：指为保障机构正常运转、完成日常工作任务而发生的人员支出和公用支出。</w:t>
      </w:r>
    </w:p>
    <w:p>
      <w:pPr>
        <w:pageBreakBefore w:val="0"/>
        <w:widowControl w:val="0"/>
        <w:kinsoku/>
        <w:wordWrap/>
        <w:overflowPunct/>
        <w:topLinePunct w:val="0"/>
        <w:bidi w:val="0"/>
        <w:snapToGrid/>
        <w:spacing w:line="576" w:lineRule="exact"/>
        <w:ind w:firstLineChars="200" w:firstLine="640"/>
        <w:textAlignment w:val="auto"/>
        <w:rPr>
          <w:rFonts w:ascii="仿宋_GB2312" w:eastAsia="仿宋_GB2312"/>
          <w:sz w:val="32"/>
          <w:szCs w:val="32"/>
        </w:rPr>
      </w:pPr>
      <w:r>
        <w:rPr>
          <w:rFonts w:ascii="仿宋_GB2312" w:eastAsia="仿宋_GB2312"/>
          <w:sz w:val="32"/>
          <w:szCs w:val="32"/>
        </w:rPr>
        <w:t>2</w:t>
      </w:r>
      <w:r>
        <w:rPr>
          <w:rFonts w:ascii="仿宋_GB2312" w:eastAsia="仿宋_GB2312" w:hint="eastAsia"/>
          <w:sz w:val="32"/>
          <w:szCs w:val="32"/>
          <w:lang w:val="en-US" w:eastAsia="zh-CN"/>
        </w:rPr>
        <w:t>1</w:t>
      </w:r>
      <w:r>
        <w:rPr>
          <w:rFonts w:ascii="仿宋_GB2312" w:eastAsia="仿宋_GB2312"/>
          <w:sz w:val="32"/>
          <w:szCs w:val="32"/>
        </w:rPr>
        <w:t>.</w:t>
      </w:r>
      <w:r>
        <w:rPr>
          <w:rFonts w:ascii="仿宋_GB2312" w:eastAsia="仿宋_GB2312" w:hint="eastAsia"/>
          <w:sz w:val="32"/>
          <w:szCs w:val="32"/>
        </w:rPr>
        <w:t>项目支出：指在基本支出之外为完成特定行政任务和事业发展目标所发生的支出。</w:t>
      </w:r>
      <w:r>
        <w:rPr>
          <w:rFonts w:ascii="仿宋_GB2312" w:eastAsia="仿宋_GB2312"/>
          <w:sz w:val="32"/>
          <w:szCs w:val="32"/>
        </w:rPr>
        <w:t xml:space="preserve"> </w:t>
      </w:r>
    </w:p>
    <w:p>
      <w:pPr>
        <w:pageBreakBefore w:val="0"/>
        <w:widowControl w:val="0"/>
        <w:kinsoku/>
        <w:wordWrap/>
        <w:overflowPunct/>
        <w:topLinePunct w:val="0"/>
        <w:bidi w:val="0"/>
        <w:snapToGrid/>
        <w:spacing w:line="576" w:lineRule="exact"/>
        <w:ind w:firstLineChars="200" w:firstLine="640"/>
        <w:textAlignment w:val="auto"/>
        <w:rPr>
          <w:rFonts w:ascii="仿宋_GB2312" w:eastAsia="仿宋_GB2312" w:hint="eastAsia"/>
          <w:sz w:val="32"/>
          <w:szCs w:val="32"/>
        </w:rPr>
      </w:pPr>
      <w:r>
        <w:rPr>
          <w:rFonts w:ascii="仿宋_GB2312" w:eastAsia="仿宋_GB2312"/>
          <w:sz w:val="32"/>
          <w:szCs w:val="32"/>
        </w:rPr>
        <w:t>2</w:t>
      </w:r>
      <w:r>
        <w:rPr>
          <w:rFonts w:ascii="仿宋_GB2312" w:eastAsia="仿宋_GB2312" w:hint="eastAsia"/>
          <w:sz w:val="32"/>
          <w:szCs w:val="32"/>
          <w:lang w:val="en-US" w:eastAsia="zh-CN"/>
        </w:rPr>
        <w:t>2</w:t>
      </w:r>
      <w:r>
        <w:rPr>
          <w:rFonts w:ascii="仿宋_GB2312" w:eastAsia="仿宋_GB2312"/>
          <w:sz w:val="32"/>
          <w:szCs w:val="32"/>
        </w:rPr>
        <w:t>.</w:t>
      </w:r>
      <w:r>
        <w:rPr>
          <w:rFonts w:ascii="仿宋_GB2312" w:eastAsia="仿宋_GB2312" w:hint="eastAsia"/>
          <w:sz w:val="32"/>
          <w:szCs w:val="32"/>
        </w:rPr>
        <w:t>经营支出：指事业单位在专业业务活动及其辅助活动之外开展非独立核算经营活动发生的支出。</w:t>
      </w:r>
    </w:p>
    <w:p>
      <w:pPr>
        <w:pageBreakBefore w:val="0"/>
        <w:widowControl w:val="0"/>
        <w:kinsoku/>
        <w:wordWrap/>
        <w:overflowPunct/>
        <w:topLinePunct w:val="0"/>
        <w:bidi w:val="0"/>
        <w:snapToGrid/>
        <w:spacing w:line="576" w:lineRule="exact"/>
        <w:ind w:firstLineChars="200" w:firstLine="640"/>
        <w:textAlignment w:val="auto"/>
        <w:rPr>
          <w:rFonts w:ascii="仿宋_GB2312" w:eastAsia="仿宋_GB2312"/>
          <w:color w:val="auto"/>
          <w:sz w:val="32"/>
          <w:szCs w:val="32"/>
        </w:rPr>
      </w:pPr>
      <w:r>
        <w:rPr>
          <w:rFonts w:ascii="仿宋_GB2312" w:eastAsia="仿宋_GB2312" w:hint="eastAsia"/>
          <w:color w:val="auto"/>
          <w:sz w:val="32"/>
          <w:szCs w:val="32"/>
          <w:lang w:val="en-US" w:eastAsia="zh-CN"/>
        </w:rPr>
        <w:t>23</w:t>
      </w:r>
      <w:r>
        <w:rPr>
          <w:rFonts w:ascii="仿宋_GB2312" w:eastAsia="仿宋_GB2312"/>
          <w:color w:val="auto"/>
          <w:sz w:val="32"/>
          <w:szCs w:val="32"/>
        </w:rPr>
        <w:t>.</w:t>
      </w:r>
      <w:r>
        <w:rPr>
          <w:rFonts w:ascii="仿宋_GB2312" w:eastAsia="仿宋_GB2312" w:hint="eastAsia"/>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32"/>
        <w:keepNext w:val="0"/>
        <w:keepLines w:val="0"/>
        <w:pageBreakBefore w:val="0"/>
        <w:widowControl w:val="0"/>
        <w:suppressLineNumbers w:val="0"/>
        <w:kinsoku/>
        <w:wordWrap/>
        <w:overflowPunct/>
        <w:topLinePunct w:val="0"/>
        <w:autoSpaceDE w:val="0"/>
        <w:autoSpaceDN w:val="0"/>
        <w:bidi w:val="0"/>
        <w:adjustRightInd w:val="0"/>
        <w:snapToGrid/>
        <w:spacing w:line="576" w:lineRule="exact"/>
        <w:ind w:firstLineChars="200" w:firstLine="640"/>
        <w:textAlignment w:val="auto"/>
        <w:rPr>
          <w:rFonts w:ascii="仿宋_GB2312" w:eastAsia="仿宋_GB2312"/>
          <w:color w:val="auto"/>
          <w:sz w:val="32"/>
          <w:szCs w:val="32"/>
        </w:rPr>
      </w:pPr>
      <w:r>
        <w:rPr>
          <w:rFonts w:ascii="仿宋_GB2312" w:eastAsia="仿宋_GB2312" w:hint="eastAsia"/>
          <w:color w:val="auto"/>
          <w:sz w:val="32"/>
          <w:szCs w:val="32"/>
          <w:lang w:val="en-US" w:eastAsia="zh-CN"/>
        </w:rPr>
        <w:t>24</w:t>
      </w:r>
      <w:r>
        <w:rPr>
          <w:rFonts w:ascii="仿宋_GB2312" w:eastAsia="仿宋_GB2312"/>
          <w:color w:val="auto"/>
          <w:sz w:val="32"/>
          <w:szCs w:val="32"/>
        </w:rPr>
        <w:t>.</w:t>
      </w:r>
      <w:r>
        <w:rPr>
          <w:rFonts w:ascii="仿宋_GB2312" w:eastAsia="仿宋_GB2312" w:hint="eastAsia"/>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ageBreakBefore w:val="0"/>
        <w:widowControl w:val="0"/>
        <w:kinsoku/>
        <w:wordWrap/>
        <w:overflowPunct/>
        <w:topLinePunct w:val="0"/>
        <w:bidi w:val="0"/>
        <w:snapToGrid/>
        <w:spacing w:line="576" w:lineRule="exact"/>
        <w:jc w:val="center"/>
        <w:textAlignment w:val="auto"/>
        <w:outlineLvl w:val="0"/>
        <w:rPr>
          <w:rFonts w:ascii="黑体" w:eastAsia="黑体" w:hint="eastAsia"/>
          <w:sz w:val="44"/>
          <w:szCs w:val="44"/>
        </w:rPr>
      </w:pPr>
      <w:bookmarkStart w:id="51" w:name="_Toc15396614"/>
      <w:bookmarkStart w:id="52" w:name="_Toc15377226"/>
    </w:p>
    <w:p>
      <w:pPr>
        <w:pageBreakBefore w:val="0"/>
        <w:widowControl w:val="0"/>
        <w:kinsoku/>
        <w:wordWrap/>
        <w:overflowPunct/>
        <w:topLinePunct w:val="0"/>
        <w:bidi w:val="0"/>
        <w:snapToGrid/>
        <w:spacing w:line="576" w:lineRule="exact"/>
        <w:jc w:val="center"/>
        <w:textAlignment w:val="auto"/>
        <w:outlineLvl w:val="0"/>
        <w:rPr>
          <w:rFonts w:ascii="黑体" w:eastAsia="黑体" w:hint="eastAsia"/>
          <w:sz w:val="44"/>
          <w:szCs w:val="44"/>
        </w:rPr>
      </w:pPr>
    </w:p>
    <w:p>
      <w:pPr>
        <w:pageBreakBefore w:val="0"/>
        <w:widowControl w:val="0"/>
        <w:kinsoku/>
        <w:wordWrap/>
        <w:overflowPunct/>
        <w:topLinePunct w:val="0"/>
        <w:bidi w:val="0"/>
        <w:snapToGrid/>
        <w:spacing w:line="576" w:lineRule="exact"/>
        <w:jc w:val="center"/>
        <w:textAlignment w:val="auto"/>
        <w:outlineLvl w:val="0"/>
        <w:rPr>
          <w:rFonts w:ascii="黑体" w:eastAsia="黑体" w:hint="eastAsia"/>
          <w:sz w:val="44"/>
          <w:szCs w:val="44"/>
        </w:rPr>
      </w:pPr>
    </w:p>
    <w:p>
      <w:pPr>
        <w:pageBreakBefore w:val="0"/>
        <w:widowControl w:val="0"/>
        <w:kinsoku/>
        <w:wordWrap/>
        <w:overflowPunct/>
        <w:topLinePunct w:val="0"/>
        <w:bidi w:val="0"/>
        <w:snapToGrid/>
        <w:spacing w:line="576" w:lineRule="exact"/>
        <w:jc w:val="center"/>
        <w:textAlignment w:val="auto"/>
        <w:outlineLvl w:val="0"/>
        <w:rPr>
          <w:rFonts w:ascii="黑体" w:eastAsia="黑体" w:hint="eastAsia"/>
          <w:sz w:val="44"/>
          <w:szCs w:val="44"/>
        </w:rPr>
      </w:pPr>
    </w:p>
    <w:p>
      <w:pPr>
        <w:pageBreakBefore w:val="0"/>
        <w:widowControl w:val="0"/>
        <w:kinsoku/>
        <w:wordWrap/>
        <w:overflowPunct/>
        <w:topLinePunct w:val="0"/>
        <w:bidi w:val="0"/>
        <w:snapToGrid/>
        <w:spacing w:line="576" w:lineRule="exact"/>
        <w:jc w:val="center"/>
        <w:textAlignment w:val="auto"/>
        <w:outlineLvl w:val="0"/>
        <w:rPr>
          <w:rFonts w:ascii="黑体" w:eastAsia="黑体" w:hint="eastAsia"/>
          <w:sz w:val="44"/>
          <w:szCs w:val="44"/>
        </w:rPr>
      </w:pPr>
    </w:p>
    <w:p>
      <w:pPr>
        <w:pageBreakBefore w:val="0"/>
        <w:widowControl w:val="0"/>
        <w:kinsoku/>
        <w:wordWrap/>
        <w:overflowPunct/>
        <w:topLinePunct w:val="0"/>
        <w:bidi w:val="0"/>
        <w:snapToGrid/>
        <w:spacing w:line="576" w:lineRule="exact"/>
        <w:jc w:val="center"/>
        <w:textAlignment w:val="auto"/>
        <w:outlineLvl w:val="0"/>
        <w:rPr>
          <w:rFonts w:ascii="黑体" w:eastAsia="黑体" w:hint="eastAsia"/>
          <w:sz w:val="44"/>
          <w:szCs w:val="44"/>
        </w:rPr>
      </w:pPr>
    </w:p>
    <w:p>
      <w:pPr>
        <w:pageBreakBefore w:val="0"/>
        <w:widowControl w:val="0"/>
        <w:kinsoku/>
        <w:wordWrap/>
        <w:overflowPunct/>
        <w:topLinePunct w:val="0"/>
        <w:bidi w:val="0"/>
        <w:snapToGrid/>
        <w:spacing w:line="576" w:lineRule="exact"/>
        <w:jc w:val="center"/>
        <w:textAlignment w:val="auto"/>
        <w:outlineLvl w:val="0"/>
        <w:rPr>
          <w:rFonts w:ascii="黑体" w:eastAsia="黑体" w:hint="eastAsia"/>
          <w:sz w:val="44"/>
          <w:szCs w:val="44"/>
        </w:rPr>
      </w:pPr>
    </w:p>
    <w:p>
      <w:pPr>
        <w:pageBreakBefore w:val="0"/>
        <w:widowControl w:val="0"/>
        <w:kinsoku/>
        <w:wordWrap/>
        <w:overflowPunct/>
        <w:topLinePunct w:val="0"/>
        <w:bidi w:val="0"/>
        <w:snapToGrid/>
        <w:spacing w:line="576" w:lineRule="exact"/>
        <w:jc w:val="center"/>
        <w:textAlignment w:val="auto"/>
        <w:outlineLvl w:val="0"/>
        <w:rPr>
          <w:rFonts w:ascii="黑体" w:eastAsia="黑体" w:hint="eastAsia"/>
          <w:sz w:val="44"/>
          <w:szCs w:val="44"/>
        </w:rPr>
      </w:pPr>
    </w:p>
    <w:p>
      <w:pPr>
        <w:pageBreakBefore w:val="0"/>
        <w:widowControl w:val="0"/>
        <w:kinsoku/>
        <w:wordWrap/>
        <w:overflowPunct/>
        <w:topLinePunct w:val="0"/>
        <w:bidi w:val="0"/>
        <w:snapToGrid/>
        <w:spacing w:line="576" w:lineRule="exact"/>
        <w:jc w:val="center"/>
        <w:textAlignment w:val="auto"/>
        <w:outlineLvl w:val="0"/>
        <w:rPr>
          <w:rFonts w:ascii="黑体" w:eastAsia="黑体" w:hint="eastAsia"/>
          <w:sz w:val="44"/>
          <w:szCs w:val="44"/>
        </w:rPr>
      </w:pPr>
    </w:p>
    <w:p>
      <w:pPr>
        <w:pageBreakBefore w:val="0"/>
        <w:widowControl w:val="0"/>
        <w:kinsoku/>
        <w:wordWrap/>
        <w:overflowPunct/>
        <w:topLinePunct w:val="0"/>
        <w:bidi w:val="0"/>
        <w:snapToGrid/>
        <w:spacing w:line="576" w:lineRule="exact"/>
        <w:jc w:val="center"/>
        <w:textAlignment w:val="auto"/>
        <w:outlineLvl w:val="0"/>
        <w:rPr>
          <w:rFonts w:ascii="黑体" w:eastAsia="黑体" w:hint="eastAsia"/>
          <w:sz w:val="44"/>
          <w:szCs w:val="44"/>
        </w:rPr>
      </w:pPr>
    </w:p>
    <w:p>
      <w:pPr>
        <w:pageBreakBefore w:val="0"/>
        <w:widowControl w:val="0"/>
        <w:kinsoku/>
        <w:wordWrap/>
        <w:overflowPunct/>
        <w:topLinePunct w:val="0"/>
        <w:bidi w:val="0"/>
        <w:snapToGrid/>
        <w:spacing w:line="576" w:lineRule="exact"/>
        <w:jc w:val="center"/>
        <w:textAlignment w:val="auto"/>
        <w:outlineLvl w:val="0"/>
        <w:rPr>
          <w:rFonts w:ascii="黑体" w:eastAsia="黑体" w:hint="eastAsia"/>
          <w:sz w:val="44"/>
          <w:szCs w:val="44"/>
        </w:rPr>
      </w:pPr>
    </w:p>
    <w:p>
      <w:pPr>
        <w:pageBreakBefore w:val="0"/>
        <w:widowControl w:val="0"/>
        <w:kinsoku/>
        <w:wordWrap/>
        <w:overflowPunct/>
        <w:topLinePunct w:val="0"/>
        <w:bidi w:val="0"/>
        <w:snapToGrid/>
        <w:spacing w:line="576" w:lineRule="exact"/>
        <w:jc w:val="center"/>
        <w:textAlignment w:val="auto"/>
        <w:outlineLvl w:val="0"/>
        <w:rPr>
          <w:rFonts w:ascii="黑体" w:eastAsia="黑体" w:hint="eastAsia"/>
          <w:sz w:val="44"/>
          <w:szCs w:val="44"/>
        </w:rPr>
      </w:pPr>
    </w:p>
    <w:p>
      <w:pPr>
        <w:pageBreakBefore w:val="0"/>
        <w:widowControl w:val="0"/>
        <w:kinsoku/>
        <w:wordWrap/>
        <w:overflowPunct/>
        <w:topLinePunct w:val="0"/>
        <w:bidi w:val="0"/>
        <w:snapToGrid/>
        <w:spacing w:line="576" w:lineRule="exact"/>
        <w:jc w:val="center"/>
        <w:textAlignment w:val="auto"/>
        <w:outlineLvl w:val="0"/>
        <w:rPr>
          <w:rFonts w:ascii="黑体" w:eastAsia="黑体" w:hint="eastAsia"/>
          <w:sz w:val="44"/>
          <w:szCs w:val="44"/>
        </w:rPr>
      </w:pPr>
    </w:p>
    <w:p>
      <w:pPr>
        <w:pageBreakBefore w:val="0"/>
        <w:widowControl w:val="0"/>
        <w:kinsoku/>
        <w:wordWrap/>
        <w:overflowPunct/>
        <w:topLinePunct w:val="0"/>
        <w:bidi w:val="0"/>
        <w:snapToGrid/>
        <w:spacing w:line="576" w:lineRule="exact"/>
        <w:jc w:val="center"/>
        <w:textAlignment w:val="auto"/>
        <w:outlineLvl w:val="0"/>
        <w:rPr>
          <w:rFonts w:ascii="黑体" w:eastAsia="黑体" w:hint="eastAsia"/>
          <w:sz w:val="44"/>
          <w:szCs w:val="44"/>
        </w:rPr>
      </w:pPr>
    </w:p>
    <w:p>
      <w:pPr>
        <w:pStyle w:val="27"/>
        <w:rPr>
          <w:rFonts w:ascii="黑体" w:eastAsia="黑体" w:hint="eastAsia"/>
          <w:sz w:val="44"/>
          <w:szCs w:val="44"/>
        </w:rPr>
      </w:pPr>
    </w:p>
    <w:p>
      <w:pPr>
        <w:rPr>
          <w:rFonts w:ascii="黑体" w:eastAsia="黑体" w:hint="eastAsia"/>
          <w:sz w:val="44"/>
          <w:szCs w:val="44"/>
        </w:rPr>
      </w:pPr>
    </w:p>
    <w:p>
      <w:pPr>
        <w:pStyle w:val="27"/>
        <w:rPr>
          <w:rFonts w:ascii="黑体" w:eastAsia="黑体" w:hint="eastAsia"/>
          <w:sz w:val="44"/>
          <w:szCs w:val="44"/>
        </w:rPr>
      </w:pPr>
    </w:p>
    <w:p>
      <w:pPr>
        <w:pageBreakBefore w:val="0"/>
        <w:widowControl w:val="0"/>
        <w:numPr>
          <w:ilvl w:val="0"/>
          <w:numId w:val="3"/>
        </w:numPr>
        <w:kinsoku/>
        <w:wordWrap/>
        <w:overflowPunct/>
        <w:topLinePunct w:val="0"/>
        <w:bidi w:val="0"/>
        <w:snapToGrid/>
        <w:spacing w:line="576" w:lineRule="exact"/>
        <w:ind w:left="0" w:firstLineChars="150" w:firstLine="660"/>
        <w:jc w:val="center"/>
        <w:textAlignment w:val="auto"/>
        <w:outlineLvl w:val="0"/>
        <w:rPr>
          <w:rStyle w:val="1Char"/>
          <w:rFonts w:ascii="黑体" w:eastAsia="黑体" w:hint="eastAsia"/>
          <w:b w:val="0"/>
        </w:rPr>
      </w:pPr>
      <w:r>
        <w:rPr>
          <w:rStyle w:val="1Char"/>
          <w:rFonts w:ascii="黑体" w:eastAsia="黑体" w:hint="eastAsia"/>
          <w:b w:val="0"/>
        </w:rPr>
        <w:t>附件</w:t>
      </w:r>
      <w:bookmarkEnd w:id="51"/>
    </w:p>
    <w:p>
      <w:pPr>
        <w:pStyle w:val="27"/>
        <w:ind w:leftChars="150" w:left="315"/>
        <w:rPr>
          <w:rFonts w:hint="eastAsia"/>
          <w:sz w:val="32"/>
          <w:szCs w:val="32"/>
        </w:rPr>
      </w:pPr>
      <w:r>
        <w:rPr>
          <w:rFonts w:hint="eastAsia"/>
          <w:sz w:val="32"/>
          <w:szCs w:val="32"/>
        </w:rPr>
        <w:t>部门预算项目支出绩效自评表（2023年度）</w:t>
      </w:r>
    </w:p>
    <w:tbl>
      <w:tblPr>
        <w:tblpPr w:leftFromText="180" w:rightFromText="180" w:vertAnchor="text" w:horzAnchor="page" w:tblpX="1323" w:tblpY="463"/>
        <w:tblOverlap w:val="never"/>
        <w:tblW w:w="9915" w:type="dxa"/>
        <w:tblBorders>
          <w:top w:val="none" w:sz="0" w:space="0" w:color="auto"/>
          <w:left w:val="none" w:sz="0" w:space="0" w:color="auto"/>
          <w:bottom w:val="none" w:sz="0" w:space="0" w:color="auto"/>
          <w:right w:val="none" w:sz="0" w:space="0" w:color="auto"/>
        </w:tblBorders>
        <w:shd w:val="clear" w:color="auto" w:fill="auto"/>
        <w:tblLayout w:type="fixed"/>
        <w:tblCellMar>
          <w:top w:w="0" w:type="dxa"/>
          <w:left w:w="108" w:type="dxa"/>
          <w:bottom w:w="0" w:type="dxa"/>
          <w:right w:w="108" w:type="dxa"/>
        </w:tblCellMar>
      </w:tblPr>
      <w:tblGrid>
        <w:gridCol w:w="669"/>
        <w:gridCol w:w="1142"/>
        <w:gridCol w:w="1345"/>
        <w:gridCol w:w="1281"/>
        <w:gridCol w:w="746"/>
        <w:gridCol w:w="582"/>
        <w:gridCol w:w="756"/>
        <w:gridCol w:w="1058"/>
        <w:gridCol w:w="502"/>
        <w:gridCol w:w="487"/>
        <w:gridCol w:w="1347"/>
      </w:tblGrid>
      <w:tr>
        <w:trPr>
          <w:trHeight w:val="64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b/>
                <w:bCs/>
                <w:i w:val="0"/>
                <w:iCs w:val="0"/>
                <w:color w:val="000000"/>
                <w:sz w:val="30"/>
                <w:szCs w:val="30"/>
                <w:u w:val="none"/>
              </w:rPr>
            </w:pPr>
            <w:bookmarkStart w:id="53" w:name="_Toc15396618"/>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51320021T000000167402-公安分局业务费</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33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val="0"/>
              <w:spacing w:line="280" w:lineRule="exact"/>
              <w:jc w:val="left"/>
              <w:textAlignment w:val="center"/>
              <w:rPr>
                <w:rFonts w:ascii="宋体" w:eastAsia="宋体" w:cs="宋体"/>
                <w:i w:val="0"/>
                <w:iCs w:val="0"/>
                <w:color w:val="000000"/>
                <w:sz w:val="15"/>
                <w:szCs w:val="15"/>
                <w:u w:val="none"/>
              </w:rPr>
            </w:pPr>
            <w:r>
              <w:rPr>
                <w:rFonts w:ascii="宋体" w:eastAsia="宋体" w:cs="宋体"/>
                <w:i w:val="0"/>
                <w:iCs w:val="0"/>
                <w:color w:val="000000"/>
                <w:kern w:val="0"/>
                <w:sz w:val="13"/>
                <w:szCs w:val="13"/>
                <w:u w:val="none"/>
                <w:lang w:val="en-US" w:eastAsia="zh-CN"/>
              </w:rPr>
              <w:t xml:space="preserve">实现双江口公安分局顺利开展双江口电站建设治安管理工作，办理工程建设区域治安案件，严厉打击针对工程建设实施的犯罪活动，实现库区不发生重大涉及移民及电站建设不安定因素，确保移民安居乐业，生活有序，移民维稳安心。 实现九黄机场分局、红原机场分局顺利开展机场周边和机场站台治安、刑事案件侦办及保障分局正常的办公水电、邮电等支出。                                                                 </w:t>
              <w:br/>
              <w:t xml:space="preserve"> 实现卧龙公安分局和原森林公安局指导全州13个县（市）森林警察大队业务工作，做好全州森林资源、森林草原防火、野生动物等法律法规的宣传工作；指导全州涉林案件的办理。                                                                                                                                             实现卧龙公安分局顺利开展自然保护区野生动植物的保护工作，严厉打击针对保护动物和植物的违法犯罪活动，开展森林草原防火工作，维护保护区社会治安大局平稳。</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按照年初制定的绩效目标，保障了红原机场、九黄机场、卧龙分局等分局2023年公安业务费，辖区治安显著提升、群众满意度达95%以上，圆满完成了年初目标。</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 xml:space="preserve">实现双江口公安分局、九黄机场分局等顺利开展公安业务工作，确保移民安居乐业，生活有序，移民维稳安心。        </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80.00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77.93</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77.93</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8</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iCs/>
                <w:color w:val="000000"/>
                <w:sz w:val="18"/>
                <w:szCs w:val="18"/>
                <w:u w:val="none"/>
              </w:rPr>
            </w:pPr>
            <w:r>
              <w:rPr>
                <w:rFonts w:ascii="黑体" w:eastAsia="黑体" w:cs="黑体" w:hint="eastAsia"/>
                <w:i/>
                <w:iCs/>
                <w:color w:val="000000"/>
                <w:kern w:val="0"/>
                <w:sz w:val="18"/>
                <w:szCs w:val="18"/>
                <w:u w:val="none"/>
                <w:lang w:val="en-US" w:eastAsia="zh-CN"/>
              </w:rPr>
              <w:t>结合具体工作实际，调整年初预算金额。</w:t>
            </w: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5"/>
                <w:szCs w:val="15"/>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80.00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77.93</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77.93</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1"/>
                <w:szCs w:val="11"/>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5"/>
                <w:szCs w:val="15"/>
                <w:u w:val="none"/>
                <w:lang w:val="en-US" w:eastAsia="zh-CN"/>
              </w:rPr>
              <w:t>保障部门数量</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处</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项目完工率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98</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保障时限</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2023</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2023</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6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提升辖区治安稳定率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显著提升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辖区群众满意度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96</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1"/>
                <w:szCs w:val="11"/>
                <w:u w:val="none"/>
              </w:rPr>
            </w:pPr>
            <w:r>
              <w:rPr>
                <w:rFonts w:ascii="宋体" w:eastAsia="宋体" w:cs="宋体"/>
                <w:i w:val="0"/>
                <w:iCs w:val="0"/>
                <w:color w:val="000000"/>
                <w:kern w:val="0"/>
                <w:sz w:val="11"/>
                <w:szCs w:val="11"/>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按照年初制定的绩效目标，对各项指标进行了自评，各项指标均已完成，自评得分为98分；通过该项目的实施，有效维护社会治安大局平稳。</w:t>
            </w:r>
          </w:p>
        </w:tc>
      </w:tr>
      <w:tr>
        <w:trPr>
          <w:trHeight w:val="424"/>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1"/>
                <w:szCs w:val="11"/>
                <w:u w:val="none"/>
              </w:rPr>
            </w:pPr>
            <w:r>
              <w:rPr>
                <w:rFonts w:ascii="宋体" w:eastAsia="宋体" w:cs="宋体"/>
                <w:i w:val="0"/>
                <w:iCs w:val="0"/>
                <w:color w:val="000000"/>
                <w:kern w:val="0"/>
                <w:sz w:val="11"/>
                <w:szCs w:val="11"/>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年初预算编制不精准。</w:t>
            </w:r>
          </w:p>
        </w:tc>
      </w:tr>
      <w:tr>
        <w:trPr>
          <w:trHeight w:val="460"/>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1"/>
                <w:szCs w:val="11"/>
                <w:u w:val="none"/>
              </w:rPr>
            </w:pPr>
            <w:r>
              <w:rPr>
                <w:rFonts w:ascii="宋体" w:eastAsia="宋体" w:cs="宋体"/>
                <w:i w:val="0"/>
                <w:iCs w:val="0"/>
                <w:color w:val="000000"/>
                <w:kern w:val="0"/>
                <w:sz w:val="11"/>
                <w:szCs w:val="11"/>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强化预算编制。</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项目负责人：林兴金</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51320021T000000167693-车辆大修</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113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spacing w:after="180" w:afterAutospacing="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通过对车辆的维修，消除安全隐患，提高工作效率，促进公安工作正常高效运转。</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按照年初制定的绩效目标，维修车辆3辆、车辆维修合格率达100%，圆满完成了年初目标。</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spacing w:after="180" w:afterAutospacing="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通过对车辆的维修，消除安全隐患，提高工作效率，促进公安工作正常高效运转。</w:t>
              <w:br/>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21.00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21.00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18.96</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90.29%</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8</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黑体" w:eastAsia="黑体" w:cs="黑体" w:hint="eastAsia"/>
                <w:i/>
                <w:iCs/>
                <w:color w:val="000000"/>
                <w:sz w:val="18"/>
                <w:szCs w:val="18"/>
                <w:u w:val="none"/>
              </w:rPr>
            </w:pP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21.00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21.00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18.96</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90.29%</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维修车辆数</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辆</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3</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维修合格率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98</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车辆维修年度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2023</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2023</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2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提升道路行驶安全率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显著提升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驾乘人员满意度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96</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按照年初制定的绩效目标，对各项指标进行了自评，各项指标均已完成，自评得分为98分；通过该项目的实施，有效提升了道路行驶安全。</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项目负责人：张建斌</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51320021T000000167694-民警加班工资</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104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通过民警加班工资的发放，可以有效保障民警的加班补贴，进一步提高民警工作积极性，有助于实现优待民警，进一步促进公安工作的顺利开展，有效保障群众生命财产安全，有效维护社会稳定。</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按照年初制定的绩效目标，全年保障加班工资人数达700余人、资金支付率达100%，圆满完成了年初目标。</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按实际情况发放民警加班工资，实现优待民警，进一步促进公安工作的顺利开展，大力保障群众生命财产安全，更加有效地维护社会稳定。</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530.00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587.95</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587.95</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iCs/>
                <w:color w:val="000000"/>
                <w:sz w:val="18"/>
                <w:szCs w:val="18"/>
                <w:u w:val="none"/>
              </w:rPr>
            </w:pPr>
            <w:r>
              <w:rPr>
                <w:rFonts w:ascii="黑体" w:eastAsia="黑体" w:cs="黑体" w:hint="eastAsia"/>
                <w:i/>
                <w:iCs/>
                <w:color w:val="000000"/>
                <w:kern w:val="0"/>
                <w:sz w:val="18"/>
                <w:szCs w:val="18"/>
                <w:u w:val="none"/>
                <w:lang w:val="en-US" w:eastAsia="zh-CN"/>
              </w:rPr>
              <w:t>结合具体工作实际，对年初预算数进行了调增。</w:t>
            </w: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530.00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587.95</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587.95</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50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加班工资发放人数</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692</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人</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742</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资金支付达标率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经费使用年度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2023</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2023年</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2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可持续发展指标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提升民警工作积极性</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显著提升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民警满意度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96</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按照年初制定的绩效目标，对各项指标进行了自评，各项指标均已完成，自评得分为100分；通过该项目的实施，有效提升了民警工作积极性。</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年初预算编制不精准。</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强化预算编制。</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项目负责人：王古垚</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51320021T000000167711-公安局及特警房屋维修费</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164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指挥中心办公楼、信息技术大楼、看守所周转房、物证鉴定所、特警营房、森林警察支队办公用房、卧龙公安分局办公楼及派出所等房屋均不同程度存在屋面漏雨、地砖破损、墙面脱落、线路老化、下水道堵塞等问题，为保障公安机关正常运转，使公安民警全身心投入维稳、案侦等各项公安业务工作，实施公安及特警房屋维修费。</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按照年初制定的绩效目标，全年对局机关、特警支队等部门的房屋进行了维修、维修合格率达100%，圆满完成了年初目标。</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对州公安局办公楼房屋屋面漏雨、地砖破损、墙面脱落、线路老化、下水道堵塞等问题及时进行维修，保障公安机关正常运转，使公安民警全身心投入维稳、案侦等各项公安业务工作。</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黑体" w:eastAsia="黑体" w:cs="黑体" w:hint="eastAsia"/>
                <w:i/>
                <w:iCs/>
                <w:color w:val="000000"/>
                <w:sz w:val="18"/>
                <w:szCs w:val="18"/>
                <w:u w:val="none"/>
              </w:rPr>
            </w:pP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维修房屋数</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7</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处</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7</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房屋维修合格率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维修时限</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52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提升单位房屋质量</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显著提升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民警满意度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96</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按照年初制定的绩效目标，对各项指标进行了自评，各项指标均已完成，自评得分为100分；通过该项目的实施，有效提升了单位房屋的安全性，民警满意度达96%。</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项目负责人：梁爽</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51320021T000000167718-购买社会服务</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176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通过购买服务解决阿坝州公安局办公楼、食堂、住宿楼管理及日常维护等常见问题，鼓励和引导社会力量进入公共事业领域，有利于提高政府管理能力和服务社会效率；有效发挥社会力量在提供公共服务、改善社会治理方面的作用，激发整个社会的活力和创造力。</w:t>
              <w:br/>
              <w:t>实现办公区域干净，安全；做好水电维护等工作；创造良好的办公环境；提高民警工作专注度。</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按照年初制定的绩效目标，物业公司为局机关、特警支队、驻外部门提供了物业服务，圆满完成了年初各项目标。</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购买业务服务解决阿坝州公安局办公楼、食堂、住宿楼管理及日常维护等常见问题，鼓励和引导社会力量进入公共事业领域，有利于提高政府管理能力和服务社会效率；创造良好的办公环境；提高民警工作专注度。</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黑体" w:eastAsia="黑体" w:cs="黑体" w:hint="eastAsia"/>
                <w:i/>
                <w:iCs/>
                <w:color w:val="000000"/>
                <w:sz w:val="18"/>
                <w:szCs w:val="18"/>
                <w:u w:val="none"/>
              </w:rPr>
            </w:pP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5"/>
                <w:szCs w:val="15"/>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服务处、所</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7</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处</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7</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物业人数</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人</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50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4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实现服务区域整洁度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92</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56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提供物业服务时限</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4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提高服务社会效率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显著提升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民警职工满意度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按照年初制定的绩效目标，对各项指标进行了自评，各项指标均已完成，自评得分为100分；通过该项目的实施，有效提升了办公环境的整洁度，民警、职工满意度达96%。</w:t>
            </w:r>
          </w:p>
        </w:tc>
      </w:tr>
      <w:tr>
        <w:trPr>
          <w:trHeight w:val="41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1"/>
                <w:szCs w:val="11"/>
                <w:u w:val="none"/>
              </w:rPr>
            </w:pPr>
            <w:r>
              <w:rPr>
                <w:rFonts w:ascii="宋体" w:eastAsia="宋体" w:cs="宋体"/>
                <w:i w:val="0"/>
                <w:iCs w:val="0"/>
                <w:color w:val="000000"/>
                <w:kern w:val="0"/>
                <w:sz w:val="11"/>
                <w:szCs w:val="11"/>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1"/>
                <w:szCs w:val="11"/>
                <w:u w:val="none"/>
              </w:rPr>
            </w:pPr>
            <w:r>
              <w:rPr>
                <w:rFonts w:ascii="宋体" w:eastAsia="宋体" w:cs="宋体"/>
                <w:i w:val="0"/>
                <w:iCs w:val="0"/>
                <w:color w:val="000000"/>
                <w:kern w:val="0"/>
                <w:sz w:val="11"/>
                <w:szCs w:val="11"/>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项目负责人：王初阳</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51320022T000000327103-公安业务费</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168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纵深推进常态化扫黑除恶斗争和“迎庆”等系列行动，对制约藏区社会发展老大难问题打击整治，夯实稳定工作基础。全面开展社会治安大清查，打击金融诈骗、电信诈骗、打击违法犯罪、加强六类流动人员管理工作，持续深入开展打击黄赌违法犯罪活动。做实基础要素采集管控、矛盾风险排查化解、社会突出问题治理。</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按照年初制定的绩效目标，保障了州公安局机关民警、职工的各项业务工作的费用，有效保障了民警、职工满意度，圆满完成了年初各项目标。</w:t>
            </w:r>
          </w:p>
        </w:tc>
      </w:tr>
      <w:tr>
        <w:trPr>
          <w:trHeight w:val="102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资金有效保障常态化扫黑除恶斗争和“迎庆”等系列行动，对制约藏区社会发展老大难问题打击整治，夯实稳控工作基础。全面开展社会治安大清查，打击金融诈骗、电信诈骗、打击违法犯罪、加强六类流动人员管理工作，持续深入开展打击黄赌违法犯罪活动。做实基础要素采集管控、矛盾风险排查化解、社会突出问题治理。</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188.77</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188.77</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8</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iCs/>
                <w:color w:val="000000"/>
                <w:sz w:val="18"/>
                <w:szCs w:val="18"/>
                <w:u w:val="none"/>
              </w:rPr>
            </w:pPr>
            <w:r>
              <w:rPr>
                <w:rFonts w:ascii="黑体" w:eastAsia="黑体" w:cs="黑体" w:hint="eastAsia"/>
                <w:i/>
                <w:iCs/>
                <w:color w:val="000000"/>
                <w:kern w:val="0"/>
                <w:sz w:val="18"/>
                <w:szCs w:val="18"/>
                <w:u w:val="none"/>
                <w:lang w:val="en-US" w:eastAsia="zh-CN"/>
              </w:rPr>
              <w:t>结合具体工作实际，对年初预算数进行了调减。</w:t>
            </w: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5"/>
                <w:szCs w:val="15"/>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188.77</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188.77</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保障保数</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2000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人/次</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2000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50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推进系列活动完成率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4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保障公安民警业务时限</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提升人民平安生活指数</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有效提升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有效提升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人民满意度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按照年初制定的绩效目标，对各项指标进行了自评，各项指标均已完成，自评得分为98分；通过该项目的实施，有效提升了民警生活指数，满意度达95%。</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年初预算编制不精准。</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强化预算编制。</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项目负责人：林兴金</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51320022T000000329094-“三电”设施安全保护费</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156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三电办按照“明确目标、突出重点、强化联动、打防兼顾”的工作要求，切实加强警企合作，健全工作机制，强化特种行业管控，全力保障全州三电设施运行。“三电设施安全保护”工作领导小组办公室在州公安局设立办公点，但办公室工作人员不占州公安局编制，为便于开展工作，其工作经费由州公安局统一编制预算上报。</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按照年初制定的绩效目标，全年开展宣传工作50余次、三电违法犯罪打击率达92%，圆满完成了年初各项目标。</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按照“明确目标、突出重点、强化联动、打防兼顾”的工作要求，切实加强警企合作，健全工作机制，强化特种行业管控，全力保障全州三电设施运行。</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15.00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14.80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14.80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黑体" w:eastAsia="黑体" w:cs="黑体" w:hint="eastAsia"/>
                <w:i/>
                <w:iCs/>
                <w:color w:val="000000"/>
                <w:sz w:val="18"/>
                <w:szCs w:val="18"/>
                <w:u w:val="none"/>
              </w:rPr>
            </w:pP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5"/>
                <w:szCs w:val="15"/>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15.00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14.80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14.80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三电工作宣传</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次</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50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50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三电违法犯罪打击率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92</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开展工作时限</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8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实现三电使用安全</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有效保障</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有效保障</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人民群众满意度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按照年初制定的绩效目标，对各项指标进行了自评，各项指标均已完成，自评得分为100分；通过该项目的实施，有效保障了三电使用安全，满意度达95%。</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项目负责人：王晶</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51320022T000000329116-公安业务培训费</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提升全州公安机关民警政治思想认识、警务实战技能、公安业务知识等综合能力素质，更好地维护国家政治安全，增强打击违法犯罪能力，提升人民群众满意度。</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按照年初制定的绩效目标，全年培训人数达5000人次以上，民警培训覆盖率达98%以上，圆满完成了年初各项目标。</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该项目的实施，有效保障全局民警、职工的业务培训费用，提升全州公安机关民警政治思想认识、警务实战技能、公安业务知识等综合能力素质。</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44.79</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44.79</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8</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iCs/>
                <w:color w:val="000000"/>
                <w:sz w:val="18"/>
                <w:szCs w:val="18"/>
                <w:u w:val="none"/>
              </w:rPr>
            </w:pPr>
            <w:r>
              <w:rPr>
                <w:rFonts w:ascii="黑体" w:eastAsia="黑体" w:cs="黑体" w:hint="eastAsia"/>
                <w:i/>
                <w:iCs/>
                <w:color w:val="000000"/>
                <w:kern w:val="0"/>
                <w:sz w:val="18"/>
                <w:szCs w:val="18"/>
                <w:u w:val="none"/>
                <w:lang w:val="en-US" w:eastAsia="zh-CN"/>
              </w:rPr>
              <w:t>结合具体工作实际，对年初预算数进行了调减。</w:t>
            </w: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44.79</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44.79</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培训人数</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5000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人/次</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500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培训民警覆盖率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98</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培训年限</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2023</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2023</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6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提升社会治安稳定</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显著提升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社会群众满意度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按照年初制定的绩效目标，对各项指标进行了自评，各项指标均已完成，自评得分为98分；通过该项目的实施，有效提升了社会治安稳定，满意度达95%。</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年初预算编制不精准。</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强化预算编制。</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项目负责人：俄波旺措</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51320022T000000330395-**业务费</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98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 xml:space="preserve"> 保持对毒品犯罪高压态势，严厉打击毒品犯罪，以青少年毒品预防教育6.27工程为重点，全面开展**预防教育“六进”活动，提升人民群众特别是青少年对毒品的认识和防范，推进**人民战争向纵深发展。</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按照年初制定的绩效目标，全年开展禁毒教育3次、有效提升了涉毒案件查处率，圆满完成了年初各项目标。</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该项目的实施，有效保障**支队实施**工作，全面开展**预防教育“六进”活动，提升人民群众特别是青少年对毒品的认识和防范，推进**人民战争向纵深发展。</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28.40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28.40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iCs/>
                <w:color w:val="000000"/>
                <w:sz w:val="18"/>
                <w:szCs w:val="18"/>
                <w:u w:val="none"/>
              </w:rPr>
            </w:pPr>
            <w:r>
              <w:rPr>
                <w:rFonts w:ascii="黑体" w:eastAsia="黑体" w:cs="黑体" w:hint="eastAsia"/>
                <w:i/>
                <w:iCs/>
                <w:color w:val="000000"/>
                <w:kern w:val="0"/>
                <w:sz w:val="18"/>
                <w:szCs w:val="18"/>
                <w:u w:val="none"/>
                <w:lang w:val="en-US" w:eastAsia="zh-CN"/>
              </w:rPr>
              <w:t>结合具体工作实际，对年初预算数进行了调减。</w:t>
            </w: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28.40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28.40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开展**教育</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次</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3</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8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提升涉毒案件查处率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开展年度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2023</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2023</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50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提升社会治安稳定</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显著提升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人民群众对**工作满意度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按照年初制定的绩效目标，对各项指标进行了自评，各项指标均已完成，自评得分为100分；通过该项目的实施，有效提升了社会治安稳定，满意度达95%。</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项目负责人：浦西军</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51320022T000000330426-警犬驯养及犬病防治</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经费保障每条警犬正常的生活和工作。使警犬能更好地发挥他们在公安工作中的作用。提高警犬的存活率，达到100%。</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按照年初制定的绩效目标，全年驯养警犬41头，项目完成率达100%，圆满完成了年初各项目标。</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通过该项目的实施，确保每条警犬正常的生活和工作。使警犬能更好地发挥他们在公安工作中的作用。提高警犬的存活率。</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37.52</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37.52</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iCs/>
                <w:color w:val="000000"/>
                <w:sz w:val="18"/>
                <w:szCs w:val="18"/>
                <w:u w:val="none"/>
              </w:rPr>
            </w:pPr>
            <w:r>
              <w:rPr>
                <w:rFonts w:ascii="黑体" w:eastAsia="黑体" w:cs="黑体" w:hint="eastAsia"/>
                <w:i/>
                <w:iCs/>
                <w:color w:val="000000"/>
                <w:kern w:val="0"/>
                <w:sz w:val="18"/>
                <w:szCs w:val="18"/>
                <w:u w:val="none"/>
                <w:lang w:val="en-US" w:eastAsia="zh-CN"/>
              </w:rPr>
              <w:t>结合工作实际，对年初预算金额进行了调减。</w:t>
            </w: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37.52</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37.52</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警犬数量</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头/只</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41</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项目完成率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8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保障警犬补给年度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2023</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2023</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提升野外搜救及毒品查控力</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显著提升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训犬人员满意度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按照年初制定的绩效目标，对各项指标进行了自评，各项指标均已完成，自评得分为100分；通过该项目的实施，有效提升了警犬野外搜救及毒品查控力，满意度达95%。</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项目负责人：泽准</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51320022T000000330630-****建设经费</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按照省公安厅****建设工作要求，2023年底支队****达XX名；并根据民警和***信息发挥作用情况进行奖励，共计20万元。</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按照年初制定的绩效目标，全年保障人员1人以上，圆满完成了年初各项目标。</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按照省公安厅****建设工作要求，该项目主要用于保障****量工作开展经费；并根据民警和****信息发挥作用情况进行奖励。</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黑体" w:eastAsia="黑体" w:cs="黑体" w:hint="eastAsia"/>
                <w:i/>
                <w:iCs/>
                <w:color w:val="000000"/>
                <w:sz w:val="18"/>
                <w:szCs w:val="18"/>
                <w:u w:val="none"/>
              </w:rPr>
            </w:pP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人员数量</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人</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2</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项目完成率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经费使用年度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2023</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ascii="宋体" w:eastAsia="宋体" w:cs="宋体" w:hint="eastAsia"/>
                <w:i w:val="0"/>
                <w:iCs w:val="0"/>
                <w:color w:val="000000"/>
                <w:sz w:val="22"/>
                <w:szCs w:val="22"/>
                <w:u w:val="none"/>
              </w:rPr>
            </w:pPr>
            <w:r>
              <w:rPr>
                <w:rFonts w:ascii="宋体" w:eastAsia="宋体" w:cs="宋体" w:hint="eastAsia"/>
                <w:i w:val="0"/>
                <w:iCs w:val="0"/>
                <w:color w:val="000000"/>
                <w:kern w:val="0"/>
                <w:sz w:val="22"/>
                <w:szCs w:val="22"/>
                <w:u w:val="none"/>
                <w:lang w:val="en-US" w:eastAsia="zh-CN"/>
              </w:rPr>
              <w:t>2023</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56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搜集**能力大幅度提升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显萫提升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显著提升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社会稳定，人民群众满意度提高</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按照年初制定的绩效目标，对各项指标进行了自评，各项指标均已完成，自评得分为100分；通过该项目的实施，有效提升了**信息搜集能力，满意度达95%。</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项目负责人：赵政桥</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51320022T000000336996-**消耗</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通过该经费保障，确保州局民警正常**训练使用，****痕迹及案件侦办需要。</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按照年初制定的绩效目标，全年开展训练2次以上，购买数量达2000盒，圆满完成了年初各项目标。</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按照省厅要求，通过该项目的实施，确保州局民警正常**训练使用，****痕迹及案件侦办需要。</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黑体" w:eastAsia="黑体" w:cs="黑体" w:hint="eastAsia"/>
                <w:i/>
                <w:iCs/>
                <w:color w:val="000000"/>
                <w:sz w:val="18"/>
                <w:szCs w:val="18"/>
                <w:u w:val="none"/>
              </w:rPr>
            </w:pP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开展训练次数</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次</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2</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购买数量</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2000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盒</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2000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犯罪打击率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92</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使用年度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2023</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2023</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2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提升民警实战能力</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显萫提升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显著提升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参训民警满意度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按照年初制定的绩效目标，对各项指标进行了自评，各项指标均已完成，自评得分为100分；通过该项目的实施，有效提升了民警实战能力，满意度达95%。</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项目负责人：王浩</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51320022T000000340288-物证鉴定所案件检验耗材费</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DNA案件检验成功率达80%，DNA违法人员样本检验成功率达100%，入库率达100%。理化案件检验成功率达95%，法医、痕迹检验成功率达100%。</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按照年初制定的绩效目标，全年购买耗材数量达10000余份，圆满完成了年初各项目标。</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该项目的实施，有效保障物证鉴定所开展鉴定工作所需的耗材费，确保各项检测工作的顺利开展。</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49.55</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49.55</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黑体" w:eastAsia="黑体" w:cs="黑体" w:hint="eastAsia"/>
                <w:i/>
                <w:iCs/>
                <w:color w:val="000000"/>
                <w:sz w:val="18"/>
                <w:szCs w:val="18"/>
                <w:u w:val="none"/>
              </w:rPr>
            </w:pP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49.55</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49.55</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购买耗材数量</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份</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检验准确率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98</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耗材使用年度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2023</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2023</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4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提升社会社会稳定</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显著提升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检验人员满意度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按照年初制定的绩效目标，对各项指标进行了自评，各项指标均已完成，自评得分为100分；通过该项目的实施，有效提升了社会稳定，满意度达95%。</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项目负责人：赫金</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51320022T000000346672-网络租赁及维护费</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通过经费保障，确保公安机关正常的办公、信息传输需要，保障公安机关各项业务工作正常运转。</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按照年初制定的绩效目标，全年租赁网络线路6条，线路传输在线率达98%，圆满完成了年初各项目标。</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通过该项目的实施，租赁需要的专网，确保公安机关正常的办公、信息传输需要，保障公安机关各项业务工作正常运转。</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115.00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95.80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95.80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iCs/>
                <w:color w:val="000000"/>
                <w:sz w:val="18"/>
                <w:szCs w:val="18"/>
                <w:u w:val="none"/>
              </w:rPr>
            </w:pPr>
            <w:r>
              <w:rPr>
                <w:rFonts w:ascii="黑体" w:eastAsia="黑体" w:cs="黑体" w:hint="eastAsia"/>
                <w:i/>
                <w:iCs/>
                <w:color w:val="000000"/>
                <w:kern w:val="0"/>
                <w:sz w:val="18"/>
                <w:szCs w:val="18"/>
                <w:u w:val="none"/>
                <w:lang w:val="en-US" w:eastAsia="zh-CN"/>
              </w:rPr>
              <w:t>结合工作实际，对年初预算金额进行了调减。</w:t>
            </w: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115.00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95.80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95.80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网络线路数</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条</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6</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6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确保各线路传输在线率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98</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网络使用年限</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2023</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2023</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54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提升公安公安通信保障作用</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显著提升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使用民警满意度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按照年初制定的绩效目标，对各项指标进行了自评，各项指标均已完成，自评得分为96分；通过该项目的实施，有效保障了公安通信，满意度达95%。</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项目负责人：王初阳</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51320022T000000346691-信息中心运维</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保障信息中心日常运维，备份易损坏件，保障全州网络运行正常。</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按照年初制定的绩效目标，全年对需要维修的设备及时进行维修维护，有效提高了设备使用率，圆满完成了年初各项目标。</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该项目的实施，保障信息中心日常运维，备份易损坏件，保障全州网络运行正常。</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43.50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43.50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43.50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黑体" w:eastAsia="黑体" w:cs="黑体" w:hint="eastAsia"/>
                <w:i/>
                <w:iCs/>
                <w:color w:val="000000"/>
                <w:sz w:val="18"/>
                <w:szCs w:val="18"/>
                <w:u w:val="none"/>
              </w:rPr>
            </w:pP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43.50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43.50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43.50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113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维修设备数量</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个（台、套、件、辆）</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50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设备使用率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运维时间年限</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2023</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2023</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8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保障网络设备完好</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有效保障</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有效保障</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使用民警满意度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按照年初制定的绩效目标，对各项指标进行了自评，各项指标均已完成，自评得分为100分；通过该项目的实施，有效保障了网络设备的正常运行，满意度达95%。</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项目负责人：程茂勤</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51320022T000000346699-信息系统等级保护测评</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按照信息化系统《网络安全等级保护基本要求》，对新建信息化系统开展等保测评。确保系统能正常运转。</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按照年初制定的绩效目标，建设了信息系统等级保护测评，圆满完成了年初各项目标。</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该项目的实施，按照信息化系统《网络安全等级保护基本要求》，对新建信息化系统开展等保测评，确保系统能正常运转。</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24.00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23.20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23.20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8</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iCs/>
                <w:color w:val="000000"/>
                <w:sz w:val="18"/>
                <w:szCs w:val="18"/>
                <w:u w:val="none"/>
              </w:rPr>
            </w:pPr>
            <w:r>
              <w:rPr>
                <w:rFonts w:ascii="黑体" w:eastAsia="黑体" w:cs="黑体" w:hint="eastAsia"/>
                <w:i/>
                <w:iCs/>
                <w:color w:val="000000"/>
                <w:kern w:val="0"/>
                <w:sz w:val="18"/>
                <w:szCs w:val="18"/>
                <w:u w:val="none"/>
                <w:lang w:val="en-US" w:eastAsia="zh-CN"/>
              </w:rPr>
              <w:t>结合工作实际，对年初预算金额进行了调减。</w:t>
            </w: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24.00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23.20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23.20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建设数量</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套</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2</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54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系统等级测评完成率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使用年限</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提升社会治安</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显著提升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民警满意度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成本指标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经济成本指标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项目成本</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24</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万元</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23.2</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合同价格与年初预算数有差额</w:t>
            </w: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按照年初制定的绩效目标，对各项指标进行了自评，各项指标均已完成，自评得分为98分；通过该项目的实施，有效提升了社会治安环境，满意度达95%。</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项目负责人：程茂勤</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51320022T000000346703-特警取暖费</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170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阿坝州公安局特警支队，肩负着处突、防暴、安保、抢险救灾、重要守护等任务。特警支队自成立以来，始终战斗在维护稳定、抢险救灾等工作一线，对维护全州社会和谐稳定，起到了重要作用。特警支队是半军事化管理，所有特警统一住宿，统一管理，统一就餐。良好的餐厅、寝室和公共区域的生活设施，能提高特警队员的工作的积极性和集体战斗力。</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按照年初制定的绩效目标，购买煤炭用于取暖，在实施过程中建设了暖气取暖设备，但项目验收不合格，导致绩效目标未完成。</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该项目的实施，能解决特警支队人员取暖问题，从而提升工作的积极性和集体战斗力。</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80.00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80.00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57.12</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71.40%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iCs/>
                <w:color w:val="000000"/>
                <w:sz w:val="18"/>
                <w:szCs w:val="18"/>
                <w:u w:val="none"/>
              </w:rPr>
            </w:pPr>
            <w:r>
              <w:rPr>
                <w:rFonts w:ascii="黑体" w:eastAsia="黑体" w:cs="黑体" w:hint="eastAsia"/>
                <w:i/>
                <w:iCs/>
                <w:color w:val="000000"/>
                <w:kern w:val="0"/>
                <w:sz w:val="15"/>
                <w:szCs w:val="15"/>
                <w:u w:val="none"/>
                <w:lang w:val="en-US" w:eastAsia="zh-CN"/>
              </w:rPr>
              <w:t>因在实施过程中建设了暖气取暖设备，但项目验收不合格，导致项目尾款未支付，资金执行率达71.4%，绩效目标未完成。</w:t>
            </w: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5"/>
                <w:szCs w:val="15"/>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80.00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80.00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57.12</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71.40%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购买煤炭</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吨</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50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煤炭使用率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98</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使用年限</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2023</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2023</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68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提升民警处置事件能力</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显萫提升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显著提升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取暖民警满意度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成本指标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经济成本指标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项目成本指标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80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万元</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57.12</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取暖设备验收不合格，项目尾款未支付。</w:t>
            </w: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89</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1"/>
                <w:szCs w:val="11"/>
                <w:u w:val="none"/>
              </w:rPr>
            </w:pPr>
            <w:r>
              <w:rPr>
                <w:rFonts w:ascii="宋体" w:eastAsia="宋体" w:cs="宋体"/>
                <w:i w:val="0"/>
                <w:iCs w:val="0"/>
                <w:color w:val="000000"/>
                <w:kern w:val="0"/>
                <w:sz w:val="11"/>
                <w:szCs w:val="11"/>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按照年初制定的绩效目标，对各项指标进行了自评，各项指标均已完成，自评得分为89分；通过该项目的实施，满意度达95%。</w:t>
            </w:r>
          </w:p>
        </w:tc>
      </w:tr>
      <w:tr>
        <w:trPr>
          <w:trHeight w:val="387"/>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1"/>
                <w:szCs w:val="11"/>
                <w:u w:val="none"/>
              </w:rPr>
            </w:pPr>
            <w:r>
              <w:rPr>
                <w:rFonts w:ascii="宋体" w:eastAsia="宋体" w:cs="宋体"/>
                <w:i w:val="0"/>
                <w:iCs w:val="0"/>
                <w:color w:val="000000"/>
                <w:kern w:val="0"/>
                <w:sz w:val="11"/>
                <w:szCs w:val="11"/>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项目未及时整改</w:t>
            </w:r>
          </w:p>
        </w:tc>
      </w:tr>
      <w:tr>
        <w:trPr>
          <w:trHeight w:val="435"/>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1"/>
                <w:szCs w:val="11"/>
                <w:u w:val="none"/>
              </w:rPr>
            </w:pPr>
            <w:r>
              <w:rPr>
                <w:rFonts w:ascii="宋体" w:eastAsia="宋体" w:cs="宋体"/>
                <w:i w:val="0"/>
                <w:iCs w:val="0"/>
                <w:color w:val="000000"/>
                <w:kern w:val="0"/>
                <w:sz w:val="11"/>
                <w:szCs w:val="11"/>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加快项目整改、验收，按程序拨付资金。</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项目负责人：泽准</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51320022T000000346705-****经费</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通过项目的实施，提升各***力量应对突发案（事）件的能力和水平，比上一年增长50%。</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按照年初制定的绩效目标，全年开展**1次、**人数200余人，达到应有的效果，圆满完成年初目标任务。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该项目经费有效保障了****练所需的经费，提升各****力量应对突发案（事）件的能力和水平。</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47.89</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47.89</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iCs/>
                <w:color w:val="000000"/>
                <w:sz w:val="18"/>
                <w:szCs w:val="18"/>
                <w:u w:val="none"/>
              </w:rPr>
            </w:pPr>
            <w:r>
              <w:rPr>
                <w:rFonts w:ascii="黑体" w:eastAsia="黑体" w:cs="黑体" w:hint="eastAsia"/>
                <w:i/>
                <w:iCs/>
                <w:color w:val="000000"/>
                <w:kern w:val="0"/>
                <w:sz w:val="18"/>
                <w:szCs w:val="18"/>
                <w:u w:val="none"/>
                <w:lang w:val="en-US" w:eastAsia="zh-CN"/>
              </w:rPr>
              <w:t>根据具体工作实际，对年初预算资金进行了调减。</w:t>
            </w: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47.89</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47.89</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**次数</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次</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**人数</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人/次</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200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项目支付进度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98</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**时限</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2023</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2023</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56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提升应急处突能力</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显著提升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实现特警应急打击犯罪率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按照年初制定的绩效目标，对各项指标进行了自评，各项指标均已完成，自评得分为100分；通过该项目的实施，有效提升了特警应急处突能力，满意度达95%。</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项目负责人：泽准</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51320022T000000346710-特警业务费</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250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5"/>
                <w:szCs w:val="15"/>
                <w:u w:val="none"/>
                <w:lang w:val="en-US" w:eastAsia="zh-CN"/>
              </w:rPr>
              <w:t>项目实施，有效保障特警支队五个驻勤大队的正常运转,进一步加强了阿坝特警队正规化建设。 阿坝州公安局特警支队肩负着处突、防暴、安保、抢险救灾、重要守护等任务。特警支队自成立以来，始终战斗在维护稳定、抢险救灾等工作一线上，为了维护全州社会和谐稳定，起到了重要作用。特警支队的业务经费保障了特警支队五个驻勤大队的正常运转，保障了特警支队在执行任务过程中车辆、人员、装备、后勤保障等一系列项目的正常开支，进一步加强了阿坝特警队正规化建设，保障了公安特警作为反恐处突、维护社会稳定的不可替代的重要力量。</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按照年初制定的绩效目标，全年保障特警400余人，达到应有的效果，圆满完成年初目标任务。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该项目的实施，有效保障了特警业务的开展，进一步加强了阿坝特警队正规化建设，保障了公安特警作为反恐处突、维护社会稳定的不可替代的重要力量。</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229.57</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229.57</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iCs/>
                <w:color w:val="000000"/>
                <w:sz w:val="18"/>
                <w:szCs w:val="18"/>
                <w:u w:val="none"/>
              </w:rPr>
            </w:pPr>
            <w:r>
              <w:rPr>
                <w:rFonts w:ascii="黑体" w:eastAsia="黑体" w:cs="黑体" w:hint="eastAsia"/>
                <w:i/>
                <w:iCs/>
                <w:color w:val="000000"/>
                <w:kern w:val="0"/>
                <w:sz w:val="18"/>
                <w:szCs w:val="18"/>
                <w:u w:val="none"/>
                <w:lang w:val="en-US" w:eastAsia="zh-CN"/>
              </w:rPr>
              <w:t>根据具体工作实际，对年初预算资金进行了调减。</w:t>
            </w: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5"/>
                <w:szCs w:val="15"/>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229.57</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229.57</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保障人数</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400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人</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400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项目完工率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保障时间</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2023</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2023</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保障社会安定</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有效保障</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有效保障</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特警队员满意度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按照年初制定的绩效目标，对各项指标进行了自评，各项指标均已完成，自评得分为95分；通过该项目的实施，有效提升了社会安定，满意度达95%。</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项目负责人：泽准</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51320022T000000346719-特警生活补助</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113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阿坝州公安局特警支队肩负着处突、防暴、安保、抢险救灾、重要守护等任务。特警支队自成立以来，始终战斗在维护稳定、抢险救灾等工作一线，为了维护全州社会和谐稳定，起到了重要作用。通过发放生活补助，有效提升特警生活质量，发挥特警维稳处突作用。</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按照年初制定的绩效目标，全年保障特警450余人，达到应有的效果，圆满完成年初目标任务。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该项目的实施，按照特警生活标准、按月拨付特警生活费，有效保障了特警的正常生活，进一步提升战力。</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350.00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346.45</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346.45</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8</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iCs/>
                <w:color w:val="000000"/>
                <w:sz w:val="18"/>
                <w:szCs w:val="18"/>
                <w:u w:val="none"/>
              </w:rPr>
            </w:pPr>
            <w:r>
              <w:rPr>
                <w:rFonts w:ascii="黑体" w:eastAsia="黑体" w:cs="黑体" w:hint="eastAsia"/>
                <w:i/>
                <w:iCs/>
                <w:color w:val="000000"/>
                <w:kern w:val="0"/>
                <w:sz w:val="18"/>
                <w:szCs w:val="18"/>
                <w:u w:val="none"/>
                <w:lang w:val="en-US" w:eastAsia="zh-CN"/>
              </w:rPr>
              <w:t>根据具体工作实际，对年初预算资金进行了调减。</w:t>
            </w: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350.00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346.45</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346.45</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保障人数</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441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人</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450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项目完成率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使用年限</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2023</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2023</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2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提升社会治安稳定</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有效提升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有效提升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提升民警满意度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成本指标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经济成本指标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项目成本</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350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万元</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346.45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按照年初制定的绩效目标，对各项指标进行了自评，各项指标均已完成，自评得分为98分；通过该项目的实施，有效提升了社会安定，满意度达95%。</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项目负责人：泽准</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51320022T000000346737-特警训练被装费</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158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进一步提高了训练热情，强化了训练保障，推动了公安特警队伍的整体素质和实战能力的快速提升，为阿坝特警充分发挥职能作用奠定了坚实基础。阿坝州公安局特警支队按照“以训练带管理、以训练强素质、以训练促建设、以训练铸尖兵”的指导思想，坚持从难从严，苦练精兵,在原有配发服装的基础上，购置训练服装，进一步提高了训练热情，强化了训练保障。</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按照年初制定的绩效目标，全年保障特警450余人，达到应有的效果，圆满完成年初目标任务。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该项目的实施，在原有配发服装的基础上，购置训练服装，进一步提高了训练热情，强化了训练保障。</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49.57</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99.14%</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黑体" w:eastAsia="黑体" w:cs="黑体" w:hint="eastAsia"/>
                <w:i/>
                <w:iCs/>
                <w:color w:val="000000"/>
                <w:sz w:val="18"/>
                <w:szCs w:val="18"/>
                <w:u w:val="none"/>
              </w:rPr>
            </w:pP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49.57</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99.14%</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保障人数</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400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人</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450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产品质量合格率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98</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支撑年度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50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提升公安民警形像</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显著提升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民警满意度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按照年初制定的绩效目标，对各项指标进行了自评，各项指标均已完成，自评得分为100分；通过该项目的实施，有效提升了公安民警形象，满意度达95%。</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项目负责人：泽准</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51320022T000000346817-微户政系统运营服务外包项目</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126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 xml:space="preserve">实现户籍业务全流程办理“足不出户”；居住证办理、居住登记信息回执业务“足不出户”，门楼牌地址信息变更回执提供“足不出户”；实现户籍办理、居住证办理“只进一扇门”、“最多跑一次”要求，提高管理服务效能。      </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按照年初制定的绩效目标，全年保障运营系统1个，达到应有的效果，圆满完成年初目标任务。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 xml:space="preserve">该项目经费有效保障了微户政系统运营，提高管理服务效能。  </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35.00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28.75</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28.75</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8</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iCs/>
                <w:color w:val="000000"/>
                <w:sz w:val="18"/>
                <w:szCs w:val="18"/>
                <w:u w:val="none"/>
              </w:rPr>
            </w:pPr>
            <w:r>
              <w:rPr>
                <w:rFonts w:ascii="黑体" w:eastAsia="黑体" w:cs="黑体" w:hint="eastAsia"/>
                <w:i/>
                <w:iCs/>
                <w:color w:val="000000"/>
                <w:kern w:val="0"/>
                <w:sz w:val="18"/>
                <w:szCs w:val="18"/>
                <w:u w:val="none"/>
                <w:lang w:val="en-US" w:eastAsia="zh-CN"/>
              </w:rPr>
              <w:t>根据具体工作实际，对年初预算资金进行了调减。</w:t>
            </w: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35.00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28.75</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28.75</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系统维护数量</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套</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维修要求使用率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99</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99</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运维服务时限</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2023</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2023</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提高群众幸福度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办事群众满意度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99</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99</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按照年初制定的绩效目标，对各项指标进行了自评，各项指标均已完成，自评得分为98分；通过该项目的实施，有效提升群众幸福度及办事群众满意度，满意度达99%。</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项目负责人：王晶</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51320022T000000346825-人口信息备份资源库项目</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158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 xml:space="preserve"> 按照省厅《关于做好各市州人口信息业务备份资源库建设工作的通知》统一要求，各市州要利用现有的硬件平台，在此基础上做必要的升级，建立与集中式人口信息管理系统相对应的市州备份资源库，并从省级人口系统中获取人口基础信息与业务数据。</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按照年初制定的绩效目标，全年建设系统数量1个，人员资源储备数量达20余万条，达到应有的效果，圆满完成年初目标任务。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按照省厅《关于做好各市州人口信息业务备份资源库建设工作的通知》统一要求，各市州要利用现有的硬件平台，在此基础上做必要的升级，建立与集中式人口信息管理系统相对应的市州备份资源库，并从省级人口系统中获取人口基础信息与业务数据。</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116.00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114.40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114.40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8</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iCs/>
                <w:color w:val="000000"/>
                <w:sz w:val="18"/>
                <w:szCs w:val="18"/>
                <w:u w:val="none"/>
              </w:rPr>
            </w:pPr>
            <w:r>
              <w:rPr>
                <w:rFonts w:ascii="黑体" w:eastAsia="黑体" w:cs="黑体" w:hint="eastAsia"/>
                <w:i/>
                <w:iCs/>
                <w:color w:val="000000"/>
                <w:kern w:val="0"/>
                <w:sz w:val="18"/>
                <w:szCs w:val="18"/>
                <w:u w:val="none"/>
                <w:lang w:val="en-US" w:eastAsia="zh-CN"/>
              </w:rPr>
              <w:t>根据具体工作实际，对年初预算资金进行了调减。</w:t>
            </w: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3"/>
                <w:szCs w:val="13"/>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116.00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114.40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114.40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建设系统数量</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套</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54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人员资源储存数量</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万条</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20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提升破案率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显萫提升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显著提升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使用民警满意度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显萫提升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显著提升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成本指标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经济成本指标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建设成本</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116</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万元</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114.4</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按照年初制定的绩效目标，对各项指标进行了自评，各项指标均已完成，自评得分为98分；通过该项目的实施，有效提升了破案率及民警满意度。</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项目负责人：王晶</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51320022T000000364756-阿坝公安交管大数据指挥中心业务技术用房建设</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148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 xml:space="preserve">    为解决全州道路交通安全管理调度指挥能力落后等瓶颈问题，有效运用大数据高效组织指挥交通，全面提升道路交通管理和事故预防能力，全面提升现有道路交通能力，满足新形势下公安交通管理工作新需要，更好服务于全州全域旅游发展，阿坝州发展和改革委员会同意新建阿坝公安交管大数据指挥中心业务技术用房。</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按照年初制定的绩效目标，全年修建大数据项目1个，达到应有的效果，圆满完成年初目标任务。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的实施，有效保障了阿坝公安交管大数据指挥中心业务技术用房建设经费，解决了全州道路交通安全管理调度指挥能力落后等瓶颈问题，有效运用大数据高效组织指挥交通，全面提升道路交通管理和事故预防能力。</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2,000.00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1,445.37</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1,445.37</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iCs/>
                <w:color w:val="000000"/>
                <w:sz w:val="18"/>
                <w:szCs w:val="18"/>
                <w:u w:val="none"/>
              </w:rPr>
            </w:pPr>
            <w:r>
              <w:rPr>
                <w:rFonts w:ascii="黑体" w:eastAsia="黑体" w:cs="黑体" w:hint="eastAsia"/>
                <w:i/>
                <w:iCs/>
                <w:color w:val="000000"/>
                <w:kern w:val="0"/>
                <w:sz w:val="18"/>
                <w:szCs w:val="18"/>
                <w:u w:val="none"/>
                <w:lang w:val="en-US" w:eastAsia="zh-CN"/>
              </w:rPr>
              <w:t>根据具体工作实际，对年初预算资金进行了调减。</w:t>
            </w: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5"/>
                <w:szCs w:val="15"/>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2,000.00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1,445.37</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1,445.37</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修建大数据项目</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处</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项目合格率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98</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建设年限</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4</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76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提升全州道路交通安全管理调度指挥能力</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有效提升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有效提升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7" w:type="dxa"/>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ascii="宋体" w:eastAsia="宋体" w:cs="宋体" w:hint="eastAsia"/>
                <w:i w:val="0"/>
                <w:iCs w:val="0"/>
                <w:color w:val="000000"/>
                <w:sz w:val="22"/>
                <w:szCs w:val="22"/>
                <w:u w:val="none"/>
              </w:rPr>
            </w:pPr>
            <w:r>
              <w:rPr>
                <w:rFonts w:ascii="宋体" w:eastAsia="宋体" w:cs="宋体" w:hint="eastAsia"/>
                <w:i w:val="0"/>
                <w:iCs w:val="0"/>
                <w:color w:val="000000"/>
                <w:kern w:val="0"/>
                <w:sz w:val="22"/>
                <w:szCs w:val="22"/>
                <w:u w:val="none"/>
                <w:lang w:val="en-US" w:eastAsia="zh-CN"/>
              </w:rPr>
              <w:t>30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成本指标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经济成本指标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项目建设成本</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2000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万元</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1445.37</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按照年初制定的绩效目标，对各项指标进行了自评，各项指标均已完成，自评得分为95分；通过该项目的实施，有效提升了全州道路交安全管理调度指挥能力。</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年初预算编制不精准。</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强化预算编制。</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项目负责人：徐林</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51320022T000005603773-****资金的通知</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该项目为2021年度结转****资金，用于业务装备方面开支。</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按照年初制定的绩效目标，按需采购业务装备，达到应有的效果，圆满完成年初目标任务。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该项目为2021年度结转****资金，有效保障了业务装备方面开支。</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104.09</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104.09</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黑体" w:eastAsia="黑体" w:cs="黑体" w:hint="eastAsia"/>
                <w:i/>
                <w:iCs/>
                <w:color w:val="000000"/>
                <w:sz w:val="18"/>
                <w:szCs w:val="18"/>
                <w:u w:val="none"/>
              </w:rPr>
            </w:pP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104.09</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104.09</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设备数量</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套</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提升破案率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显萫提升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显萫提升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保障社会安定率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显萫提升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显萫提升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54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提升办案民警满意度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显萫提升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显萫提升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成本指标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经济成本指标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项目建设成本</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104.09</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万元</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104.09</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按照年初制定的绩效目标，对各项指标进行了自评，各项指标均已完成，自评得分为100分；通过该项目的实施，有效提升了破案率。</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项目负责人：林兴金</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51320022T000006088044-2022年重大传染病防控（中央）</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用于2023年阿坝州公安局控制重大传染病相关工作开展。</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按照年初制定的绩效目标开展传染病防控工作，减少了传染病传染率，达到应有的效果，圆满完成年初目标任务。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该项目经费有效保障了我局重大传染病防控工作。</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5.68</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5.68</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黑体" w:eastAsia="黑体" w:cs="黑体" w:hint="eastAsia"/>
                <w:i/>
                <w:iCs/>
                <w:color w:val="000000"/>
                <w:sz w:val="18"/>
                <w:szCs w:val="18"/>
                <w:u w:val="none"/>
              </w:rPr>
            </w:pP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5.68</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5.68</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控制传染病人员</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人</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500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控制传染率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30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54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减少传染病传染率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50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显萫提升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显著提升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成本指标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经济成本指标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项目成本</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5.68</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万元</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5.68</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按照年初制定的绩效目标，对各项指标进行了自评，各项指标均已完成，自评得分为100分；通过该项目的实施，有效提升了社会满意度，减少了传染病率。</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项目负责人：林兴金</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51320022T000007109028-关于****资金</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该项目为****资金，主要保障阿坝州公安局办案差旅费、燃油费及重大安保、应急处突等相关费用。</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按照年初制定的绩效目标，保障了民警办案所需的差旅费等相关费用，达到应有的效果，圆满完成年初目标任务。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该项目为****资金，有效保障了阿坝州公安局办案差旅费、燃油费及重大安保、应急处突等相关费用。</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126.02</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115.77</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115.77</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黑体" w:eastAsia="黑体" w:cs="黑体" w:hint="eastAsia"/>
                <w:i/>
                <w:iCs/>
                <w:color w:val="000000"/>
                <w:sz w:val="18"/>
                <w:szCs w:val="18"/>
                <w:u w:val="none"/>
              </w:rPr>
            </w:pP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126.02</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115.77</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115.77</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保障办案民警数</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700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人</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700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破获案件数</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件</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200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经济效益指标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保障社会安定</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群众满意度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办案民警满意度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按照年初制定的绩效目标，对各项指标进行了自评，各项指标均已完成，自评得分为100分；通过该项目的实施，有效提升了社会安定，满意度达95%。</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项目负责人：林兴金</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81" w:type="dxa"/>
            <w:tcBorders>
              <w:top w:val="nil"/>
              <w:left w:val="nil"/>
              <w:bottom w:val="nil"/>
              <w:right w:val="nil"/>
            </w:tcBorders>
            <w:shd w:val="clear" w:color="auto" w:fill="auto"/>
            <w:noWrap/>
            <w:vAlign w:val="center"/>
          </w:tcPr>
          <w:p>
            <w:pPr>
              <w:rPr>
                <w:rFonts w:hint="eastAsia"/>
              </w:rPr>
            </w:pPr>
          </w:p>
          <w:p>
            <w:pPr>
              <w:pStyle w:val="27"/>
              <w:rPr>
                <w:rFonts w:hint="eastAsia"/>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51320022T000007267142-110智能接处警系统升级改造采购项目</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206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主要目标是改变阿坝公安过去警情推送效率不高、处警工作粗放、信息化程度低的局面；增强情指中心对于警情的现场处置能力，大力提升工作质效，为阿坝州有序发展，经济稳步提升添砖加瓦。加强舆情监测能力，了解民警对警情处置过程中造成的舆论发酵事件，从而分析警情处置过程中的不当行为，为提升警情处置过程规范化，构建良好的警民互动关系提供参考依据。</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按照年初制定的绩效目标，建设了14套系统，圆满完成年初目标任务。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该项目经费，有效保障了110智能接处警系统的建设，改变了阿坝公安过去警情推送效率不高、处警工作粗放、信息化程度低的局面；增强情指中心对于警情的现场处置能力，大力提升工作质效。</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63.00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329.47</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329.47</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黑体" w:eastAsia="黑体" w:cs="黑体" w:hint="eastAsia"/>
                <w:i/>
                <w:iCs/>
                <w:color w:val="000000"/>
                <w:sz w:val="18"/>
                <w:szCs w:val="18"/>
                <w:u w:val="none"/>
              </w:rPr>
            </w:pP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63.00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61.67</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61.67</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267.80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267.80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州局系统建设数量</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批</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58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可持续发展指标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系统使用年限</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按照年初制定的绩效目标，对各项指标进行了自评，各项指标均已完成，自评得分为100分；通过该项目的实施，有效提升了案件推送效率，满意度达95%。</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项目负责人：程茂勤</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81" w:type="dxa"/>
            <w:tcBorders>
              <w:top w:val="nil"/>
              <w:left w:val="nil"/>
              <w:bottom w:val="nil"/>
              <w:right w:val="nil"/>
            </w:tcBorders>
            <w:shd w:val="clear" w:color="auto" w:fill="auto"/>
            <w:noWrap/>
            <w:vAlign w:val="center"/>
          </w:tcPr>
          <w:p>
            <w:pPr>
              <w:rPr>
                <w:rFonts w:hint="eastAsia"/>
              </w:rPr>
            </w:pPr>
          </w:p>
          <w:p>
            <w:pPr>
              <w:pStyle w:val="27"/>
              <w:rPr>
                <w:rFonts w:hint="eastAsia"/>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51320022T000007267217-阿坝公安大数据实战特色应用（二期）</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168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主要目标为：一是围绕“情指勤舆”，通过“情报引领”、“精准调度”、“规范执勤”以及“舆情导控”，构建“情指勤舆一体化应用”；二是围绕“主题库”、“专题库”，通过领域业务分析，构建“数据资源管理体系”，规范数据应用，并搭建“数据资源维护管理后台”；三是建成智慧治安特色应用；四是搭建统一、集中的业务管理平台，实现信息一体化建设。</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按照年初制定的绩效目标，采购服务器交换机1套、达到了预期效果，圆满完成年初目标任务。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该项目建设内容主要为采购一批服务器交换机，提升民警日常办案侦查能力。</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450.91</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450.26</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99.86%</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黑体" w:eastAsia="黑体" w:cs="黑体" w:hint="eastAsia"/>
                <w:i/>
                <w:iCs/>
                <w:color w:val="000000"/>
                <w:sz w:val="18"/>
                <w:szCs w:val="18"/>
                <w:u w:val="none"/>
              </w:rPr>
            </w:pP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450.91</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450.26</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99.86%</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采购一批服务器交换机</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批</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产品验收合格率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办理侦查案件数</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18</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件</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18</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使用人员满意度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80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80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成本指标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5"/>
                <w:szCs w:val="15"/>
                <w:u w:val="none"/>
                <w:lang w:val="en-US" w:eastAsia="zh-CN"/>
              </w:rPr>
              <w:t>经济成本指标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成本控制率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99</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按照年初制定的绩效目标，对各项指标进行了自评，各项指标均已完成，自评得分为99分；通过该项目的实施，有效提升了民警办案侦查率及民警满意度。</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项目负责人：程茂勤</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51320022T000007267288-视觉计算边缘节点（二期）采购项目</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226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该项目主要目标为：一是实现视频流多要素（至少包含人脸、人体、机动车、非机动车）结构化解析能力1000 路（1920×1080）；二是实现人像图片解析能力500路；三是车辆图片解析能力340路，四是扩容分布式存储1PB，提升结构化数据存储资源能力；五是扩容已建公安信息网与视频专网安全边界，数据需通过安全边界进行传输，包括支撑视图解析数据和运维数据的实时交换，以及大小图的按需调阅；六是完成视频专网安全交互平台建设，实现视频专网与互联网、其他专网的安全交互。</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按照年初制定的绩效目标，建设系统14个前端，达到了预期效果，圆满完成年初目标任务。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该项目的建设内容为系统前端14个，实现视频专网与互联网、其他专网的安全交互。</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558.32</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558.32</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黑体" w:eastAsia="黑体" w:cs="黑体" w:hint="eastAsia"/>
                <w:i/>
                <w:iCs/>
                <w:color w:val="000000"/>
                <w:sz w:val="18"/>
                <w:szCs w:val="18"/>
                <w:u w:val="none"/>
              </w:rPr>
            </w:pP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5"/>
                <w:szCs w:val="15"/>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558.32</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558.32</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建设系统前端数</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14</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套</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14</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60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保障社会治安防控</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有效保障</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有效保障</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民警满意度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成本指标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经济成本指标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成本控制率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按照年初制定的绩效目标，对各项指标进行了自评，各项指标均已完成，自评得分为100分；通过该项目的实施，有效保障了社会治安防控，提升办案民警满意度。</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项目负责人：程茂勤</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51320023T000007904229-金融情报研判中心建设项目</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为贯彻落实党中央、国务院决策部署，依法严惩全州经济违法犯罪活动，加强经济金融违法源头治理，完善打击治理经济违法犯罪协作机制。</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按照年初制定的绩效目标建设该项目，进一步提升了犯罪嫌疑人抓获率，达到了预期效果，圆满完成年初目标任务。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该项目的建设内容为金融情报研判中心，加强经济金融违法源头治理，完善打击治理经济违法犯罪协作机制。</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49.20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49.20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黑体" w:eastAsia="黑体" w:cs="黑体" w:hint="eastAsia"/>
                <w:i/>
                <w:iCs/>
                <w:color w:val="000000"/>
                <w:sz w:val="18"/>
                <w:szCs w:val="18"/>
                <w:u w:val="none"/>
              </w:rPr>
            </w:pP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49.20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49.20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54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经济犯罪嫌疑人抓获率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85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85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项目完工合格率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98</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使用年限</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3</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52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提升经济案件破获率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显萫提升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显著提升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实现群众满意度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按照年初制定的绩效目标，对各项指标进行了自评，各项指标均已完成，自评得分为100分；通过该项目的实施，有效提升了经济案件破获率，提升办案民警满意度。</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项目负责人：雍天权</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51320023T000007904232-****备更新</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186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随着通信、科技技术的发展，陈旧设备不能适应新的工作开展和全省的集中侦控平台需求。按照公安部、省公安厅要求，根据省厅统一要求，选取相匹配的设备生产厂家（具备公安部列装）的设备。一是强化技侦专业技术能力水平，提升对案件的侦察力度。二是强化技侦办案能力水平，通过适时监控掌握可疑人员及案件情况。</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按照年初制定的绩效目标建设该项目，建设系统1套，进一步提升破案效率，达到了预期效果，圆满完成年初目标任务。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该项目的建设内容为采购****设备、建设系统1套，强化技侦专业技术能力水平，提升对案件的侦查力度。</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80.00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78.80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78.80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黑体" w:eastAsia="黑体" w:cs="黑体" w:hint="eastAsia"/>
                <w:i/>
                <w:iCs/>
                <w:color w:val="000000"/>
                <w:sz w:val="18"/>
                <w:szCs w:val="18"/>
                <w:u w:val="none"/>
              </w:rPr>
            </w:pP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5"/>
                <w:szCs w:val="15"/>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80.00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78.80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78.80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建设系统</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套</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项目建设合格率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98</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项目建设完成年限</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2023</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2023</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提升破案效率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显著提升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使用人员满意度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按照年初制定的绩效目标，对各项指标进行了自评，各项指标均已完成，自评得分为100分；通过该项目的实施，有效提升了破案效率，满意度达95%。</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项目负责人：桑吉泽让</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632"/>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51320023T000007904235-****改造</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144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基于网络安全等级保护管理理念，建设全州****闭环管理体系，实现从终端入网合规检测、终端使用安全管控、到终端报废退网后的横向联动闭环管控；以及统筹全网终端介质、外设端口、一机两用等终端安全策略，帮助阿坝州****快速掌握全州****的终端违规操作行为信息的纵向集中统一管理。</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按照年初制定的绩效目标建设该项目，改造系统1套，进一步提升****安全，达到了预期效果，圆满完成年初目标任务。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该项目经费有效保障了****安全改造，改造系统1套，实现从终端入网合规检测、终端使用安全管控、到终端报废退网后的横向联动闭环管控。</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19.02</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16.14</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16.14</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8</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iCs/>
                <w:color w:val="000000"/>
                <w:sz w:val="18"/>
                <w:szCs w:val="18"/>
                <w:u w:val="none"/>
              </w:rPr>
            </w:pPr>
            <w:r>
              <w:rPr>
                <w:rFonts w:ascii="黑体" w:eastAsia="黑体" w:cs="黑体" w:hint="eastAsia"/>
                <w:i/>
                <w:iCs/>
                <w:color w:val="000000"/>
                <w:kern w:val="0"/>
                <w:sz w:val="18"/>
                <w:szCs w:val="18"/>
                <w:u w:val="none"/>
                <w:lang w:val="en-US" w:eastAsia="zh-CN"/>
              </w:rPr>
              <w:t>根据具体工作实际，对年初预算资金进行了调减。</w:t>
            </w: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19.02</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16.14</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16.14</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改造系统数量</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套</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项目改造完成率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项目建设年限</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60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提升网络信息安全</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显著提升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民警满意度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按照年初制定的绩效目标，对各项指标进行了自评，各项指标均已完成，自评得分为100分；通过该项目的实施，有效提升网络信息安全，满意度达95%。</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年初预算编制不精准。</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强化预算编制。</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项目负责人：桑吉泽让</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51320023T000007904238-护网专项行动网络安全防护服务</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118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通过购买护网专项行动网络安全防护服务，选定省内网络专业攻防技术团队扮演攻击角色队伍，对我州各大网站、重要信息系统开展实战攻防检测，发现漏洞隐患，及时整改，消除风险隐患。</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按照年初制定的绩效目标建设该项目，完成项目服务1项，进一步提升发现网络安全风险隐患，达到了预期效果，圆满完成年初目标任务。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该项目经费有效保障了护网专项行动网络安全防护服务，对我州各大网站、重要信息系统开展实战攻防检测，发现漏洞隐患，及时整改，消除风险隐患。</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25.00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24.60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24.60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黑体" w:eastAsia="黑体" w:cs="黑体" w:hint="eastAsia"/>
                <w:i/>
                <w:iCs/>
                <w:color w:val="000000"/>
                <w:sz w:val="18"/>
                <w:szCs w:val="18"/>
                <w:u w:val="none"/>
              </w:rPr>
            </w:pP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25.00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24.60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24.60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完成项目服务</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项目完成率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98</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购买服务时限</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提升发现网络安全风险隐患</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显著提升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52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提升使用民警满意度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按照年初制定的绩效目标，对各项指标进行了自评，各项指标均已完成，自评得分为100分；通过该项目的实施，有效提升发现网络安全风险隐患能力，满意度达95%。</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项目负责人：胡晓桃</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51320023T000007904241-监管监控指挥中心设备维护费</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完善监管监控指挥中心运行，确保部、省、州监管部门能随时巡查到各监所。</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按照年初制定的绩效目标建设该项目，完成监管场所监控指挥中心设备1套，进一步提升全州监所安全隐患，达到了预期效果，圆满完成年初目标任务。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该项目经费有效保障了监管监控指挥中心设备维护工作，完成监管场所监控指挥中心设备采购1套，完善监管监控指挥中心运行，确保部、省、州监管部门能随时巡查到各监所。</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25.00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20.76</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20.76</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8</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iCs/>
                <w:color w:val="000000"/>
                <w:sz w:val="18"/>
                <w:szCs w:val="18"/>
                <w:u w:val="none"/>
              </w:rPr>
            </w:pPr>
            <w:r>
              <w:rPr>
                <w:rFonts w:ascii="黑体" w:eastAsia="黑体" w:cs="黑体" w:hint="eastAsia"/>
                <w:i/>
                <w:iCs/>
                <w:color w:val="000000"/>
                <w:kern w:val="0"/>
                <w:sz w:val="18"/>
                <w:szCs w:val="18"/>
                <w:u w:val="none"/>
                <w:lang w:val="en-US" w:eastAsia="zh-CN"/>
              </w:rPr>
              <w:t>根据具体工作实际，对年初预算资金进行了调减。</w:t>
            </w: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25.00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20.76</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20.76</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监管场所监控指挥中心设备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套</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项目完成合格率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完成项目年限</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2023</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2023</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6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提升全州监所安全稳定</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办公人员满意度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按照年初制定的绩效目标，对各项指标进行了自评，各项指标均已完成，自评得分为98分；通过该项目的实施，有效提升全州监所安全稳定，满意度达95%。</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年初预算编制不精准。</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强化预算编制。</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项目负责人：邓中</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51320023T000007904244-联合指挥部合成作战中心</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推进侦查方式的转变创新，进一步提高侦查水平，提升执法办案水平，实现“多破案、快破案、办好案”的目标。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按照年初制定的绩效目标建设该项目，完成作战中心建设一套，进一步保障社会人民群众生命财产安全，达到了预期效果，圆满完成年初目标任务。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该项目经费，有效保障了联合指挥部合成作战中心建设，进一步提高侦查水平，提升执法办案水平，实现“多破案、快破案、办好案”的目标。</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70.00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69.58</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68.75</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98.81%</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iCs/>
                <w:color w:val="000000"/>
                <w:sz w:val="18"/>
                <w:szCs w:val="18"/>
                <w:u w:val="none"/>
              </w:rPr>
            </w:pPr>
            <w:r>
              <w:rPr>
                <w:rFonts w:ascii="黑体" w:eastAsia="黑体" w:cs="黑体" w:hint="eastAsia"/>
                <w:i/>
                <w:iCs/>
                <w:color w:val="000000"/>
                <w:kern w:val="0"/>
                <w:sz w:val="18"/>
                <w:szCs w:val="18"/>
                <w:u w:val="none"/>
                <w:lang w:val="en-US" w:eastAsia="zh-CN"/>
              </w:rPr>
              <w:t>因项目合同金额较预算金额少，预算资金未执行完。</w:t>
            </w: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70.00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69.58</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68.75</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98.81%</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建设项目</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处</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建设项目合格率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99</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98</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项目建设年限</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2023</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2023</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保障社会人民群众生命财产安全</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有效保障</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有效保障</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人民群众满意度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96</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按照年初制定的绩效目标，对各项指标进行了自评，各项指标均已完成，自评得分为96分；通过该项目的实施，有效保障了社会人民群众生命财产安全，满意度达95%。</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年初预算编制不精准。</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强化预算编制。</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项目负责人：张丽娜</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51320023T000007904247-视觉计算边缘节点（三期）</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150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在视觉计算边缘节点（2021年一期）和2022年（二期）的基础上，一是对系统视频解析能力进行扩容，增加1000路视频解析、500路人脸解析、100W张/天车辆解析能力；二是对结构化数据资源池进行扩容，增加1PB存储能力，通过信息化建设提高侦查破案能力。</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按照年初制定的绩效目标建设该项目，完成视觉边缘节点系统建设一套，进一步提升社会治安秩序，达到了预期效果，圆满完成年初目标任务。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该项目经费有效保障了视觉计算边缘节点（三期）项目的建设内容，对结构化数据资源池进行扩容，增加1PB存储能力，通过信息化建设提高侦查破案能力。</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85.00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796.00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323.38</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40.63%</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iCs/>
                <w:color w:val="000000"/>
                <w:sz w:val="18"/>
                <w:szCs w:val="18"/>
                <w:u w:val="none"/>
              </w:rPr>
            </w:pPr>
            <w:r>
              <w:rPr>
                <w:rFonts w:ascii="黑体" w:eastAsia="黑体" w:cs="黑体" w:hint="eastAsia"/>
                <w:i/>
                <w:iCs/>
                <w:color w:val="000000"/>
                <w:kern w:val="0"/>
                <w:sz w:val="18"/>
                <w:szCs w:val="18"/>
                <w:u w:val="none"/>
                <w:lang w:val="en-US" w:eastAsia="zh-CN"/>
              </w:rPr>
              <w:t>部分项目资金为各县市设备款，按合同进度支付资金，故未完成资金支付。</w:t>
            </w: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85.00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84.58</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84.58</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711.43</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238.80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33.57%</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建设系统一套</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案件数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系统建设率达标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98</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系统使用年限</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50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显著提升社会治安有序</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显著提升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视频图像侦查民警满意</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92</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按照年初制定的绩效目标，对各项指标进行了自评，各项指标均已完成，自评得分为92分；通过该项目的实施，显著提升了社会治安秩序，满意度达95%。</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项目资金支付未完成</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加强预算资金支付</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项目负责人：程茂勤</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i w:val="0"/>
                <w:iCs w:val="0"/>
                <w:color w:val="000000"/>
                <w:kern w:val="0"/>
                <w:sz w:val="18"/>
                <w:szCs w:val="18"/>
                <w:u w:val="none"/>
                <w:lang w:val="en-US" w:eastAsia="zh-CN"/>
              </w:rPr>
            </w:pP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i w:val="0"/>
                <w:iCs w:val="0"/>
                <w:color w:val="000000"/>
                <w:kern w:val="0"/>
                <w:sz w:val="18"/>
                <w:szCs w:val="18"/>
                <w:u w:val="none"/>
                <w:lang w:val="en-US" w:eastAsia="zh-CN"/>
              </w:rPr>
            </w:pPr>
          </w:p>
        </w:tc>
      </w:tr>
      <w:tr>
        <w:trPr>
          <w:trHeight w:val="59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51320023T000007904250-大数据实战特色应用（三期）</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132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在大数据特色应用2021年（一期）和2022年（二期）的基础上，增加基础数据采集、智慧政保、智慧经侦、安全审计、公文流转、案件管理等相关应用。</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按照年初制定的绩效目标建设该项目，完成系统建设一套、侦查模型50个，进一步提升案件技术侦破率，达到了预期效果，圆满完成年初目标任务。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该项目经费有效保障了大数据实战特色应用（三期）项目的建设，完成系统建设一套、侦查模型50个，增加基础数据采集、智慧政保、智慧经侦、安全审计、公文流转、案件管理等相关应用。</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45.00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497.97</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497.97</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iCs/>
                <w:color w:val="000000"/>
                <w:sz w:val="18"/>
                <w:szCs w:val="18"/>
                <w:u w:val="none"/>
              </w:rPr>
            </w:pPr>
            <w:r>
              <w:rPr>
                <w:rFonts w:ascii="黑体" w:eastAsia="黑体" w:cs="黑体" w:hint="eastAsia"/>
                <w:i/>
                <w:iCs/>
                <w:color w:val="000000"/>
                <w:kern w:val="0"/>
                <w:sz w:val="18"/>
                <w:szCs w:val="18"/>
                <w:u w:val="none"/>
                <w:lang w:val="en-US" w:eastAsia="zh-CN"/>
              </w:rPr>
              <w:t>部分项目资金为各县市设备款，故预算执行数大于年初预算数。</w:t>
            </w: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5"/>
                <w:szCs w:val="15"/>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45.00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44.82</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44.82</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453.15</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453.15</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完成系统建设一套，建设侦查模型50个，100%完成</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98</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64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建设大数据完工率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98</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系统建设年度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2023</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2023</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8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提升案件技术侦破率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70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3"/>
                <w:szCs w:val="13"/>
                <w:u w:val="none"/>
                <w:lang w:val="en-US" w:eastAsia="zh-CN"/>
              </w:rPr>
              <w:t>更好的开展公安工作提升民警满意度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按照年初制定的绩效目标，对各项指标进行了自评，各项指标均已完成，自评得分为100分；通过该项目的实施，有效提升了案件技术侦破率，满意度达95%。</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项目负责人：程茂勤</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51320023T000007904253-视频会议系统运维服务</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根据实际工作需求，阿坝州公安局现有运维服务于2023年到期，需重新开展服务购买，以确保所有会议正常开展。</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按照年初制定的绩效目标建设该项目，全年开展公安视频会议50次以上、有效完成了全州公安视频会议的保障工作，达到了预期效果，圆满完成年初目标任务。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该项目经费有效保障了视频会议系统运维服务项目的实施，保障了公安视频会议的正常开展，确保会议正常开展。</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14.40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48.00%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iCs/>
                <w:color w:val="000000"/>
                <w:sz w:val="18"/>
                <w:szCs w:val="18"/>
                <w:u w:val="none"/>
              </w:rPr>
            </w:pPr>
            <w:r>
              <w:rPr>
                <w:rFonts w:ascii="黑体" w:eastAsia="黑体" w:cs="黑体" w:hint="eastAsia"/>
                <w:i/>
                <w:iCs/>
                <w:color w:val="000000"/>
                <w:kern w:val="0"/>
                <w:sz w:val="18"/>
                <w:szCs w:val="18"/>
                <w:u w:val="none"/>
                <w:lang w:val="en-US" w:eastAsia="zh-CN"/>
              </w:rPr>
              <w:t>因该项目于6月签订合同，故在年度前只支付了2个季度的服务费，导致预算执行率为48%</w:t>
            </w: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5"/>
                <w:szCs w:val="15"/>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14.40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48.00%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50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全州公安视频会议开展数</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次</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完成全州公安视频会议保障年限</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8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开展运维服务时间</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56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保障会议正常开展</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有效保障</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有效保障</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参会民警满意度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94</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按照年初制定的绩效目标，对各项指标进行了自评，各项指标均已完成，自评得分为94分；通过该项目的实施，保障了公安视频会议的正常开展，满意度达100%。</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项目负责人：程茂勤</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51320023T000007904259-PDT系统运维（含州局基建维护）</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对PDT系统开展运维服务，确保PDT使用正常。</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按照年初制定的绩效目标建设该项目，完成PDT系统一年的运行维护工作，实现安保通信顺畅，达到了预期效果，圆满完成年初目标任务。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该项目经费有效保障了PDT系统运维，确保PDT使用正常。</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15.00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9.33</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9.33</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iCs/>
                <w:color w:val="000000"/>
                <w:sz w:val="18"/>
                <w:szCs w:val="18"/>
                <w:u w:val="none"/>
              </w:rPr>
            </w:pPr>
            <w:r>
              <w:rPr>
                <w:rFonts w:ascii="黑体" w:eastAsia="黑体" w:cs="黑体" w:hint="eastAsia"/>
                <w:i/>
                <w:iCs/>
                <w:color w:val="000000"/>
                <w:kern w:val="0"/>
                <w:sz w:val="18"/>
                <w:szCs w:val="18"/>
                <w:u w:val="none"/>
                <w:lang w:val="en-US" w:eastAsia="zh-CN"/>
              </w:rPr>
              <w:t>根据具体工作实际，对年初预算资金进行了调减。</w:t>
            </w: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15.00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9.33</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9.33</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完成PDT系统运维能力</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PDT系统运行合格率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54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实现PDT系统运行维护年限</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52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保障安保通信顺畅</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有效保障</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有效保障</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使用民警满意度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96</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按照年初制定的绩效目标，对各项指标进行了自评，各项指标均已完成，自评得分为96分；通过该项目的实施，实现PDT系统正常运行，满意度达90%。</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年初预算编制不精准。</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强化预算编制。</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项目负责人：程茂勤</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51320023T000007904262-八楼指挥大厅大屏更换</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该项目的实施，有效确保州委、州政府和州委政法委等州级部门针对全州召开的视频会议正常开展。</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按照年初制定的绩效目标建设该项目，全年更换一套大屏，提升了会议质量，达到了预期效果，圆满完成年初目标任务。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该项目经费，有效保障了八楼指挥大厅大屏更换项目的实施，完成一套大屏更换，确保州委、州政府和州委政法委等州级部门针对全州召开的视频会议正常开展。</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88.17</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97.97%</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8</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iCs/>
                <w:color w:val="000000"/>
                <w:sz w:val="18"/>
                <w:szCs w:val="18"/>
                <w:u w:val="none"/>
              </w:rPr>
            </w:pPr>
            <w:r>
              <w:rPr>
                <w:rFonts w:ascii="黑体" w:eastAsia="黑体" w:cs="黑体" w:hint="eastAsia"/>
                <w:i/>
                <w:iCs/>
                <w:color w:val="000000"/>
                <w:kern w:val="0"/>
                <w:sz w:val="18"/>
                <w:szCs w:val="18"/>
                <w:u w:val="none"/>
                <w:lang w:val="en-US" w:eastAsia="zh-CN"/>
              </w:rPr>
              <w:t>因项目合同金额较预算金额少，预算资金未执行完。</w:t>
            </w: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88.17</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97.97%</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48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完成大屏更换数量</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套</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大屏使用合格率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系统建设年限</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提升会议质量</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使用民警满意度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按照年初制定的绩效目标，对各项指标进行了自评，各项指标均已完成，自评得分为98分；通过该项目的实施，有效提升会议质量，满意度达90%。</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年初预算编制不精准。</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强化预算编制。</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项目负责人：程茂勤</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51320023T000007904265-智慧电子卡口</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加快构建机场现代化治安防控体系，确保机场空防安全、人民群众出行安全。</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按照年初制定的绩效目标建设该项目，全年完成系统建设2套、提升违法犯罪人员分析追踪，达到了预期效果，圆满完成年初目标任务。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该项目经费有效保障了智慧电子卡口的实施，建设系统2套、提升违法犯罪人员分析追踪能力，确保机场空防安全、人民群众出行安全。</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24.00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23.43</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23.43</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iCs/>
                <w:color w:val="000000"/>
                <w:sz w:val="18"/>
                <w:szCs w:val="18"/>
                <w:u w:val="none"/>
              </w:rPr>
            </w:pPr>
            <w:r>
              <w:rPr>
                <w:rFonts w:ascii="黑体" w:eastAsia="黑体" w:cs="黑体" w:hint="eastAsia"/>
                <w:i/>
                <w:iCs/>
                <w:color w:val="000000"/>
                <w:kern w:val="0"/>
                <w:sz w:val="18"/>
                <w:szCs w:val="18"/>
                <w:u w:val="none"/>
                <w:lang w:val="en-US" w:eastAsia="zh-CN"/>
              </w:rPr>
              <w:t>根据具体工作实际，对年初预算资金进行了调减。</w:t>
            </w: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24.00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23.43</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23.43</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系统建设数量</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套</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系统合格验收率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使用年限</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64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提升违法犯罪人员分析追踪能力</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办公人员满意度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按照年初制定的绩效目标，对各项指标进行了自评，各项指标均已完成，自评得分为100分；通过该项目的实施，有效提升违法犯罪人员分析追踪能力，满意度达90%。</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项目负责人：程茂勤</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51320023T000007904268-阿坝州新闻传媒中心公安宣传费</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150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继续与阿坝州新闻传媒中心合作，加大阿坝公安宣传力度，展示人民警察良好的精神风貌，提升公安机关的社会形象。拍摄制作阿坝公安2013-2023十年公安工作宣传片，其中包括脚本撰写、视频拍摄、后期制作等费用。通过宣传片展示阿坝公安民警扎根高原，无私奉献，忠诚履职的良好形象。</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按照年初制定的绩效目标建设该项目，全年完成宣传工作20次以上、有效提升公安对违法犯罪震慑力，达到了预期效果，圆满完成年初目标任务。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该项目经费有效保障了阿坝州新闻传媒中心公安宣传费，全年完成宣传工作20次以上、有效提升公安对违法犯罪震慑力，展示阿坝公安民警扎根高原，无私奉献，忠诚履职的良好形象。</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26.00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22.68</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22.68</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7</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iCs/>
                <w:color w:val="000000"/>
                <w:sz w:val="18"/>
                <w:szCs w:val="18"/>
                <w:u w:val="none"/>
              </w:rPr>
            </w:pPr>
            <w:r>
              <w:rPr>
                <w:rFonts w:ascii="黑体" w:eastAsia="黑体" w:cs="黑体" w:hint="eastAsia"/>
                <w:i/>
                <w:iCs/>
                <w:color w:val="000000"/>
                <w:kern w:val="0"/>
                <w:sz w:val="18"/>
                <w:szCs w:val="18"/>
                <w:u w:val="none"/>
                <w:lang w:val="en-US" w:eastAsia="zh-CN"/>
              </w:rPr>
              <w:t>根据具体工作实际，对年初预算资金进行了调减。</w:t>
            </w: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26.00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22.68</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22.68</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宣传数量</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次</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完成宣传率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实现宣传年限</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提升公安对违法犯罪震慑力</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群众满意度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97</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按照年初制定的绩效目标，对各项指标进行了自评，各项指标均已完成，自评得分为97分；通过该项目的实施，有效提升公安对违法犯罪震慑力，满意度达90%。</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项目负责人：黄元正</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51320023T000007904277-****系统</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包含各种**信息的拦截，对接收**信息对象实施实时预警，最大力度减少群众损失；同时接听群众**诉求电话并实施处置，避免造成信访事件。</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按照年初制定的绩效目标建设该项目，全年完成系统建设1套、有效提升***破案率，达到了预期效果，圆满完成年初目标任务。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该项目经费有效保障了****系统建设，建设系统1套、有效提升****破案率，对接收**信息对象实施实时预警，最大力度减少群众损失。</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150.00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117.60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25.68</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21.84%</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iCs/>
                <w:color w:val="000000"/>
                <w:sz w:val="18"/>
                <w:szCs w:val="18"/>
                <w:u w:val="none"/>
              </w:rPr>
            </w:pPr>
            <w:r>
              <w:rPr>
                <w:rFonts w:ascii="黑体" w:eastAsia="黑体" w:cs="黑体" w:hint="eastAsia"/>
                <w:i/>
                <w:iCs/>
                <w:color w:val="000000"/>
                <w:kern w:val="0"/>
                <w:sz w:val="15"/>
                <w:szCs w:val="15"/>
                <w:u w:val="none"/>
                <w:lang w:val="en-US" w:eastAsia="zh-CN"/>
              </w:rPr>
              <w:t>该项目在年底前未验收，只支付了合同首付，导致预算执行率为21.84%，剩余资金已结转至2024年继续实施。</w:t>
            </w: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5"/>
                <w:szCs w:val="15"/>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150.00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117.60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25.68</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21.84%</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系统建设数</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套</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系统建设完工率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系统完成时间</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2023</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2023</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提升**破案率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显萫提升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显萫提升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使用民警满意度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成本指标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经济成本指标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项目经济成本</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150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万元</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25.68</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84</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按照年初制定的绩效目标，对各项指标进行了自评，项目因在年底前未验收，只支付了合同首付，导致预算执行率为21.84%，自评得分为84分；通过该项目的实施，有效提升电信诈骗破案率，满意度达95%。</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该项目在年底前未验收，只支付了合同首付，导致预算执行率为21.84%</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项目资金结转至2024年，在2024年度加快项目执行进度。</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项目负责人：彭清春</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682"/>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51320023T000007904280-阿坝州公安局档案管理系统升级改造及数字档案室建设</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2868"/>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1"/>
                <w:szCs w:val="11"/>
                <w:u w:val="none"/>
                <w:lang w:val="en-US" w:eastAsia="zh-CN"/>
              </w:rPr>
              <w:t>按公安部的要求，以档案信息资源建设为核心，以档案信息资源的全方位利用为目的，利用先进的开发平台及网络技术、信息处理技术、图像处理技术、光盘刻录技术、压缩存储技术，在州局统一构建数字化档案馆（室），推动户籍档案电子化，库存档案资源数字化、增量档案电子化，建立全文检索数据库，实现档案信息资源的网络化管理，形成信息化条件下公安档案科学管理和服务利用工作体系，为我局公安档案信息化建设和应用提供公共的技术环境和服务支撑，满足跨地区、跨部门、跨层级档案信息共享的需要。促进公共档案服务能力的拓展和实现档案信息资源的社会共享，服务于民生，服务于公安工作。同时，支撑软件运行的服务器也急需换新，经科通技术的评估，原有的服务器已经老化严重，并发出报警。现已将数据备份到硬盘内，防止服务器崩溃后面临数据丢失的严重问题。</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按照年初制定的绩效目标建设该项目，全年完成系统建设1套、有效保障资料完整可查，达到了预期效果，圆满完成年初目标任务。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该项目经费有效保障阿坝州公安局档案管理系统升级改造及数字档案室建设，系统建设1套，促进公共档案服务能力的拓展和实现档案信息资源的社会共享，服务于民生，服务于公安工作。</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87.48</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18.62</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18.62</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iCs/>
                <w:color w:val="000000"/>
                <w:sz w:val="18"/>
                <w:szCs w:val="18"/>
                <w:u w:val="none"/>
              </w:rPr>
            </w:pPr>
            <w:r>
              <w:rPr>
                <w:rFonts w:ascii="黑体" w:eastAsia="黑体" w:cs="黑体" w:hint="eastAsia"/>
                <w:i/>
                <w:iCs/>
                <w:color w:val="000000"/>
                <w:kern w:val="0"/>
                <w:sz w:val="18"/>
                <w:szCs w:val="18"/>
                <w:u w:val="none"/>
                <w:lang w:val="en-US" w:eastAsia="zh-CN"/>
              </w:rPr>
              <w:t>因项目合同金额较预算金额少，预算资金未执行完。</w:t>
            </w: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5"/>
                <w:szCs w:val="15"/>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87.48</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18.62</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18.62</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1"/>
                <w:szCs w:val="11"/>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系统建设数量</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套</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1</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系统建设完工率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100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100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系统建设年限</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2023</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2023</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72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保障档案资料完整可查</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有效保障</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有效保障</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服务对象满意度指标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办案民警满意度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成本指标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经济成本指标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系统建设成本</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87.48</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万元</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18.62</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5"/>
                <w:szCs w:val="15"/>
                <w:u w:val="none"/>
              </w:rPr>
            </w:pPr>
            <w:r>
              <w:rPr>
                <w:rFonts w:ascii="宋体" w:eastAsia="宋体" w:cs="宋体"/>
                <w:i w:val="0"/>
                <w:iCs w:val="0"/>
                <w:color w:val="000000"/>
                <w:kern w:val="0"/>
                <w:sz w:val="15"/>
                <w:szCs w:val="15"/>
                <w:u w:val="none"/>
                <w:lang w:val="en-US" w:eastAsia="zh-CN"/>
              </w:rPr>
              <w:t>7</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88</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按照年初制定的绩效目标，对各项指标进行了自评，各项指标均已完成，自评得分为88分；通过该项目的实施，有效保障了档案资料完整可查，满意度达95%。</w:t>
            </w:r>
          </w:p>
        </w:tc>
      </w:tr>
      <w:tr>
        <w:trPr>
          <w:trHeight w:val="350"/>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1"/>
                <w:szCs w:val="11"/>
                <w:u w:val="none"/>
              </w:rPr>
            </w:pPr>
            <w:r>
              <w:rPr>
                <w:rFonts w:ascii="宋体" w:eastAsia="宋体" w:cs="宋体"/>
                <w:i w:val="0"/>
                <w:iCs w:val="0"/>
                <w:color w:val="000000"/>
                <w:kern w:val="0"/>
                <w:sz w:val="11"/>
                <w:szCs w:val="11"/>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年初预算编制不精准。</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1"/>
                <w:szCs w:val="11"/>
                <w:u w:val="none"/>
              </w:rPr>
            </w:pPr>
            <w:r>
              <w:rPr>
                <w:rFonts w:ascii="宋体" w:eastAsia="宋体" w:cs="宋体"/>
                <w:i w:val="0"/>
                <w:iCs w:val="0"/>
                <w:color w:val="000000"/>
                <w:kern w:val="0"/>
                <w:sz w:val="11"/>
                <w:szCs w:val="11"/>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强化预算编制。</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项目负责人：高建</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51320023T000008050741-川烟经营市场维护工作经费</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根据阿州财建（2022）112号文件，下达我局川烟经营市场维护工作经费5万元。</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按照年初制定的绩效目标建设该项目，全年查处案件2次以上、检查烟草市场，达到了预期效果，圆满完成年初目标任务。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该项目为阿州财建（2022）112号文件，下达我局川烟经营市场维护工作经费5万元，全年查处案件2次以上、检查烟草市场，进一步提升了吸烟群众满意度。</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4.92</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4.92</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黑体" w:eastAsia="黑体" w:cs="黑体" w:hint="eastAsia"/>
                <w:i/>
                <w:iCs/>
                <w:color w:val="000000"/>
                <w:sz w:val="18"/>
                <w:szCs w:val="18"/>
                <w:u w:val="none"/>
              </w:rPr>
            </w:pP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4.92</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4.92</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查处案件</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次</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检查烟草市场</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次</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维护烟草市场</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提升吸烟群众满意度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按照年初制定的绩效目标，对各项指标进行了自评，各项指标均已完成，自评得分为100分；通过该项目的实施，有效提升了吸烟群众满意度。</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项目负责人：林兴金</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hint="eastAsia"/>
              </w:rPr>
            </w:pPr>
          </w:p>
          <w:p>
            <w:pPr>
              <w:pStyle w:val="27"/>
              <w:rPr>
                <w:rFonts w:hint="eastAsia"/>
              </w:rPr>
            </w:pPr>
          </w:p>
        </w:tc>
        <w:tc>
          <w:tcPr>
            <w:tcW w:w="12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51320023T000008081877-***维护费</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对阿坝州公安局****进行维护，达到良好使用效果，提升破案能力</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按照年初制定的绩效目标建设该项目，全年维护设备20套以上、有效打击违法犯罪行为，达到了预期效果，圆满完成年初目标任务。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该项目经费有效保障了****工作的开展，对阿坝州公安局****进行维护，达到良好使用效果，提升破案能力。</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38.57</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19.29</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iCs/>
                <w:color w:val="000000"/>
                <w:sz w:val="18"/>
                <w:szCs w:val="18"/>
                <w:u w:val="none"/>
              </w:rPr>
            </w:pPr>
            <w:r>
              <w:rPr>
                <w:rFonts w:ascii="黑体" w:eastAsia="黑体" w:cs="黑体" w:hint="eastAsia"/>
                <w:i/>
                <w:iCs/>
                <w:color w:val="000000"/>
                <w:kern w:val="0"/>
                <w:sz w:val="18"/>
                <w:szCs w:val="18"/>
                <w:u w:val="none"/>
                <w:lang w:val="en-US" w:eastAsia="zh-CN"/>
              </w:rPr>
              <w:t>该项目经费按合同规定支付项目资金，年底前完成50%资金的支付，剩余资金结转至2024年继续实施。</w:t>
            </w: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38.57</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19.29</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维护设备数量</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套</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设备维护合格率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设备维护年度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2023</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2023</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54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打击违法犯罪行为</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有效保障</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有效保障</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办案民警满意度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按照年初制定的绩效目标，对各项指标进行了自评，各项指标均已完成，自评得分为95分；通过该项目的实施，有效提升了打击违法犯罪行为。</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项目实施进度滞后。</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项目结余资金已结转至2024年，在下一年度加快项目执行。</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项目负责人：赫金</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51320023T000008586734-****项目</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该项目为****资金。主要保障阿坝州公安局民警办案相关差旅费、燃油费及重大安保、应急处突等相关费用</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按照年初制定的绩效目标建设该项目，有效保障民警办案相关差旅费、燃油费及重大安保、应急处突等相关费用，达到了预期效果，圆满完成年初目标任务。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该项目经费为****资金。主要保障阿坝州公安局办案相关差旅费、燃油费及重大安保、应急处突等费用。</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488.00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457.31</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457.31</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8</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iCs/>
                <w:color w:val="000000"/>
                <w:sz w:val="18"/>
                <w:szCs w:val="18"/>
                <w:u w:val="none"/>
              </w:rPr>
            </w:pPr>
            <w:r>
              <w:rPr>
                <w:rFonts w:ascii="黑体" w:eastAsia="黑体" w:cs="黑体" w:hint="eastAsia"/>
                <w:i/>
                <w:iCs/>
                <w:color w:val="000000"/>
                <w:kern w:val="0"/>
                <w:sz w:val="18"/>
                <w:szCs w:val="18"/>
                <w:u w:val="none"/>
                <w:lang w:val="en-US" w:eastAsia="zh-CN"/>
              </w:rPr>
              <w:t>年底对项目结余资金进行了上交。</w:t>
            </w: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488.00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457.31</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457.31</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办案民警数</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700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人</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700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破获案件数</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案件数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60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保障社会治安稳定</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显萫提升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显萫提升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群众满意度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办案民警满意度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按照年初制定的绩效目标，对各项指标进行了自评，各项指标均已完成，自评得分为98分；通过该项目的实施，有效保障了社会治安稳定，满意度达95%。</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项目负责人：林兴金</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hint="eastAsia"/>
              </w:rPr>
            </w:pPr>
          </w:p>
          <w:p>
            <w:pPr>
              <w:pStyle w:val="27"/>
              <w:rPr>
                <w:rFonts w:hint="eastAsia"/>
              </w:rPr>
            </w:pPr>
          </w:p>
        </w:tc>
        <w:tc>
          <w:tcPr>
            <w:tcW w:w="12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51320023T000009361959-视频专网漏洞扫描、违规外联监测（ZY）</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 xml:space="preserve">州公安局部门   </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180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为****经费项目，共计80万元，主要为视频专网漏洞扫描、违规外联监测。通过项目实施，有效保障阿坝州公安视频网数据信息安全，加强感知预警、动态防御、应急响应等能力，以提升安全监管能力为重点，需建立从“资产安全、空间测绘、边界安全、网络攻击、异常访问、违规行为以及安全隐患、安全处置”等多维度构建的全方位、一体化的网络安全保障体系。</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按照年初制定的绩效目标建设该项目，全年建设专网安全扫描系统设备1套，达到了预期效果，圆满完成年初目标任务。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该项目经费有效保障了视频专网漏洞扫描、违规外联监测（ZY）项目经费，项目建设专网安全扫描系统设备1套，主要为视频专网漏洞扫描、违规外联监测，构建的全方位、一体化的网络安全保障体系。</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80.00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79.20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99.00%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iCs/>
                <w:color w:val="000000"/>
                <w:sz w:val="18"/>
                <w:szCs w:val="18"/>
                <w:u w:val="none"/>
              </w:rPr>
            </w:pPr>
            <w:r>
              <w:rPr>
                <w:rFonts w:ascii="黑体" w:eastAsia="黑体" w:cs="黑体" w:hint="eastAsia"/>
                <w:i/>
                <w:iCs/>
                <w:color w:val="000000"/>
                <w:kern w:val="0"/>
                <w:sz w:val="18"/>
                <w:szCs w:val="18"/>
                <w:u w:val="none"/>
                <w:lang w:val="en-US" w:eastAsia="zh-CN"/>
              </w:rPr>
              <w:t>因项目合同金额较预算金额少，预算资金未执行完。</w:t>
            </w: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5"/>
                <w:szCs w:val="15"/>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80.00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79.20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99.00%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建设对专网进行安全扫描系统</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套</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设备检测率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4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提高使用者满意度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2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成本指标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经济成本指标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确保专网安全使用率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99</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按照年初制定的绩效目标，对各项指标进行了自评，各项指标均已完成，自评得分为99分；通过该项目的实施，有效确保了专网安全使用率，满意度达95%。</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项目负责人：程茂勤</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59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51320023T000009362023-阿坝州公安局高清视频指挥调度系统（ZY）</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126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建设资金160万元，主要确保高清视频指挥调度系统运维。通过项目实施，实现一条州局至驻外部门和各县市公安局的高清视频指挥调度系统，实现与原系统双向互通，同时满足开展两个音视频同时传输，互为备份。</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按照年初制定的绩效目标建设该项目，全年采购高清会议视频系统1套，有效保障会议培训工作，达到了预期效果，圆满完成年初目标任务。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该项目经费有效保障了阿坝州公安局高清视频指挥调度系统（ZY）的实施，全年采购高清会议视频系统1套、主要确保高清视频指挥调度系统运维，有效保障会议培训工作。</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160.00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158.00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98.75%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8</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iCs/>
                <w:color w:val="000000"/>
                <w:sz w:val="18"/>
                <w:szCs w:val="18"/>
                <w:u w:val="none"/>
              </w:rPr>
            </w:pPr>
            <w:r>
              <w:rPr>
                <w:rFonts w:ascii="黑体" w:eastAsia="黑体" w:cs="黑体" w:hint="eastAsia"/>
                <w:i/>
                <w:iCs/>
                <w:color w:val="000000"/>
                <w:kern w:val="0"/>
                <w:sz w:val="18"/>
                <w:szCs w:val="18"/>
                <w:u w:val="none"/>
                <w:lang w:val="en-US" w:eastAsia="zh-CN"/>
              </w:rPr>
              <w:t>因项目合同金额较预算金额少，预算资金未执行完。</w:t>
            </w: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160.00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158.00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98.75%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采购高清会议系统数量</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套</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项目完成时限</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保障会议次数</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500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场次</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会议培训人员满意度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成本指标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经济成本指标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项目总投入</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160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万元</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158</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18</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96</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按照年初制定的绩效目标，对各项指标进行了自评，各项指标均已完成，自评得分为96分；通过该项目的实施，有效保障会议培训工作的顺利开展，满意度达95%。</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项目负责人：程茂勤</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51320023T000009362114-应急通信设备（ZY）</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112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该项目建设资金39.3万元，项目的实施有效确保应急通信畅通，解决目前设备老化、对星困难、通信不畅等问题，有效提高突发事件处置、抢险救援、大型安保活动等应急处置能力。</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按照年初制定的绩效目标建设该项目，全年购买卫星电话8部、应急对讲机100部，进一步提升了应急通信能力，达到了预期效果，圆满完成年初目标任务。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该项目经费有效保障了应急通信设备（ZY）项目的实施，全年购买卫星电话8部、应急对讲机100部，进一步提升了应急通信能力。</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38.98</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38.98</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黑体" w:eastAsia="黑体" w:cs="黑体" w:hint="eastAsia"/>
                <w:i/>
                <w:iCs/>
                <w:color w:val="000000"/>
                <w:sz w:val="18"/>
                <w:szCs w:val="18"/>
                <w:u w:val="none"/>
              </w:rPr>
            </w:pP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38.98</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38.98</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购买卫星电话</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8</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部</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8</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购买应急对讲机</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部</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60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提高应急通信能力</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有效提升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有效提升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成本指标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经济成本指标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项目建设成本</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38.98</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万元</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38.98</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按照年初制定的绩效目标，对各项指标进行了自评，各项指标均已完成，自评得分为100分；通过该项目的实施，有效提高了应急通信能力，满意度达95%。</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项目负责人：程茂勤</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51320023T000009362143-数字化信息建设项目（ZY）</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该项目建设资金100万元，主要用于数字化信息运行。该项目的实施，能有效提升一楼大厅、四楼会议室信息化系统运行能力，进一步提高工作效率。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按照年初制定的绩效目标建设该项目，进一步提升了数字化系统运行能力，达到了预期效果，圆满完成年初目标任务。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该项目经费有效保障了数字化信息建设项目（ZY）的实施，主要用于数字化信息运行，进一步提升了数字化系统运行能力。</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98.69</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98.69</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黑体" w:eastAsia="黑体" w:cs="黑体" w:hint="eastAsia"/>
                <w:i/>
                <w:iCs/>
                <w:color w:val="000000"/>
                <w:sz w:val="18"/>
                <w:szCs w:val="18"/>
                <w:u w:val="none"/>
              </w:rPr>
            </w:pP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98.69</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98.69</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60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提升数字化系统运行能力</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完成时限</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8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可持续发展指标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提高工作效率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使用人员满意度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按照年初制定的绩效目标，对各项指标进行了自评，各项指标均已完成，自评得分为100分；通过该项目的实施，有效提高了工作效率，满意度达95%。</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项目负责人：程茂勤</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hint="eastAsia"/>
              </w:rPr>
            </w:pPr>
          </w:p>
          <w:p>
            <w:pPr>
              <w:pStyle w:val="27"/>
              <w:rPr>
                <w:rFonts w:hint="eastAsia"/>
              </w:rPr>
            </w:pPr>
          </w:p>
        </w:tc>
        <w:tc>
          <w:tcPr>
            <w:tcW w:w="12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51320023T000009362196-人员基础信息采集设备（ZY）</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113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spacing w:after="180" w:afterAutospacing="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该项目建设资金22.5万元，用于人员基础信息采集，该系统建设后可以全面、安全、高效、准确采集身份、身高体重、体貌特征、声纹、手机银行卡等信息。</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按照年初制定的绩效目标建设该项目，全年办理案件100件以上，达到了预期效果，圆满完成年初目标任务。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该项目经费有效保障了人员基础信息采集设备（ZY），用于人员基础信息采集，全面、安全、高效采集身份信息。</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22.32</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22.32</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黑体" w:eastAsia="黑体" w:cs="黑体" w:hint="eastAsia"/>
                <w:i/>
                <w:iCs/>
                <w:color w:val="000000"/>
                <w:sz w:val="18"/>
                <w:szCs w:val="18"/>
                <w:u w:val="none"/>
              </w:rPr>
            </w:pP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22.32</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22.32</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办理案件数量</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件</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完成时限</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办公人员满意度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按照年初制定的绩效目标，对各项指标进行了自评，各项指标均已完成，自评得分为100分；通过该项目的实施，有效提高了办公民警及社会满意度达。</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项目负责人：刘晓林</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hint="eastAsia"/>
              </w:rPr>
            </w:pPr>
          </w:p>
          <w:p>
            <w:pPr>
              <w:pStyle w:val="27"/>
              <w:rPr>
                <w:rFonts w:hint="eastAsia"/>
              </w:rPr>
            </w:pPr>
          </w:p>
          <w:p>
            <w:pPr>
              <w:rPr>
                <w:rFonts w:hint="eastAsia"/>
              </w:rPr>
            </w:pPr>
          </w:p>
          <w:p>
            <w:pPr>
              <w:pStyle w:val="27"/>
              <w:rPr>
                <w:rFonts w:hint="eastAsia"/>
              </w:rPr>
            </w:pPr>
          </w:p>
        </w:tc>
        <w:tc>
          <w:tcPr>
            <w:tcW w:w="12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51320023T000009362231-****项目（ZY）</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该项目建设资金40万元，主要用于**支队开展****工作。</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按照年初制定的绩效目标建设该项目，全年建设项目数量1个，达到了预期效果，圆满完成年初目标任务。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该项目经费有效保障了****项目的实施，主要用于**支队开展****工作，有效提升了服务对象、使用民警满意度。</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37.66</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37.66</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黑体" w:eastAsia="黑体" w:cs="黑体" w:hint="eastAsia"/>
                <w:i/>
                <w:iCs/>
                <w:color w:val="000000"/>
                <w:sz w:val="18"/>
                <w:szCs w:val="18"/>
                <w:u w:val="none"/>
              </w:rPr>
            </w:pP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37.66</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37.66</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建设项目数量</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套</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项目完成时限</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服务群众满意度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使用民警满意度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成本指标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经济成本指标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建设成本</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37.66</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万元</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37.66</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按照年初制定的绩效目标，对各项指标进行了自评，各项指标均已完成，自评得分为100分；通过该项目的实施，有效提高了办公民警及社会满意度。</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项目负责人：余涛</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51320023T000009362280-****项目</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180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根据《四川省公安特警专业力量装备配备标准》及州庆安保等各项工作要求，以州庆期间参与安保任务的警力标准并结合支队装备现状，按“轻重缓急”原则配备相关专业装备。该项目实施后，有效保障特警支队在大型安保及常态化维稳工作的正常开展，进一步加强了阿坝特警队正规化建设。</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按照年初制定的绩效目标建设该项目，全年采购****1批，达到了预期效果，圆满完成年初目标任务。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该项目经费有效保障了****的实施，全年****1批，有效应对了成都大运会、建州70周年庆安保等各项工作的安全检查工作。</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108.09</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104.95</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97.10%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7</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iCs/>
                <w:color w:val="000000"/>
                <w:sz w:val="18"/>
                <w:szCs w:val="18"/>
                <w:u w:val="none"/>
              </w:rPr>
            </w:pPr>
            <w:r>
              <w:rPr>
                <w:rFonts w:ascii="黑体" w:eastAsia="黑体" w:cs="黑体" w:hint="eastAsia"/>
                <w:i/>
                <w:iCs/>
                <w:color w:val="000000"/>
                <w:kern w:val="0"/>
                <w:sz w:val="18"/>
                <w:szCs w:val="18"/>
                <w:u w:val="none"/>
                <w:lang w:val="en-US" w:eastAsia="zh-CN"/>
              </w:rPr>
              <w:t>因项目合同金额较预算金额少，预算资金未执行完。</w:t>
            </w: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108.09</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104.95</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97.10%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经费支出合规性</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严格执行财经</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严格执行财经</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执行年限</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8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提升公安特警工作</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干警满意度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成本指标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经济成本指标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项目总成本</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108.09</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万元</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104.95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18</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按照年初制定的绩效目标，对各项指标进行了自评，各项指标均已完成，自评得分为95分；通过该项目的实施，有效保障了公安特警工作的发展，满意度达95%。</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项目负责人：泽准</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51320023T000009362316-****装备（ZY）</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该项目投入70.2万元，主要用于采购无人机，项目的实施，能通过高科技技术提高民警侦查能力，有效打击违法犯罪行为，提高办案效率。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按照年初制定的绩效目标建设该项目，全年购买无人机10套、办案效率显著提升，达到了预期效果，圆满完成年初目标任务。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该项目经费有效保障了****装备项目的实施，全年购买无人机10套，能通过高科技技术提高民警侦查能力，有效打击违法犯罪行为，提高办案效率。</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70.20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46.59</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66.36%</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iCs/>
                <w:color w:val="000000"/>
                <w:sz w:val="18"/>
                <w:szCs w:val="18"/>
                <w:u w:val="none"/>
              </w:rPr>
            </w:pPr>
            <w:r>
              <w:rPr>
                <w:rFonts w:ascii="黑体" w:eastAsia="黑体" w:cs="黑体" w:hint="eastAsia"/>
                <w:i/>
                <w:iCs/>
                <w:color w:val="000000"/>
                <w:kern w:val="0"/>
                <w:sz w:val="18"/>
                <w:szCs w:val="18"/>
                <w:u w:val="none"/>
                <w:lang w:val="en-US" w:eastAsia="zh-CN"/>
              </w:rPr>
              <w:t>因项目合同金额较预算金额少，预算资金未执行完。</w:t>
            </w: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70.20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46.59</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66.36%</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购买无人机数量</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套</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完成时限</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8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可持续发展指标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提高办案效率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使用人员满意度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按照年初制定的绩效目标，对各项指标进行了自评，各项指标均已完成，自评得分为95分；通过该项目的实施，有效提升了办案效率，满意度达95%。</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年初预算编制不精准。</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强化预算编制。</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项目负责人：王初阳</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51320023T000009362338-****管理系统</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904"/>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该项目建设资金21.64万元，主要用于****管理系统维护。该项目的实施，实现了****状态查询，使****管理使用更加规范化、科学化、合理化。</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按照年初制定的绩效目标建设该项目，全年建设系统1套，达到了预期效果，圆满完成年初目标任务。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该项目经费有效保障了****管理系统的实施，全年建设系统1套，主要用于****系统维护，使****管理使用更加规范化、科学化、合理化。</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21.43</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21.43</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黑体" w:eastAsia="黑体" w:cs="黑体" w:hint="eastAsia"/>
                <w:i/>
                <w:iCs/>
                <w:color w:val="000000"/>
                <w:sz w:val="18"/>
                <w:szCs w:val="18"/>
                <w:u w:val="none"/>
              </w:rPr>
            </w:pP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21.43</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21.43</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建设系统数量</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套</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使用年限</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50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可持续发展指标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提升系统管理规范化</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显萫提升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显萫提升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使用民警满意度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成本指标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经济成本指标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建设成本</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21.43</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万元</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21.43</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按照年初制定的绩效目标，对各项指标进行了自评，各项指标均已完成，自评得分为100分；通过该项目的实施，使****管理使用更加规范化、科学化、合理化。</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项目负责人：刘晓林</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51320023T000009362371-机房精密空调采购（ZY）</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该项目建设资金40万元，主要用于技侦支队采购机房精密空调。购买精密空调后，将降低机房温度，使服务器正常运行，使工作更好开展。</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按照年初制定的绩效目标建设该项目，全年购买空调2套、有效提升了机房的正常运转，达到了预期效果，圆满完成年初目标任务。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该项目经费有效保障了机房精密空调采购（ZY）项目的实施，全年购买空调2套，购买精密空调后，将降低机房温度，使服务器正常运行，使工作更好开展。</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34.20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85.50%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8</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iCs/>
                <w:color w:val="000000"/>
                <w:sz w:val="18"/>
                <w:szCs w:val="18"/>
                <w:u w:val="none"/>
              </w:rPr>
            </w:pPr>
            <w:r>
              <w:rPr>
                <w:rFonts w:ascii="黑体" w:eastAsia="黑体" w:cs="黑体" w:hint="eastAsia"/>
                <w:i/>
                <w:iCs/>
                <w:color w:val="000000"/>
                <w:kern w:val="0"/>
                <w:sz w:val="18"/>
                <w:szCs w:val="18"/>
                <w:u w:val="none"/>
                <w:lang w:val="en-US" w:eastAsia="zh-CN"/>
              </w:rPr>
              <w:t>因项目合同金额较预算金额少，预算资金未执行完。</w:t>
            </w: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34.20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85.50%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购买数量</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套</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产品验收合格率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8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提升机房运转效果</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提升使用民警满意度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显萫提升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显萫提升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成本指标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经济成本指标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购买成本</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万元</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34.2</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19</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97</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按照年初制定的绩效目标，对各项指标进行了自评，各项指标均已完成，自评得分为97分；通过该项目的实施，使服务器正常运行，使工作更好开展。</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项目负责人：余涛</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51320023T000009619988-2023年****</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该项目为****下达项目资金，用于特警支队业务经费保障。提升维护社会稳定、应急处突的能力。</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按照年初制定的绩效目标建设该项目，全年保障人员450余人，有效提升了社会稳定度和民警满意度，达到了预期效果，圆满完成年初目标任务。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该项目为州委政法委下达项目资金，用于特警支队业务经费保障。为维护社会稳定，发挥特警维稳应急处突的作用。</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150.95</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148.93</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98.66%</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黑体" w:eastAsia="黑体" w:cs="黑体" w:hint="eastAsia"/>
                <w:i/>
                <w:iCs/>
                <w:color w:val="000000"/>
                <w:sz w:val="18"/>
                <w:szCs w:val="18"/>
                <w:u w:val="none"/>
              </w:rPr>
            </w:pP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150.95</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148.93</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98.66%</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保障人数</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450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人数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450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保障基地数量</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处</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使用年限</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提升社会稳定性</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服务对象满意度指标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民警满意度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成本指标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经济成本指标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项目经费</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150.95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万元</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148.93</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19</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按照年初制定的绩效目标，对各项指标进行了自评，各项指标均已完成，自评得分为98分；通过该项目的实施，有效提升了社会稳定度和民警满意度。</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项目负责人：泽准</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51320023T000009673921-全自动疑难检材分析工作站</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能有效提高我州重大案件疑难生物物证检验成功率，为案件侦破提供准确的方向，为案件诉讼提供更有力的证据支撑</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按照年初制定的绩效目标建设该项目，全年办理案件达100余件，有效提升了社会稳定度和社会满意度，达到了预期效果，圆满完成年初目标任务。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该项目经费有效保障了全自动疑难检材分析工作站项目的实施，为案件侦破提供准确的方向，全年办理案件达100余件，有效提升了社会稳定度和社会满意度。</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152.27</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150.80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99.03%</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iCs/>
                <w:color w:val="000000"/>
                <w:sz w:val="18"/>
                <w:szCs w:val="18"/>
                <w:u w:val="none"/>
              </w:rPr>
            </w:pPr>
            <w:r>
              <w:rPr>
                <w:rFonts w:ascii="黑体" w:eastAsia="黑体" w:cs="黑体" w:hint="eastAsia"/>
                <w:i/>
                <w:iCs/>
                <w:color w:val="000000"/>
                <w:kern w:val="0"/>
                <w:sz w:val="18"/>
                <w:szCs w:val="18"/>
                <w:u w:val="none"/>
                <w:lang w:val="en-US" w:eastAsia="zh-CN"/>
              </w:rPr>
              <w:t>因项目合同金额较预算金额少，预算资金未执行完。</w:t>
            </w: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152.27</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150.80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99.03%</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办理案件数量</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案件数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提升破案率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显萫提升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显萫提升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提升社会稳定性</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显萫提升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显萫提升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提升社会满意度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显萫提升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显萫提升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成本指标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经济成本指标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系统建设费用</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152.27</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万元</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150.8</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18</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97</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按照年初制定的绩效目标，对各项指标进行了自评，各项指标均已完成，自评得分为97分；通过该项目的实施，有效提升了社会稳定度和社会满意度。</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项目负责人：赫金</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51320023T000009795050-警用摩托车、巡逻车购置（2023ZY）</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该项目为</w:t>
            </w:r>
            <w:r>
              <w:rPr>
                <w:rFonts w:ascii="宋体" w:cs="宋体" w:hint="eastAsia"/>
                <w:i w:val="0"/>
                <w:iCs w:val="0"/>
                <w:color w:val="000000"/>
                <w:kern w:val="0"/>
                <w:sz w:val="18"/>
                <w:szCs w:val="18"/>
                <w:u w:val="none"/>
                <w:lang w:val="en-US" w:eastAsia="zh-CN"/>
              </w:rPr>
              <w:t>**</w:t>
            </w:r>
            <w:r>
              <w:rPr>
                <w:rFonts w:ascii="宋体" w:eastAsia="宋体" w:cs="宋体"/>
                <w:i w:val="0"/>
                <w:iCs w:val="0"/>
                <w:color w:val="000000"/>
                <w:kern w:val="0"/>
                <w:sz w:val="18"/>
                <w:szCs w:val="18"/>
                <w:u w:val="none"/>
                <w:lang w:val="en-US" w:eastAsia="zh-CN"/>
              </w:rPr>
              <w:t>支付资金。用于购置警用摩托车、警用电动巡逻车等交通工具。</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按照年初制定的绩效目标建设该项目，购买警用摩托车、警用电动巡逻车28台，有效提升了社会稳定度和民警满意度，达到了预期效果，圆满完成年初目标任务。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该项目经费有效保障了警用摩托车、巡逻车购置（2023ZY）的采购，购买警用摩托车、警用电动巡逻车28台，有效提升了社会稳定度和民警满意度。</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66.00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65.68</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99.52%</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8</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iCs/>
                <w:color w:val="000000"/>
                <w:sz w:val="18"/>
                <w:szCs w:val="18"/>
                <w:u w:val="none"/>
              </w:rPr>
            </w:pPr>
            <w:r>
              <w:rPr>
                <w:rFonts w:ascii="黑体" w:eastAsia="黑体" w:cs="黑体" w:hint="eastAsia"/>
                <w:i/>
                <w:iCs/>
                <w:color w:val="000000"/>
                <w:kern w:val="0"/>
                <w:sz w:val="18"/>
                <w:szCs w:val="18"/>
                <w:u w:val="none"/>
                <w:lang w:val="en-US" w:eastAsia="zh-CN"/>
              </w:rPr>
              <w:t>因项目合同金额较预算金额少，预算资金未执行完。</w:t>
            </w: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66.00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65.68</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99.52%</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购买数量</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28</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28</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产品合格率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60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提升社会治安稳定</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显萫提升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显萫提升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使用民警满意度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显萫提升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显萫提升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成本指标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经济成本指标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项目成本</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66</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万元</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65.68</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18</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96</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按照年初制定的绩效目标，对各项指标进行了自评，各项指标均已完成，自评得分为98分；通过该项目的实施，有效提升了社会稳定度和民警满意度。</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项目负责人：张建斌</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51320023T000009903066-****采购</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15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特警支队装备配备不足，严重制约了特警队伍的应急处置、攻坚克难能力，通过该项目实施，有效应对****挑战，解决公安现实工作急需，进一步加强公安特警战力建设、装备建设，提升打赢能力。</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按照年初制定的绩效目标建设该项目，全年采购设备22台，有效提升了公安特警战力及社会治安稳定，达到了预期效果，圆满完成年初目标任务。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该项目经费有效保障了****项目的实施，全年采购设备22台，以进一步加强公安特警战力建设、装备建设，提升打赢能力。</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500.00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152.80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30.56%</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iCs/>
                <w:color w:val="000000"/>
                <w:sz w:val="18"/>
                <w:szCs w:val="18"/>
                <w:u w:val="none"/>
              </w:rPr>
            </w:pPr>
            <w:r>
              <w:rPr>
                <w:rFonts w:ascii="黑体" w:eastAsia="黑体" w:cs="黑体" w:hint="eastAsia"/>
                <w:i/>
                <w:iCs/>
                <w:color w:val="000000"/>
                <w:kern w:val="0"/>
                <w:sz w:val="18"/>
                <w:szCs w:val="18"/>
                <w:u w:val="none"/>
                <w:lang w:val="en-US" w:eastAsia="zh-CN"/>
              </w:rPr>
              <w:t>该项目按实际采购项目合同支付资金，结余资金已结转至2024年继续实施。</w:t>
            </w: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500.00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152.80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30.56%</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采购设备数量</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22</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22</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执行年限</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6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提升社会治安维稳性</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8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可持续发展指标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提升公安特警战力</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显萫提升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显萫提升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干警满意度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成本指标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经济成本指标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项目成本</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500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万元</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152.8</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86</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按照年初制定的绩效目标，对各项指标进行了自评，各项指标均已完成，自评得分为86分；通过该项目的实施，有效提升了公安特警战力及社会治安稳定性。</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项目实施进度滞后。</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项目结余资金已结转至2024年，在下一年度加快项目执行。</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项目负责人：泽准</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6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4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4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75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5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47"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51320024T000010464405-****</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根据文件下达项目资金907.1万元</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1"/>
                <w:szCs w:val="11"/>
                <w:u w:val="none"/>
                <w:lang w:val="en-US" w:eastAsia="zh-CN"/>
              </w:rPr>
              <w:t>按照年初制定的绩效目标建设该项目，主要用于保障全局民警办案、业务装备费，有效提升了公安特警战力及社会治安稳定，达到了预期效果，圆满完成年初目标任务。</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该项目资金为****，主要用于保障全局民警办案、业务装备费，有效提升了公安特警战力及社会治安稳定。</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9.52</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9.52</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黑体" w:eastAsia="黑体" w:cs="黑体" w:hint="eastAsia"/>
                <w:i/>
                <w:iCs/>
                <w:color w:val="000000"/>
                <w:sz w:val="18"/>
                <w:szCs w:val="18"/>
                <w:u w:val="none"/>
              </w:rPr>
            </w:pP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3"/>
                <w:szCs w:val="13"/>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9.52</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9.52</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保障民警数</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人</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使用年限</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提升社会稳定性</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52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可持续发展指标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提升公安队伍战斗力</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显著提升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帮扶对象满意度指标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民警满意度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98</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成本指标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5"/>
                <w:szCs w:val="15"/>
                <w:u w:val="none"/>
                <w:lang w:val="en-US" w:eastAsia="zh-CN"/>
              </w:rPr>
              <w:t>经济成本指标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项目资金</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9.52</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万元</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9.52</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按照年初制定的绩效目标，对各项指标进行了自评，各项指标均已完成，自评得分为100分；通过该项目的实施，有效提升了公安特警战力及社会治安稳定性。</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52"/>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项目负责人：林兴金</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694"/>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51320024T000010649771-情指中心改造项目</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为进一步提升公安机关现代化建设，高效应对处置各类突发敏感案事件，提升公安机关的科技化、信息化、专业化建设，强化维护政治安全和社会稳定的能力和水平，急需建设一个集指挥调度、实战打击的实战指挥场所。</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按照年初制定的绩效目标建设该项目，项目为年底追加项目，按合同进度支付资金，2023年未支付资金。</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该项目的实施有效保障了情指中心改造项目的实施，建设项目主要为八楼情指中心的改造和装修项目，项目为年底追加项目，按合同进度支付资金，2023年未支付资金。</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254.23</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iCs/>
                <w:color w:val="000000"/>
                <w:sz w:val="18"/>
                <w:szCs w:val="18"/>
                <w:u w:val="none"/>
              </w:rPr>
            </w:pPr>
            <w:r>
              <w:rPr>
                <w:rFonts w:ascii="黑体" w:eastAsia="黑体" w:cs="黑体" w:hint="eastAsia"/>
                <w:i/>
                <w:iCs/>
                <w:color w:val="000000"/>
                <w:kern w:val="0"/>
                <w:sz w:val="18"/>
                <w:szCs w:val="18"/>
                <w:u w:val="none"/>
                <w:lang w:val="en-US" w:eastAsia="zh-CN"/>
              </w:rPr>
              <w:t>项目为年底追加项目，按合同进度支付资金，2023年未支付资金，已结转至2024年实施。</w:t>
            </w: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5"/>
                <w:szCs w:val="15"/>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254.23</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820"/>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5"/>
                <w:szCs w:val="15"/>
                <w:u w:val="none"/>
                <w:lang w:val="en-US" w:eastAsia="zh-CN"/>
              </w:rPr>
              <w:t>完成工程建设和装饰数量</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11</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1"/>
                <w:szCs w:val="11"/>
                <w:u w:val="none"/>
                <w:lang w:val="en-US" w:eastAsia="zh-CN"/>
              </w:rPr>
              <w:t>个（台、套、件、辆）</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工程建设和装饰符合建设标准</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符合前期建设标准</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符合前期建设标准</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有效提高实战指挥和实战应用标准</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符合前期建设标准</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符合前期建设标准</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办公人员满意度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95</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按照年初制定的绩效目标，对各项指标进行了自评，项目为年底追加项目，按合同进度支付资金，2023年未支付资金，自评得分为50分。</w:t>
            </w:r>
          </w:p>
        </w:tc>
      </w:tr>
      <w:tr>
        <w:trPr>
          <w:trHeight w:val="572"/>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项目实施进度滞后。</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项目资金结转至2024年，在2024年度加快项目执行进度。</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项目负责人：张丽娜</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607"/>
        </w:trPr>
        <w:tc>
          <w:tcPr>
            <w:tcW w:w="9915"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51320024T000011084528-****采购（ZY）</w:t>
            </w:r>
          </w:p>
        </w:tc>
      </w:tr>
      <w:tr>
        <w:trPr>
          <w:trHeight w:val="512"/>
        </w:trPr>
        <w:tc>
          <w:tcPr>
            <w:tcW w:w="181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3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14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245"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710"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完成图码联侦系统采购、电子围栏采购工作，验收合格率达100%，能高效运转，提高工作效率。</w:t>
            </w:r>
          </w:p>
        </w:tc>
        <w:tc>
          <w:tcPr>
            <w:tcW w:w="3394"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按照年初制定的绩效目标建设该项目，完成图码联侦系统采购、电子围栏采购工作，进一步提高工作效率。</w:t>
            </w:r>
          </w:p>
        </w:tc>
      </w:tr>
      <w:tr>
        <w:trPr>
          <w:trHeight w:val="693"/>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8104"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该项目经费有效保障了****采购（ZY）项目的实施，完成图码联侦系统采购、电子围栏采购工作，进一步提高工作效率。</w:t>
            </w:r>
          </w:p>
        </w:tc>
      </w:tr>
      <w:tr>
        <w:trPr>
          <w:trHeight w:val="361"/>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77.05</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77.05</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黑体" w:eastAsia="黑体" w:cs="黑体" w:hint="eastAsia"/>
                <w:i/>
                <w:iCs/>
                <w:color w:val="000000"/>
                <w:sz w:val="18"/>
                <w:szCs w:val="18"/>
                <w:u w:val="none"/>
              </w:rPr>
            </w:pPr>
          </w:p>
        </w:tc>
      </w:tr>
      <w:tr>
        <w:trPr>
          <w:trHeight w:val="39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5"/>
                <w:szCs w:val="15"/>
                <w:u w:val="none"/>
                <w:lang w:val="en-US" w:eastAsia="zh-CN"/>
              </w:rPr>
              <w:t>其中：财政资金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77.05</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77.05</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2084"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347"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69"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746" w:type="dxa"/>
            <w:tcBorders>
              <w:top w:val="single" w:sz="4" w:space="0" w:color="000000"/>
              <w:left w:val="single" w:sz="4" w:space="0" w:color="000000"/>
              <w:bottom w:val="nil"/>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582" w:type="dxa"/>
            <w:tcBorders>
              <w:top w:val="single" w:sz="4" w:space="0" w:color="000000"/>
              <w:left w:val="single" w:sz="4" w:space="0" w:color="000000"/>
              <w:bottom w:val="nil"/>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756" w:type="dxa"/>
            <w:tcBorders>
              <w:top w:val="single" w:sz="4" w:space="0" w:color="000000"/>
              <w:left w:val="single" w:sz="4" w:space="0" w:color="000000"/>
              <w:bottom w:val="nil"/>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58" w:type="dxa"/>
            <w:tcBorders>
              <w:top w:val="single" w:sz="4" w:space="0" w:color="000000"/>
              <w:left w:val="single" w:sz="4" w:space="0" w:color="000000"/>
              <w:bottom w:val="nil"/>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2" w:type="dxa"/>
            <w:tcBorders>
              <w:top w:val="single" w:sz="4" w:space="0" w:color="000000"/>
              <w:left w:val="single" w:sz="4" w:space="0" w:color="000000"/>
              <w:bottom w:val="nil"/>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7" w:type="dxa"/>
            <w:tcBorders>
              <w:top w:val="single" w:sz="4" w:space="0" w:color="000000"/>
              <w:left w:val="single" w:sz="4" w:space="0" w:color="000000"/>
              <w:bottom w:val="nil"/>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完成系统建设数量</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nil"/>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系统建设验收合格率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nil"/>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时效指标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项目完成时间</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2024年12月底前完成</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2024年12月底前完成</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nil"/>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r>
      <w:tr>
        <w:trPr>
          <w:trHeight w:val="452"/>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3"/>
                <w:szCs w:val="13"/>
                <w:u w:val="none"/>
              </w:rPr>
            </w:pPr>
            <w:r>
              <w:rPr>
                <w:rFonts w:ascii="宋体" w:eastAsia="宋体" w:cs="宋体"/>
                <w:i w:val="0"/>
                <w:iCs w:val="0"/>
                <w:color w:val="000000"/>
                <w:kern w:val="0"/>
                <w:sz w:val="13"/>
                <w:szCs w:val="13"/>
                <w:u w:val="none"/>
                <w:lang w:val="en-US" w:eastAsia="zh-CN"/>
              </w:rPr>
              <w:t>社会效益指标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3"/>
                <w:szCs w:val="13"/>
                <w:u w:val="none"/>
              </w:rPr>
            </w:pPr>
            <w:r>
              <w:rPr>
                <w:rFonts w:ascii="宋体" w:eastAsia="宋体" w:cs="宋体"/>
                <w:i w:val="0"/>
                <w:iCs w:val="0"/>
                <w:color w:val="000000"/>
                <w:kern w:val="0"/>
                <w:sz w:val="13"/>
                <w:szCs w:val="13"/>
                <w:u w:val="none"/>
                <w:lang w:val="en-US" w:eastAsia="zh-CN"/>
              </w:rPr>
              <w:t>提高案件侦破效率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定性</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有效提高</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有效提高</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nil"/>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r>
      <w:tr>
        <w:trPr>
          <w:trHeight w:val="31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3"/>
                <w:szCs w:val="13"/>
                <w:u w:val="none"/>
              </w:rPr>
            </w:pPr>
            <w:r>
              <w:rPr>
                <w:rFonts w:ascii="宋体" w:eastAsia="宋体" w:cs="宋体"/>
                <w:i w:val="0"/>
                <w:iCs w:val="0"/>
                <w:color w:val="000000"/>
                <w:kern w:val="0"/>
                <w:sz w:val="13"/>
                <w:szCs w:val="13"/>
                <w:u w:val="none"/>
                <w:lang w:val="en-US" w:eastAsia="zh-CN"/>
              </w:rPr>
              <w:t>可持续发展指标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3"/>
                <w:szCs w:val="13"/>
                <w:u w:val="none"/>
              </w:rPr>
            </w:pPr>
            <w:r>
              <w:rPr>
                <w:rFonts w:ascii="宋体" w:eastAsia="宋体" w:cs="宋体"/>
                <w:i w:val="0"/>
                <w:iCs w:val="0"/>
                <w:color w:val="000000"/>
                <w:kern w:val="0"/>
                <w:sz w:val="13"/>
                <w:szCs w:val="13"/>
                <w:u w:val="none"/>
                <w:lang w:val="en-US" w:eastAsia="zh-CN"/>
              </w:rPr>
              <w:t>系统使用年限</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nil"/>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r>
      <w:tr>
        <w:trPr>
          <w:trHeight w:val="329"/>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满意度指标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3"/>
                <w:szCs w:val="13"/>
                <w:u w:val="none"/>
              </w:rPr>
            </w:pPr>
            <w:r>
              <w:rPr>
                <w:rFonts w:ascii="宋体" w:eastAsia="宋体" w:cs="宋体"/>
                <w:i w:val="0"/>
                <w:iCs w:val="0"/>
                <w:color w:val="000000"/>
                <w:kern w:val="0"/>
                <w:sz w:val="13"/>
                <w:szCs w:val="13"/>
                <w:u w:val="none"/>
                <w:lang w:val="en-US" w:eastAsia="zh-CN"/>
              </w:rPr>
              <w:t>满意度指标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3"/>
                <w:szCs w:val="13"/>
                <w:u w:val="none"/>
              </w:rPr>
            </w:pPr>
            <w:r>
              <w:rPr>
                <w:rFonts w:ascii="宋体" w:eastAsia="宋体" w:cs="宋体"/>
                <w:i w:val="0"/>
                <w:iCs w:val="0"/>
                <w:color w:val="000000"/>
                <w:kern w:val="0"/>
                <w:sz w:val="13"/>
                <w:szCs w:val="13"/>
                <w:u w:val="none"/>
                <w:lang w:val="en-US" w:eastAsia="zh-CN"/>
              </w:rPr>
              <w:t>办公人员满意度</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96</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96</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347" w:type="dxa"/>
            <w:tcBorders>
              <w:top w:val="single" w:sz="4" w:space="0" w:color="000000"/>
              <w:left w:val="nil"/>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r>
      <w:tr>
        <w:trPr>
          <w:trHeight w:val="267"/>
        </w:trPr>
        <w:tc>
          <w:tcPr>
            <w:tcW w:w="669"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4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成本指标</w:t>
            </w:r>
          </w:p>
        </w:tc>
        <w:tc>
          <w:tcPr>
            <w:tcW w:w="13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3"/>
                <w:szCs w:val="13"/>
                <w:u w:val="none"/>
              </w:rPr>
            </w:pPr>
            <w:r>
              <w:rPr>
                <w:rFonts w:ascii="宋体" w:eastAsia="宋体" w:cs="宋体"/>
                <w:i w:val="0"/>
                <w:iCs w:val="0"/>
                <w:color w:val="000000"/>
                <w:kern w:val="0"/>
                <w:sz w:val="13"/>
                <w:szCs w:val="13"/>
                <w:u w:val="none"/>
                <w:lang w:val="en-US" w:eastAsia="zh-CN"/>
              </w:rPr>
              <w:t>经济成本指标</w:t>
            </w:r>
          </w:p>
        </w:tc>
        <w:tc>
          <w:tcPr>
            <w:tcW w:w="12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3"/>
                <w:szCs w:val="13"/>
                <w:u w:val="none"/>
              </w:rPr>
            </w:pPr>
            <w:r>
              <w:rPr>
                <w:rFonts w:ascii="宋体" w:eastAsia="宋体" w:cs="宋体"/>
                <w:i w:val="0"/>
                <w:iCs w:val="0"/>
                <w:color w:val="000000"/>
                <w:kern w:val="0"/>
                <w:sz w:val="13"/>
                <w:szCs w:val="13"/>
                <w:u w:val="none"/>
                <w:lang w:val="en-US" w:eastAsia="zh-CN"/>
              </w:rPr>
              <w:t>成本控制率</w:t>
            </w:r>
          </w:p>
        </w:tc>
        <w:tc>
          <w:tcPr>
            <w:tcW w:w="7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5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75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c>
          <w:tcPr>
            <w:tcW w:w="105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50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347" w:type="dxa"/>
            <w:tcBorders>
              <w:top w:val="single" w:sz="4" w:space="0" w:color="000000"/>
              <w:left w:val="nil"/>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r>
      <w:tr>
        <w:trPr>
          <w:trHeight w:val="286"/>
        </w:trPr>
        <w:tc>
          <w:tcPr>
            <w:tcW w:w="7579"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2" w:type="dxa"/>
            <w:tcBorders>
              <w:top w:val="nil"/>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7" w:type="dxa"/>
            <w:tcBorders>
              <w:top w:val="nil"/>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134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按照年初制定的绩效目标，对各项指标进行了自评，各项指标均已完成，自评得分为100分；通过该项目的实施，有效提升了案件侦破率，满意度达96%。</w:t>
            </w:r>
          </w:p>
        </w:tc>
      </w:tr>
      <w:tr>
        <w:trPr>
          <w:trHeight w:val="399"/>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1"/>
                <w:szCs w:val="11"/>
                <w:u w:val="none"/>
              </w:rPr>
            </w:pPr>
            <w:r>
              <w:rPr>
                <w:rFonts w:ascii="宋体" w:eastAsia="宋体" w:cs="宋体"/>
                <w:i w:val="0"/>
                <w:iCs w:val="0"/>
                <w:color w:val="000000"/>
                <w:kern w:val="0"/>
                <w:sz w:val="11"/>
                <w:szCs w:val="11"/>
                <w:u w:val="none"/>
                <w:lang w:val="en-US" w:eastAsia="zh-CN"/>
              </w:rPr>
              <w:t>存在问题</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6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1"/>
                <w:szCs w:val="11"/>
                <w:u w:val="none"/>
              </w:rPr>
            </w:pPr>
            <w:r>
              <w:rPr>
                <w:rFonts w:ascii="宋体" w:eastAsia="宋体" w:cs="宋体"/>
                <w:i w:val="0"/>
                <w:iCs w:val="0"/>
                <w:color w:val="000000"/>
                <w:kern w:val="0"/>
                <w:sz w:val="11"/>
                <w:szCs w:val="11"/>
                <w:u w:val="none"/>
                <w:lang w:val="en-US" w:eastAsia="zh-CN"/>
              </w:rPr>
              <w:t>改进措施</w:t>
            </w:r>
          </w:p>
        </w:tc>
        <w:tc>
          <w:tcPr>
            <w:tcW w:w="9246"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8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项目负责人：桑吉泽让</w:t>
            </w:r>
          </w:p>
        </w:tc>
        <w:tc>
          <w:tcPr>
            <w:tcW w:w="473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hint="eastAsia"/>
              </w:rPr>
            </w:pPr>
            <w:r>
              <w:rPr>
                <w:rFonts w:hint="eastAsia"/>
                <w:lang w:val="en-US" w:eastAsia="zh-CN"/>
              </w:rPr>
              <w:t>财务负责人：娜斯基</w:t>
            </w:r>
          </w:p>
        </w:tc>
      </w:tr>
    </w:tbl>
    <w:tbl>
      <w:tblPr>
        <w:jc w:val="left"/>
        <w:tblInd w:w="93" w:type="dxa"/>
        <w:tblW w:w="9810" w:type="dxa"/>
        <w:tblBorders>
          <w:top w:val="none" w:sz="0" w:space="0" w:color="auto"/>
          <w:left w:val="none" w:sz="0" w:space="0" w:color="auto"/>
          <w:bottom w:val="none" w:sz="0" w:space="0" w:color="auto"/>
          <w:right w:val="none" w:sz="0" w:space="0" w:color="auto"/>
        </w:tblBorders>
        <w:shd w:val="clear" w:color="auto" w:fill="auto"/>
        <w:tblCellMar>
          <w:top w:w="0" w:type="dxa"/>
          <w:left w:w="108" w:type="dxa"/>
          <w:bottom w:w="0" w:type="dxa"/>
          <w:right w:w="108" w:type="dxa"/>
        </w:tblCellMar>
      </w:tblPr>
      <w:tblGrid>
        <w:gridCol w:w="682"/>
        <w:gridCol w:w="1313"/>
        <w:gridCol w:w="1168"/>
        <w:gridCol w:w="1509"/>
        <w:gridCol w:w="520"/>
        <w:gridCol w:w="881"/>
        <w:gridCol w:w="435"/>
        <w:gridCol w:w="1089"/>
        <w:gridCol w:w="505"/>
        <w:gridCol w:w="486"/>
        <w:gridCol w:w="1222"/>
      </w:tblGrid>
      <w:tr>
        <w:trPr>
          <w:trHeight w:val="904"/>
        </w:trPr>
        <w:tc>
          <w:tcPr>
            <w:tcW w:w="9810"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9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7815"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51000021R000000019951-工资性支出</w:t>
            </w:r>
          </w:p>
        </w:tc>
      </w:tr>
      <w:tr>
        <w:trPr>
          <w:trHeight w:val="512"/>
        </w:trPr>
        <w:tc>
          <w:tcPr>
            <w:tcW w:w="19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51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89"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213"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51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02"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51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严格执行相关政策，保障工资及时、足额发放，预算编制科学合理，减少结余资金。</w:t>
            </w:r>
          </w:p>
        </w:tc>
        <w:tc>
          <w:tcPr>
            <w:tcW w:w="3302"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按照年初制定的绩效目标实施该项目，及时、足额发放民警、职工工资。</w:t>
            </w:r>
          </w:p>
        </w:tc>
      </w:tr>
      <w:tr>
        <w:trPr>
          <w:trHeight w:val="693"/>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7815"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该项目经费的实施，能确保及时、足额发放民警、职工工资。</w:t>
            </w:r>
          </w:p>
        </w:tc>
      </w:tr>
      <w:tr>
        <w:trPr>
          <w:trHeight w:val="480"/>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7,881.97</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7,844.08</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7,844.08</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22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黑体" w:eastAsia="黑体" w:cs="黑体" w:hint="eastAsia"/>
                <w:i/>
                <w:iCs/>
                <w:color w:val="000000"/>
                <w:sz w:val="18"/>
                <w:szCs w:val="18"/>
                <w:u w:val="none"/>
              </w:rPr>
            </w:pPr>
          </w:p>
        </w:tc>
      </w:tr>
      <w:tr>
        <w:trPr>
          <w:trHeight w:val="600"/>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7,881.97</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7,844.08</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7,844.08</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420"/>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发放（缴纳）覆盖率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520"/>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足额保障率（参保率）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97"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128"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按照年初制定的绩效目标，对各项指标进行了自评，各项指标均已完成，自评得分为100分；通过该项目的实施，有效提升了民警工作积极性，满意度达96%。</w:t>
            </w:r>
          </w:p>
        </w:tc>
      </w:tr>
      <w:tr>
        <w:trPr>
          <w:trHeight w:val="572"/>
        </w:trPr>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128"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128"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92"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项目负责人：林兴金</w:t>
            </w:r>
          </w:p>
        </w:tc>
        <w:tc>
          <w:tcPr>
            <w:tcW w:w="4618"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13"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6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50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20"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8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3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8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tc>
        <w:tc>
          <w:tcPr>
            <w:tcW w:w="50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2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810"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9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7815"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51000021R000000019953-单位缴费</w:t>
            </w:r>
          </w:p>
        </w:tc>
      </w:tr>
      <w:tr>
        <w:trPr>
          <w:trHeight w:val="512"/>
        </w:trPr>
        <w:tc>
          <w:tcPr>
            <w:tcW w:w="19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51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89"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213"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51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02"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51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严格执行相关政策，保障及时、足额缴纳社保，预算编制科学合理，减少结余资金。</w:t>
            </w:r>
          </w:p>
        </w:tc>
        <w:tc>
          <w:tcPr>
            <w:tcW w:w="3302"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按照年初制定的绩效目标实施该项目，保障及时、足额缴纳社保。</w:t>
            </w:r>
          </w:p>
        </w:tc>
      </w:tr>
      <w:tr>
        <w:trPr>
          <w:trHeight w:val="693"/>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7815"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该项目经费的实施，能确保及时、足额缴纳社保资金。</w:t>
            </w:r>
          </w:p>
        </w:tc>
      </w:tr>
      <w:tr>
        <w:trPr>
          <w:trHeight w:val="500"/>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4,972.62</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4,886.68</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4,886.68</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22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黑体" w:eastAsia="黑体" w:cs="黑体" w:hint="eastAsia"/>
                <w:i/>
                <w:iCs/>
                <w:color w:val="000000"/>
                <w:sz w:val="18"/>
                <w:szCs w:val="18"/>
                <w:u w:val="none"/>
              </w:rPr>
            </w:pPr>
          </w:p>
        </w:tc>
      </w:tr>
      <w:tr>
        <w:trPr>
          <w:trHeight w:val="540"/>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4,972.62</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4,886.68</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4,886.68</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420"/>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发放（缴纳）覆盖率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500"/>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足额保障率（参保率）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97"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128"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按照年初制定的绩效目标，对各项指标进行了自评，各项指标均已完成，自评得分为100分；通过该项目的实施，有效提升了民警工作积极性，满意度达96%。</w:t>
            </w:r>
          </w:p>
        </w:tc>
      </w:tr>
      <w:tr>
        <w:trPr>
          <w:trHeight w:val="572"/>
        </w:trPr>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128"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128"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92"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项目负责人：林兴金</w:t>
            </w:r>
          </w:p>
        </w:tc>
        <w:tc>
          <w:tcPr>
            <w:tcW w:w="4618"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13"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6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50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20"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8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3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8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tc>
        <w:tc>
          <w:tcPr>
            <w:tcW w:w="50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2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810"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9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7815"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51000021R000000019954-聘用人员经费</w:t>
            </w:r>
          </w:p>
        </w:tc>
      </w:tr>
      <w:tr>
        <w:trPr>
          <w:trHeight w:val="512"/>
        </w:trPr>
        <w:tc>
          <w:tcPr>
            <w:tcW w:w="19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51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89"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213"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51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02"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51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严格执行相关政策，保障辅警工资及时、足额发放、及时、足额缴纳社保，预算编制科学合理，减少结余资金。</w:t>
            </w:r>
          </w:p>
        </w:tc>
        <w:tc>
          <w:tcPr>
            <w:tcW w:w="3302"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按照年初制定的绩效目标实施该项目，保障辅警工资及时、足额发放、及时、足额缴纳社保。</w:t>
            </w:r>
          </w:p>
        </w:tc>
      </w:tr>
      <w:tr>
        <w:trPr>
          <w:trHeight w:val="693"/>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7815"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该项目经费的实施，能确保辅警工资及时、足额发放、及时、足额缴纳社保。</w:t>
            </w:r>
          </w:p>
        </w:tc>
      </w:tr>
      <w:tr>
        <w:trPr>
          <w:trHeight w:val="500"/>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703.13</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680.02</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680.02</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22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黑体" w:eastAsia="黑体" w:cs="黑体" w:hint="eastAsia"/>
                <w:i/>
                <w:iCs/>
                <w:color w:val="000000"/>
                <w:sz w:val="18"/>
                <w:szCs w:val="18"/>
                <w:u w:val="none"/>
              </w:rPr>
            </w:pPr>
          </w:p>
        </w:tc>
      </w:tr>
      <w:tr>
        <w:trPr>
          <w:trHeight w:val="440"/>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703.13</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680.02</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680.02</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500"/>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发放（缴纳）覆盖率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80"/>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足额保障率（参保率）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97"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128"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按照年初制定的绩效目标，对各项指标进行了自评，各项指标均已完成，自评得分为100分；通过该项目的实施，有效提升了辅警工作积极性，满意度达96%。</w:t>
            </w:r>
          </w:p>
        </w:tc>
      </w:tr>
      <w:tr>
        <w:trPr>
          <w:trHeight w:val="572"/>
        </w:trPr>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128"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128"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92"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项目负责人：林兴金</w:t>
            </w:r>
          </w:p>
        </w:tc>
        <w:tc>
          <w:tcPr>
            <w:tcW w:w="4618"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13"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6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50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20"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8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3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tc>
        <w:tc>
          <w:tcPr>
            <w:tcW w:w="108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2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810"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9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7815"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51000021R000000019956-离退休费支出</w:t>
            </w:r>
          </w:p>
        </w:tc>
      </w:tr>
      <w:tr>
        <w:trPr>
          <w:trHeight w:val="512"/>
        </w:trPr>
        <w:tc>
          <w:tcPr>
            <w:tcW w:w="19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51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89"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213"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51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02"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51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严格执行相关政策，保障离退休人员工资及时、足额发放，预算编制科学合理，减少结余资金。</w:t>
            </w:r>
          </w:p>
        </w:tc>
        <w:tc>
          <w:tcPr>
            <w:tcW w:w="3302"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按照年初制定的绩效目标实施该项目，保障离退休人员工资及时、足额发放。</w:t>
            </w:r>
          </w:p>
        </w:tc>
      </w:tr>
      <w:tr>
        <w:trPr>
          <w:trHeight w:val="693"/>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7815"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该项目经费的实施，能确保离退休人员工资及时、足额发放。</w:t>
            </w:r>
          </w:p>
        </w:tc>
      </w:tr>
      <w:tr>
        <w:trPr>
          <w:trHeight w:val="560"/>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5.67</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5.16</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5.16</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22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黑体" w:eastAsia="黑体" w:cs="黑体" w:hint="eastAsia"/>
                <w:i/>
                <w:iCs/>
                <w:color w:val="000000"/>
                <w:sz w:val="18"/>
                <w:szCs w:val="18"/>
                <w:u w:val="none"/>
              </w:rPr>
            </w:pPr>
          </w:p>
        </w:tc>
      </w:tr>
      <w:tr>
        <w:trPr>
          <w:trHeight w:val="480"/>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5.67</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5.16</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5.16</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500"/>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540"/>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发放（缴纳）覆盖率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80"/>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足额保障率（参保率）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97"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128"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按照年初制定的绩效目标，对各项指标进行了自评，各项指标均已完成，自评得分为100分；通过该项目的实施，离退休人员满意度达96%。</w:t>
            </w:r>
          </w:p>
        </w:tc>
      </w:tr>
      <w:tr>
        <w:trPr>
          <w:trHeight w:val="572"/>
        </w:trPr>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128"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128"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92"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项目负责人：林兴金</w:t>
            </w:r>
          </w:p>
        </w:tc>
        <w:tc>
          <w:tcPr>
            <w:tcW w:w="4618"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13"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6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50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20"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8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3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8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tc>
        <w:tc>
          <w:tcPr>
            <w:tcW w:w="50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2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810"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9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7815"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51000021R000000019958-其他支出</w:t>
            </w:r>
          </w:p>
        </w:tc>
      </w:tr>
      <w:tr>
        <w:trPr>
          <w:trHeight w:val="512"/>
        </w:trPr>
        <w:tc>
          <w:tcPr>
            <w:tcW w:w="19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51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89"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213"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51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02"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51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严格执行相关政策，保障遗属工资及时、足额发放，预算编制科学合理，减少结余资金。</w:t>
            </w:r>
          </w:p>
        </w:tc>
        <w:tc>
          <w:tcPr>
            <w:tcW w:w="3302"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按照年初制定的绩效目标实施该项目，保障遗属工资及时、足额发放。</w:t>
            </w:r>
          </w:p>
        </w:tc>
      </w:tr>
      <w:tr>
        <w:trPr>
          <w:trHeight w:val="693"/>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7815"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该项目经费的实施，能确保遗属工资及时、足额发放。</w:t>
            </w:r>
          </w:p>
        </w:tc>
      </w:tr>
      <w:tr>
        <w:trPr>
          <w:trHeight w:val="540"/>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359.93</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311.30</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311.30</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22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黑体" w:eastAsia="黑体" w:cs="黑体" w:hint="eastAsia"/>
                <w:i/>
                <w:iCs/>
                <w:color w:val="000000"/>
                <w:sz w:val="18"/>
                <w:szCs w:val="18"/>
                <w:u w:val="none"/>
              </w:rPr>
            </w:pPr>
          </w:p>
        </w:tc>
      </w:tr>
      <w:tr>
        <w:trPr>
          <w:trHeight w:val="540"/>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359.93</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311.30</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311.30</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420"/>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发放（缴纳）覆盖率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60"/>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足额保障率（参保率）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97"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128"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按照年初制定的绩效目标，对各项指标进行了自评，各项指标均已完成，自评得分为100分；通过该项目的实施，遗属人员满意度达96%。</w:t>
            </w:r>
          </w:p>
        </w:tc>
      </w:tr>
      <w:tr>
        <w:trPr>
          <w:trHeight w:val="572"/>
        </w:trPr>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128"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128"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92"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项目负责人：林兴金</w:t>
            </w:r>
          </w:p>
        </w:tc>
        <w:tc>
          <w:tcPr>
            <w:tcW w:w="4618"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13"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6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50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20"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8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3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8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tc>
        <w:tc>
          <w:tcPr>
            <w:tcW w:w="50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2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810"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9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7815"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51000021Y000000011490-日常公用经费</w:t>
            </w:r>
          </w:p>
        </w:tc>
      </w:tr>
      <w:tr>
        <w:trPr>
          <w:trHeight w:val="512"/>
        </w:trPr>
        <w:tc>
          <w:tcPr>
            <w:tcW w:w="19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51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89"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213"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51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02"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51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提高预算编制质量，严格执行预算，保障单位日常运转。</w:t>
            </w:r>
          </w:p>
        </w:tc>
        <w:tc>
          <w:tcPr>
            <w:tcW w:w="3302"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按照年初制定的绩效目标实施该项目，保障单位日常运转。</w:t>
            </w:r>
          </w:p>
        </w:tc>
      </w:tr>
      <w:tr>
        <w:trPr>
          <w:trHeight w:val="693"/>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7815"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该项目经费的实施，能确保单位日常运转。</w:t>
            </w:r>
          </w:p>
        </w:tc>
      </w:tr>
      <w:tr>
        <w:trPr>
          <w:trHeight w:val="480"/>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2,576.86</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1,932.47</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1,922.46</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99.48%</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22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黑体" w:eastAsia="黑体" w:cs="黑体" w:hint="eastAsia"/>
                <w:i/>
                <w:iCs/>
                <w:color w:val="000000"/>
                <w:sz w:val="18"/>
                <w:szCs w:val="18"/>
                <w:u w:val="none"/>
              </w:rPr>
            </w:pPr>
          </w:p>
        </w:tc>
      </w:tr>
      <w:tr>
        <w:trPr>
          <w:trHeight w:val="480"/>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2,576.86</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1,932.47</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1,922.46</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99.48%</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540"/>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科目调整次数</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次</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678"/>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预算编制准确率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904"/>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经济效益指标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“三公经费”控制率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运转保障率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97"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776"/>
        </w:trPr>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128"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按照年初制定的绩效目标，对各项指标进行了自评，各项指标均已完成，自评得分为100分；通过该项目的实施，办公民警满意度达96%。</w:t>
            </w:r>
          </w:p>
        </w:tc>
      </w:tr>
      <w:tr>
        <w:trPr>
          <w:trHeight w:val="572"/>
        </w:trPr>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128"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128"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40"/>
        </w:trPr>
        <w:tc>
          <w:tcPr>
            <w:tcW w:w="5192"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项目负责人：林兴金</w:t>
            </w:r>
          </w:p>
        </w:tc>
        <w:tc>
          <w:tcPr>
            <w:tcW w:w="4618"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904"/>
        </w:trPr>
        <w:tc>
          <w:tcPr>
            <w:tcW w:w="9810"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9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7815"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51320022R000005202861-追加州级部门一次性抚恤金及丧葬费</w:t>
            </w:r>
          </w:p>
        </w:tc>
      </w:tr>
      <w:tr>
        <w:trPr>
          <w:trHeight w:val="512"/>
        </w:trPr>
        <w:tc>
          <w:tcPr>
            <w:tcW w:w="19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51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89"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213"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51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02"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51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严格执行相关政策，保障抚恤金及时、足额发放，预算编制科学合理，减少结余资金。</w:t>
            </w:r>
          </w:p>
        </w:tc>
        <w:tc>
          <w:tcPr>
            <w:tcW w:w="3302"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按照年初制定的绩效目标实施该项目，保障抚恤金及时、足额发放。</w:t>
            </w:r>
          </w:p>
        </w:tc>
      </w:tr>
      <w:tr>
        <w:trPr>
          <w:trHeight w:val="693"/>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7815"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该项目经费的实施，能确保抚恤金及时、足额发放。</w:t>
            </w:r>
          </w:p>
        </w:tc>
      </w:tr>
      <w:tr>
        <w:trPr>
          <w:trHeight w:val="600"/>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43.23</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43.23</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22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黑体" w:eastAsia="黑体" w:cs="黑体" w:hint="eastAsia"/>
                <w:i/>
                <w:iCs/>
                <w:color w:val="000000"/>
                <w:sz w:val="18"/>
                <w:szCs w:val="18"/>
                <w:u w:val="none"/>
              </w:rPr>
            </w:pPr>
          </w:p>
        </w:tc>
      </w:tr>
      <w:tr>
        <w:trPr>
          <w:trHeight w:val="391"/>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43.23</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43.23</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520"/>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发放（缴纳）覆盖率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460"/>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足额保障率（参保率）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97"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128"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按照年初制定的绩效目标，对各项指标进行了自评，各项指标均已完成，自评得分为100分；通过该项目的实施，民警家属满意度达96%。</w:t>
            </w:r>
          </w:p>
        </w:tc>
      </w:tr>
      <w:tr>
        <w:trPr>
          <w:trHeight w:val="572"/>
        </w:trPr>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128"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128"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92"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项目负责人：林兴金</w:t>
            </w:r>
          </w:p>
        </w:tc>
        <w:tc>
          <w:tcPr>
            <w:tcW w:w="4618"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13"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6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50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20"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8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3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8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tc>
        <w:tc>
          <w:tcPr>
            <w:tcW w:w="48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2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810"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9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7815"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51320022R000005969462-追加州级部门编内退休人员一次性退休补贴</w:t>
            </w:r>
          </w:p>
        </w:tc>
      </w:tr>
      <w:tr>
        <w:trPr>
          <w:trHeight w:val="512"/>
        </w:trPr>
        <w:tc>
          <w:tcPr>
            <w:tcW w:w="19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51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89"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213"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51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02"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51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严格执行相关政策，保障编内退休人员一次性退休补贴及时、足额发放，预算编制科学合理，减少结余资金</w:t>
            </w:r>
          </w:p>
        </w:tc>
        <w:tc>
          <w:tcPr>
            <w:tcW w:w="3302"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按照年初制定的绩效目标实施该项目，保障编内退休人员一次性退休补贴及时、足额发放。</w:t>
            </w:r>
          </w:p>
        </w:tc>
      </w:tr>
      <w:tr>
        <w:trPr>
          <w:trHeight w:val="693"/>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7815"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该项目经费的实施，能确保编内退休人员一次性退休补贴及时、足额发放。</w:t>
            </w:r>
          </w:p>
        </w:tc>
      </w:tr>
      <w:tr>
        <w:trPr>
          <w:trHeight w:val="560"/>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39.00</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39.00</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22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黑体" w:eastAsia="黑体" w:cs="黑体" w:hint="eastAsia"/>
                <w:i/>
                <w:iCs/>
                <w:color w:val="000000"/>
                <w:sz w:val="18"/>
                <w:szCs w:val="18"/>
                <w:u w:val="none"/>
              </w:rPr>
            </w:pPr>
          </w:p>
        </w:tc>
      </w:tr>
      <w:tr>
        <w:trPr>
          <w:trHeight w:val="520"/>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39.00</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39.00</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540"/>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发放（缴纳）覆盖率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540"/>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足额保障率（参保率）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97"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128"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按照年初制定的绩效目标，对各项指标进行了自评，各项指标均已完成，自评得分为100分；通过该项目的实施，退休民警满意度达96%。</w:t>
            </w:r>
          </w:p>
        </w:tc>
      </w:tr>
      <w:tr>
        <w:trPr>
          <w:trHeight w:val="572"/>
        </w:trPr>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128"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128"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92"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项目负责人：林兴金</w:t>
            </w:r>
          </w:p>
        </w:tc>
        <w:tc>
          <w:tcPr>
            <w:tcW w:w="4618"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13"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6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50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20"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8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3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8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2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286"/>
        </w:trPr>
        <w:tc>
          <w:tcPr>
            <w:tcW w:w="6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13"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6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50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20"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8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3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8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2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286"/>
        </w:trPr>
        <w:tc>
          <w:tcPr>
            <w:tcW w:w="6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13"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6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50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20"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8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3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8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2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286"/>
        </w:trPr>
        <w:tc>
          <w:tcPr>
            <w:tcW w:w="6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13"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6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50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20"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8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3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8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tc>
        <w:tc>
          <w:tcPr>
            <w:tcW w:w="48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2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810"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9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7815"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51320022Y000005476478-新春慰问金</w:t>
            </w:r>
          </w:p>
        </w:tc>
      </w:tr>
      <w:tr>
        <w:trPr>
          <w:trHeight w:val="512"/>
        </w:trPr>
        <w:tc>
          <w:tcPr>
            <w:tcW w:w="19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51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89"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213"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51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02"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51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提高预算编制质量，严格执行预算，保障单位新春慰问工作正常开展。</w:t>
            </w:r>
          </w:p>
        </w:tc>
        <w:tc>
          <w:tcPr>
            <w:tcW w:w="3302"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按照年初制定的绩效目标实施该项目，保障单位新春慰问工作正常开展。</w:t>
            </w:r>
          </w:p>
        </w:tc>
      </w:tr>
      <w:tr>
        <w:trPr>
          <w:trHeight w:val="693"/>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7815"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该项目经费的实施，能确保单位新春慰问工作正常开展。</w:t>
            </w:r>
          </w:p>
        </w:tc>
      </w:tr>
      <w:tr>
        <w:trPr>
          <w:trHeight w:val="540"/>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4.83</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4.83</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22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黑体" w:eastAsia="黑体" w:cs="黑体" w:hint="eastAsia"/>
                <w:i/>
                <w:iCs/>
                <w:color w:val="000000"/>
                <w:sz w:val="18"/>
                <w:szCs w:val="18"/>
                <w:u w:val="none"/>
              </w:rPr>
            </w:pPr>
          </w:p>
        </w:tc>
      </w:tr>
      <w:tr>
        <w:trPr>
          <w:trHeight w:val="520"/>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4.83</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4.83</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339"/>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科目调整次数</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次</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678"/>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预算编制准确率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904"/>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经济效益指标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“三公经费”控制率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339"/>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运转保障率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97"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128"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按照年初制定的绩效目标，对各项指标进行了自评，各项指标均已完成，自评得分为100分；通过该项目的实施，慰问民警满意度达96%。</w:t>
            </w:r>
          </w:p>
        </w:tc>
      </w:tr>
      <w:tr>
        <w:trPr>
          <w:trHeight w:val="572"/>
        </w:trPr>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128"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128"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92"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项目负责人：林兴金</w:t>
            </w:r>
          </w:p>
        </w:tc>
        <w:tc>
          <w:tcPr>
            <w:tcW w:w="4618"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13"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6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50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20"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8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3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8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tc>
        <w:tc>
          <w:tcPr>
            <w:tcW w:w="48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2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810"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9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7815"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51320023R000007728618-目标绩效奖（按月随工资发放70%部分）</w:t>
            </w:r>
          </w:p>
        </w:tc>
      </w:tr>
      <w:tr>
        <w:trPr>
          <w:trHeight w:val="512"/>
        </w:trPr>
        <w:tc>
          <w:tcPr>
            <w:tcW w:w="19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51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89"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213"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51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02"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51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严格执行相关政策，保障目标绩效及时、足额发放，预算编制科学合理，减少结余资金。</w:t>
            </w:r>
          </w:p>
        </w:tc>
        <w:tc>
          <w:tcPr>
            <w:tcW w:w="3302"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按照年初制定的绩效目标实施该项目，保障目标绩效及时、足额发放。</w:t>
            </w:r>
          </w:p>
        </w:tc>
      </w:tr>
      <w:tr>
        <w:trPr>
          <w:trHeight w:val="693"/>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7815"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该项目经费的实施，能确保目标绩效及时、足额发放。</w:t>
            </w:r>
          </w:p>
        </w:tc>
      </w:tr>
      <w:tr>
        <w:trPr>
          <w:trHeight w:val="640"/>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2,902.71</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3,158.46</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3,158.46</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22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黑体" w:eastAsia="黑体" w:cs="黑体" w:hint="eastAsia"/>
                <w:i/>
                <w:iCs/>
                <w:color w:val="000000"/>
                <w:sz w:val="18"/>
                <w:szCs w:val="18"/>
                <w:u w:val="none"/>
              </w:rPr>
            </w:pPr>
          </w:p>
        </w:tc>
      </w:tr>
      <w:tr>
        <w:trPr>
          <w:trHeight w:val="460"/>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2,902.71</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3,158.46</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3,158.46</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400"/>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发放（缴纳）覆盖率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540"/>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足额保障率（参保率）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97"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128"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按照年初制定的绩效目标，对各项指标进行了自评，各项指标均已完成，自评得分为100分；通过该项目的实施，民警满意度达96%。</w:t>
            </w:r>
          </w:p>
        </w:tc>
      </w:tr>
      <w:tr>
        <w:trPr>
          <w:trHeight w:val="572"/>
        </w:trPr>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128"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40"/>
        </w:trPr>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128"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92"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项目负责人：林兴金</w:t>
            </w:r>
          </w:p>
        </w:tc>
        <w:tc>
          <w:tcPr>
            <w:tcW w:w="4618"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13"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6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50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20"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8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3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8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tc>
        <w:tc>
          <w:tcPr>
            <w:tcW w:w="50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2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810"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9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7815"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51320023R000008958406-年度考核奖预发（30%）</w:t>
            </w:r>
          </w:p>
        </w:tc>
      </w:tr>
      <w:tr>
        <w:trPr>
          <w:trHeight w:val="512"/>
        </w:trPr>
        <w:tc>
          <w:tcPr>
            <w:tcW w:w="19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51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89"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213"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51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02"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51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严格执行相关政策，保障年度考核奖及时、足额发放，预算编制科学合理，减少结余资金。</w:t>
            </w:r>
          </w:p>
        </w:tc>
        <w:tc>
          <w:tcPr>
            <w:tcW w:w="3302"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按照年初制定的绩效目标实施该项目，保障年度考核奖及时、足额发放。</w:t>
            </w:r>
          </w:p>
        </w:tc>
      </w:tr>
      <w:tr>
        <w:trPr>
          <w:trHeight w:val="693"/>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7815"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该项目经费的实施，能确保年度考核奖及时、足额发放。</w:t>
            </w:r>
          </w:p>
        </w:tc>
      </w:tr>
      <w:tr>
        <w:trPr>
          <w:trHeight w:val="460"/>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1,170.27</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1,170.27</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22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黑体" w:eastAsia="黑体" w:cs="黑体" w:hint="eastAsia"/>
                <w:i/>
                <w:iCs/>
                <w:color w:val="000000"/>
                <w:sz w:val="18"/>
                <w:szCs w:val="18"/>
                <w:u w:val="none"/>
              </w:rPr>
            </w:pPr>
          </w:p>
        </w:tc>
      </w:tr>
      <w:tr>
        <w:trPr>
          <w:trHeight w:val="540"/>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1,170.27</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1,170.27</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420"/>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发放（缴纳）覆盖率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580"/>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足额保障率（参保率）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97"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128"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按照年初制定的绩效目标，对各项指标进行了自评，各项指标均已完成，自评得分为100分；通过该项目的实施，民警满意度达96%。</w:t>
            </w:r>
          </w:p>
        </w:tc>
      </w:tr>
      <w:tr>
        <w:trPr>
          <w:trHeight w:val="572"/>
        </w:trPr>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128"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128"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92"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项目负责人：林兴金</w:t>
            </w:r>
          </w:p>
        </w:tc>
        <w:tc>
          <w:tcPr>
            <w:tcW w:w="4618"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13"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6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50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20"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8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3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8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tc>
        <w:tc>
          <w:tcPr>
            <w:tcW w:w="50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2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810"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9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7815"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51320023R000009854242-追加州级离休干部困难补助</w:t>
            </w:r>
          </w:p>
        </w:tc>
      </w:tr>
      <w:tr>
        <w:trPr>
          <w:trHeight w:val="512"/>
        </w:trPr>
        <w:tc>
          <w:tcPr>
            <w:tcW w:w="19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51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89"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213"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51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02"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51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严格执行相关政策，保障离休干部困难补助及时、足额发放，预算编制科学合理，减少结余资金。</w:t>
            </w:r>
            <w:bookmarkStart w:id="54" w:name="_GoBack"/>
            <w:bookmarkEnd w:id="54"/>
          </w:p>
        </w:tc>
        <w:tc>
          <w:tcPr>
            <w:tcW w:w="3302"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按照年初制定的绩效目标实施该项目，保障离休干部困难补助及时、足额发放。</w:t>
            </w:r>
          </w:p>
        </w:tc>
      </w:tr>
      <w:tr>
        <w:trPr>
          <w:trHeight w:val="693"/>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7815"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该项目经费的实施，能确保离休干部困难补助及时、足额发放。</w:t>
            </w:r>
          </w:p>
        </w:tc>
      </w:tr>
      <w:tr>
        <w:trPr>
          <w:trHeight w:val="540"/>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0.65</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0.65</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22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黑体" w:eastAsia="黑体" w:cs="黑体" w:hint="eastAsia"/>
                <w:i/>
                <w:iCs/>
                <w:color w:val="000000"/>
                <w:sz w:val="18"/>
                <w:szCs w:val="18"/>
                <w:u w:val="none"/>
              </w:rPr>
            </w:pPr>
          </w:p>
        </w:tc>
      </w:tr>
      <w:tr>
        <w:trPr>
          <w:trHeight w:val="540"/>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0.65</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0.65</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520"/>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500"/>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发放（缴纳）覆盖率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620"/>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足额保障率（参保率）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97"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128"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按照年初制定的绩效目标，对各项指标进行了自评，各项指标均已完成，自评得分为100分；通过该项目的实施，离休民警满意度达96%。</w:t>
            </w:r>
          </w:p>
        </w:tc>
      </w:tr>
      <w:tr>
        <w:trPr>
          <w:trHeight w:val="572"/>
        </w:trPr>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128"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128"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92"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项目负责人：林兴金</w:t>
            </w:r>
          </w:p>
        </w:tc>
        <w:tc>
          <w:tcPr>
            <w:tcW w:w="4618"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13"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6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50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20"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8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3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8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tc>
        <w:tc>
          <w:tcPr>
            <w:tcW w:w="50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2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810"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9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7815"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51320023R000009914893-工资性支出</w:t>
            </w:r>
          </w:p>
        </w:tc>
      </w:tr>
      <w:tr>
        <w:trPr>
          <w:trHeight w:val="512"/>
        </w:trPr>
        <w:tc>
          <w:tcPr>
            <w:tcW w:w="19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51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89"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213"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51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02"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51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严格执行相关政策，保障工资及时、足额发放，预算编制科学合理，减少结余资金。</w:t>
            </w:r>
          </w:p>
        </w:tc>
        <w:tc>
          <w:tcPr>
            <w:tcW w:w="3302"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按照年初制定的绩效目标实施该项目，及时、足额发放民警、职工工资。</w:t>
            </w:r>
          </w:p>
        </w:tc>
      </w:tr>
      <w:tr>
        <w:trPr>
          <w:trHeight w:val="693"/>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7815"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该项目经费的实施，能确保及时、足额发放民警、职工工资。</w:t>
            </w:r>
          </w:p>
        </w:tc>
      </w:tr>
      <w:tr>
        <w:trPr>
          <w:trHeight w:val="600"/>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719.76</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719.76</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22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黑体" w:eastAsia="黑体" w:cs="黑体" w:hint="eastAsia"/>
                <w:i/>
                <w:iCs/>
                <w:color w:val="000000"/>
                <w:sz w:val="18"/>
                <w:szCs w:val="18"/>
                <w:u w:val="none"/>
              </w:rPr>
            </w:pPr>
          </w:p>
        </w:tc>
      </w:tr>
      <w:tr>
        <w:trPr>
          <w:trHeight w:val="540"/>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719.76</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719.76</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452"/>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发放（缴纳）覆盖率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r>
      <w:tr>
        <w:trPr>
          <w:trHeight w:val="520"/>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足额保障率（参保率）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100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97"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128"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按照年初制定的绩效目标，对各项指标进行了自评，各项指标均已完成，自评得分为100分；通过该项目的实施，有效提升了民警工作积极性，满意度达96%。</w:t>
            </w:r>
          </w:p>
        </w:tc>
      </w:tr>
      <w:tr>
        <w:trPr>
          <w:trHeight w:val="572"/>
        </w:trPr>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128"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128"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92"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项目负责人：林兴金</w:t>
            </w:r>
          </w:p>
        </w:tc>
        <w:tc>
          <w:tcPr>
            <w:tcW w:w="4618"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13"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6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50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20"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8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3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8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tc>
        <w:tc>
          <w:tcPr>
            <w:tcW w:w="50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2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810"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9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7815"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51320023R000009915221-单位缴费</w:t>
            </w:r>
          </w:p>
        </w:tc>
      </w:tr>
      <w:tr>
        <w:trPr>
          <w:trHeight w:val="512"/>
        </w:trPr>
        <w:tc>
          <w:tcPr>
            <w:tcW w:w="19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51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89"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213"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51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02"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51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严格执行相关政策，保障及时、足额缴纳社保，预算编制科学合理，减少结余资金。</w:t>
            </w:r>
          </w:p>
        </w:tc>
        <w:tc>
          <w:tcPr>
            <w:tcW w:w="3302"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按照年初制定的绩效目标实施该项目，保障及时、足额缴纳社保。</w:t>
            </w:r>
          </w:p>
        </w:tc>
      </w:tr>
      <w:tr>
        <w:trPr>
          <w:trHeight w:val="693"/>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7815"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该项目经费的实施，能确保及时、足额缴纳社保资金。</w:t>
            </w:r>
          </w:p>
        </w:tc>
      </w:tr>
      <w:tr>
        <w:trPr>
          <w:trHeight w:val="540"/>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24.07</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24.07</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22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黑体" w:eastAsia="黑体" w:cs="黑体" w:hint="eastAsia"/>
                <w:i/>
                <w:iCs/>
                <w:color w:val="000000"/>
                <w:sz w:val="18"/>
                <w:szCs w:val="18"/>
                <w:u w:val="none"/>
              </w:rPr>
            </w:pPr>
          </w:p>
        </w:tc>
      </w:tr>
      <w:tr>
        <w:trPr>
          <w:trHeight w:val="391"/>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24.07</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24.07</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452"/>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发放（缴纳）覆盖率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60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r>
      <w:tr>
        <w:trPr>
          <w:trHeight w:val="540"/>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足额保障率（参保率）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97"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128"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按照年初制定的绩效目标，对各项指标进行了自评，各项指标均已完成，自评得分为100分；通过该项目的实施，有效提升了民警工作积极性，满意度达96%。</w:t>
            </w:r>
          </w:p>
        </w:tc>
      </w:tr>
      <w:tr>
        <w:trPr>
          <w:trHeight w:val="572"/>
        </w:trPr>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128"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128"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92"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项目负责人：林兴金</w:t>
            </w:r>
          </w:p>
        </w:tc>
        <w:tc>
          <w:tcPr>
            <w:tcW w:w="4618"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r>
        <w:trPr>
          <w:trHeight w:val="286"/>
        </w:trPr>
        <w:tc>
          <w:tcPr>
            <w:tcW w:w="6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13"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6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50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20"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8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3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8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p>
            <w:pPr>
              <w:rPr>
                <w:rFonts w:ascii="宋体" w:eastAsia="宋体" w:cs="宋体" w:hint="eastAsia"/>
                <w:i w:val="0"/>
                <w:iCs w:val="0"/>
                <w:color w:val="000000"/>
                <w:sz w:val="18"/>
                <w:szCs w:val="18"/>
                <w:u w:val="none"/>
              </w:rPr>
            </w:pPr>
          </w:p>
        </w:tc>
        <w:tc>
          <w:tcPr>
            <w:tcW w:w="50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2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286"/>
        </w:trPr>
        <w:tc>
          <w:tcPr>
            <w:tcW w:w="68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313"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168"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50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20"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881"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3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089"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505"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486"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c>
          <w:tcPr>
            <w:tcW w:w="1222" w:type="dxa"/>
            <w:tcBorders>
              <w:top w:val="nil"/>
              <w:left w:val="nil"/>
              <w:bottom w:val="nil"/>
              <w:right w:val="nil"/>
            </w:tcBorders>
            <w:shd w:val="clear" w:color="auto" w:fill="auto"/>
            <w:noWrap/>
            <w:vAlign w:val="center"/>
          </w:tcPr>
          <w:p>
            <w:pPr>
              <w:rPr>
                <w:rFonts w:ascii="宋体" w:eastAsia="宋体" w:cs="宋体" w:hint="eastAsia"/>
                <w:i w:val="0"/>
                <w:iCs w:val="0"/>
                <w:color w:val="000000"/>
                <w:sz w:val="18"/>
                <w:szCs w:val="18"/>
                <w:u w:val="none"/>
              </w:rPr>
            </w:pPr>
          </w:p>
        </w:tc>
      </w:tr>
      <w:tr>
        <w:trPr>
          <w:trHeight w:val="904"/>
        </w:trPr>
        <w:tc>
          <w:tcPr>
            <w:tcW w:w="9810"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b/>
                <w:bCs/>
                <w:i w:val="0"/>
                <w:iCs w:val="0"/>
                <w:color w:val="000000"/>
                <w:sz w:val="30"/>
                <w:szCs w:val="30"/>
                <w:u w:val="none"/>
              </w:rPr>
            </w:pPr>
            <w:r>
              <w:rPr>
                <w:rFonts w:ascii="黑体" w:eastAsia="黑体" w:cs="黑体" w:hint="eastAsia"/>
                <w:b/>
                <w:bCs/>
                <w:i w:val="0"/>
                <w:iCs w:val="0"/>
                <w:color w:val="000000"/>
                <w:kern w:val="0"/>
                <w:sz w:val="30"/>
                <w:szCs w:val="30"/>
                <w:u w:val="none"/>
                <w:lang w:val="en-US" w:eastAsia="zh-CN"/>
              </w:rPr>
              <w:t>部门预算项目支出绩效自评表（2023年度）</w:t>
            </w:r>
          </w:p>
        </w:tc>
      </w:tr>
      <w:tr>
        <w:trPr>
          <w:trHeight w:val="286"/>
        </w:trPr>
        <w:tc>
          <w:tcPr>
            <w:tcW w:w="19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项目名称</w:t>
            </w:r>
          </w:p>
        </w:tc>
        <w:tc>
          <w:tcPr>
            <w:tcW w:w="7815"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51320023Y000009917272-日常公用经费</w:t>
            </w:r>
          </w:p>
        </w:tc>
      </w:tr>
      <w:tr>
        <w:trPr>
          <w:trHeight w:val="512"/>
        </w:trPr>
        <w:tc>
          <w:tcPr>
            <w:tcW w:w="1995"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主管部门</w:t>
            </w:r>
          </w:p>
        </w:tc>
        <w:tc>
          <w:tcPr>
            <w:tcW w:w="451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州公安局部门</w:t>
            </w:r>
          </w:p>
        </w:tc>
        <w:tc>
          <w:tcPr>
            <w:tcW w:w="1089"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实施单位 （盖章）</w:t>
            </w:r>
          </w:p>
        </w:tc>
        <w:tc>
          <w:tcPr>
            <w:tcW w:w="2213"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州公安局</w:t>
            </w:r>
          </w:p>
        </w:tc>
      </w:tr>
      <w:tr>
        <w:trPr>
          <w:trHeight w:val="286"/>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项目基本情况</w:t>
            </w:r>
          </w:p>
        </w:tc>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1.项目年度目标完成情况</w:t>
            </w:r>
          </w:p>
        </w:tc>
        <w:tc>
          <w:tcPr>
            <w:tcW w:w="451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项目年度目标</w:t>
            </w:r>
          </w:p>
        </w:tc>
        <w:tc>
          <w:tcPr>
            <w:tcW w:w="3302"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年度目标完成情况</w:t>
            </w:r>
          </w:p>
        </w:tc>
      </w:tr>
      <w:tr>
        <w:trPr>
          <w:trHeight w:val="708"/>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4513"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提高预算编制质量，严格执行预算，保障单位日常运转。</w:t>
            </w:r>
          </w:p>
        </w:tc>
        <w:tc>
          <w:tcPr>
            <w:tcW w:w="3302"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按照年初制定的绩效目标实施该项目，保障单位日常运转。</w:t>
            </w:r>
          </w:p>
        </w:tc>
      </w:tr>
      <w:tr>
        <w:trPr>
          <w:trHeight w:val="693"/>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2.项目实施内容及过程概述</w:t>
            </w:r>
          </w:p>
        </w:tc>
        <w:tc>
          <w:tcPr>
            <w:tcW w:w="7815"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该项目经费的实施，能确保单位日常运转。</w:t>
            </w:r>
          </w:p>
        </w:tc>
      </w:tr>
      <w:tr>
        <w:trPr>
          <w:trHeight w:val="720"/>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预算执行情况（10分）</w:t>
            </w: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年度预算数（万元）</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年初预算</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调整后预算数</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预算执行数</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预算执行率</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原因</w:t>
            </w:r>
          </w:p>
        </w:tc>
      </w:tr>
      <w:tr>
        <w:trPr>
          <w:trHeight w:val="346"/>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总额</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42.70</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w:t>
            </w:r>
          </w:p>
        </w:tc>
        <w:tc>
          <w:tcPr>
            <w:tcW w:w="122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黑体" w:eastAsia="黑体" w:cs="黑体" w:hint="eastAsia"/>
                <w:i/>
                <w:iCs/>
                <w:color w:val="000000"/>
                <w:sz w:val="18"/>
                <w:szCs w:val="18"/>
                <w:u w:val="none"/>
              </w:rPr>
            </w:pPr>
          </w:p>
        </w:tc>
      </w:tr>
      <w:tr>
        <w:trPr>
          <w:trHeight w:val="620"/>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其中：财政资金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42.70</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07"/>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财政专户管理资金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61"/>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单位资金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0.00%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339"/>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其他资金</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836"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r>
      <w:tr>
        <w:trPr>
          <w:trHeight w:val="452"/>
        </w:trPr>
        <w:tc>
          <w:tcPr>
            <w:tcW w:w="682"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绩效指标（90分）</w:t>
            </w:r>
          </w:p>
        </w:tc>
        <w:tc>
          <w:tcPr>
            <w:tcW w:w="13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一级指标</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二级指标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三级指标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指标性质</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指标值</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度量单位</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完成值</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权重</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得分</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未完成原因分析</w:t>
            </w:r>
          </w:p>
        </w:tc>
      </w:tr>
      <w:tr>
        <w:trPr>
          <w:trHeight w:val="452"/>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产出指标</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数量指标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科目调整次数</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次</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r>
      <w:tr>
        <w:trPr>
          <w:trHeight w:val="452"/>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质量指标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预算编制准确率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5</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30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r>
      <w:tr>
        <w:trPr>
          <w:trHeight w:val="452"/>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效益指标</w:t>
            </w: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经济效益指标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“三公经费”控制率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iCs w:val="0"/>
                <w:color w:val="000000"/>
                <w:sz w:val="18"/>
                <w:szCs w:val="18"/>
                <w:u w:val="none"/>
              </w:rPr>
            </w:pPr>
          </w:p>
        </w:tc>
      </w:tr>
      <w:tr>
        <w:trPr>
          <w:trHeight w:val="339"/>
        </w:trPr>
        <w:tc>
          <w:tcPr>
            <w:tcW w:w="682"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313"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1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社会效益指标</w:t>
            </w:r>
          </w:p>
        </w:tc>
        <w:tc>
          <w:tcPr>
            <w:tcW w:w="150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运转保障率</w:t>
            </w:r>
          </w:p>
        </w:tc>
        <w:tc>
          <w:tcPr>
            <w:tcW w:w="5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88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w:t>
            </w:r>
          </w:p>
        </w:tc>
        <w:tc>
          <w:tcPr>
            <w:tcW w:w="10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20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微软雅黑" w:eastAsia="微软雅黑" w:cs="微软雅黑" w:hint="eastAsia"/>
                <w:i/>
                <w:iCs/>
                <w:color w:val="000000"/>
                <w:sz w:val="16"/>
                <w:szCs w:val="16"/>
                <w:u w:val="none"/>
              </w:rPr>
            </w:pPr>
          </w:p>
        </w:tc>
      </w:tr>
      <w:tr>
        <w:trPr>
          <w:trHeight w:val="286"/>
        </w:trPr>
        <w:tc>
          <w:tcPr>
            <w:tcW w:w="7597"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合计</w:t>
            </w:r>
          </w:p>
        </w:tc>
        <w:tc>
          <w:tcPr>
            <w:tcW w:w="5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48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right"/>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100</w:t>
            </w: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iCs w:val="0"/>
                <w:color w:val="000000"/>
                <w:sz w:val="18"/>
                <w:szCs w:val="18"/>
                <w:u w:val="none"/>
              </w:rPr>
            </w:pPr>
          </w:p>
        </w:tc>
      </w:tr>
      <w:tr>
        <w:trPr>
          <w:trHeight w:val="603"/>
        </w:trPr>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评价结论</w:t>
            </w:r>
          </w:p>
        </w:tc>
        <w:tc>
          <w:tcPr>
            <w:tcW w:w="9128"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按照年初制定的绩效目标，对各项指标进行了自评，各项指标均已完成，自评得分为100分；通过该项目的实施，办公民警满意度达96%。</w:t>
            </w:r>
          </w:p>
        </w:tc>
      </w:tr>
      <w:tr>
        <w:trPr>
          <w:trHeight w:val="572"/>
        </w:trPr>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存在问题</w:t>
            </w:r>
          </w:p>
        </w:tc>
        <w:tc>
          <w:tcPr>
            <w:tcW w:w="9128"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633"/>
        </w:trPr>
        <w:tc>
          <w:tcPr>
            <w:tcW w:w="6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i w:val="0"/>
                <w:iCs w:val="0"/>
                <w:color w:val="000000"/>
                <w:sz w:val="18"/>
                <w:szCs w:val="18"/>
                <w:u w:val="none"/>
              </w:rPr>
            </w:pPr>
            <w:r>
              <w:rPr>
                <w:rFonts w:ascii="宋体" w:eastAsia="宋体" w:cs="宋体"/>
                <w:i w:val="0"/>
                <w:iCs w:val="0"/>
                <w:color w:val="000000"/>
                <w:kern w:val="0"/>
                <w:sz w:val="18"/>
                <w:szCs w:val="18"/>
                <w:u w:val="none"/>
                <w:lang w:val="en-US" w:eastAsia="zh-CN"/>
              </w:rPr>
              <w:t>改进措施</w:t>
            </w:r>
          </w:p>
        </w:tc>
        <w:tc>
          <w:tcPr>
            <w:tcW w:w="9128"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微软雅黑" w:eastAsia="微软雅黑" w:cs="微软雅黑" w:hint="eastAsia"/>
                <w:i/>
                <w:iCs/>
                <w:color w:val="000000"/>
                <w:sz w:val="16"/>
                <w:szCs w:val="16"/>
                <w:u w:val="none"/>
              </w:rPr>
            </w:pPr>
            <w:r>
              <w:rPr>
                <w:rFonts w:ascii="微软雅黑" w:eastAsia="微软雅黑" w:cs="微软雅黑" w:hint="eastAsia"/>
                <w:i/>
                <w:iCs/>
                <w:color w:val="000000"/>
                <w:kern w:val="0"/>
                <w:sz w:val="16"/>
                <w:szCs w:val="16"/>
                <w:u w:val="none"/>
                <w:lang w:val="en-US" w:eastAsia="zh-CN"/>
              </w:rPr>
              <w:t>无</w:t>
            </w:r>
          </w:p>
        </w:tc>
      </w:tr>
      <w:tr>
        <w:trPr>
          <w:trHeight w:val="286"/>
        </w:trPr>
        <w:tc>
          <w:tcPr>
            <w:tcW w:w="5192"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项目负责人：林兴金</w:t>
            </w:r>
          </w:p>
        </w:tc>
        <w:tc>
          <w:tcPr>
            <w:tcW w:w="4618"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黑体" w:eastAsia="黑体" w:cs="黑体" w:hint="eastAsia"/>
                <w:i w:val="0"/>
                <w:iCs w:val="0"/>
                <w:color w:val="000000"/>
                <w:sz w:val="18"/>
                <w:szCs w:val="18"/>
                <w:u w:val="none"/>
              </w:rPr>
            </w:pPr>
            <w:r>
              <w:rPr>
                <w:rFonts w:ascii="黑体" w:eastAsia="黑体" w:cs="黑体" w:hint="eastAsia"/>
                <w:i w:val="0"/>
                <w:iCs w:val="0"/>
                <w:color w:val="000000"/>
                <w:kern w:val="0"/>
                <w:sz w:val="18"/>
                <w:szCs w:val="18"/>
                <w:u w:val="none"/>
                <w:lang w:val="en-US" w:eastAsia="zh-CN"/>
              </w:rPr>
              <w:t>财务负责人：娜斯基</w:t>
            </w:r>
          </w:p>
        </w:tc>
      </w:tr>
    </w:tbl>
    <w:p>
      <w:pPr>
        <w:pageBreakBefore w:val="0"/>
        <w:widowControl w:val="0"/>
        <w:kinsoku/>
        <w:wordWrap/>
        <w:overflowPunct/>
        <w:topLinePunct w:val="0"/>
        <w:bidi w:val="0"/>
        <w:snapToGrid/>
        <w:spacing w:line="576" w:lineRule="exact"/>
        <w:jc w:val="both"/>
        <w:textAlignment w:val="auto"/>
        <w:outlineLvl w:val="0"/>
        <w:rPr>
          <w:rFonts w:ascii="黑体" w:eastAsia="黑体" w:hint="eastAsia"/>
          <w:sz w:val="44"/>
          <w:szCs w:val="44"/>
        </w:rPr>
      </w:pPr>
    </w:p>
    <w:p>
      <w:pPr>
        <w:pageBreakBefore w:val="0"/>
        <w:widowControl w:val="0"/>
        <w:kinsoku/>
        <w:wordWrap/>
        <w:overflowPunct/>
        <w:topLinePunct w:val="0"/>
        <w:bidi w:val="0"/>
        <w:snapToGrid/>
        <w:spacing w:line="576" w:lineRule="exact"/>
        <w:jc w:val="center"/>
        <w:textAlignment w:val="auto"/>
        <w:outlineLvl w:val="0"/>
        <w:rPr>
          <w:rFonts w:ascii="黑体" w:eastAsia="黑体" w:hint="eastAsia"/>
          <w:sz w:val="44"/>
          <w:szCs w:val="44"/>
        </w:rPr>
      </w:pPr>
    </w:p>
    <w:p>
      <w:pPr>
        <w:pageBreakBefore w:val="0"/>
        <w:widowControl w:val="0"/>
        <w:kinsoku/>
        <w:wordWrap/>
        <w:overflowPunct/>
        <w:topLinePunct w:val="0"/>
        <w:bidi w:val="0"/>
        <w:snapToGrid/>
        <w:spacing w:line="576" w:lineRule="exact"/>
        <w:jc w:val="center"/>
        <w:textAlignment w:val="auto"/>
        <w:outlineLvl w:val="0"/>
        <w:rPr>
          <w:rFonts w:ascii="黑体" w:eastAsia="黑体" w:hint="eastAsia"/>
          <w:sz w:val="44"/>
          <w:szCs w:val="44"/>
        </w:rPr>
      </w:pPr>
    </w:p>
    <w:p>
      <w:pPr>
        <w:pageBreakBefore w:val="0"/>
        <w:widowControl w:val="0"/>
        <w:kinsoku/>
        <w:wordWrap/>
        <w:overflowPunct/>
        <w:topLinePunct w:val="0"/>
        <w:bidi w:val="0"/>
        <w:snapToGrid/>
        <w:spacing w:line="576" w:lineRule="exact"/>
        <w:jc w:val="center"/>
        <w:textAlignment w:val="auto"/>
        <w:outlineLvl w:val="0"/>
        <w:rPr>
          <w:rFonts w:ascii="仿宋" w:eastAsia="仿宋"/>
        </w:rPr>
      </w:pPr>
      <w:r>
        <w:rPr>
          <w:rFonts w:ascii="黑体" w:eastAsia="黑体" w:hint="eastAsia"/>
          <w:sz w:val="44"/>
          <w:szCs w:val="44"/>
        </w:rPr>
        <w:t>第</w:t>
      </w:r>
      <w:r>
        <w:rPr>
          <w:rStyle w:val="1Char"/>
          <w:rFonts w:ascii="黑体" w:eastAsia="黑体" w:hint="eastAsia"/>
          <w:b w:val="0"/>
        </w:rPr>
        <w:t>五部分 附表</w:t>
      </w:r>
      <w:bookmarkStart w:id="55" w:name="_Toc15396619"/>
      <w:bookmarkEnd w:id="52"/>
      <w:bookmarkEnd w:id="53"/>
    </w:p>
    <w:p>
      <w:pPr>
        <w:pStyle w:val="2"/>
        <w:keepNext/>
        <w:keepLines/>
        <w:pageBreakBefore w:val="0"/>
        <w:widowControl w:val="0"/>
        <w:kinsoku/>
        <w:wordWrap/>
        <w:overflowPunct/>
        <w:topLinePunct w:val="0"/>
        <w:bidi w:val="0"/>
        <w:snapToGrid/>
        <w:spacing w:before="0" w:after="0" w:line="576" w:lineRule="exact"/>
        <w:textAlignment w:val="auto"/>
        <w:rPr>
          <w:rFonts w:ascii="仿宋" w:eastAsia="仿宋"/>
        </w:rPr>
      </w:pPr>
      <w:r>
        <w:rPr>
          <w:rFonts w:ascii="仿宋" w:eastAsia="仿宋" w:hint="eastAsia"/>
          <w:b w:val="0"/>
        </w:rPr>
        <w:t>一、收</w:t>
      </w:r>
      <w:r>
        <w:rPr>
          <w:rStyle w:val="2Char"/>
          <w:rFonts w:ascii="仿宋" w:eastAsia="仿宋" w:hint="eastAsia"/>
          <w:b w:val="0"/>
          <w:bCs w:val="0"/>
        </w:rPr>
        <w:t>入支出决算总表</w:t>
      </w:r>
      <w:bookmarkEnd w:id="55"/>
    </w:p>
    <w:p>
      <w:pPr>
        <w:pStyle w:val="2"/>
        <w:keepNext/>
        <w:keepLines/>
        <w:pageBreakBefore w:val="0"/>
        <w:widowControl w:val="0"/>
        <w:kinsoku/>
        <w:wordWrap/>
        <w:overflowPunct/>
        <w:topLinePunct w:val="0"/>
        <w:bidi w:val="0"/>
        <w:snapToGrid/>
        <w:spacing w:before="0" w:after="0" w:line="576" w:lineRule="exact"/>
        <w:textAlignment w:val="auto"/>
        <w:rPr>
          <w:rFonts w:ascii="仿宋" w:eastAsia="仿宋"/>
        </w:rPr>
      </w:pPr>
      <w:bookmarkStart w:id="56" w:name="_Toc15396620"/>
      <w:r>
        <w:rPr>
          <w:rFonts w:ascii="仿宋" w:eastAsia="仿宋" w:hint="eastAsia"/>
          <w:b w:val="0"/>
        </w:rPr>
        <w:t>二、收</w:t>
      </w:r>
      <w:r>
        <w:rPr>
          <w:rStyle w:val="2Char"/>
          <w:rFonts w:ascii="仿宋" w:eastAsia="仿宋" w:hint="eastAsia"/>
          <w:b w:val="0"/>
          <w:bCs w:val="0"/>
        </w:rPr>
        <w:t>入决算表</w:t>
      </w:r>
      <w:bookmarkEnd w:id="56"/>
    </w:p>
    <w:p>
      <w:pPr>
        <w:pStyle w:val="2"/>
        <w:keepNext/>
        <w:keepLines/>
        <w:pageBreakBefore w:val="0"/>
        <w:widowControl w:val="0"/>
        <w:kinsoku/>
        <w:wordWrap/>
        <w:overflowPunct/>
        <w:topLinePunct w:val="0"/>
        <w:bidi w:val="0"/>
        <w:snapToGrid/>
        <w:spacing w:before="0" w:after="0" w:line="576" w:lineRule="exact"/>
        <w:textAlignment w:val="auto"/>
        <w:rPr>
          <w:rFonts w:ascii="仿宋" w:eastAsia="仿宋"/>
        </w:rPr>
      </w:pPr>
      <w:bookmarkStart w:id="57" w:name="_Toc15396621"/>
      <w:r>
        <w:rPr>
          <w:rStyle w:val="2Char"/>
          <w:rFonts w:ascii="仿宋" w:eastAsia="仿宋" w:hint="eastAsia"/>
          <w:b w:val="0"/>
          <w:bCs w:val="0"/>
        </w:rPr>
        <w:t>三、</w:t>
      </w:r>
      <w:r>
        <w:rPr>
          <w:rFonts w:ascii="仿宋" w:eastAsia="仿宋" w:hint="eastAsia"/>
          <w:b w:val="0"/>
        </w:rPr>
        <w:t>支</w:t>
      </w:r>
      <w:r>
        <w:rPr>
          <w:rStyle w:val="2Char"/>
          <w:rFonts w:ascii="仿宋" w:eastAsia="仿宋" w:hint="eastAsia"/>
          <w:b w:val="0"/>
          <w:bCs w:val="0"/>
        </w:rPr>
        <w:t>出决算表</w:t>
      </w:r>
      <w:bookmarkEnd w:id="57"/>
    </w:p>
    <w:p>
      <w:pPr>
        <w:pStyle w:val="2"/>
        <w:keepNext/>
        <w:keepLines/>
        <w:pageBreakBefore w:val="0"/>
        <w:widowControl w:val="0"/>
        <w:kinsoku/>
        <w:wordWrap/>
        <w:overflowPunct/>
        <w:topLinePunct w:val="0"/>
        <w:bidi w:val="0"/>
        <w:snapToGrid/>
        <w:spacing w:before="0" w:after="0" w:line="576" w:lineRule="exact"/>
        <w:textAlignment w:val="auto"/>
        <w:rPr>
          <w:rFonts w:ascii="仿宋" w:eastAsia="仿宋"/>
          <w:b w:val="0"/>
        </w:rPr>
      </w:pPr>
      <w:bookmarkStart w:id="58" w:name="_Toc15396622"/>
      <w:r>
        <w:rPr>
          <w:rStyle w:val="2Char"/>
          <w:rFonts w:ascii="仿宋" w:eastAsia="仿宋" w:hint="eastAsia"/>
          <w:b w:val="0"/>
          <w:bCs w:val="0"/>
        </w:rPr>
        <w:t>四、</w:t>
      </w:r>
      <w:r>
        <w:rPr>
          <w:rFonts w:ascii="仿宋" w:eastAsia="仿宋" w:hint="eastAsia"/>
          <w:b w:val="0"/>
        </w:rPr>
        <w:t>财</w:t>
      </w:r>
      <w:r>
        <w:rPr>
          <w:rStyle w:val="2Char"/>
          <w:rFonts w:ascii="仿宋" w:eastAsia="仿宋" w:hint="eastAsia"/>
          <w:b w:val="0"/>
          <w:bCs w:val="0"/>
        </w:rPr>
        <w:t>政拨款收入支出决算总表</w:t>
      </w:r>
      <w:bookmarkEnd w:id="58"/>
    </w:p>
    <w:p>
      <w:pPr>
        <w:pStyle w:val="2"/>
        <w:keepNext/>
        <w:keepLines/>
        <w:pageBreakBefore w:val="0"/>
        <w:widowControl w:val="0"/>
        <w:kinsoku/>
        <w:wordWrap/>
        <w:overflowPunct/>
        <w:topLinePunct w:val="0"/>
        <w:bidi w:val="0"/>
        <w:snapToGrid/>
        <w:spacing w:before="0" w:after="0" w:line="576" w:lineRule="exact"/>
        <w:textAlignment w:val="auto"/>
        <w:rPr>
          <w:rStyle w:val="2Char"/>
          <w:rFonts w:ascii="仿宋" w:eastAsia="仿宋"/>
          <w:b w:val="0"/>
          <w:bCs w:val="0"/>
        </w:rPr>
      </w:pPr>
      <w:bookmarkStart w:id="59" w:name="_Toc15396623"/>
      <w:r>
        <w:rPr>
          <w:rStyle w:val="2Char"/>
          <w:rFonts w:ascii="仿宋" w:eastAsia="仿宋" w:hint="eastAsia"/>
          <w:b w:val="0"/>
          <w:bCs w:val="0"/>
        </w:rPr>
        <w:t>五、</w:t>
      </w:r>
      <w:r>
        <w:rPr>
          <w:rFonts w:ascii="仿宋" w:eastAsia="仿宋" w:hint="eastAsia"/>
          <w:b w:val="0"/>
        </w:rPr>
        <w:t>财</w:t>
      </w:r>
      <w:r>
        <w:rPr>
          <w:rStyle w:val="2Char"/>
          <w:rFonts w:ascii="仿宋" w:eastAsia="仿宋" w:hint="eastAsia"/>
          <w:b w:val="0"/>
          <w:bCs w:val="0"/>
        </w:rPr>
        <w:t>政拨款支出决算明细表</w:t>
      </w:r>
      <w:bookmarkStart w:id="60" w:name="_Toc15396624"/>
      <w:bookmarkEnd w:id="59"/>
    </w:p>
    <w:p>
      <w:pPr>
        <w:pStyle w:val="2"/>
        <w:keepNext/>
        <w:keepLines/>
        <w:pageBreakBefore w:val="0"/>
        <w:widowControl w:val="0"/>
        <w:kinsoku/>
        <w:wordWrap/>
        <w:overflowPunct/>
        <w:topLinePunct w:val="0"/>
        <w:bidi w:val="0"/>
        <w:snapToGrid/>
        <w:spacing w:before="0" w:after="0" w:line="576" w:lineRule="exact"/>
        <w:textAlignment w:val="auto"/>
        <w:rPr>
          <w:rFonts w:ascii="仿宋" w:eastAsia="仿宋"/>
        </w:rPr>
      </w:pPr>
      <w:r>
        <w:rPr>
          <w:rStyle w:val="2Char"/>
          <w:rFonts w:ascii="仿宋" w:eastAsia="仿宋" w:hint="eastAsia"/>
          <w:b w:val="0"/>
          <w:bCs w:val="0"/>
        </w:rPr>
        <w:t>六、</w:t>
      </w:r>
      <w:r>
        <w:rPr>
          <w:rFonts w:ascii="仿宋" w:eastAsia="仿宋" w:hint="eastAsia"/>
          <w:b w:val="0"/>
        </w:rPr>
        <w:t>一</w:t>
      </w:r>
      <w:r>
        <w:rPr>
          <w:rStyle w:val="2Char"/>
          <w:rFonts w:ascii="仿宋" w:eastAsia="仿宋" w:hint="eastAsia"/>
          <w:b w:val="0"/>
          <w:bCs w:val="0"/>
        </w:rPr>
        <w:t>般公共预算财政拨款支出决算表</w:t>
      </w:r>
      <w:bookmarkEnd w:id="60"/>
    </w:p>
    <w:p>
      <w:pPr>
        <w:pStyle w:val="2"/>
        <w:keepNext/>
        <w:keepLines/>
        <w:pageBreakBefore w:val="0"/>
        <w:widowControl w:val="0"/>
        <w:kinsoku/>
        <w:wordWrap/>
        <w:overflowPunct/>
        <w:topLinePunct w:val="0"/>
        <w:bidi w:val="0"/>
        <w:snapToGrid/>
        <w:spacing w:before="0" w:after="0" w:line="576" w:lineRule="exact"/>
        <w:textAlignment w:val="auto"/>
        <w:rPr>
          <w:rFonts w:ascii="仿宋" w:eastAsia="仿宋"/>
        </w:rPr>
      </w:pPr>
      <w:bookmarkStart w:id="61" w:name="_Toc15396625"/>
      <w:r>
        <w:rPr>
          <w:rStyle w:val="2Char"/>
          <w:rFonts w:ascii="仿宋" w:eastAsia="仿宋" w:hint="eastAsia"/>
          <w:b w:val="0"/>
          <w:bCs w:val="0"/>
        </w:rPr>
        <w:t>七、</w:t>
      </w:r>
      <w:r>
        <w:rPr>
          <w:rFonts w:ascii="仿宋" w:eastAsia="仿宋" w:hint="eastAsia"/>
          <w:b w:val="0"/>
        </w:rPr>
        <w:t>一</w:t>
      </w:r>
      <w:r>
        <w:rPr>
          <w:rStyle w:val="2Char"/>
          <w:rFonts w:ascii="仿宋" w:eastAsia="仿宋" w:hint="eastAsia"/>
          <w:b w:val="0"/>
          <w:bCs w:val="0"/>
        </w:rPr>
        <w:t>般公共预算财政拨款支出决算明细表</w:t>
      </w:r>
      <w:bookmarkEnd w:id="61"/>
    </w:p>
    <w:p>
      <w:pPr>
        <w:pStyle w:val="2"/>
        <w:keepNext/>
        <w:keepLines/>
        <w:pageBreakBefore w:val="0"/>
        <w:widowControl w:val="0"/>
        <w:kinsoku/>
        <w:wordWrap/>
        <w:overflowPunct/>
        <w:topLinePunct w:val="0"/>
        <w:bidi w:val="0"/>
        <w:snapToGrid/>
        <w:spacing w:before="0" w:after="0" w:line="576" w:lineRule="exact"/>
        <w:textAlignment w:val="auto"/>
        <w:rPr>
          <w:rFonts w:ascii="仿宋" w:eastAsia="仿宋"/>
        </w:rPr>
      </w:pPr>
      <w:bookmarkStart w:id="62" w:name="_Toc15396626"/>
      <w:r>
        <w:rPr>
          <w:rStyle w:val="2Char"/>
          <w:rFonts w:ascii="仿宋" w:eastAsia="仿宋" w:hint="eastAsia"/>
          <w:b w:val="0"/>
          <w:bCs w:val="0"/>
        </w:rPr>
        <w:t>八、</w:t>
      </w:r>
      <w:r>
        <w:rPr>
          <w:rFonts w:ascii="仿宋" w:eastAsia="仿宋" w:hint="eastAsia"/>
          <w:b w:val="0"/>
        </w:rPr>
        <w:t>一</w:t>
      </w:r>
      <w:r>
        <w:rPr>
          <w:rStyle w:val="2Char"/>
          <w:rFonts w:ascii="仿宋" w:eastAsia="仿宋" w:hint="eastAsia"/>
          <w:b w:val="0"/>
          <w:bCs w:val="0"/>
        </w:rPr>
        <w:t>般公共预算财政拨款基本支出决算表</w:t>
      </w:r>
      <w:bookmarkEnd w:id="62"/>
    </w:p>
    <w:p>
      <w:pPr>
        <w:pStyle w:val="2"/>
        <w:keepNext/>
        <w:keepLines/>
        <w:pageBreakBefore w:val="0"/>
        <w:widowControl w:val="0"/>
        <w:kinsoku/>
        <w:wordWrap/>
        <w:overflowPunct/>
        <w:topLinePunct w:val="0"/>
        <w:bidi w:val="0"/>
        <w:snapToGrid/>
        <w:spacing w:before="0" w:after="0" w:line="576" w:lineRule="exact"/>
        <w:textAlignment w:val="auto"/>
        <w:rPr>
          <w:rFonts w:ascii="仿宋" w:eastAsia="仿宋"/>
        </w:rPr>
      </w:pPr>
      <w:bookmarkStart w:id="63" w:name="_Toc15396627"/>
      <w:r>
        <w:rPr>
          <w:rStyle w:val="2Char"/>
          <w:rFonts w:ascii="仿宋" w:eastAsia="仿宋" w:hint="eastAsia"/>
          <w:b w:val="0"/>
          <w:bCs w:val="0"/>
        </w:rPr>
        <w:t>九、</w:t>
      </w:r>
      <w:r>
        <w:rPr>
          <w:rFonts w:ascii="仿宋" w:eastAsia="仿宋" w:hint="eastAsia"/>
          <w:b w:val="0"/>
        </w:rPr>
        <w:t>一</w:t>
      </w:r>
      <w:r>
        <w:rPr>
          <w:rStyle w:val="2Char"/>
          <w:rFonts w:ascii="仿宋" w:eastAsia="仿宋" w:hint="eastAsia"/>
          <w:b w:val="0"/>
          <w:bCs w:val="0"/>
        </w:rPr>
        <w:t>般公共预算财政拨款项目支出决算表</w:t>
      </w:r>
      <w:bookmarkEnd w:id="63"/>
    </w:p>
    <w:p>
      <w:pPr>
        <w:pStyle w:val="2"/>
        <w:keepNext/>
        <w:keepLines/>
        <w:pageBreakBefore w:val="0"/>
        <w:widowControl w:val="0"/>
        <w:kinsoku/>
        <w:wordWrap/>
        <w:overflowPunct/>
        <w:topLinePunct w:val="0"/>
        <w:bidi w:val="0"/>
        <w:snapToGrid/>
        <w:spacing w:before="0" w:after="0" w:line="576" w:lineRule="exact"/>
        <w:textAlignment w:val="auto"/>
        <w:rPr>
          <w:rFonts w:ascii="仿宋" w:eastAsia="仿宋"/>
        </w:rPr>
      </w:pPr>
      <w:bookmarkStart w:id="64" w:name="_Toc15396628"/>
      <w:r>
        <w:rPr>
          <w:rStyle w:val="2Char"/>
          <w:rFonts w:ascii="仿宋" w:eastAsia="仿宋" w:hint="eastAsia"/>
          <w:b w:val="0"/>
          <w:bCs w:val="0"/>
        </w:rPr>
        <w:t>十、</w:t>
      </w:r>
      <w:bookmarkEnd w:id="64"/>
      <w:r>
        <w:rPr>
          <w:rFonts w:ascii="仿宋" w:eastAsia="仿宋" w:hint="eastAsia"/>
          <w:b w:val="0"/>
        </w:rPr>
        <w:t>政</w:t>
      </w:r>
      <w:r>
        <w:rPr>
          <w:rStyle w:val="2Char"/>
          <w:rFonts w:ascii="仿宋" w:eastAsia="仿宋" w:hint="eastAsia"/>
          <w:b w:val="0"/>
          <w:bCs w:val="0"/>
        </w:rPr>
        <w:t>府性基金预算财政拨款收入支出决算表</w:t>
      </w:r>
    </w:p>
    <w:p>
      <w:pPr>
        <w:pStyle w:val="2"/>
        <w:keepNext/>
        <w:keepLines/>
        <w:pageBreakBefore w:val="0"/>
        <w:widowControl w:val="0"/>
        <w:kinsoku/>
        <w:wordWrap/>
        <w:overflowPunct/>
        <w:topLinePunct w:val="0"/>
        <w:bidi w:val="0"/>
        <w:snapToGrid/>
        <w:spacing w:before="0" w:after="0" w:line="576" w:lineRule="exact"/>
        <w:textAlignment w:val="auto"/>
        <w:rPr>
          <w:rFonts w:ascii="仿宋" w:eastAsia="仿宋"/>
        </w:rPr>
      </w:pPr>
      <w:bookmarkStart w:id="65" w:name="_Toc15396629"/>
      <w:r>
        <w:rPr>
          <w:rStyle w:val="2Char"/>
          <w:rFonts w:ascii="仿宋" w:eastAsia="仿宋" w:hint="eastAsia"/>
          <w:b w:val="0"/>
          <w:bCs w:val="0"/>
        </w:rPr>
        <w:t>十一、</w:t>
      </w:r>
      <w:bookmarkEnd w:id="65"/>
      <w:r>
        <w:rPr>
          <w:rFonts w:ascii="仿宋" w:eastAsia="仿宋" w:hint="eastAsia"/>
          <w:b w:val="0"/>
        </w:rPr>
        <w:t>国</w:t>
      </w:r>
      <w:r>
        <w:rPr>
          <w:rStyle w:val="2Char"/>
          <w:rFonts w:ascii="仿宋" w:eastAsia="仿宋" w:hint="eastAsia"/>
          <w:b w:val="0"/>
          <w:bCs w:val="0"/>
        </w:rPr>
        <w:t>有资本经营预算财政拨款收入支出决算表</w:t>
      </w:r>
    </w:p>
    <w:p>
      <w:pPr>
        <w:pStyle w:val="2"/>
        <w:keepNext/>
        <w:keepLines/>
        <w:pageBreakBefore w:val="0"/>
        <w:widowControl w:val="0"/>
        <w:kinsoku/>
        <w:wordWrap/>
        <w:overflowPunct/>
        <w:topLinePunct w:val="0"/>
        <w:bidi w:val="0"/>
        <w:snapToGrid/>
        <w:spacing w:before="0" w:after="0" w:line="576" w:lineRule="exact"/>
        <w:textAlignment w:val="auto"/>
        <w:rPr>
          <w:rFonts w:ascii="仿宋" w:eastAsia="仿宋"/>
        </w:rPr>
      </w:pPr>
      <w:bookmarkStart w:id="66" w:name="_Toc15396630"/>
      <w:r>
        <w:rPr>
          <w:rStyle w:val="2Char"/>
          <w:rFonts w:ascii="仿宋" w:eastAsia="仿宋" w:hint="eastAsia"/>
          <w:b w:val="0"/>
          <w:bCs w:val="0"/>
        </w:rPr>
        <w:t>十二、</w:t>
      </w:r>
      <w:bookmarkEnd w:id="66"/>
      <w:r>
        <w:rPr>
          <w:rStyle w:val="2Char"/>
          <w:rFonts w:ascii="仿宋" w:eastAsia="仿宋" w:hint="eastAsia"/>
          <w:b w:val="0"/>
          <w:bCs w:val="0"/>
        </w:rPr>
        <w:t>国有资本经营预算财政拨款支出决算表</w:t>
      </w:r>
    </w:p>
    <w:p>
      <w:pPr>
        <w:pStyle w:val="2"/>
        <w:keepNext/>
        <w:keepLines/>
        <w:pageBreakBefore w:val="0"/>
        <w:widowControl w:val="0"/>
        <w:kinsoku/>
        <w:wordWrap/>
        <w:overflowPunct/>
        <w:topLinePunct w:val="0"/>
        <w:bidi w:val="0"/>
        <w:snapToGrid/>
        <w:spacing w:before="0" w:after="0" w:line="576" w:lineRule="exact"/>
        <w:textAlignment w:val="auto"/>
        <w:rPr>
          <w:rFonts w:eastAsia="仿宋"/>
        </w:rPr>
      </w:pPr>
      <w:bookmarkStart w:id="67" w:name="_Toc15396631"/>
      <w:r>
        <w:rPr>
          <w:rStyle w:val="2Char"/>
          <w:rFonts w:ascii="仿宋" w:eastAsia="仿宋" w:hint="eastAsia"/>
          <w:b w:val="0"/>
          <w:bCs w:val="0"/>
        </w:rPr>
        <w:t>十三、</w:t>
      </w:r>
      <w:bookmarkEnd w:id="67"/>
      <w:r>
        <w:rPr>
          <w:rStyle w:val="2Char"/>
          <w:rFonts w:ascii="仿宋" w:eastAsia="仿宋" w:hint="eastAsia"/>
          <w:b w:val="0"/>
          <w:bCs w:val="0"/>
        </w:rPr>
        <w:t>财政拨款“三公”经费支出决算表</w:t>
      </w:r>
    </w:p>
    <w:sectPr>
      <w:headerReference w:type="default" r:id="rId2"/>
      <w:footerReference w:type="default" r:id="rId3"/>
      <w:pgSz w:w="11906" w:h="16838"/>
      <w:pgMar w:top="873" w:right="1800" w:bottom="873" w:left="1800" w:header="851" w:footer="992" w:gutter="0"/>
      <w:pgNumType w:start="1"/>
      <w:titlePg/>
      <w:rtlGutter/>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简体">
    <w:panose1 w:val="03000509000000000000"/>
    <w:charset w:val="86"/>
    <w:family w:val="script"/>
    <w:pitch w:val="variable"/>
    <w:sig w:usb0="00000001" w:usb1="080E0000" w:usb2="00000000" w:usb3="00000000" w:csb0="00040000" w:csb1="00000000"/>
  </w:font>
  <w:font w:name="宋体">
    <w:panose1 w:val="02010600030101010101"/>
    <w:charset w:val="7A"/>
    <w:family w:val="auto"/>
    <w:pitch w:val="variable"/>
    <w:sig w:usb0="00000003" w:usb1="288F0000" w:usb2="00000006" w:usb3="00000000" w:csb0="00040001" w:csb1="00000000"/>
  </w:font>
  <w:font w:name="黑体">
    <w:panose1 w:val="02010609060101010101"/>
    <w:charset w:val="86"/>
    <w:family w:val="auto"/>
    <w:pitch w:val="variable"/>
    <w:sig w:usb0="800002BF" w:usb1="38CF7CFA" w:usb2="00000016" w:usb3="00000000" w:csb0="00040001" w:csb1="00000000"/>
  </w:font>
  <w:font w:name="Arial">
    <w:altName w:val="DejaVu Sans"/>
    <w:panose1 w:val="020B0604020202020204"/>
    <w:charset w:val="01"/>
    <w:family w:val="swiss"/>
    <w:pitch w:val="variable"/>
    <w:sig w:usb0="E0002AFF" w:usb1="C0007843" w:usb2="00000009" w:usb3="00000000" w:csb0="400001FF" w:csb1="FFFF0000"/>
  </w:font>
  <w:font w:name="仿宋">
    <w:panose1 w:val="02010609060101010101"/>
    <w:charset w:val="86"/>
    <w:family w:val="auto"/>
    <w:pitch w:val="variable"/>
    <w:sig w:usb0="800002BF" w:usb1="38CF7CFA" w:usb2="00000016" w:usb3="00000000" w:csb0="00040001" w:csb1="00000000"/>
  </w:font>
  <w:font w:name="楷体">
    <w:panose1 w:val="02010609060101010101"/>
    <w:charset w:val="86"/>
    <w:family w:val="auto"/>
    <w:pitch w:val="variable"/>
    <w:sig w:usb0="800002BF" w:usb1="38CF7CFA" w:usb2="00000016" w:usb3="00000000" w:csb0="00040001" w:csb1="00000000"/>
  </w:font>
  <w:font w:name="仿宋_GB2312">
    <w:altName w:val="仿宋"/>
    <w:panose1 w:val="00000000000000000000"/>
    <w:charset w:val="86"/>
    <w:family w:val="auto"/>
    <w:pitch w:val="variable"/>
    <w:sig w:usb0="00000000" w:usb1="00000000" w:usb2="00000000" w:usb3="00000000" w:csb0="00040000" w:csb1="00000000"/>
  </w:font>
  <w:font w:name="Times New Roman">
    <w:panose1 w:val="02020603050405020304"/>
    <w:charset w:val="01"/>
    <w:family w:val="auto"/>
    <w:pitch w:val="variable"/>
    <w:sig w:usb0="E0002AFF" w:usb1="C0007841" w:usb2="00000009" w:usb3="00000000" w:csb0="400001FF" w:csb1="FFFF0000"/>
  </w:font>
  <w:font w:name="微软雅黑">
    <w:altName w:val="宋体"/>
    <w:panose1 w:val="020B0503020204020204"/>
    <w:charset w:val="86"/>
    <w:family w:val="auto"/>
    <w:pitch w:val="variable"/>
    <w:sig w:usb0="80000287" w:usb1="280F3C52" w:usb2="00000016" w:usb3="00000000" w:csb0="0004001F" w:csb1="00000000"/>
  </w:font>
  <w:font w:name="Cambria">
    <w:altName w:val="DejaVu Sans"/>
    <w:panose1 w:val="02040503050406030204"/>
    <w:charset w:val="00"/>
    <w:family w:val="roman"/>
    <w:pitch w:val="variable"/>
    <w:sig w:usb0="E00002FF" w:usb1="400004FF" w:usb2="00000000" w:usb3="00000000" w:csb0="2000019F" w:csb1="00000000"/>
  </w:font>
  <w:font w:name="Calibri">
    <w:altName w:val="Times New Roman"/>
    <w:panose1 w:val="020F0502020204030204"/>
    <w:charset w:val="00"/>
    <w:family w:val="swiss"/>
    <w:pitch w:val="variable"/>
    <w:sig w:usb0="E10002FF" w:usb1="4000ACFF" w:usb2="00000009" w:usb3="00000000" w:csb0="2000019F"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sdt>
    <w:sdtPr>
      <w:id w:val="1210840681"/>
    </w:sdtPr>
    <w:sdtContent>
      <w:p>
        <w:pPr>
          <w:pStyle w:val="20"/>
          <w:tabs>
            <w:tab w:val="center" w:pos="4153"/>
            <w:tab w:val="right" w:pos="8306"/>
          </w:tabs>
          <w:jc w:val="center"/>
        </w:pPr>
        <w:r>
          <w:fldChar w:fldCharType="begin"/>
        </w:r>
        <w:r>
          <w:instrText>PAGE   \* MERGEFORMAT</w:instrText>
        </w:r>
        <w:r>
          <w:fldChar w:fldCharType="separate"/>
        </w:r>
        <w:r>
          <w:rPr>
            <w:lang w:val="zh-CN"/>
          </w:rPr>
          <w:t>15</w:t>
        </w:r>
        <w:r>
          <w:fldChar w:fldCharType="end"/>
        </w:r>
      </w:p>
    </w:sdtContent>
  </w:sdt>
  <w:p>
    <w:pPr>
      <w:pStyle w:val="20"/>
      <w:tabs>
        <w:tab w:val="center" w:pos="4153"/>
        <w:tab w:val="right" w:pos="8306"/>
      </w:tabs>
    </w:pPr>
  </w:p>
</w:ftr>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1"/>
      <w:pBdr>
        <w:bottom w:val="none" w:sz="0" w:space="0" w:color="auto"/>
      </w:pBdr>
      <w:tabs>
        <w:tab w:val="center" w:pos="4153"/>
        <w:tab w:val="right" w:pos="8306"/>
      </w:tabs>
    </w:pPr>
  </w:p>
</w:hdr>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1272550B"/>
    <w:multiLevelType w:val="multilevel"/>
    <w:tmpl w:val="1272550B"/>
    <w:lvl w:ilvl="0">
      <w:start w:val="1"/>
      <w:numFmt w:val="japaneseCounting"/>
      <w:lvlRestart w:val="0"/>
      <w:lvlText w:val="%1、"/>
      <w:lvlJc w:val="left"/>
      <w:pPr>
        <w:ind w:left="1360" w:hanging="720"/>
      </w:pPr>
      <w:rPr>
        <w:rFonts w:hint="default"/>
        <w:b w:val="0"/>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nsid w:val="CF652CEC"/>
    <w:multiLevelType w:val="singleLevel"/>
    <w:tmpl w:val="CF652CEC"/>
    <w:lvl w:ilvl="0">
      <w:start w:val="9"/>
      <w:numFmt w:val="chineseCounting"/>
      <w:lvlRestart w:val="0"/>
      <w:suff w:val="nothing"/>
      <w:lvlText w:val="%1、"/>
      <w:lvlJc w:val="left"/>
      <w:pPr>
        <w:ind w:left="0" w:hanging="0"/>
      </w:pPr>
      <w:rPr>
        <w:rFonts w:hint="eastAsia"/>
      </w:rPr>
    </w:lvl>
  </w:abstractNum>
  <w:abstractNum w:abstractNumId="2">
    <w:nsid w:val="E2FA047D"/>
    <w:multiLevelType w:val="singleLevel"/>
    <w:tmpl w:val="E2FA047D"/>
    <w:lvl w:ilvl="0">
      <w:start w:val="3"/>
      <w:numFmt w:val="chineseCounting"/>
      <w:lvlRestart w:val="0"/>
      <w:suff w:val="space"/>
      <w:lvlText w:val="第%1部分"/>
      <w:lvlJc w:val="left"/>
      <w:pPr>
        <w:ind w:left="0" w:hanging="0"/>
      </w:pPr>
      <w:rPr>
        <w:rFonts w:ascii="黑体" w:hAnsi="黑体" w:eastAsia="黑体" w:cs="黑体" w:hint="eastAsia"/>
        <w:sz w:val="44"/>
        <w:szCs w:val="44"/>
      </w:rPr>
    </w:lvl>
  </w:abstractNum>
  <w:num w:numId="1">
    <w:abstractNumId w:val="0"/>
  </w:num>
  <w:num w:numId="2">
    <w:abstractNumId w:val="1"/>
  </w:num>
  <w:num w:numId="3">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3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characterSpacingControl w:val="compressPunctuation"/>
  <w:compat>
    <w:spaceForUL/>
    <w:balanceSingleByteDoubleByteWidth/>
    <w:ulTrailSpace/>
    <w:doNotExpandShiftReturn/>
    <w:adjustLineHeightInTable/>
    <w:doNotUseIndentAsNumberingTabStop/>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next w:val="15"/>
    <w:pPr>
      <w:widowControl w:val="0"/>
      <w:jc w:val="both"/>
    </w:pPr>
    <w:rPr>
      <w:rFonts w:ascii="Times New Roman" w:eastAsia="宋体" w:cs="Times New Roman" w:hAnsi="Times New Roman"/>
      <w:kern w:val="2"/>
      <w:sz w:val="21"/>
      <w:szCs w:val="24"/>
      <w:lang w:val="en-US" w:eastAsia="zh-CN" w:bidi="ar-SA"/>
    </w:rPr>
  </w:style>
  <w:style w:type="paragraph" w:styleId="1">
    <w:name w:val="heading 1"/>
    <w:basedOn w:val="0"/>
    <w:next w:val="0"/>
    <w:link w:val="1Char"/>
    <w:pPr>
      <w:keepNext/>
      <w:keepLines/>
      <w:widowControl w:val="0"/>
      <w:spacing w:before="340" w:after="330" w:line="578" w:lineRule="auto"/>
      <w:outlineLvl w:val="0"/>
    </w:pPr>
    <w:rPr>
      <w:b/>
      <w:bCs/>
      <w:kern w:val="44"/>
      <w:sz w:val="44"/>
      <w:szCs w:val="44"/>
    </w:rPr>
  </w:style>
  <w:style w:type="character" w:customStyle="1" w:styleId="1Char">
    <w:name w:val="heading 1 Char"/>
    <w:basedOn w:val="10"/>
    <w:link w:val="1"/>
    <w:rPr>
      <w:rFonts w:ascii="Times New Roman" w:eastAsia="宋体" w:cs="Times New Roman" w:hAnsi="Times New Roman"/>
      <w:b/>
      <w:bCs/>
      <w:kern w:val="44"/>
      <w:sz w:val="44"/>
      <w:szCs w:val="44"/>
      <w:lang w:val="en-US" w:eastAsia="zh-CN" w:bidi="ar-SA"/>
    </w:rPr>
  </w:style>
  <w:style w:type="paragraph" w:styleId="2">
    <w:name w:val="heading 2"/>
    <w:basedOn w:val="0"/>
    <w:next w:val="0"/>
    <w:link w:val="2Char"/>
    <w:pPr>
      <w:keepNext/>
      <w:keepLines/>
      <w:widowControl w:val="0"/>
      <w:spacing w:before="260" w:after="260" w:line="415" w:lineRule="auto"/>
      <w:outlineLvl w:val="1"/>
    </w:pPr>
    <w:rPr>
      <w:rFonts w:ascii="Cambria" w:eastAsia="宋体" w:cs="Times New Roman" w:hAnsi="Cambria"/>
      <w:b/>
      <w:bCs/>
      <w:sz w:val="32"/>
      <w:szCs w:val="32"/>
    </w:rPr>
  </w:style>
  <w:style w:type="character" w:customStyle="1" w:styleId="2Char">
    <w:name w:val="heading 2 Char"/>
    <w:basedOn w:val="10"/>
    <w:link w:val="2"/>
    <w:rPr>
      <w:rFonts w:ascii="Cambria" w:eastAsia="宋体" w:cs="Times New Roman" w:hAnsi="Cambria"/>
      <w:b/>
      <w:bCs/>
      <w:kern w:val="2"/>
      <w:sz w:val="32"/>
      <w:szCs w:val="32"/>
      <w:lang w:val="en-US" w:eastAsia="zh-CN" w:bidi="ar-SA"/>
    </w:rPr>
  </w:style>
  <w:style w:type="paragraph" w:styleId="3">
    <w:name w:val="heading 3"/>
    <w:basedOn w:val="0"/>
    <w:next w:val="0"/>
    <w:pPr>
      <w:keepNext/>
      <w:keepLines/>
      <w:widowControl w:val="0"/>
      <w:spacing w:before="260" w:after="260" w:line="415" w:lineRule="auto"/>
      <w:outlineLvl w:val="2"/>
    </w:pPr>
    <w:rPr>
      <w:b/>
      <w:bCs/>
      <w:sz w:val="32"/>
      <w:szCs w:val="32"/>
    </w:rPr>
  </w:style>
  <w:style w:type="character" w:default="1" w:styleId="10">
    <w:name w:val="Default Paragraph Font"/>
  </w:style>
  <w:style w:type="paragraph" w:customStyle="1" w:styleId="15">
    <w:name w:val="标题 5（有编号）（绿盟科技）"/>
    <w:next w:val="0"/>
    <w:pPr>
      <w:keepNext/>
      <w:keepLines/>
      <w:widowControl w:val="0"/>
      <w:spacing w:before="280" w:after="156" w:line="377" w:lineRule="auto"/>
      <w:outlineLvl w:val="4"/>
    </w:pPr>
    <w:rPr>
      <w:rFonts w:ascii="Arial" w:eastAsia="黑体" w:cs="Times New Roman" w:hAnsi="Arial"/>
      <w:b/>
      <w:kern w:val="2"/>
      <w:sz w:val="24"/>
      <w:szCs w:val="28"/>
      <w:lang w:val="en-US" w:eastAsia="zh-CN" w:bidi="ar-SA"/>
    </w:rPr>
  </w:style>
  <w:style w:type="paragraph" w:styleId="16">
    <w:name w:val="Body Text"/>
    <w:basedOn w:val="0"/>
    <w:pPr>
      <w:spacing w:beforeLines="30" w:before="30"/>
    </w:pPr>
    <w:rPr>
      <w:rFonts w:ascii="仿宋_GB2312" w:eastAsia="仿宋_GB2312"/>
      <w:kern w:val="0"/>
      <w:sz w:val="30"/>
    </w:rPr>
  </w:style>
  <w:style w:type="paragraph" w:styleId="17">
    <w:name w:val="Body Text Indent"/>
    <w:basedOn w:val="0"/>
    <w:pPr>
      <w:spacing w:after="120"/>
      <w:ind w:leftChars="200" w:left="200"/>
    </w:pPr>
    <w:rPr>
      <w:rFonts w:ascii="仿宋_GB2312" w:hAnsi="仿宋_GB2312"/>
      <w:szCs w:val="32"/>
    </w:rPr>
  </w:style>
  <w:style w:type="paragraph" w:styleId="18">
    <w:name w:val="toc 3"/>
    <w:basedOn w:val="0"/>
    <w:next w:val="0"/>
    <w:pPr>
      <w:tabs>
        <w:tab w:val="right" w:leader="dot" w:pos="8296"/>
      </w:tabs>
      <w:ind w:leftChars="400" w:left="400"/>
    </w:pPr>
  </w:style>
  <w:style w:type="paragraph" w:styleId="19">
    <w:name w:val="Balloon Text"/>
    <w:basedOn w:val="0"/>
    <w:rPr>
      <w:sz w:val="18"/>
      <w:szCs w:val="18"/>
    </w:rPr>
  </w:style>
  <w:style w:type="paragraph" w:styleId="20">
    <w:name w:val="footer"/>
    <w:basedOn w:val="0"/>
    <w:pPr>
      <w:tabs>
        <w:tab w:val="center" w:pos="4153"/>
        <w:tab w:val="right" w:pos="8306"/>
      </w:tabs>
      <w:snapToGrid w:val="0"/>
      <w:jc w:val="left"/>
    </w:pPr>
    <w:rPr>
      <w:rFonts w:ascii="Calibri" w:hAnsi="Calibri"/>
      <w:kern w:val="0"/>
      <w:sz w:val="18"/>
      <w:szCs w:val="18"/>
    </w:rPr>
  </w:style>
  <w:style w:type="paragraph" w:styleId="21">
    <w:name w:val="header"/>
    <w:basedOn w:val="0"/>
    <w:pPr>
      <w:pBdr>
        <w:bottom w:val="single" w:sz="6" w:space="1" w:color="auto"/>
      </w:pBdr>
      <w:tabs>
        <w:tab w:val="center" w:pos="4153"/>
        <w:tab w:val="right" w:pos="8306"/>
      </w:tabs>
      <w:snapToGrid w:val="0"/>
      <w:jc w:val="center"/>
    </w:pPr>
    <w:rPr>
      <w:rFonts w:ascii="Calibri" w:hAnsi="Calibri"/>
      <w:kern w:val="0"/>
      <w:sz w:val="18"/>
      <w:szCs w:val="18"/>
    </w:rPr>
  </w:style>
  <w:style w:type="paragraph" w:styleId="22">
    <w:name w:val="toc 1"/>
    <w:basedOn w:val="0"/>
    <w:next w:val="0"/>
    <w:pPr>
      <w:tabs>
        <w:tab w:val="right" w:leader="dot" w:pos="8296"/>
      </w:tabs>
      <w:spacing w:before="93"/>
      <w:jc w:val="center"/>
    </w:pPr>
    <w:rPr>
      <w:rFonts w:ascii="仿宋" w:eastAsia="仿宋"/>
      <w:sz w:val="28"/>
      <w:szCs w:val="28"/>
    </w:rPr>
  </w:style>
  <w:style w:type="paragraph" w:styleId="23">
    <w:name w:val="toc 2"/>
    <w:basedOn w:val="0"/>
    <w:next w:val="0"/>
    <w:pPr>
      <w:tabs>
        <w:tab w:val="right" w:leader="dot" w:pos="8296"/>
      </w:tabs>
      <w:ind w:leftChars="200" w:left="200"/>
    </w:pPr>
  </w:style>
  <w:style w:type="paragraph" w:styleId="24">
    <w:name w:val="Body Text First Indent 2"/>
    <w:basedOn w:val="17"/>
    <w:pPr>
      <w:ind w:firstLineChars="200" w:firstLine="200"/>
    </w:pPr>
  </w:style>
  <w:style w:type="character" w:styleId="25">
    <w:name w:val="Strong"/>
    <w:basedOn w:val="10"/>
    <w:rPr>
      <w:b/>
    </w:rPr>
  </w:style>
  <w:style w:type="character" w:styleId="26">
    <w:name w:val="Hyperlink"/>
    <w:basedOn w:val="10"/>
    <w:rPr>
      <w:color w:val="0000FF"/>
      <w:u w:val="single"/>
    </w:rPr>
  </w:style>
  <w:style w:type="paragraph" w:customStyle="1" w:styleId="27">
    <w:name w:val="toc 11"/>
    <w:next w:val="0"/>
    <w:pPr>
      <w:wordWrap w:val="0"/>
      <w:jc w:val="both"/>
    </w:pPr>
    <w:rPr>
      <w:rFonts w:ascii="宋体" w:eastAsia="Times New Roman" w:cs="Times New Roman" w:hAnsi="宋体"/>
      <w:sz w:val="21"/>
      <w:szCs w:val="20"/>
      <w:lang w:val="en-US" w:eastAsia="zh-CN" w:bidi="ar-SA"/>
    </w:rPr>
  </w:style>
  <w:style w:type="character" w:customStyle="1" w:styleId="28">
    <w:name w:val="Header Char"/>
    <w:basedOn w:val="10"/>
    <w:rPr>
      <w:rFonts w:ascii="Times New Roman" w:hAnsi="Times New Roman"/>
      <w:sz w:val="18"/>
      <w:szCs w:val="18"/>
    </w:rPr>
  </w:style>
  <w:style w:type="character" w:customStyle="1" w:styleId="29">
    <w:name w:val="Footer Char"/>
    <w:basedOn w:val="10"/>
    <w:rPr>
      <w:rFonts w:ascii="Times New Roman" w:hAnsi="Times New Roman"/>
      <w:sz w:val="18"/>
      <w:szCs w:val="18"/>
    </w:rPr>
  </w:style>
  <w:style w:type="character" w:customStyle="1" w:styleId="30">
    <w:name w:val="Body Text Char"/>
    <w:basedOn w:val="10"/>
    <w:rPr>
      <w:rFonts w:ascii="Times New Roman" w:hAnsi="Times New Roman"/>
      <w:szCs w:val="24"/>
    </w:rPr>
  </w:style>
  <w:style w:type="paragraph" w:customStyle="1" w:styleId="31">
    <w:name w:val="msonormal"/>
    <w:basedOn w:val="0"/>
    <w:pPr>
      <w:keepNext w:val="0"/>
      <w:keepLines w:val="0"/>
      <w:widowControl/>
      <w:suppressLineNumbers w:val="0"/>
      <w:spacing w:before="100" w:beforeAutospacing="1" w:after="100" w:afterAutospacing="1"/>
      <w:ind w:left="0" w:right="0"/>
      <w:jc w:val="left"/>
    </w:pPr>
    <w:rPr>
      <w:rFonts w:ascii="宋体" w:eastAsia="宋体" w:cs="宋体"/>
      <w:kern w:val="0"/>
      <w:sz w:val="24"/>
      <w:szCs w:val="24"/>
      <w:lang w:val="en-US" w:eastAsia="zh-CN"/>
    </w:rPr>
  </w:style>
  <w:style w:type="paragraph" w:customStyle="1" w:styleId="32">
    <w:name w:val="Default"/>
    <w:basedOn w:val="31"/>
    <w:pPr>
      <w:keepNext w:val="0"/>
      <w:keepLines w:val="0"/>
      <w:widowControl w:val="0"/>
      <w:suppressLineNumbers w:val="0"/>
      <w:autoSpaceDE w:val="0"/>
      <w:autoSpaceDN w:val="0"/>
      <w:adjustRightInd w:val="0"/>
    </w:pPr>
    <w:rPr>
      <w:rFonts w:ascii="仿宋" w:eastAsia="仿宋" w:cs="仿宋"/>
      <w:color w:val="000000"/>
      <w:sz w:val="24"/>
      <w:szCs w:val="24"/>
      <w:lang w:val="en-US" w:eastAsia="zh-CN" w:bidi="ar-SA"/>
    </w:rPr>
  </w:style>
  <w:style w:type="paragraph" w:styleId="33">
    <w:name w:val="List Paragraph"/>
    <w:basedOn w:val="0"/>
    <w:pPr>
      <w:ind w:firstLineChars="200" w:firstLine="200"/>
    </w:pPr>
  </w:style>
  <w:style w:type="paragraph" w:customStyle="1" w:styleId="34">
    <w:name w:val="TOC 标题1"/>
    <w:basedOn w:val="1"/>
    <w:next w:val="0"/>
    <w:pPr>
      <w:keepNext/>
      <w:keepLines/>
      <w:widowControl/>
      <w:spacing w:before="480" w:after="0" w:line="276" w:lineRule="auto"/>
      <w:jc w:val="left"/>
      <w:outlineLvl w:val="9"/>
    </w:pPr>
    <w:rPr>
      <w:rFonts w:ascii="Cambria" w:eastAsia="宋体" w:cs="Times New Roman" w:hAnsi="Cambria"/>
      <w:color w:val="376092"/>
      <w:kern w:val="0"/>
      <w:sz w:val="28"/>
      <w:szCs w:val="28"/>
    </w:rPr>
  </w:style>
  <w:style w:type="paragraph" w:customStyle="1" w:styleId="35">
    <w:name w:val="TOC 标题2"/>
    <w:basedOn w:val="1"/>
    <w:next w:val="0"/>
    <w:pPr>
      <w:keepNext/>
      <w:keepLines/>
      <w:widowControl/>
      <w:spacing w:before="480" w:after="0" w:line="276" w:lineRule="auto"/>
      <w:jc w:val="left"/>
      <w:outlineLvl w:val="9"/>
    </w:pPr>
    <w:rPr>
      <w:rFonts w:ascii="Cambria" w:eastAsia="宋体" w:cs="Times New Roman" w:hAnsi="Cambria"/>
      <w:color w:val="376092"/>
      <w:kern w:val="0"/>
      <w:sz w:val="28"/>
      <w:szCs w:val="28"/>
    </w:rPr>
  </w:style>
  <w:style w:type="paragraph" w:customStyle="1" w:styleId="36">
    <w:name w:val="普通(网站) Char"/>
    <w:basedOn w:val="31"/>
    <w:pPr>
      <w:keepNext w:val="0"/>
      <w:keepLines w:val="0"/>
      <w:widowControl/>
      <w:suppressLineNumbers w:val="0"/>
      <w:spacing w:before="100" w:beforeAutospacing="1" w:after="100" w:afterAutospacing="1"/>
      <w:ind w:left="0" w:right="0"/>
      <w:jc w:val="left"/>
    </w:pPr>
    <w:rPr>
      <w:rFonts w:ascii="宋体" w:eastAsia="宋体" w:cs="宋体"/>
      <w:kern w:val="0"/>
      <w:sz w:val="24"/>
      <w:szCs w:val="24"/>
      <w:lang w:val="en-US" w:eastAsia="zh-CN"/>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chart" Target="charts/chart1.xml"/><Relationship Id="rId5" Type="http://schemas.openxmlformats.org/officeDocument/2006/relationships/chart" Target="charts/chart2.xml"/><Relationship Id="rId6" Type="http://schemas.openxmlformats.org/officeDocument/2006/relationships/chart" Target="charts/chart3.xml"/><Relationship Id="rId7" Type="http://schemas.openxmlformats.org/officeDocument/2006/relationships/chart" Target="charts/chart4.xml"/><Relationship Id="rId8" Type="http://schemas.openxmlformats.org/officeDocument/2006/relationships/chart" Target="charts/chart5.xml"/><Relationship Id="rId9" Type="http://schemas.openxmlformats.org/officeDocument/2006/relationships/chart" Target="charts/chart6.xml"/><Relationship Id="rId10" Type="http://schemas.openxmlformats.org/officeDocument/2006/relationships/chart" Target="charts/chart7.xml"/><Relationship Id="rId11" Type="http://schemas.openxmlformats.org/officeDocument/2006/relationships/styles" Target="styles.xml"/><Relationship Id="rId12" Type="http://schemas.openxmlformats.org/officeDocument/2006/relationships/numbering" Target="numbering.xml"/><Relationship Id="rId13"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char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char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char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char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char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char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chart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b="0" i="0" u="none" strike="noStrike" baseline="0">
                <a:solidFill>
                  <a:srgbClr val="595959"/>
                </a:solidFill>
                <a:latin typeface="Times New Roman"/>
                <a:ea typeface="宋体"/>
                <a:cs typeface="Lucida Sans"/>
              </a:defRPr>
            </a:pPr>
            <a:r>
              <a:rPr lang="zh-CN"/>
              <a:t>收入、支出决算总计变动情况图</a:t>
            </a:r>
          </a:p>
        </c:rich>
      </c:tx>
      <c:layout>
        <c:manualLayout>
          <c:xMode val="edge"/>
          <c:yMode val="edge"/>
          <c:x val="0.26675"/>
          <c:y val="0.028333334"/>
        </c:manualLayout>
      </c:layout>
      <c:overlay val="0"/>
      <c:spPr>
        <a:noFill/>
        <a:ln>
          <a:noFill/>
        </a:ln>
      </c:spPr>
    </c:title>
    <c:autoTitleDeleted val="1"/>
    <c:plotArea>
      <c:layout/>
      <c:barChart>
        <c:barDir val="col"/>
        <c:grouping val="clustered"/>
        <c:varyColors val="0"/>
        <c:ser>
          <c:idx val="0"/>
          <c:order val="0"/>
          <c:tx>
            <c:strRef>
              <c:f>'Sheet1'!$B$1</c:f>
              <c:strCache>
                <c:ptCount val="1"/>
                <c:pt idx="0">
                  <c:v>收入决算数据</c:v>
                </c:pt>
              </c:strCache>
            </c:strRef>
          </c:tx>
          <c:spPr>
            <a:solidFill>
              <a:srgbClr val="4F81BD"/>
            </a:solidFill>
            <a:ln>
              <a:noFill/>
            </a:ln>
          </c:spPr>
          <c:invertIfNegative val="0"/>
          <c:dLbls>
            <c:spPr>
              <a:noFill/>
              <a:ln>
                <a:noFill/>
              </a:ln>
            </c:spPr>
            <c:txPr>
              <a:bodyPr vert="horz"/>
              <a:lstStyle/>
              <a:p>
                <a:pPr>
                  <a:defRPr sz="900" b="0" i="0" u="none" strike="noStrike" baseline="0">
                    <a:solidFill>
                      <a:srgbClr val="404040"/>
                    </a:solidFill>
                    <a:latin typeface="Times New Roman"/>
                    <a:ea typeface="宋体"/>
                    <a:cs typeface="Lucida Sans"/>
                  </a:defRPr>
                </a:pPr>
                <a:endParaRPr lang="zh-CN"/>
              </a:p>
            </c:txPr>
            <c:numFmt formatCode="General" sourceLinked="1"/>
            <c:dLblPos val="outEnd"/>
            <c:showLegendKey val="0"/>
            <c:showVal val="1"/>
            <c:showCatName val="0"/>
            <c:showSerName val="0"/>
            <c:showPercent val="0"/>
            <c:showBubbleSize val="0"/>
            <c:showLeaderLines val="1"/>
            <c:extLst>
              <c:ext xmlns:c15="http://schemas.microsoft.com/office/drawing/2012/chart" uri="{CE6537A1-D6FC-4f65-9D91-7224C49458BB}">
                <c15:showLeaderLines val="1"/>
              </c:ext>
            </c:extLst>
          </c:dLbls>
          <c:cat>
            <c:strRef>
              <c:f>'Sheet1'!$A$2:$A$3</c:f>
              <c:strCache>
                <c:ptCount val="2"/>
                <c:pt idx="0">
                  <c:v>2022年</c:v>
                </c:pt>
                <c:pt idx="1">
                  <c:v>2023年</c:v>
                </c:pt>
              </c:strCache>
            </c:strRef>
          </c:cat>
          <c:val>
            <c:numRef>
              <c:f>'Sheet1'!$B$2:$B$3</c:f>
              <c:numCache>
                <c:formatCode>General</c:formatCode>
                <c:ptCount val="2"/>
                <c:pt idx="0">
                  <c:v>25321.97</c:v>
                </c:pt>
                <c:pt idx="1">
                  <c:v>27574.87</c:v>
                </c:pt>
              </c:numCache>
            </c:numRef>
          </c:val>
        </c:ser>
        <c:ser>
          <c:idx val="1"/>
          <c:order val="1"/>
          <c:tx>
            <c:strRef>
              <c:f>'Sheet1'!$C$1</c:f>
              <c:strCache>
                <c:ptCount val="1"/>
                <c:pt idx="0">
                  <c:v>支出决算数据</c:v>
                </c:pt>
              </c:strCache>
            </c:strRef>
          </c:tx>
          <c:spPr>
            <a:solidFill>
              <a:srgbClr val="C0504D"/>
            </a:solidFill>
            <a:ln>
              <a:noFill/>
            </a:ln>
          </c:spPr>
          <c:invertIfNegative val="0"/>
          <c:dLbls>
            <c:spPr>
              <a:noFill/>
              <a:ln>
                <a:noFill/>
              </a:ln>
            </c:spPr>
            <c:txPr>
              <a:bodyPr vert="horz"/>
              <a:lstStyle/>
              <a:p>
                <a:pPr>
                  <a:defRPr sz="900" b="0" i="0" u="none" strike="noStrike" baseline="0">
                    <a:solidFill>
                      <a:srgbClr val="404040"/>
                    </a:solidFill>
                    <a:latin typeface="Times New Roman"/>
                    <a:ea typeface="宋体"/>
                    <a:cs typeface="Lucida Sans"/>
                  </a:defRPr>
                </a:pPr>
                <a:endParaRPr lang="zh-CN"/>
              </a:p>
            </c:txPr>
            <c:numFmt formatCode="General" sourceLinked="1"/>
            <c:dLblPos val="outEnd"/>
            <c:showLegendKey val="0"/>
            <c:showVal val="1"/>
            <c:showCatName val="0"/>
            <c:showSerName val="0"/>
            <c:showPercent val="0"/>
            <c:showBubbleSize val="0"/>
            <c:showLeaderLines val="1"/>
            <c:extLst>
              <c:ext xmlns:c15="http://schemas.microsoft.com/office/drawing/2012/chart" uri="{CE6537A1-D6FC-4f65-9D91-7224C49458BB}">
                <c15:showLeaderLines val="1"/>
              </c:ext>
            </c:extLst>
          </c:dLbls>
          <c:cat>
            <c:strRef>
              <c:f>'Sheet1'!$A$2:$A$3</c:f>
              <c:strCache>
                <c:ptCount val="2"/>
                <c:pt idx="0">
                  <c:v>2022年</c:v>
                </c:pt>
                <c:pt idx="1">
                  <c:v>2023年</c:v>
                </c:pt>
              </c:strCache>
            </c:strRef>
          </c:cat>
          <c:val>
            <c:numRef>
              <c:f>'Sheet1'!$C$2:$C$3</c:f>
              <c:numCache>
                <c:formatCode>General</c:formatCode>
                <c:ptCount val="2"/>
                <c:pt idx="0">
                  <c:v>25321.97</c:v>
                </c:pt>
                <c:pt idx="1">
                  <c:v>27574.87</c:v>
                </c:pt>
              </c:numCache>
            </c:numRef>
          </c:val>
        </c:ser>
        <c:overlap val="-27"/>
        <c:gapWidth val="219"/>
        <c:axId val="0"/>
        <c:axId val="1"/>
      </c:barChart>
      <c:catAx>
        <c:axId val="0"/>
        <c:scaling>
          <c:orientation val="minMax"/>
        </c:scaling>
        <c:delete val="0"/>
        <c:axPos val="b"/>
        <c:numFmt formatCode="General" sourceLinked="1"/>
        <c:majorTickMark val="none"/>
        <c:minorTickMark val="none"/>
        <c:tickLblPos val="nextTo"/>
        <c:spPr>
          <a:ln w="6350">
            <a:solidFill>
              <a:srgbClr val="D9D9D9"/>
            </a:solidFill>
            <a:prstDash val="solid"/>
          </a:ln>
        </c:spPr>
        <c:txPr>
          <a:bodyPr/>
          <a:lstStyle/>
          <a:p>
            <a:pPr>
              <a:defRPr sz="900" b="0" i="0" u="none" strike="noStrike" baseline="0">
                <a:solidFill>
                  <a:srgbClr val="595959"/>
                </a:solidFill>
                <a:latin typeface="Times New Roman"/>
                <a:ea typeface="宋体"/>
                <a:cs typeface="Lucida Sans"/>
              </a:defRPr>
            </a:pPr>
            <a:endParaRPr lang="zh-CN"/>
          </a:p>
        </c:txPr>
        <c:crosses val="autoZero"/>
        <c:auto val="1"/>
        <c:lblOffset val="100"/>
        <c:lblAlgn val="ctr"/>
        <c:noMultiLvlLbl val="0"/>
        <c:crossAx val="1"/>
      </c:catAx>
      <c:valAx>
        <c:axId val="1"/>
        <c:scaling>
          <c:orientation val="minMax"/>
        </c:scaling>
        <c:delete val="0"/>
        <c:axPos val="l"/>
        <c:majorGridlines>
          <c:spPr>
            <a:ln w="6350">
              <a:solidFill>
                <a:srgbClr val="D9D9D9"/>
              </a:solidFill>
              <a:prstDash val="solid"/>
            </a:ln>
          </c:spPr>
        </c:majorGridlines>
        <c:numFmt formatCode="General" sourceLinked="1"/>
        <c:majorTickMark val="none"/>
        <c:minorTickMark val="none"/>
        <c:tickLblPos val="nextTo"/>
        <c:spPr>
          <a:ln>
            <a:noFill/>
          </a:ln>
        </c:spPr>
        <c:txPr>
          <a:bodyPr/>
          <a:lstStyle/>
          <a:p>
            <a:pPr>
              <a:defRPr sz="900" b="0" i="0" u="none" strike="noStrike" baseline="0">
                <a:solidFill>
                  <a:srgbClr val="595959"/>
                </a:solidFill>
                <a:latin typeface="Times New Roman"/>
                <a:ea typeface="宋体"/>
                <a:cs typeface="Lucida Sans"/>
              </a:defRPr>
            </a:pPr>
            <a:endParaRPr lang="zh-CN"/>
          </a:p>
        </c:txPr>
        <c:crossesAt val="1.0"/>
        <c:crossBetween val="between"/>
        <c:crossAx val="0"/>
      </c:valAx>
      <c:spPr>
        <a:noFill/>
        <a:ln>
          <a:noFill/>
        </a:ln>
      </c:spPr>
    </c:plotArea>
    <c:legend>
      <c:legendPos val="b"/>
      <c:layout/>
      <c:overlay val="0"/>
      <c:spPr>
        <a:noFill/>
        <a:ln>
          <a:noFill/>
        </a:ln>
      </c:spPr>
      <c:txPr>
        <a:bodyPr/>
        <a:lstStyle/>
        <a:p>
          <a:pPr>
            <a:defRPr sz="900" b="0" i="0" u="none" strike="noStrike" baseline="0">
              <a:solidFill>
                <a:srgbClr val="595959"/>
              </a:solidFill>
              <a:latin typeface="Times New Roman"/>
              <a:ea typeface="宋体"/>
              <a:cs typeface="Lucida Sans"/>
            </a:defRPr>
          </a:pPr>
          <a:endParaRPr lang="zh-CN"/>
        </a:p>
      </c:txPr>
    </c:legend>
    <c:plotVisOnly val="1"/>
    <c:dispBlanksAs val="gap"/>
    <c:showDLblsOverMax val="0"/>
  </c:chart>
  <c:spPr>
    <a:solidFill>
      <a:srgbClr val="FFFFFF"/>
    </a:solidFill>
    <a:ln w="6350">
      <a:solidFill>
        <a:srgbClr val="D9D9D9"/>
      </a:solidFill>
      <a:prstDash val="solid"/>
    </a:ln>
  </c:spPr>
  <c:txPr>
    <a:bodyPr/>
    <a:lstStyle/>
    <a:p>
      <a:pPr>
        <a:defRPr sz="1000" b="0" i="0" u="none" strike="noStrike" baseline="0">
          <a:solidFill>
            <a:srgbClr val="000000"/>
          </a:solidFill>
          <a:latin typeface="Times New Roman"/>
          <a:ea typeface="宋体"/>
          <a:cs typeface="Lucida Sans"/>
        </a:defRPr>
      </a:pPr>
      <a:endParaRPr lang="zh-CN"/>
    </a:p>
  </c:txPr>
  <c:printSettings>
    <c:headerFooter/>
    <c:pageMargins b="0.75" l="0.7" r="0.7" t="0.75" header="0.3" footer="0.3"/>
    <c:pageSetup/>
  </c:printSettings>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b="0" i="0" u="none" strike="noStrike" baseline="0">
                <a:solidFill>
                  <a:srgbClr val="595959"/>
                </a:solidFill>
                <a:latin typeface="Times New Roman"/>
                <a:ea typeface="宋体"/>
                <a:cs typeface="Lucida Sans"/>
              </a:defRPr>
            </a:pPr>
            <a:r>
              <a:rPr lang="zh-CN"/>
              <a:t>收入决算结构图</a:t>
            </a:r>
          </a:p>
        </c:rich>
      </c:tx>
      <c:layout/>
      <c:overlay val="0"/>
      <c:spPr>
        <a:noFill/>
        <a:ln>
          <a:noFill/>
        </a:ln>
      </c:spPr>
    </c:title>
    <c:autoTitleDeleted val="1"/>
    <c:plotArea>
      <c:layout/>
      <c:pieChart>
        <c:varyColors val="1"/>
        <c:ser>
          <c:idx val="0"/>
          <c:order val="0"/>
          <c:tx>
            <c:strRef>
              <c:f>'Sheet1 (2)'!$B$1</c:f>
              <c:strCache>
                <c:ptCount val="1"/>
                <c:pt idx="0">
                  <c:v>收入决算结构图</c:v>
                </c:pt>
              </c:strCache>
            </c:strRef>
          </c:tx>
          <c:spPr>
            <a:ln>
              <a:noFill/>
            </a:ln>
          </c:spPr>
          <c:dPt>
            <c:idx val="0"/>
            <c:bubble3D val="0"/>
            <c:spPr>
              <a:solidFill>
                <a:srgbClr val="4F81BD"/>
              </a:solidFill>
              <a:ln w="19050">
                <a:solidFill>
                  <a:srgbClr val="FFFFFF"/>
                </a:solidFill>
                <a:prstDash val="solid"/>
              </a:ln>
            </c:spPr>
          </c:dPt>
          <c:dPt>
            <c:idx val="1"/>
            <c:bubble3D val="0"/>
            <c:spPr>
              <a:solidFill>
                <a:srgbClr val="C0504D"/>
              </a:solidFill>
              <a:ln w="19050">
                <a:solidFill>
                  <a:srgbClr val="FFFFFF"/>
                </a:solidFill>
                <a:prstDash val="solid"/>
              </a:ln>
            </c:spPr>
          </c:dPt>
          <c:dLbls>
            <c:spPr>
              <a:noFill/>
              <a:ln>
                <a:noFill/>
              </a:ln>
            </c:spPr>
            <c:txPr>
              <a:bodyPr vert="horz"/>
              <a:lstStyle/>
              <a:p>
                <a:pPr>
                  <a:defRPr sz="900" b="0" i="0" u="none" strike="noStrike" baseline="0">
                    <a:solidFill>
                      <a:srgbClr val="404040"/>
                    </a:solidFill>
                    <a:latin typeface="Times New Roman"/>
                    <a:ea typeface="宋体"/>
                    <a:cs typeface="Lucida Sans"/>
                  </a:defRPr>
                </a:pPr>
                <a:endParaRPr lang="zh-CN"/>
              </a:p>
            </c:txPr>
            <c:numFmt formatCode="General" sourceLinked="1"/>
            <c:showLegendKey val="0"/>
            <c:showVal val="1"/>
            <c:showCatName val="0"/>
            <c:showSerName val="0"/>
            <c:showPercent val="0"/>
            <c:showBubbleSize val="0"/>
            <c:showLeaderLines val="1"/>
          </c:dLbls>
          <c:cat>
            <c:strRef>
              <c:f>'Sheet1 (2)'!$A$2:$A$3</c:f>
              <c:strCache>
                <c:ptCount val="2"/>
                <c:pt idx="0">
                  <c:v>一般公共预算财政拨款收入</c:v>
                </c:pt>
                <c:pt idx="1">
                  <c:v>其他收入</c:v>
                </c:pt>
              </c:strCache>
            </c:strRef>
          </c:cat>
          <c:val>
            <c:numRef>
              <c:f>'Sheet1 (2)'!$B$2:$B$3</c:f>
              <c:numCache>
                <c:formatCode>General</c:formatCode>
                <c:ptCount val="2"/>
                <c:pt idx="0">
                  <c:v>27285.74</c:v>
                </c:pt>
                <c:pt idx="1">
                  <c:v>31.01</c:v>
                </c:pt>
              </c:numCache>
            </c:numRef>
          </c:val>
        </c:ser>
        <c:firstSliceAng val="0"/>
      </c:pieChart>
      <c:spPr>
        <a:noFill/>
        <a:ln>
          <a:noFill/>
        </a:ln>
      </c:spPr>
    </c:plotArea>
    <c:legend>
      <c:legendPos val="b"/>
      <c:layout/>
      <c:overlay val="0"/>
      <c:spPr>
        <a:noFill/>
        <a:ln>
          <a:noFill/>
        </a:ln>
      </c:spPr>
      <c:txPr>
        <a:bodyPr/>
        <a:lstStyle/>
        <a:p>
          <a:pPr>
            <a:defRPr sz="900" b="0" i="0" u="none" strike="noStrike" baseline="0">
              <a:solidFill>
                <a:srgbClr val="595959"/>
              </a:solidFill>
              <a:latin typeface="Times New Roman"/>
              <a:ea typeface="宋体"/>
              <a:cs typeface="Lucida Sans"/>
            </a:defRPr>
          </a:pPr>
          <a:endParaRPr lang="zh-CN"/>
        </a:p>
      </c:txPr>
    </c:legend>
    <c:plotVisOnly val="1"/>
    <c:dispBlanksAs val="gap"/>
    <c:showDLblsOverMax val="0"/>
  </c:chart>
  <c:spPr>
    <a:solidFill>
      <a:srgbClr val="FFFFFF"/>
    </a:solidFill>
    <a:ln w="6350">
      <a:solidFill>
        <a:srgbClr val="D9D9D9"/>
      </a:solidFill>
      <a:prstDash val="solid"/>
    </a:ln>
  </c:spPr>
  <c:txPr>
    <a:bodyPr/>
    <a:lstStyle/>
    <a:p>
      <a:pPr>
        <a:defRPr sz="1000" b="0" i="0" u="none" strike="noStrike" baseline="0">
          <a:solidFill>
            <a:srgbClr val="000000"/>
          </a:solidFill>
          <a:latin typeface="Times New Roman"/>
          <a:ea typeface="宋体"/>
          <a:cs typeface="Lucida Sans"/>
        </a:defRPr>
      </a:pPr>
      <a:endParaRPr lang="zh-CN"/>
    </a:p>
  </c:txPr>
  <c:printSettings>
    <c:headerFooter/>
    <c:pageMargins b="0.75" l="0.7" r="0.7" t="0.75" header="0.3" footer="0.3"/>
    <c:pageSetup/>
  </c:printSettings>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b="0" i="0" u="none" strike="noStrike" baseline="0">
                <a:solidFill>
                  <a:srgbClr val="595959"/>
                </a:solidFill>
                <a:latin typeface="Times New Roman"/>
                <a:ea typeface="宋体"/>
                <a:cs typeface="Lucida Sans"/>
              </a:defRPr>
            </a:pPr>
            <a:r>
              <a:rPr lang="zh-CN"/>
              <a:t>支出决算结构图</a:t>
            </a:r>
          </a:p>
        </c:rich>
      </c:tx>
      <c:layout/>
      <c:overlay val="0"/>
      <c:spPr>
        <a:noFill/>
        <a:ln>
          <a:noFill/>
        </a:ln>
      </c:spPr>
    </c:title>
    <c:autoTitleDeleted val="1"/>
    <c:view3D>
      <c:rotX val="30"/>
      <c:hPercent val="100"/>
      <c:rotY val="0"/>
      <c:depthPercent val="100"/>
      <c:rAngAx val="0"/>
      <c:perspective val="0"/>
    </c:view3D>
    <c:floor>
      <c:thickness val="0"/>
      <c:spPr>
        <a:ln>
          <a:noFill/>
        </a:ln>
      </c:spPr>
    </c:floor>
    <c:sideWall>
      <c:thickness val="0"/>
      <c:spPr>
        <a:ln>
          <a:noFill/>
        </a:ln>
      </c:spPr>
    </c:sideWall>
    <c:backWall>
      <c:thickness val="0"/>
      <c:spPr>
        <a:noFill/>
        <a:ln>
          <a:noFill/>
        </a:ln>
      </c:spPr>
    </c:backWall>
    <c:plotArea>
      <c:layout/>
      <c:pie3DChart>
        <c:varyColors val="1"/>
        <c:ser>
          <c:idx val="0"/>
          <c:order val="0"/>
          <c:tx>
            <c:strRef>
              <c:f>'Sheet1 (3)'!$B$1</c:f>
              <c:strCache>
                <c:ptCount val="1"/>
                <c:pt idx="0">
                  <c:v>支出决算结构图</c:v>
                </c:pt>
              </c:strCache>
            </c:strRef>
          </c:tx>
          <c:spPr>
            <a:solidFill>
              <a:srgbClr val="4F81BD"/>
            </a:solidFill>
          </c:spPr>
          <c:dPt>
            <c:idx val="0"/>
            <c:bubble3D val="0"/>
            <c:spPr>
              <a:solidFill>
                <a:srgbClr val="4F81BD"/>
              </a:solidFill>
              <a:ln w="25400">
                <a:solidFill>
                  <a:srgbClr val="FFFFFF"/>
                </a:solidFill>
                <a:prstDash val="solid"/>
              </a:ln>
            </c:spPr>
          </c:dPt>
          <c:dPt>
            <c:idx val="1"/>
            <c:bubble3D val="0"/>
            <c:spPr>
              <a:solidFill>
                <a:srgbClr val="C0504D"/>
              </a:solidFill>
              <a:ln w="25400">
                <a:solidFill>
                  <a:srgbClr val="FFFFFF"/>
                </a:solidFill>
                <a:prstDash val="solid"/>
              </a:ln>
            </c:spPr>
          </c:dPt>
          <c:dPt>
            <c:idx val="2"/>
            <c:bubble3D val="0"/>
            <c:spPr>
              <a:solidFill>
                <a:srgbClr val="9BBB59"/>
              </a:solidFill>
              <a:ln w="25400">
                <a:solidFill>
                  <a:srgbClr val="FFFFFF"/>
                </a:solidFill>
                <a:prstDash val="solid"/>
              </a:ln>
            </c:spPr>
          </c:dPt>
          <c:dLbls>
            <c:spPr>
              <a:noFill/>
              <a:ln>
                <a:noFill/>
              </a:ln>
            </c:spPr>
            <c:txPr>
              <a:bodyPr vert="horz"/>
              <a:lstStyle/>
              <a:p>
                <a:pPr>
                  <a:defRPr sz="900" b="0" i="0" u="none" strike="noStrike" baseline="0">
                    <a:solidFill>
                      <a:srgbClr val="404040"/>
                    </a:solidFill>
                    <a:latin typeface="Times New Roman"/>
                    <a:ea typeface="宋体"/>
                    <a:cs typeface="Lucida Sans"/>
                  </a:defRPr>
                </a:pPr>
                <a:endParaRPr lang="zh-CN"/>
              </a:p>
            </c:txPr>
            <c:numFmt formatCode="General" sourceLinked="1"/>
            <c:showLegendKey val="0"/>
            <c:showVal val="1"/>
            <c:showCatName val="0"/>
            <c:showSerName val="0"/>
            <c:showPercent val="0"/>
            <c:showBubbleSize val="0"/>
            <c:showLeaderLines val="1"/>
          </c:dLbls>
          <c:cat>
            <c:strRef>
              <c:f>'Sheet1 (3)'!$A$2:$A$4</c:f>
              <c:strCache>
                <c:ptCount val="3"/>
                <c:pt idx="0">
                  <c:v>基本支出</c:v>
                </c:pt>
                <c:pt idx="1">
                  <c:v>项目支出</c:v>
                </c:pt>
                <c:pt idx="2">
                  <c:v>其他支出</c:v>
                </c:pt>
              </c:strCache>
            </c:strRef>
          </c:cat>
          <c:val>
            <c:numRef>
              <c:f>'Sheet1 (3)'!$B$2:$B$4</c:f>
              <c:numCache>
                <c:formatCode>General</c:formatCode>
                <c:ptCount val="3"/>
                <c:pt idx="0">
                  <c:v>21442.47</c:v>
                </c:pt>
                <c:pt idx="1">
                  <c:v>5892.66</c:v>
                </c:pt>
                <c:pt idx="2">
                  <c:v>0.0</c:v>
                </c:pt>
              </c:numCache>
            </c:numRef>
          </c:val>
        </c:ser>
        <c:gapDepth val="150"/>
        <c:firstSliceAng val="0"/>
      </c:pie3DChart>
      <c:spPr>
        <a:noFill/>
        <a:ln>
          <a:noFill/>
        </a:ln>
      </c:spPr>
    </c:plotArea>
    <c:legend>
      <c:legendPos val="b"/>
      <c:layout/>
      <c:overlay val="0"/>
      <c:spPr>
        <a:noFill/>
        <a:ln>
          <a:noFill/>
        </a:ln>
      </c:spPr>
      <c:txPr>
        <a:bodyPr/>
        <a:lstStyle/>
        <a:p>
          <a:pPr>
            <a:defRPr sz="900" b="0" i="0" u="none" strike="noStrike" baseline="0">
              <a:solidFill>
                <a:srgbClr val="595959"/>
              </a:solidFill>
              <a:latin typeface="Times New Roman"/>
              <a:ea typeface="宋体"/>
              <a:cs typeface="Lucida Sans"/>
            </a:defRPr>
          </a:pPr>
          <a:endParaRPr lang="zh-CN"/>
        </a:p>
      </c:txPr>
    </c:legend>
    <c:plotVisOnly val="1"/>
    <c:dispBlanksAs val="gap"/>
    <c:showDLblsOverMax val="0"/>
  </c:chart>
  <c:spPr>
    <a:solidFill>
      <a:srgbClr val="FFFFFF"/>
    </a:solidFill>
    <a:ln w="6350">
      <a:solidFill>
        <a:srgbClr val="D9D9D9"/>
      </a:solidFill>
      <a:prstDash val="solid"/>
    </a:ln>
  </c:spPr>
  <c:txPr>
    <a:bodyPr/>
    <a:lstStyle/>
    <a:p>
      <a:pPr>
        <a:defRPr sz="1000" b="0" i="0" u="none" strike="noStrike" baseline="0">
          <a:solidFill>
            <a:srgbClr val="000000"/>
          </a:solidFill>
          <a:latin typeface="Times New Roman"/>
          <a:ea typeface="宋体"/>
          <a:cs typeface="Lucida Sans"/>
        </a:defRPr>
      </a:pPr>
      <a:endParaRPr lang="zh-CN"/>
    </a:p>
  </c:txPr>
  <c:printSettings>
    <c:headerFooter/>
    <c:pageMargins b="0.75" l="0.7" r="0.7" t="0.75" header="0.3" footer="0.3"/>
    <c:pageSetup/>
  </c:printSettings>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b="0" i="0" u="none" strike="noStrike" baseline="0">
                <a:solidFill>
                  <a:srgbClr val="595959"/>
                </a:solidFill>
                <a:latin typeface="Times New Roman"/>
                <a:ea typeface="宋体"/>
                <a:cs typeface="Lucida Sans"/>
              </a:defRPr>
            </a:pPr>
            <a:r>
              <a:rPr lang="zh-CN"/>
              <a:t>财政拨款收、支决算总计变动情况</a:t>
            </a:r>
          </a:p>
        </c:rich>
      </c:tx>
      <c:layout/>
      <c:overlay val="0"/>
      <c:spPr>
        <a:noFill/>
        <a:ln>
          <a:noFill/>
        </a:ln>
      </c:spPr>
    </c:title>
    <c:autoTitleDeleted val="1"/>
    <c:plotArea>
      <c:layout/>
      <c:barChart>
        <c:barDir val="col"/>
        <c:grouping val="clustered"/>
        <c:varyColors val="0"/>
        <c:ser>
          <c:idx val="0"/>
          <c:order val="0"/>
          <c:tx>
            <c:strRef>
              <c:f>'Sheet1 (4)'!$B$1</c:f>
              <c:strCache>
                <c:ptCount val="1"/>
                <c:pt idx="0">
                  <c:v>2022年</c:v>
                </c:pt>
              </c:strCache>
            </c:strRef>
          </c:tx>
          <c:spPr>
            <a:solidFill>
              <a:srgbClr val="4F81BD"/>
            </a:solidFill>
            <a:ln>
              <a:noFill/>
            </a:ln>
          </c:spPr>
          <c:invertIfNegative val="0"/>
          <c:dLbls>
            <c:spPr>
              <a:noFill/>
              <a:ln>
                <a:noFill/>
              </a:ln>
            </c:spPr>
            <c:txPr>
              <a:bodyPr vert="horz"/>
              <a:lstStyle/>
              <a:p>
                <a:pPr>
                  <a:defRPr sz="900" b="0" i="0" u="none" strike="noStrike" baseline="0">
                    <a:solidFill>
                      <a:srgbClr val="404040"/>
                    </a:solidFill>
                    <a:latin typeface="Times New Roman"/>
                    <a:ea typeface="宋体"/>
                    <a:cs typeface="Lucida Sans"/>
                  </a:defRPr>
                </a:pPr>
                <a:endParaRPr lang="zh-CN"/>
              </a:p>
            </c:txPr>
            <c:numFmt formatCode="General" sourceLinked="1"/>
            <c:dLblPos val="outEnd"/>
            <c:showLegendKey val="0"/>
            <c:showVal val="1"/>
            <c:showCatName val="0"/>
            <c:showSerName val="0"/>
            <c:showPercent val="0"/>
            <c:showBubbleSize val="0"/>
            <c:showLeaderLines val="1"/>
            <c:extLst>
              <c:ext xmlns:c15="http://schemas.microsoft.com/office/drawing/2012/chart" uri="{CE6537A1-D6FC-4f65-9D91-7224C49458BB}">
                <c15:showLeaderLines val="1"/>
              </c:ext>
            </c:extLst>
          </c:dLbls>
          <c:cat>
            <c:strRef>
              <c:f>'Sheet1 (4)'!$A$2:$A$3</c:f>
              <c:strCache>
                <c:ptCount val="2"/>
                <c:pt idx="0">
                  <c:v>财政拨款收入总计</c:v>
                </c:pt>
                <c:pt idx="1">
                  <c:v>财政拨款支出总计</c:v>
                </c:pt>
              </c:strCache>
            </c:strRef>
          </c:cat>
          <c:val>
            <c:numRef>
              <c:f>'Sheet1 (4)'!$B$2:$B$3</c:f>
              <c:numCache>
                <c:formatCode>General</c:formatCode>
                <c:ptCount val="2"/>
                <c:pt idx="0">
                  <c:v>25063.85</c:v>
                </c:pt>
                <c:pt idx="1">
                  <c:v>25063.85</c:v>
                </c:pt>
              </c:numCache>
            </c:numRef>
          </c:val>
        </c:ser>
        <c:ser>
          <c:idx val="1"/>
          <c:order val="1"/>
          <c:tx>
            <c:strRef>
              <c:f>'Sheet1 (4)'!$C$1</c:f>
              <c:strCache>
                <c:ptCount val="1"/>
                <c:pt idx="0">
                  <c:v>2023年</c:v>
                </c:pt>
              </c:strCache>
            </c:strRef>
          </c:tx>
          <c:spPr>
            <a:solidFill>
              <a:srgbClr val="C0504D"/>
            </a:solidFill>
            <a:ln>
              <a:noFill/>
            </a:ln>
          </c:spPr>
          <c:invertIfNegative val="0"/>
          <c:dLbls>
            <c:spPr>
              <a:noFill/>
              <a:ln>
                <a:noFill/>
              </a:ln>
            </c:spPr>
            <c:txPr>
              <a:bodyPr vert="horz"/>
              <a:lstStyle/>
              <a:p>
                <a:pPr>
                  <a:defRPr sz="900" b="0" i="0" u="none" strike="noStrike" baseline="0">
                    <a:solidFill>
                      <a:srgbClr val="404040"/>
                    </a:solidFill>
                    <a:latin typeface="Times New Roman"/>
                    <a:ea typeface="宋体"/>
                    <a:cs typeface="Lucida Sans"/>
                  </a:defRPr>
                </a:pPr>
                <a:endParaRPr lang="zh-CN"/>
              </a:p>
            </c:txPr>
            <c:numFmt formatCode="General" sourceLinked="1"/>
            <c:dLblPos val="outEnd"/>
            <c:showLegendKey val="0"/>
            <c:showVal val="1"/>
            <c:showCatName val="0"/>
            <c:showSerName val="0"/>
            <c:showPercent val="0"/>
            <c:showBubbleSize val="0"/>
            <c:showLeaderLines val="1"/>
            <c:extLst>
              <c:ext xmlns:c15="http://schemas.microsoft.com/office/drawing/2012/chart" uri="{CE6537A1-D6FC-4f65-9D91-7224C49458BB}">
                <c15:showLeaderLines val="1"/>
              </c:ext>
            </c:extLst>
          </c:dLbls>
          <c:cat>
            <c:strRef>
              <c:f>'Sheet1 (4)'!$A$2:$A$3</c:f>
              <c:strCache>
                <c:ptCount val="2"/>
                <c:pt idx="0">
                  <c:v>财政拨款收入总计</c:v>
                </c:pt>
                <c:pt idx="1">
                  <c:v>财政拨款支出总计</c:v>
                </c:pt>
              </c:strCache>
            </c:strRef>
          </c:cat>
          <c:val>
            <c:numRef>
              <c:f>'Sheet1 (4)'!$C$2:$C$3</c:f>
              <c:numCache>
                <c:formatCode>General</c:formatCode>
                <c:ptCount val="2"/>
                <c:pt idx="0">
                  <c:v>27285.74</c:v>
                </c:pt>
                <c:pt idx="1">
                  <c:v>27285.74</c:v>
                </c:pt>
              </c:numCache>
            </c:numRef>
          </c:val>
        </c:ser>
        <c:overlap val="-27"/>
        <c:gapWidth val="219"/>
        <c:axId val="0"/>
        <c:axId val="1"/>
      </c:barChart>
      <c:catAx>
        <c:axId val="0"/>
        <c:scaling>
          <c:orientation val="minMax"/>
        </c:scaling>
        <c:delete val="0"/>
        <c:axPos val="b"/>
        <c:numFmt formatCode="General" sourceLinked="1"/>
        <c:majorTickMark val="none"/>
        <c:minorTickMark val="none"/>
        <c:tickLblPos val="nextTo"/>
        <c:spPr>
          <a:ln w="6350">
            <a:solidFill>
              <a:srgbClr val="D9D9D9"/>
            </a:solidFill>
            <a:prstDash val="solid"/>
          </a:ln>
        </c:spPr>
        <c:txPr>
          <a:bodyPr/>
          <a:lstStyle/>
          <a:p>
            <a:pPr>
              <a:defRPr sz="900" b="0" i="0" u="none" strike="noStrike" baseline="0">
                <a:solidFill>
                  <a:srgbClr val="595959"/>
                </a:solidFill>
                <a:latin typeface="Times New Roman"/>
                <a:ea typeface="宋体"/>
                <a:cs typeface="Lucida Sans"/>
              </a:defRPr>
            </a:pPr>
            <a:endParaRPr lang="zh-CN"/>
          </a:p>
        </c:txPr>
        <c:crosses val="autoZero"/>
        <c:auto val="1"/>
        <c:lblOffset val="100"/>
        <c:lblAlgn val="ctr"/>
        <c:noMultiLvlLbl val="0"/>
        <c:crossAx val="1"/>
      </c:catAx>
      <c:valAx>
        <c:axId val="1"/>
        <c:scaling>
          <c:orientation val="minMax"/>
        </c:scaling>
        <c:delete val="0"/>
        <c:axPos val="l"/>
        <c:majorGridlines>
          <c:spPr>
            <a:ln w="6350">
              <a:solidFill>
                <a:srgbClr val="D9D9D9"/>
              </a:solidFill>
              <a:prstDash val="solid"/>
            </a:ln>
          </c:spPr>
        </c:majorGridlines>
        <c:numFmt formatCode="General" sourceLinked="1"/>
        <c:majorTickMark val="none"/>
        <c:minorTickMark val="none"/>
        <c:tickLblPos val="nextTo"/>
        <c:spPr>
          <a:ln>
            <a:noFill/>
          </a:ln>
        </c:spPr>
        <c:txPr>
          <a:bodyPr/>
          <a:lstStyle/>
          <a:p>
            <a:pPr>
              <a:defRPr sz="900" b="0" i="0" u="none" strike="noStrike" baseline="0">
                <a:solidFill>
                  <a:srgbClr val="595959"/>
                </a:solidFill>
                <a:latin typeface="Times New Roman"/>
                <a:ea typeface="宋体"/>
                <a:cs typeface="Lucida Sans"/>
              </a:defRPr>
            </a:pPr>
            <a:endParaRPr lang="zh-CN"/>
          </a:p>
        </c:txPr>
        <c:crossesAt val="1.0"/>
        <c:crossBetween val="between"/>
        <c:crossAx val="0"/>
      </c:valAx>
      <c:spPr>
        <a:noFill/>
        <a:ln>
          <a:noFill/>
        </a:ln>
      </c:spPr>
    </c:plotArea>
    <c:legend>
      <c:legendPos val="b"/>
      <c:layout/>
      <c:overlay val="0"/>
      <c:spPr>
        <a:noFill/>
        <a:ln>
          <a:noFill/>
        </a:ln>
      </c:spPr>
      <c:txPr>
        <a:bodyPr/>
        <a:lstStyle/>
        <a:p>
          <a:pPr>
            <a:defRPr sz="900" b="0" i="0" u="none" strike="noStrike" baseline="0">
              <a:solidFill>
                <a:srgbClr val="595959"/>
              </a:solidFill>
              <a:latin typeface="Times New Roman"/>
              <a:ea typeface="宋体"/>
              <a:cs typeface="Lucida Sans"/>
            </a:defRPr>
          </a:pPr>
          <a:endParaRPr lang="zh-CN"/>
        </a:p>
      </c:txPr>
    </c:legend>
    <c:plotVisOnly val="1"/>
    <c:dispBlanksAs val="gap"/>
    <c:showDLblsOverMax val="0"/>
  </c:chart>
  <c:spPr>
    <a:solidFill>
      <a:srgbClr val="FFFFFF"/>
    </a:solidFill>
    <a:ln w="6350">
      <a:solidFill>
        <a:srgbClr val="D9D9D9"/>
      </a:solidFill>
      <a:prstDash val="solid"/>
    </a:ln>
  </c:spPr>
  <c:txPr>
    <a:bodyPr/>
    <a:lstStyle/>
    <a:p>
      <a:pPr>
        <a:defRPr sz="1000" b="0" i="0" u="none" strike="noStrike" baseline="0">
          <a:solidFill>
            <a:srgbClr val="000000"/>
          </a:solidFill>
          <a:latin typeface="Times New Roman"/>
          <a:ea typeface="宋体"/>
          <a:cs typeface="Lucida Sans"/>
        </a:defRPr>
      </a:pPr>
      <a:endParaRPr lang="zh-CN"/>
    </a:p>
  </c:txPr>
  <c:printSettings>
    <c:headerFooter/>
    <c:pageMargins b="0.75" l="0.7" r="0.7" t="0.75" header="0.3" footer="0.3"/>
    <c:pageSetup/>
  </c:printSettings>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b="0" i="0" u="none" strike="noStrike" baseline="0">
                <a:solidFill>
                  <a:srgbClr val="595959"/>
                </a:solidFill>
                <a:latin typeface="Times New Roman"/>
                <a:ea typeface="宋体"/>
                <a:cs typeface="Lucida Sans"/>
              </a:defRPr>
            </a:pPr>
            <a:r>
              <a:rPr lang="zh-CN"/>
              <a:t>一般公共预算财政拨款支出决算变动情况</a:t>
            </a:r>
          </a:p>
        </c:rich>
      </c:tx>
      <c:layout/>
      <c:overlay val="0"/>
      <c:spPr>
        <a:noFill/>
        <a:ln>
          <a:noFill/>
        </a:ln>
      </c:spPr>
    </c:title>
    <c:autoTitleDeleted val="1"/>
    <c:plotArea>
      <c:layout/>
      <c:barChart>
        <c:barDir val="col"/>
        <c:grouping val="clustered"/>
        <c:varyColors val="0"/>
        <c:ser>
          <c:idx val="0"/>
          <c:order val="0"/>
          <c:tx>
            <c:strRef>
              <c:f>'Sheet1 (5)'!$B$1</c:f>
              <c:strCache>
                <c:ptCount val="1"/>
                <c:pt idx="0">
                  <c:v>一般公共预算财政拨款支出决算变动情况</c:v>
                </c:pt>
              </c:strCache>
            </c:strRef>
          </c:tx>
          <c:spPr>
            <a:solidFill>
              <a:srgbClr val="4F81BD"/>
            </a:solidFill>
            <a:ln>
              <a:noFill/>
            </a:ln>
          </c:spPr>
          <c:invertIfNegative val="0"/>
          <c:dLbls>
            <c:spPr>
              <a:noFill/>
              <a:ln>
                <a:noFill/>
              </a:ln>
            </c:spPr>
            <c:txPr>
              <a:bodyPr vert="horz"/>
              <a:lstStyle/>
              <a:p>
                <a:pPr>
                  <a:defRPr sz="900" b="0" i="0" u="none" strike="noStrike" baseline="0">
                    <a:solidFill>
                      <a:srgbClr val="404040"/>
                    </a:solidFill>
                    <a:latin typeface="Times New Roman"/>
                    <a:ea typeface="宋体"/>
                    <a:cs typeface="Lucida Sans"/>
                  </a:defRPr>
                </a:pPr>
                <a:endParaRPr lang="zh-CN"/>
              </a:p>
            </c:txPr>
            <c:numFmt formatCode="General" sourceLinked="1"/>
            <c:dLblPos val="outEnd"/>
            <c:showLegendKey val="0"/>
            <c:showVal val="1"/>
            <c:showCatName val="0"/>
            <c:showSerName val="0"/>
            <c:showPercent val="0"/>
            <c:showBubbleSize val="0"/>
            <c:showLeaderLines val="1"/>
            <c:extLst>
              <c:ext xmlns:c15="http://schemas.microsoft.com/office/drawing/2012/chart" uri="{CE6537A1-D6FC-4f65-9D91-7224C49458BB}">
                <c15:showLeaderLines val="1"/>
              </c:ext>
            </c:extLst>
          </c:dLbls>
          <c:cat>
            <c:strRef>
              <c:f>'Sheet1 (5)'!$A$2:$A$3</c:f>
              <c:strCache>
                <c:ptCount val="2"/>
                <c:pt idx="0">
                  <c:v>2022年</c:v>
                </c:pt>
                <c:pt idx="1">
                  <c:v>2023年</c:v>
                </c:pt>
              </c:strCache>
            </c:strRef>
          </c:cat>
          <c:val>
            <c:numRef>
              <c:f>'Sheet1 (5)'!$B$2:$B$3</c:f>
              <c:numCache>
                <c:formatCode>General</c:formatCode>
                <c:ptCount val="2"/>
                <c:pt idx="0">
                  <c:v>25063.85</c:v>
                </c:pt>
                <c:pt idx="1">
                  <c:v>27285.74</c:v>
                </c:pt>
              </c:numCache>
            </c:numRef>
          </c:val>
        </c:ser>
        <c:overlap val="-27"/>
        <c:gapWidth val="219"/>
        <c:axId val="0"/>
        <c:axId val="1"/>
      </c:barChart>
      <c:catAx>
        <c:axId val="0"/>
        <c:scaling>
          <c:orientation val="minMax"/>
        </c:scaling>
        <c:delete val="0"/>
        <c:axPos val="b"/>
        <c:numFmt formatCode="General" sourceLinked="1"/>
        <c:majorTickMark val="none"/>
        <c:minorTickMark val="none"/>
        <c:tickLblPos val="nextTo"/>
        <c:spPr>
          <a:ln w="6350">
            <a:solidFill>
              <a:srgbClr val="D9D9D9"/>
            </a:solidFill>
            <a:prstDash val="solid"/>
          </a:ln>
        </c:spPr>
        <c:txPr>
          <a:bodyPr/>
          <a:lstStyle/>
          <a:p>
            <a:pPr>
              <a:defRPr sz="900" b="0" i="0" u="none" strike="noStrike" baseline="0">
                <a:solidFill>
                  <a:srgbClr val="595959"/>
                </a:solidFill>
                <a:latin typeface="Times New Roman"/>
                <a:ea typeface="宋体"/>
                <a:cs typeface="Lucida Sans"/>
              </a:defRPr>
            </a:pPr>
            <a:endParaRPr lang="zh-CN"/>
          </a:p>
        </c:txPr>
        <c:crosses val="autoZero"/>
        <c:auto val="1"/>
        <c:lblOffset val="100"/>
        <c:lblAlgn val="ctr"/>
        <c:noMultiLvlLbl val="0"/>
        <c:crossAx val="1"/>
      </c:catAx>
      <c:valAx>
        <c:axId val="1"/>
        <c:scaling>
          <c:orientation val="minMax"/>
        </c:scaling>
        <c:delete val="0"/>
        <c:axPos val="l"/>
        <c:majorGridlines>
          <c:spPr>
            <a:ln w="6350">
              <a:solidFill>
                <a:srgbClr val="D9D9D9"/>
              </a:solidFill>
              <a:prstDash val="solid"/>
            </a:ln>
          </c:spPr>
        </c:majorGridlines>
        <c:numFmt formatCode="General" sourceLinked="1"/>
        <c:majorTickMark val="none"/>
        <c:minorTickMark val="none"/>
        <c:tickLblPos val="nextTo"/>
        <c:spPr>
          <a:ln>
            <a:noFill/>
          </a:ln>
        </c:spPr>
        <c:txPr>
          <a:bodyPr/>
          <a:lstStyle/>
          <a:p>
            <a:pPr>
              <a:defRPr sz="900" b="0" i="0" u="none" strike="noStrike" baseline="0">
                <a:solidFill>
                  <a:srgbClr val="595959"/>
                </a:solidFill>
                <a:latin typeface="Times New Roman"/>
                <a:ea typeface="宋体"/>
                <a:cs typeface="Lucida Sans"/>
              </a:defRPr>
            </a:pPr>
            <a:endParaRPr lang="zh-CN"/>
          </a:p>
        </c:txPr>
        <c:crossesAt val="1.0"/>
        <c:crossBetween val="between"/>
        <c:crossAx val="0"/>
      </c:valAx>
      <c:spPr>
        <a:noFill/>
        <a:ln>
          <a:noFill/>
        </a:ln>
      </c:spPr>
    </c:plotArea>
    <c:legend>
      <c:legendPos val="b"/>
      <c:layout/>
      <c:overlay val="0"/>
      <c:spPr>
        <a:noFill/>
        <a:ln>
          <a:noFill/>
        </a:ln>
      </c:spPr>
      <c:txPr>
        <a:bodyPr/>
        <a:lstStyle/>
        <a:p>
          <a:pPr>
            <a:defRPr sz="900" b="0" i="0" u="none" strike="noStrike" baseline="0">
              <a:solidFill>
                <a:srgbClr val="595959"/>
              </a:solidFill>
              <a:latin typeface="Times New Roman"/>
              <a:ea typeface="宋体"/>
              <a:cs typeface="Lucida Sans"/>
            </a:defRPr>
          </a:pPr>
          <a:endParaRPr lang="zh-CN"/>
        </a:p>
      </c:txPr>
    </c:legend>
    <c:plotVisOnly val="1"/>
    <c:dispBlanksAs val="gap"/>
    <c:showDLblsOverMax val="0"/>
  </c:chart>
  <c:spPr>
    <a:solidFill>
      <a:srgbClr val="FFFFFF"/>
    </a:solidFill>
    <a:ln w="6350">
      <a:solidFill>
        <a:srgbClr val="D9D9D9"/>
      </a:solidFill>
      <a:prstDash val="solid"/>
    </a:ln>
  </c:spPr>
  <c:txPr>
    <a:bodyPr/>
    <a:lstStyle/>
    <a:p>
      <a:pPr>
        <a:defRPr sz="1000" b="0" i="0" u="none" strike="noStrike" baseline="0">
          <a:solidFill>
            <a:srgbClr val="000000"/>
          </a:solidFill>
          <a:latin typeface="Times New Roman"/>
          <a:ea typeface="宋体"/>
          <a:cs typeface="Lucida Sans"/>
        </a:defRPr>
      </a:pPr>
      <a:endParaRPr lang="zh-CN"/>
    </a:p>
  </c:txPr>
  <c:printSettings>
    <c:headerFooter/>
    <c:pageMargins b="0.75" l="0.7" r="0.7" t="0.75" header="0.3" footer="0.3"/>
    <c:pageSetup/>
  </c:printSettings>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b="0" i="0" u="none" strike="noStrike" baseline="0">
                <a:solidFill>
                  <a:srgbClr val="595959"/>
                </a:solidFill>
                <a:latin typeface="Times New Roman"/>
                <a:ea typeface="宋体"/>
                <a:cs typeface="Lucida Sans"/>
              </a:defRPr>
            </a:pPr>
            <a:r>
              <a:rPr lang="zh-CN"/>
              <a:t>一般公共预算财政拨款支出决算结构</a:t>
            </a:r>
          </a:p>
        </c:rich>
      </c:tx>
      <c:layout/>
      <c:overlay val="0"/>
      <c:spPr>
        <a:noFill/>
        <a:ln>
          <a:noFill/>
        </a:ln>
      </c:spPr>
    </c:title>
    <c:autoTitleDeleted val="1"/>
    <c:view3D>
      <c:rotX val="30"/>
      <c:hPercent val="100"/>
      <c:rotY val="0"/>
      <c:depthPercent val="100"/>
      <c:rAngAx val="0"/>
      <c:perspective val="0"/>
    </c:view3D>
    <c:floor>
      <c:thickness val="0"/>
      <c:spPr>
        <a:ln>
          <a:noFill/>
        </a:ln>
      </c:spPr>
    </c:floor>
    <c:sideWall>
      <c:thickness val="0"/>
      <c:spPr>
        <a:ln>
          <a:noFill/>
        </a:ln>
      </c:spPr>
    </c:sideWall>
    <c:backWall>
      <c:thickness val="0"/>
      <c:spPr>
        <a:noFill/>
        <a:ln>
          <a:noFill/>
        </a:ln>
      </c:spPr>
    </c:backWall>
    <c:plotArea>
      <c:layout/>
      <c:pie3DChart>
        <c:varyColors val="1"/>
        <c:ser>
          <c:idx val="0"/>
          <c:order val="0"/>
          <c:tx>
            <c:strRef>
              <c:f>'Sheet1 (6)'!$B$1</c:f>
              <c:strCache>
                <c:ptCount val="1"/>
                <c:pt idx="0">
                  <c:v>一般公共预算财政拨款支出决算结构</c:v>
                </c:pt>
              </c:strCache>
            </c:strRef>
          </c:tx>
          <c:spPr>
            <a:solidFill>
              <a:srgbClr val="4F81BD"/>
            </a:solidFill>
          </c:spPr>
          <c:dPt>
            <c:idx val="0"/>
            <c:bubble3D val="0"/>
            <c:spPr>
              <a:solidFill>
                <a:srgbClr val="4F81BD"/>
              </a:solidFill>
              <a:ln w="25400">
                <a:solidFill>
                  <a:srgbClr val="FFFFFF"/>
                </a:solidFill>
                <a:prstDash val="solid"/>
              </a:ln>
            </c:spPr>
          </c:dPt>
          <c:dPt>
            <c:idx val="1"/>
            <c:bubble3D val="0"/>
            <c:spPr>
              <a:solidFill>
                <a:srgbClr val="C0504D"/>
              </a:solidFill>
              <a:ln w="25400">
                <a:solidFill>
                  <a:srgbClr val="FFFFFF"/>
                </a:solidFill>
                <a:prstDash val="solid"/>
              </a:ln>
            </c:spPr>
          </c:dPt>
          <c:dPt>
            <c:idx val="2"/>
            <c:bubble3D val="0"/>
            <c:spPr>
              <a:solidFill>
                <a:srgbClr val="9BBB59"/>
              </a:solidFill>
              <a:ln w="25400">
                <a:solidFill>
                  <a:srgbClr val="FFFFFF"/>
                </a:solidFill>
                <a:prstDash val="solid"/>
              </a:ln>
            </c:spPr>
          </c:dPt>
          <c:dPt>
            <c:idx val="3"/>
            <c:bubble3D val="0"/>
            <c:spPr>
              <a:solidFill>
                <a:srgbClr val="8064A2"/>
              </a:solidFill>
              <a:ln w="25400">
                <a:solidFill>
                  <a:srgbClr val="FFFFFF"/>
                </a:solidFill>
                <a:prstDash val="solid"/>
              </a:ln>
            </c:spPr>
          </c:dPt>
          <c:dLbls>
            <c:spPr>
              <a:noFill/>
              <a:ln>
                <a:noFill/>
              </a:ln>
            </c:spPr>
            <c:txPr>
              <a:bodyPr vert="horz"/>
              <a:lstStyle/>
              <a:p>
                <a:pPr>
                  <a:defRPr sz="900" b="0" i="0" u="none" strike="noStrike" baseline="0">
                    <a:solidFill>
                      <a:srgbClr val="404040"/>
                    </a:solidFill>
                    <a:latin typeface="Times New Roman"/>
                    <a:ea typeface="宋体"/>
                    <a:cs typeface="Lucida Sans"/>
                  </a:defRPr>
                </a:pPr>
                <a:endParaRPr lang="zh-CN"/>
              </a:p>
            </c:txPr>
            <c:numFmt formatCode="General" sourceLinked="1"/>
            <c:showLegendKey val="0"/>
            <c:showVal val="1"/>
            <c:showCatName val="0"/>
            <c:showSerName val="0"/>
            <c:showPercent val="0"/>
            <c:showBubbleSize val="0"/>
            <c:showLeaderLines val="1"/>
          </c:dLbls>
          <c:cat>
            <c:strRef>
              <c:f>'Sheet1 (6)'!$A$2:$A$5</c:f>
              <c:strCache>
                <c:ptCount val="4"/>
                <c:pt idx="0">
                  <c:v>公共安全支出</c:v>
                </c:pt>
                <c:pt idx="1">
                  <c:v>社会保障和就业支出</c:v>
                </c:pt>
                <c:pt idx="2">
                  <c:v>卫生健康支出</c:v>
                </c:pt>
                <c:pt idx="3">
                  <c:v>住房保障支出</c:v>
                </c:pt>
              </c:strCache>
            </c:strRef>
          </c:cat>
          <c:val>
            <c:numRef>
              <c:f>'Sheet1 (6)'!$B$2:$B$5</c:f>
              <c:numCache>
                <c:formatCode>General</c:formatCode>
                <c:ptCount val="4"/>
                <c:pt idx="0">
                  <c:v>22397.53</c:v>
                </c:pt>
                <c:pt idx="1">
                  <c:v>2374.08</c:v>
                </c:pt>
                <c:pt idx="2">
                  <c:v>1139.96</c:v>
                </c:pt>
                <c:pt idx="3">
                  <c:v>134.17</c:v>
                </c:pt>
              </c:numCache>
            </c:numRef>
          </c:val>
        </c:ser>
        <c:gapDepth val="150"/>
        <c:firstSliceAng val="0"/>
      </c:pie3DChart>
      <c:spPr>
        <a:noFill/>
        <a:ln>
          <a:noFill/>
        </a:ln>
      </c:spPr>
    </c:plotArea>
    <c:legend>
      <c:legendPos val="b"/>
      <c:layout/>
      <c:overlay val="0"/>
      <c:spPr>
        <a:noFill/>
        <a:ln>
          <a:noFill/>
        </a:ln>
      </c:spPr>
      <c:txPr>
        <a:bodyPr/>
        <a:lstStyle/>
        <a:p>
          <a:pPr>
            <a:defRPr sz="900" b="0" i="0" u="none" strike="noStrike" baseline="0">
              <a:solidFill>
                <a:srgbClr val="595959"/>
              </a:solidFill>
              <a:latin typeface="Times New Roman"/>
              <a:ea typeface="宋体"/>
              <a:cs typeface="Lucida Sans"/>
            </a:defRPr>
          </a:pPr>
          <a:endParaRPr lang="zh-CN"/>
        </a:p>
      </c:txPr>
    </c:legend>
    <c:plotVisOnly val="1"/>
    <c:dispBlanksAs val="gap"/>
    <c:showDLblsOverMax val="0"/>
  </c:chart>
  <c:spPr>
    <a:solidFill>
      <a:srgbClr val="FFFFFF"/>
    </a:solidFill>
    <a:ln w="6350">
      <a:solidFill>
        <a:srgbClr val="D9D9D9"/>
      </a:solidFill>
      <a:prstDash val="solid"/>
    </a:ln>
  </c:spPr>
  <c:txPr>
    <a:bodyPr/>
    <a:lstStyle/>
    <a:p>
      <a:pPr>
        <a:defRPr sz="1000" b="0" i="0" u="none" strike="noStrike" baseline="0">
          <a:solidFill>
            <a:srgbClr val="000000"/>
          </a:solidFill>
          <a:latin typeface="Times New Roman"/>
          <a:ea typeface="宋体"/>
          <a:cs typeface="Lucida Sans"/>
        </a:defRPr>
      </a:pPr>
      <a:endParaRPr lang="zh-CN"/>
    </a:p>
  </c:txPr>
  <c:printSettings>
    <c:headerFooter/>
    <c:pageMargins b="0.75" l="0.7" r="0.7" t="0.75" header="0.3" footer="0.3"/>
    <c:pageSetup/>
  </c:printSettings>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b="0" i="0" u="none" strike="noStrike" baseline="0">
                <a:solidFill>
                  <a:srgbClr val="595959"/>
                </a:solidFill>
                <a:latin typeface="Times New Roman"/>
                <a:ea typeface="宋体"/>
                <a:cs typeface="Lucida Sans"/>
              </a:defRPr>
            </a:pPr>
            <a:r>
              <a:rPr lang="zh-CN"/>
              <a:t>“三公”经费财政拨款支出结构</a:t>
            </a:r>
          </a:p>
        </c:rich>
      </c:tx>
      <c:layout/>
      <c:overlay val="0"/>
      <c:spPr>
        <a:noFill/>
        <a:ln>
          <a:noFill/>
        </a:ln>
      </c:spPr>
    </c:title>
    <c:autoTitleDeleted val="1"/>
    <c:plotArea>
      <c:layout>
        <c:manualLayout>
          <c:layoutTarget val="inner"/>
          <c:xMode val="edge"/>
          <c:yMode val="edge"/>
          <c:x val="0.26288238"/>
          <c:y val="0.17910132"/>
          <c:w val="0.47756302"/>
          <c:h val="0.6574802"/>
        </c:manualLayout>
      </c:layout>
      <c:pieChart>
        <c:varyColors val="1"/>
        <c:ser>
          <c:idx val="0"/>
          <c:order val="0"/>
          <c:tx>
            <c:strRef>
              <c:f>'Sheet1 (7)'!$B$1</c:f>
              <c:strCache>
                <c:ptCount val="1"/>
                <c:pt idx="0">
                  <c:v>“三公”经费财政拨款支出结构</c:v>
                </c:pt>
              </c:strCache>
            </c:strRef>
          </c:tx>
          <c:spPr>
            <a:ln>
              <a:noFill/>
            </a:ln>
          </c:spPr>
          <c:dPt>
            <c:idx val="0"/>
            <c:bubble3D val="0"/>
            <c:spPr>
              <a:solidFill>
                <a:srgbClr val="4F81BD"/>
              </a:solidFill>
              <a:ln w="19050">
                <a:solidFill>
                  <a:srgbClr val="FFFFFF"/>
                </a:solidFill>
                <a:prstDash val="solid"/>
              </a:ln>
            </c:spPr>
          </c:dPt>
          <c:dPt>
            <c:idx val="1"/>
            <c:bubble3D val="0"/>
            <c:spPr>
              <a:solidFill>
                <a:srgbClr val="C0504D"/>
              </a:solidFill>
              <a:ln w="19050">
                <a:solidFill>
                  <a:srgbClr val="FFFFFF"/>
                </a:solidFill>
                <a:prstDash val="solid"/>
              </a:ln>
            </c:spPr>
          </c:dPt>
          <c:dPt>
            <c:idx val="2"/>
            <c:bubble3D val="0"/>
            <c:spPr>
              <a:solidFill>
                <a:srgbClr val="9BBB59"/>
              </a:solidFill>
              <a:ln w="19050">
                <a:solidFill>
                  <a:srgbClr val="FFFFFF"/>
                </a:solidFill>
                <a:prstDash val="solid"/>
              </a:ln>
            </c:spPr>
          </c:dPt>
          <c:dPt>
            <c:idx val="3"/>
            <c:bubble3D val="0"/>
            <c:spPr>
              <a:solidFill>
                <a:srgbClr val="8064A2"/>
              </a:solidFill>
              <a:ln w="19050">
                <a:solidFill>
                  <a:srgbClr val="FFFFFF"/>
                </a:solidFill>
                <a:prstDash val="solid"/>
              </a:ln>
            </c:spPr>
          </c:dPt>
          <c:dLbls>
            <c:spPr>
              <a:noFill/>
              <a:ln>
                <a:noFill/>
              </a:ln>
            </c:spPr>
            <c:txPr>
              <a:bodyPr vert="horz"/>
              <a:lstStyle/>
              <a:p>
                <a:pPr>
                  <a:defRPr sz="900" b="0" i="0" u="none" strike="noStrike" baseline="0">
                    <a:solidFill>
                      <a:srgbClr val="404040"/>
                    </a:solidFill>
                    <a:latin typeface="Times New Roman"/>
                    <a:ea typeface="宋体"/>
                    <a:cs typeface="Lucida Sans"/>
                  </a:defRPr>
                </a:pPr>
                <a:endParaRPr lang="zh-CN"/>
              </a:p>
            </c:txPr>
            <c:numFmt formatCode="General" sourceLinked="1"/>
            <c:dLbl>
              <c:idx val="1"/>
              <c:layout>
                <c:manualLayout>
                  <c:x val="0.062835276"/>
                  <c:y val="0.0037650708"/>
                </c:manualLayout>
              </c:layout>
              <c:spPr>
                <a:noFill/>
                <a:ln>
                  <a:noFill/>
                </a:ln>
              </c:spPr>
              <c:txPr>
                <a:bodyPr vert="horz"/>
                <a:lstStyle/>
                <a:p>
                  <a:pPr>
                    <a:defRPr sz="900" b="0" i="0" u="none" strike="noStrike" baseline="0">
                      <a:solidFill>
                        <a:srgbClr val="404040"/>
                      </a:solidFill>
                      <a:latin typeface="Times New Roman"/>
                      <a:ea typeface="宋体"/>
                      <a:cs typeface="Lucida Sans"/>
                    </a:defRPr>
                  </a:pPr>
                  <a:endParaRPr lang="zh-CN"/>
                </a:p>
              </c:txPr>
              <c:showLegendKey val="0"/>
              <c:showVal val="1"/>
              <c:showCatName val="0"/>
              <c:showSerName val="0"/>
              <c:showPercent val="0"/>
              <c:showBubbleSize val="0"/>
            </c:dLbl>
            <c:dLbl>
              <c:idx val="3"/>
              <c:layout>
                <c:manualLayout>
                  <c:x val="-0.05063433"/>
                  <c:y val="-6.394883E-4"/>
                </c:manualLayout>
              </c:layout>
              <c:spPr>
                <a:noFill/>
                <a:ln>
                  <a:noFill/>
                </a:ln>
              </c:spPr>
              <c:txPr>
                <a:bodyPr vert="horz"/>
                <a:lstStyle/>
                <a:p>
                  <a:pPr>
                    <a:defRPr sz="900" b="0" i="0" u="none" strike="noStrike" baseline="0">
                      <a:solidFill>
                        <a:srgbClr val="404040"/>
                      </a:solidFill>
                      <a:latin typeface="Times New Roman"/>
                      <a:ea typeface="宋体"/>
                      <a:cs typeface="Lucida Sans"/>
                    </a:defRPr>
                  </a:pPr>
                  <a:endParaRPr lang="zh-CN"/>
                </a:p>
              </c:txPr>
              <c:showLegendKey val="0"/>
              <c:showVal val="1"/>
              <c:showCatName val="0"/>
              <c:showSerName val="0"/>
              <c:showPercent val="0"/>
              <c:showBubbleSize val="0"/>
            </c:dLbl>
            <c:showLegendKey val="0"/>
            <c:showVal val="1"/>
            <c:showCatName val="0"/>
            <c:showSerName val="0"/>
            <c:showPercent val="0"/>
            <c:showBubbleSize val="0"/>
            <c:showLeaderLines val="1"/>
          </c:dLbls>
          <c:cat>
            <c:strRef>
              <c:f>'Sheet1 (7)'!$A$2:$A$5</c:f>
              <c:strCache>
                <c:ptCount val="4"/>
                <c:pt idx="0">
                  <c:v>因公出国（境）费支出</c:v>
                </c:pt>
                <c:pt idx="1">
                  <c:v>公务用车购置费</c:v>
                </c:pt>
                <c:pt idx="2">
                  <c:v>公务用车运行费</c:v>
                </c:pt>
                <c:pt idx="3">
                  <c:v>公务接待费</c:v>
                </c:pt>
              </c:strCache>
            </c:strRef>
          </c:cat>
          <c:val>
            <c:numRef>
              <c:f>'Sheet1 (7)'!$B$2:$B$5</c:f>
              <c:numCache>
                <c:formatCode>General</c:formatCode>
                <c:ptCount val="4"/>
                <c:pt idx="0">
                  <c:v>0.0</c:v>
                </c:pt>
                <c:pt idx="1">
                  <c:v>3.92</c:v>
                </c:pt>
                <c:pt idx="2">
                  <c:v>425.73</c:v>
                </c:pt>
                <c:pt idx="3">
                  <c:v>1.09</c:v>
                </c:pt>
              </c:numCache>
            </c:numRef>
          </c:val>
        </c:ser>
        <c:firstSliceAng val="0"/>
      </c:pieChart>
      <c:spPr>
        <a:noFill/>
        <a:ln>
          <a:noFill/>
        </a:ln>
      </c:spPr>
    </c:plotArea>
    <c:legend>
      <c:legendPos val="b"/>
      <c:layout/>
      <c:overlay val="0"/>
      <c:spPr>
        <a:noFill/>
        <a:ln>
          <a:noFill/>
        </a:ln>
      </c:spPr>
      <c:txPr>
        <a:bodyPr/>
        <a:lstStyle/>
        <a:p>
          <a:pPr>
            <a:defRPr sz="900" b="0" i="0" u="none" strike="noStrike" baseline="0">
              <a:solidFill>
                <a:srgbClr val="595959"/>
              </a:solidFill>
              <a:latin typeface="Times New Roman"/>
              <a:ea typeface="宋体"/>
              <a:cs typeface="Lucida Sans"/>
            </a:defRPr>
          </a:pPr>
          <a:endParaRPr lang="zh-CN"/>
        </a:p>
      </c:txPr>
    </c:legend>
    <c:plotVisOnly val="1"/>
    <c:dispBlanksAs val="gap"/>
    <c:showDLblsOverMax val="0"/>
  </c:chart>
  <c:spPr>
    <a:solidFill>
      <a:srgbClr val="FFFFFF"/>
    </a:solidFill>
    <a:ln w="6350">
      <a:solidFill>
        <a:srgbClr val="D9D9D9"/>
      </a:solidFill>
      <a:prstDash val="solid"/>
    </a:ln>
  </c:spPr>
  <c:txPr>
    <a:bodyPr/>
    <a:lstStyle/>
    <a:p>
      <a:pPr>
        <a:defRPr sz="1000" b="0" i="0" u="none" strike="noStrike" baseline="0">
          <a:solidFill>
            <a:srgbClr val="000000"/>
          </a:solidFill>
          <a:latin typeface="Times New Roman"/>
          <a:ea typeface="宋体"/>
          <a:cs typeface="Lucida Sans"/>
        </a:defRPr>
      </a:pPr>
      <a:endParaRPr lang="zh-CN"/>
    </a:p>
  </c:txPr>
  <c:printSettings>
    <c:headerFooter/>
    <c:pageMargins b="0.75" l="0.7" r="0.7" t="0.75" header="0.3" footer="0.3"/>
    <c:pageSetup/>
  </c:printSettings>
  <c:externalData r:id="rId1">
    <c:autoUpdate val="0"/>
  </c:externalData>
</c:chartSpace>
</file>

<file path=docProps/app.xml><?xml version="1.0" encoding="utf-8"?>
<Properties xmlns="http://schemas.openxmlformats.org/officeDocument/2006/extended-properties">
  <Template>Normal.eit</Template>
  <TotalTime>56</TotalTime>
  <Application>Yozo_Office27021597764231179</Application>
  <Pages>103</Pages>
  <Words>58909</Words>
  <Characters>69874</Characters>
  <Lines>14887</Lines>
  <Paragraphs>9488</Paragraphs>
  <CharactersWithSpaces>70238</CharactersWithSpaces>
  <Company>四川省财政厅</Company>
</Properties>
</file>

<file path=docProps/core.xml><?xml version="1.0" encoding="utf-8"?>
<cp:coreProperties xmlns:cp="http://schemas.openxmlformats.org/package/2006/metadata/core-properties" xmlns:dc="http://purl.org/dc/elements/1.1/" xmlns:dcterms="http://purl.org/dc/terms/" xmlns:xsi="http://www.w3.org/2001/XMLSchema-instance">
  <dc:title>四川省***</dc:title>
  <dc:creator>曹颖</dc:creator>
  <cp:lastModifiedBy>user</cp:lastModifiedBy>
  <cp:revision>39</cp:revision>
  <cp:lastPrinted>2024-09-11T02:27:00Z</cp:lastPrinted>
  <dcterms:created xsi:type="dcterms:W3CDTF">2020-08-08T01:49:00Z</dcterms:created>
  <dcterms:modified xsi:type="dcterms:W3CDTF">2024-09-18T09:36:44Z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2052-11.1.0.11691</vt:lpwstr>
  </property>
  <property fmtid="{D5CDD505-2E9C-101B-9397-08002B2CF9AE}" pid="3" name="ICV">
    <vt:lpwstr>699AF87211824F13878076095C6AC778</vt:lpwstr>
  </property>
</Properties>
</file>