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pStyle w:val="15"/>
        <w:rPr>
          <w:rFonts w:ascii="Times New Roman" w:eastAsia="方正小标宋简体" w:cs="Times New Roman" w:hAnsi="Times New Roman" w:hint="eastAsia"/>
          <w:color w:val="auto"/>
          <w:kern w:val="2"/>
          <w:sz w:val="72"/>
          <w:szCs w:val="72"/>
          <w:lang w:val="en-US" w:eastAsia="zh-CN" w:bidi="ar-SA"/>
          <w:highlight w:val="auto"/>
        </w:rPr>
      </w:pPr>
      <w:bookmarkStart w:id="0" w:name="_Toc15396475"/>
      <w:bookmarkStart w:id="1" w:name="_Toc15377193"/>
      <w:bookmarkStart w:id="2" w:name="_Toc15378441"/>
      <w:bookmarkStart w:id="3" w:name="_Toc15396597"/>
      <w:bookmarkStart w:id="4" w:name="_Toc15377425"/>
      <w:bookmarkStart w:id="5" w:name="_Toc15306267"/>
    </w:p>
    <w:p>
      <w:pPr>
        <w:pStyle w:val="15"/>
        <w:rPr>
          <w:rFonts w:ascii="Times New Roman" w:eastAsia="方正小标宋简体" w:cs="Times New Roman" w:hAnsi="Times New Roman" w:hint="eastAsia"/>
          <w:color w:val="auto"/>
          <w:kern w:val="2"/>
          <w:sz w:val="72"/>
          <w:szCs w:val="72"/>
          <w:lang w:val="en-US" w:eastAsia="zh-CN" w:bidi="ar-SA"/>
          <w:highlight w:val="auto"/>
        </w:rPr>
      </w:pPr>
    </w:p>
    <w:p>
      <w:pPr>
        <w:pStyle w:val="15"/>
        <w:rPr>
          <w:rFonts w:ascii="Times New Roman" w:eastAsia="方正小标宋简体" w:cs="Times New Roman" w:hAnsi="Times New Roman" w:hint="eastAsia"/>
          <w:color w:val="auto"/>
          <w:kern w:val="2"/>
          <w:sz w:val="72"/>
          <w:szCs w:val="72"/>
          <w:lang w:val="en-US" w:eastAsia="zh-CN" w:bidi="ar-SA"/>
          <w:highlight w:val="auto"/>
        </w:rPr>
      </w:pPr>
    </w:p>
    <w:p>
      <w:pPr>
        <w:pStyle w:val="15"/>
        <w:rPr>
          <w:rFonts w:ascii="Times New Roman" w:eastAsia="方正小标宋简体" w:cs="Times New Roman" w:hAnsi="Times New Roman" w:hint="eastAsia"/>
          <w:color w:val="auto"/>
          <w:kern w:val="2"/>
          <w:sz w:val="72"/>
          <w:szCs w:val="72"/>
          <w:lang w:val="en-US" w:eastAsia="zh-CN" w:bidi="ar-SA"/>
          <w:highlight w:val="auto"/>
        </w:rPr>
      </w:pPr>
    </w:p>
    <w:p>
      <w:pPr>
        <w:pStyle w:val="15"/>
        <w:jc w:val="center"/>
        <w:rPr>
          <w:rFonts w:ascii="Times New Roman" w:eastAsia="方正小标宋简体" w:cs="Times New Roman" w:hAnsi="Times New Roman" w:hint="eastAsia"/>
          <w:color w:val="auto"/>
          <w:kern w:val="2"/>
          <w:sz w:val="44"/>
          <w:szCs w:val="44"/>
          <w:lang w:val="en-US" w:eastAsia="zh-CN" w:bidi="ar-SA"/>
          <w:highlight w:val="auto"/>
        </w:rPr>
      </w:pPr>
      <w:r>
        <w:rPr>
          <w:rFonts w:ascii="Times New Roman" w:eastAsia="方正小标宋简体" w:cs="Times New Roman" w:hAnsi="Times New Roman" w:hint="eastAsia"/>
          <w:color w:val="auto"/>
          <w:kern w:val="2"/>
          <w:sz w:val="44"/>
          <w:szCs w:val="44"/>
          <w:lang w:val="en-US" w:eastAsia="zh-CN" w:bidi="ar-SA"/>
          <w:highlight w:val="auto"/>
        </w:rPr>
        <w:t>2025年度四川省阿坝州公安局（部门）</w:t>
      </w:r>
    </w:p>
    <w:p>
      <w:pPr>
        <w:pStyle w:val="15"/>
        <w:jc w:val="center"/>
        <w:rPr>
          <w:rFonts w:ascii="Times New Roman" w:eastAsia="方正小标宋简体" w:cs="Times New Roman" w:hAnsi="Times New Roman"/>
          <w:color w:val="auto"/>
          <w:kern w:val="2"/>
          <w:sz w:val="44"/>
          <w:szCs w:val="44"/>
          <w:lang w:val="en-US" w:eastAsia="zh-CN" w:bidi="ar-SA"/>
          <w:highlight w:val="auto"/>
        </w:rPr>
      </w:pPr>
      <w:r>
        <w:rPr>
          <w:rFonts w:ascii="Times New Roman" w:eastAsia="方正小标宋简体" w:cs="Times New Roman" w:hAnsi="Times New Roman" w:hint="eastAsia"/>
          <w:color w:val="auto"/>
          <w:kern w:val="2"/>
          <w:sz w:val="44"/>
          <w:szCs w:val="44"/>
          <w:lang w:val="en-US" w:eastAsia="zh-CN" w:bidi="ar-SA"/>
          <w:highlight w:val="auto"/>
        </w:rPr>
        <w:t>决算公开</w:t>
      </w:r>
    </w:p>
    <w:p>
      <w:pPr>
        <w:autoSpaceDE w:val="0"/>
        <w:autoSpaceDN w:val="0"/>
        <w:adjustRightInd w:val="0"/>
        <w:ind w:leftChars="200" w:left="420" w:firstLineChars="100" w:firstLine="320"/>
        <w:jc w:val="left"/>
        <w:rPr>
          <w:rFonts w:ascii="宋体" w:cs="仿宋_GB2312" w:hint="eastAsia"/>
          <w:sz w:val="32"/>
          <w:szCs w:val="32"/>
        </w:rPr>
      </w:pPr>
    </w:p>
    <w:p>
      <w:pPr>
        <w:autoSpaceDE w:val="0"/>
        <w:autoSpaceDN w:val="0"/>
        <w:adjustRightInd w:val="0"/>
        <w:ind w:leftChars="200" w:left="420" w:firstLineChars="100" w:firstLine="320"/>
        <w:jc w:val="left"/>
        <w:rPr>
          <w:rFonts w:ascii="宋体" w:cs="仿宋_GB2312" w:hint="eastAsia"/>
          <w:sz w:val="32"/>
          <w:szCs w:val="32"/>
        </w:rPr>
      </w:pPr>
    </w:p>
    <w:p>
      <w:pPr>
        <w:autoSpaceDE w:val="0"/>
        <w:autoSpaceDN w:val="0"/>
        <w:adjustRightInd w:val="0"/>
        <w:ind w:leftChars="200" w:left="420" w:firstLineChars="100" w:firstLine="320"/>
        <w:jc w:val="left"/>
        <w:rPr>
          <w:rFonts w:ascii="宋体" w:cs="仿宋_GB2312" w:hint="eastAsia"/>
          <w:sz w:val="32"/>
          <w:szCs w:val="32"/>
        </w:rPr>
      </w:pPr>
    </w:p>
    <w:p>
      <w:pPr>
        <w:autoSpaceDE w:val="0"/>
        <w:autoSpaceDN w:val="0"/>
        <w:adjustRightInd w:val="0"/>
        <w:ind w:leftChars="200" w:left="420" w:firstLineChars="100" w:firstLine="320"/>
        <w:jc w:val="left"/>
        <w:rPr>
          <w:rFonts w:ascii="宋体" w:cs="仿宋_GB2312" w:hint="eastAsia"/>
          <w:sz w:val="32"/>
          <w:szCs w:val="32"/>
        </w:rPr>
      </w:pPr>
    </w:p>
    <w:p>
      <w:pPr>
        <w:autoSpaceDE w:val="0"/>
        <w:autoSpaceDN w:val="0"/>
        <w:adjustRightInd w:val="0"/>
        <w:ind w:leftChars="200" w:left="420" w:firstLineChars="100" w:firstLine="320"/>
        <w:jc w:val="left"/>
        <w:rPr>
          <w:rFonts w:ascii="宋体" w:cs="仿宋_GB2312" w:hint="eastAsia"/>
          <w:sz w:val="32"/>
          <w:szCs w:val="32"/>
        </w:rPr>
      </w:pPr>
    </w:p>
    <w:p>
      <w:pPr>
        <w:autoSpaceDE w:val="0"/>
        <w:autoSpaceDN w:val="0"/>
        <w:adjustRightInd w:val="0"/>
        <w:ind w:leftChars="200" w:left="420" w:firstLineChars="100" w:firstLine="320"/>
        <w:jc w:val="left"/>
        <w:rPr>
          <w:rFonts w:ascii="宋体" w:cs="仿宋_GB2312" w:hint="eastAsia"/>
          <w:sz w:val="32"/>
          <w:szCs w:val="32"/>
        </w:rPr>
      </w:pPr>
    </w:p>
    <w:p>
      <w:pPr>
        <w:autoSpaceDE w:val="0"/>
        <w:autoSpaceDN w:val="0"/>
        <w:adjustRightInd w:val="0"/>
        <w:ind w:leftChars="200" w:left="420" w:firstLineChars="100" w:firstLine="320"/>
        <w:jc w:val="left"/>
        <w:rPr>
          <w:rFonts w:ascii="宋体" w:cs="仿宋_GB2312" w:hint="eastAsia"/>
          <w:sz w:val="32"/>
          <w:szCs w:val="32"/>
        </w:rPr>
      </w:pPr>
    </w:p>
    <w:p>
      <w:pPr>
        <w:autoSpaceDE w:val="0"/>
        <w:autoSpaceDN w:val="0"/>
        <w:adjustRightInd w:val="0"/>
        <w:ind w:leftChars="200" w:left="420" w:firstLineChars="100" w:firstLine="320"/>
        <w:jc w:val="left"/>
        <w:rPr>
          <w:rFonts w:ascii="宋体" w:cs="仿宋_GB2312" w:hint="eastAsia"/>
          <w:sz w:val="32"/>
          <w:szCs w:val="32"/>
        </w:rPr>
      </w:pPr>
    </w:p>
    <w:p>
      <w:pPr>
        <w:autoSpaceDE w:val="0"/>
        <w:autoSpaceDN w:val="0"/>
        <w:adjustRightInd w:val="0"/>
        <w:ind w:leftChars="200" w:left="420" w:firstLineChars="100" w:firstLine="320"/>
        <w:jc w:val="left"/>
        <w:rPr>
          <w:rFonts w:ascii="宋体" w:cs="仿宋_GB2312" w:hint="eastAsia"/>
          <w:sz w:val="32"/>
          <w:szCs w:val="32"/>
        </w:rPr>
      </w:pPr>
    </w:p>
    <w:p>
      <w:pPr>
        <w:autoSpaceDE w:val="0"/>
        <w:autoSpaceDN w:val="0"/>
        <w:adjustRightInd w:val="0"/>
        <w:ind w:leftChars="200" w:left="420" w:firstLineChars="100" w:firstLine="320"/>
        <w:jc w:val="left"/>
        <w:rPr>
          <w:rFonts w:ascii="宋体"/>
          <w:sz w:val="32"/>
          <w:szCs w:val="32"/>
        </w:rPr>
      </w:pPr>
      <w:r>
        <w:rPr>
          <w:rFonts w:ascii="宋体" w:cs="仿宋_GB2312" w:hint="eastAsia"/>
          <w:sz w:val="32"/>
          <w:szCs w:val="32"/>
        </w:rPr>
        <w:t>保密审查情况：已审查，内容审定</w:t>
      </w:r>
    </w:p>
    <w:p>
      <w:pPr>
        <w:spacing w:line="600" w:lineRule="exact"/>
        <w:jc w:val="center"/>
        <w:outlineLvl w:val="9"/>
        <w:rPr>
          <w:rFonts w:ascii="Times New Roman" w:eastAsia="方正小标宋简体" w:hAnsi="Times New Roman"/>
          <w:color w:val="auto"/>
          <w:sz w:val="72"/>
          <w:szCs w:val="72"/>
          <w:highlight w:val="auto"/>
        </w:rPr>
      </w:pPr>
      <w:r>
        <w:rPr>
          <w:rFonts w:ascii="宋体" w:cs="仿宋_GB2312" w:hint="eastAsia"/>
          <w:sz w:val="32"/>
          <w:szCs w:val="32"/>
          <w:lang w:val="en-US" w:eastAsia="zh-CN"/>
        </w:rPr>
        <w:t xml:space="preserve"> </w:t>
      </w:r>
      <w:r>
        <w:rPr>
          <w:rFonts w:ascii="宋体" w:cs="仿宋_GB2312" w:hint="eastAsia"/>
          <w:sz w:val="32"/>
          <w:szCs w:val="32"/>
        </w:rPr>
        <w:t>部门主要负责人审签情况：已审签，同意对外公开</w:t>
      </w:r>
    </w:p>
    <w:p>
      <w:pPr>
        <w:pStyle w:val="28"/>
        <w:outlineLvl w:val="9"/>
        <w:rPr>
          <w:rFonts w:ascii="Times New Roman" w:hAnsi="Times New Roman"/>
        </w:rPr>
        <w:sectPr>
          <w:headerReference w:type="default" r:id="rId2"/>
          <w:footerReference w:type="default" r:id="rId3"/>
          <w:footerReference w:type="first" r:id="rId4"/>
          <w:pgSz w:w="11906" w:h="16838"/>
          <w:pgMar w:top="1440" w:right="1800" w:bottom="1440" w:left="1800" w:header="851" w:footer="992" w:gutter="0"/>
          <w:pgNumType w:start="1"/>
          <w:titlePg/>
          <w:docGrid w:type="lines" w:linePitch="312" w:charSpace="0"/>
        </w:sectPr>
      </w:pPr>
    </w:p>
    <w:p>
      <w:pPr>
        <w:widowControl/>
        <w:jc w:val="center"/>
        <w:rPr>
          <w:rFonts w:ascii="Times New Roman" w:eastAsia="黑体" w:hAnsi="Times New Roman"/>
          <w:color w:val="auto"/>
          <w:sz w:val="48"/>
          <w:szCs w:val="48"/>
          <w:highlight w:val="auto"/>
        </w:rPr>
      </w:pPr>
      <w:bookmarkEnd w:id="0"/>
      <w:bookmarkEnd w:id="1"/>
      <w:bookmarkEnd w:id="2"/>
      <w:bookmarkEnd w:id="3"/>
      <w:bookmarkEnd w:id="4"/>
      <w:bookmarkEnd w:id="5"/>
      <w:r>
        <w:rPr>
          <w:rFonts w:ascii="Times New Roman" w:eastAsia="黑体" w:hAnsi="Times New Roman" w:hint="eastAsia"/>
          <w:color w:val="auto"/>
          <w:sz w:val="48"/>
          <w:szCs w:val="48"/>
          <w:highlight w:val="auto"/>
        </w:rPr>
        <w:t>目录</w:t>
      </w:r>
    </w:p>
    <w:p>
      <w:pPr>
        <w:widowControl/>
        <w:jc w:val="center"/>
        <w:rPr>
          <w:rFonts w:ascii="Times New Roman" w:eastAsia="黑体" w:cs="Arial" w:hAnsi="Times New Roman"/>
          <w:color w:val="auto"/>
          <w:sz w:val="28"/>
          <w:szCs w:val="28"/>
          <w:highlight w:val="auto"/>
        </w:rPr>
      </w:pPr>
    </w:p>
    <w:p>
      <w:pPr>
        <w:pStyle w:val="21"/>
        <w:tabs>
          <w:tab w:val="right" w:leader="dot" w:pos="8296"/>
        </w:tabs>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公开时间：20</w:t>
      </w:r>
      <w:r>
        <w:rPr>
          <w:rFonts w:ascii="Times New Roman" w:eastAsia="仿宋_GB2312" w:cs="仿宋_GB2312" w:hAnsi="Times New Roman" w:hint="eastAsia"/>
          <w:color w:val="auto"/>
          <w:sz w:val="32"/>
          <w:szCs w:val="32"/>
          <w:lang w:val="en-US" w:eastAsia="zh-CN"/>
          <w:highlight w:val="auto"/>
        </w:rPr>
        <w:t>26</w:t>
      </w:r>
      <w:r>
        <w:rPr>
          <w:rFonts w:ascii="Times New Roman" w:eastAsia="仿宋_GB2312" w:cs="仿宋_GB2312" w:hAnsi="Times New Roman" w:hint="eastAsia"/>
          <w:color w:val="auto"/>
          <w:sz w:val="32"/>
          <w:szCs w:val="32"/>
          <w:highlight w:val="auto"/>
        </w:rPr>
        <w:t>年</w:t>
      </w:r>
      <w:r>
        <w:rPr>
          <w:rFonts w:ascii="Times New Roman" w:eastAsia="仿宋_GB2312" w:cs="仿宋_GB2312" w:hAnsi="Times New Roman" w:hint="eastAsia"/>
          <w:color w:val="auto"/>
          <w:sz w:val="32"/>
          <w:szCs w:val="32"/>
          <w:lang w:val="en-US" w:eastAsia="zh-CN"/>
          <w:highlight w:val="auto"/>
        </w:rPr>
        <w:t>9</w:t>
      </w:r>
      <w:r>
        <w:rPr>
          <w:rFonts w:ascii="Times New Roman" w:eastAsia="仿宋_GB2312" w:cs="仿宋_GB2312" w:hAnsi="Times New Roman" w:hint="eastAsia"/>
          <w:color w:val="auto"/>
          <w:sz w:val="32"/>
          <w:szCs w:val="32"/>
          <w:highlight w:val="auto"/>
        </w:rPr>
        <w:t>月</w:t>
      </w:r>
      <w:r>
        <w:rPr>
          <w:rFonts w:ascii="Times New Roman" w:eastAsia="仿宋_GB2312" w:cs="仿宋_GB2312" w:hAnsi="Times New Roman" w:hint="eastAsia"/>
          <w:color w:val="auto"/>
          <w:sz w:val="32"/>
          <w:szCs w:val="32"/>
          <w:lang w:val="en-US" w:eastAsia="zh-CN"/>
          <w:highlight w:val="auto"/>
        </w:rPr>
        <w:t>15</w:t>
      </w:r>
      <w:r>
        <w:rPr>
          <w:rFonts w:ascii="Times New Roman" w:eastAsia="仿宋_GB2312" w:cs="仿宋_GB2312" w:hAnsi="Times New Roman" w:hint="eastAsia"/>
          <w:color w:val="auto"/>
          <w:sz w:val="32"/>
          <w:szCs w:val="32"/>
          <w:highlight w:val="auto"/>
        </w:rPr>
        <w:t>日</w:t>
      </w:r>
    </w:p>
    <w:p>
      <w:pPr>
        <w:rPr>
          <w:rFonts w:ascii="Times New Roman" w:hAnsi="Times New Roman"/>
          <w:color w:val="auto"/>
          <w:highlight w:val="auto"/>
        </w:rPr>
      </w:pPr>
    </w:p>
    <w:sdt>
      <w:sdtPr>
        <w:rPr>
          <w:rFonts w:ascii="宋体" w:eastAsia="宋体" w:cs="Times New Roman"/>
          <w:kern w:val="2"/>
          <w:sz w:val="21"/>
          <w:szCs w:val="24"/>
          <w:lang w:val="en-US" w:eastAsia="zh-CN" w:bidi="ar-SA"/>
        </w:rPr>
        <w:id w:val="-73995418"/>
        <w15:color w:val="DBDBDB"/>
        <w:docPartObj>
          <w:docPartGallery w:val="Table of Contents"/>
          <w:docPartUnique/>
        </w:docPartObj>
      </w:sdtPr>
      <w:sdtContent>
        <w:bookmarkStart w:id="6" w:name="_Toc15396599" w:displacedByCustomXml="prev"/>
        <w:bookmarkStart w:id="7" w:name="_Toc15377196" w:displacedByCustomXml="prev"/>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0"/>
            <w:jc w:val="center"/>
            <w:textAlignment w:val="auto"/>
          </w:pPr>
        </w:p>
        <w:p>
          <w:pPr>
            <w:pStyle w:val="21"/>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60" w:lineRule="exact"/>
            <w:textAlignment w:val="auto"/>
          </w:pPr>
          <w:r>
            <w:fldChar w:fldCharType="begin"/>
          </w:r>
          <w:r>
            <w:instrText xml:space="preserve">TOC \o "1-2" \h \u </w:instrText>
          </w:r>
          <w:r>
            <w:fldChar w:fldCharType="separate"/>
          </w:r>
          <w:r>
            <w:fldChar w:fldCharType="begin"/>
          </w:r>
          <w:r>
            <w:instrText xml:space="preserve"> HYPERLINK \l _Toc5816 </w:instrText>
          </w:r>
          <w:r>
            <w:fldChar w:fldCharType="separate"/>
          </w:r>
          <w:r>
            <w:rPr>
              <w:rFonts w:ascii="Times New Roman" w:eastAsia="方正小标宋简体" w:cs="方正小标宋简体" w:hAnsi="Times New Roman" w:hint="eastAsia"/>
              <w:highlight w:val="auto"/>
            </w:rPr>
            <w:t>第一部分</w:t>
          </w:r>
          <w:r>
            <w:rPr>
              <w:rFonts w:ascii="Times New Roman" w:eastAsia="方正小标宋简体" w:cs="方正小标宋简体" w:hAnsi="Times New Roman" w:hint="eastAsia"/>
              <w:lang w:val="en-US" w:eastAsia="zh-CN"/>
              <w:highlight w:val="auto"/>
            </w:rPr>
            <w:t xml:space="preserve"> </w:t>
          </w:r>
          <w:r>
            <w:rPr>
              <w:rFonts w:ascii="Times New Roman" w:eastAsia="方正小标宋简体" w:cs="方正小标宋简体" w:hAnsi="Times New Roman" w:hint="eastAsia"/>
              <w:highlight w:val="auto"/>
            </w:rPr>
            <w:t xml:space="preserve"> </w:t>
          </w:r>
          <w:r>
            <w:rPr>
              <w:rFonts w:ascii="Times New Roman" w:eastAsia="方正小标宋简体" w:cs="方正小标宋简体" w:hAnsi="Times New Roman" w:hint="eastAsia"/>
              <w:bCs w:val="0"/>
              <w:highlight w:val="auto"/>
            </w:rPr>
            <w:t>部门概况</w:t>
          </w:r>
          <w:r>
            <w:tab/>
          </w:r>
          <w:r>
            <w:fldChar w:fldCharType="begin"/>
          </w:r>
          <w:r>
            <w:instrText xml:space="preserve"> PAGEREF _Toc5816 \h </w:instrText>
          </w:r>
          <w:r>
            <w:fldChar w:fldCharType="separate"/>
          </w:r>
          <w:r>
            <w:t>1</w:t>
          </w:r>
          <w:r>
            <w:fldChar w:fldCharType="end"/>
          </w:r>
          <w:r>
            <w:fldChar w:fldCharType="end"/>
          </w:r>
        </w:p>
        <w:p>
          <w:pPr>
            <w:pStyle w:val="24"/>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60" w:lineRule="exact"/>
            <w:textAlignment w:val="auto"/>
          </w:pPr>
          <w:r>
            <w:fldChar w:fldCharType="begin"/>
          </w:r>
          <w:r>
            <w:instrText xml:space="preserve"> HYPERLINK \l _Toc3839 </w:instrText>
          </w:r>
          <w:r>
            <w:fldChar w:fldCharType="separate"/>
          </w:r>
          <w:r>
            <w:rPr>
              <w:rFonts w:ascii="Times New Roman" w:eastAsia="黑体" w:hAnsi="Times New Roman" w:hint="eastAsia"/>
              <w:highlight w:val="auto"/>
            </w:rPr>
            <w:t>一、</w:t>
          </w:r>
          <w:r>
            <w:rPr>
              <w:rFonts w:ascii="Times New Roman" w:eastAsia="黑体" w:hAnsi="Times New Roman" w:hint="eastAsia"/>
              <w:lang w:eastAsia="zh-CN"/>
              <w:highlight w:val="auto"/>
            </w:rPr>
            <w:t>部门职责</w:t>
          </w:r>
          <w:r>
            <w:tab/>
          </w:r>
          <w:r>
            <w:fldChar w:fldCharType="begin"/>
          </w:r>
          <w:r>
            <w:instrText xml:space="preserve"> PAGEREF _Toc3839 \h </w:instrText>
          </w:r>
          <w:r>
            <w:fldChar w:fldCharType="separate"/>
          </w:r>
          <w:r>
            <w:t>1</w:t>
          </w:r>
          <w:r>
            <w:fldChar w:fldCharType="end"/>
          </w:r>
          <w:r>
            <w:fldChar w:fldCharType="end"/>
          </w:r>
        </w:p>
        <w:p>
          <w:pPr>
            <w:pStyle w:val="24"/>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60" w:lineRule="exact"/>
            <w:textAlignment w:val="auto"/>
          </w:pPr>
          <w:r>
            <w:fldChar w:fldCharType="begin"/>
          </w:r>
          <w:r>
            <w:instrText xml:space="preserve"> HYPERLINK \l _Toc8866 </w:instrText>
          </w:r>
          <w:r>
            <w:fldChar w:fldCharType="separate"/>
          </w:r>
          <w:r>
            <w:rPr>
              <w:rFonts w:ascii="Times New Roman" w:eastAsia="黑体" w:hAnsi="Times New Roman" w:hint="eastAsia"/>
              <w:highlight w:val="auto"/>
            </w:rPr>
            <w:t>二、机</w:t>
          </w:r>
          <w:r>
            <w:rPr>
              <w:rFonts w:ascii="Times New Roman" w:eastAsia="黑体" w:hAnsi="Times New Roman" w:hint="eastAsia"/>
              <w:bCs w:val="0"/>
              <w:highlight w:val="auto"/>
            </w:rPr>
            <w:t>构设置</w:t>
          </w:r>
          <w:r>
            <w:tab/>
          </w:r>
          <w:r>
            <w:fldChar w:fldCharType="begin"/>
          </w:r>
          <w:r>
            <w:instrText xml:space="preserve"> PAGEREF _Toc8866 \h </w:instrText>
          </w:r>
          <w:r>
            <w:fldChar w:fldCharType="separate"/>
          </w:r>
          <w:r>
            <w:t>2</w:t>
          </w:r>
          <w:r>
            <w:fldChar w:fldCharType="end"/>
          </w:r>
          <w:r>
            <w:fldChar w:fldCharType="end"/>
          </w:r>
        </w:p>
        <w:p>
          <w:pPr>
            <w:pStyle w:val="21"/>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60" w:lineRule="exact"/>
            <w:textAlignment w:val="auto"/>
          </w:pPr>
          <w:r>
            <w:fldChar w:fldCharType="begin"/>
          </w:r>
          <w:r>
            <w:instrText xml:space="preserve"> HYPERLINK \l _Toc29762 </w:instrText>
          </w:r>
          <w:r>
            <w:fldChar w:fldCharType="separate"/>
          </w:r>
          <w:r>
            <w:rPr>
              <w:rFonts w:ascii="Times New Roman" w:eastAsia="方正小标宋简体" w:cs="方正小标宋简体" w:hAnsi="Times New Roman" w:hint="eastAsia"/>
              <w:highlight w:val="auto"/>
            </w:rPr>
            <w:t>第二部分</w:t>
          </w:r>
          <w:r>
            <w:rPr>
              <w:rFonts w:ascii="Times New Roman" w:eastAsia="方正小标宋简体" w:cs="方正小标宋简体" w:hAnsi="Times New Roman" w:hint="eastAsia"/>
              <w:lang w:val="en-US" w:eastAsia="zh-CN"/>
              <w:highlight w:val="auto"/>
            </w:rPr>
            <w:t xml:space="preserve"> </w:t>
          </w:r>
          <w:r>
            <w:rPr>
              <w:rFonts w:ascii="Times New Roman" w:eastAsia="方正小标宋简体" w:cs="方正小标宋简体" w:hAnsi="Times New Roman" w:hint="eastAsia"/>
              <w:highlight w:val="auto"/>
            </w:rPr>
            <w:t xml:space="preserve"> </w:t>
          </w:r>
          <w:r>
            <w:rPr>
              <w:rFonts w:eastAsia="方正小标宋简体" w:cs="方正小标宋简体" w:hint="eastAsia"/>
              <w:lang w:val="en-US" w:eastAsia="zh-CN"/>
              <w:highlight w:val="auto"/>
            </w:rPr>
            <w:t>2025年度</w:t>
          </w:r>
          <w:r>
            <w:rPr>
              <w:rFonts w:ascii="Times New Roman" w:eastAsia="方正小标宋简体" w:cs="方正小标宋简体" w:hAnsi="Times New Roman" w:hint="eastAsia"/>
              <w:highlight w:val="auto"/>
            </w:rPr>
            <w:t>部门决算情况说明</w:t>
          </w:r>
          <w:r>
            <w:tab/>
          </w:r>
          <w:r>
            <w:fldChar w:fldCharType="begin"/>
          </w:r>
          <w:r>
            <w:instrText xml:space="preserve"> PAGEREF _Toc29762 \h </w:instrText>
          </w:r>
          <w:r>
            <w:fldChar w:fldCharType="separate"/>
          </w:r>
          <w:r>
            <w:t>3</w:t>
          </w:r>
          <w:r>
            <w:fldChar w:fldCharType="end"/>
          </w:r>
          <w:r>
            <w:fldChar w:fldCharType="end"/>
          </w:r>
        </w:p>
        <w:p>
          <w:pPr>
            <w:pStyle w:val="24"/>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60" w:lineRule="exact"/>
            <w:textAlignment w:val="auto"/>
          </w:pPr>
          <w:r>
            <w:fldChar w:fldCharType="begin"/>
          </w:r>
          <w:r>
            <w:instrText xml:space="preserve"> HYPERLINK \l _Toc5113 </w:instrText>
          </w:r>
          <w:r>
            <w:fldChar w:fldCharType="separate"/>
          </w:r>
          <w:r>
            <w:rPr>
              <w:rFonts w:ascii="Times New Roman" w:eastAsia="黑体" w:hAnsi="Times New Roman" w:hint="eastAsia"/>
              <w:szCs w:val="32"/>
              <w:lang w:eastAsia="zh-CN"/>
              <w:highlight w:val="auto"/>
            </w:rPr>
            <w:t>一、</w:t>
          </w:r>
          <w:r>
            <w:rPr>
              <w:rFonts w:ascii="Times New Roman" w:eastAsia="黑体" w:hAnsi="Times New Roman" w:hint="eastAsia"/>
              <w:szCs w:val="32"/>
              <w:highlight w:val="auto"/>
            </w:rPr>
            <w:t>收</w:t>
          </w:r>
          <w:r>
            <w:rPr>
              <w:rFonts w:ascii="Times New Roman" w:eastAsia="黑体" w:hAnsi="Times New Roman" w:hint="eastAsia"/>
              <w:highlight w:val="auto"/>
            </w:rPr>
            <w:t>入支出决算总体情况说明</w:t>
          </w:r>
          <w:r>
            <w:tab/>
          </w:r>
          <w:r>
            <w:fldChar w:fldCharType="begin"/>
          </w:r>
          <w:r>
            <w:instrText xml:space="preserve"> PAGEREF _Toc5113 \h </w:instrText>
          </w:r>
          <w:r>
            <w:fldChar w:fldCharType="separate"/>
          </w:r>
          <w:r>
            <w:t>3</w:t>
          </w:r>
          <w:r>
            <w:fldChar w:fldCharType="end"/>
          </w:r>
          <w:r>
            <w:fldChar w:fldCharType="end"/>
          </w:r>
        </w:p>
        <w:p>
          <w:pPr>
            <w:pStyle w:val="24"/>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60" w:lineRule="exact"/>
            <w:textAlignment w:val="auto"/>
          </w:pPr>
          <w:r>
            <w:fldChar w:fldCharType="begin"/>
          </w:r>
          <w:r>
            <w:instrText xml:space="preserve"> HYPERLINK \l _Toc15238 </w:instrText>
          </w:r>
          <w:r>
            <w:fldChar w:fldCharType="separate"/>
          </w:r>
          <w:r>
            <w:rPr>
              <w:rFonts w:ascii="Times New Roman" w:eastAsia="黑体" w:hAnsi="Times New Roman" w:hint="eastAsia"/>
              <w:szCs w:val="32"/>
              <w:lang w:eastAsia="zh-CN"/>
              <w:highlight w:val="auto"/>
            </w:rPr>
            <w:t>二、收入决算情况说明</w:t>
          </w:r>
          <w:r>
            <w:tab/>
          </w:r>
          <w:r>
            <w:fldChar w:fldCharType="begin"/>
          </w:r>
          <w:r>
            <w:instrText xml:space="preserve"> PAGEREF _Toc15238 \h </w:instrText>
          </w:r>
          <w:r>
            <w:fldChar w:fldCharType="separate"/>
          </w:r>
          <w:r>
            <w:t>4</w:t>
          </w:r>
          <w:r>
            <w:fldChar w:fldCharType="end"/>
          </w:r>
          <w:r>
            <w:fldChar w:fldCharType="end"/>
          </w:r>
        </w:p>
        <w:p>
          <w:pPr>
            <w:pStyle w:val="24"/>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60" w:lineRule="exact"/>
            <w:textAlignment w:val="auto"/>
          </w:pPr>
          <w:r>
            <w:fldChar w:fldCharType="begin"/>
          </w:r>
          <w:r>
            <w:instrText xml:space="preserve"> HYPERLINK \l _Toc16287 </w:instrText>
          </w:r>
          <w:r>
            <w:fldChar w:fldCharType="separate"/>
          </w:r>
          <w:r>
            <w:rPr>
              <w:rFonts w:ascii="Times New Roman" w:eastAsia="黑体" w:hAnsi="Times New Roman" w:hint="eastAsia"/>
              <w:szCs w:val="32"/>
              <w:lang w:eastAsia="zh-CN"/>
              <w:highlight w:val="auto"/>
            </w:rPr>
            <w:t>三、</w:t>
          </w:r>
          <w:r>
            <w:rPr>
              <w:rFonts w:ascii="Times New Roman" w:eastAsia="黑体" w:hAnsi="Times New Roman" w:hint="eastAsia"/>
              <w:szCs w:val="32"/>
              <w:highlight w:val="auto"/>
            </w:rPr>
            <w:t>支</w:t>
          </w:r>
          <w:r>
            <w:rPr>
              <w:rFonts w:ascii="Times New Roman" w:eastAsia="黑体" w:hAnsi="Times New Roman" w:hint="eastAsia"/>
              <w:highlight w:val="auto"/>
            </w:rPr>
            <w:t>出决算情况说明</w:t>
          </w:r>
          <w:r>
            <w:tab/>
          </w:r>
          <w:r>
            <w:fldChar w:fldCharType="begin"/>
          </w:r>
          <w:r>
            <w:instrText xml:space="preserve"> PAGEREF _Toc16287 \h </w:instrText>
          </w:r>
          <w:r>
            <w:fldChar w:fldCharType="separate"/>
          </w:r>
          <w:r>
            <w:t>4</w:t>
          </w:r>
          <w:r>
            <w:fldChar w:fldCharType="end"/>
          </w:r>
          <w:r>
            <w:fldChar w:fldCharType="end"/>
          </w:r>
        </w:p>
        <w:p>
          <w:pPr>
            <w:pStyle w:val="24"/>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60" w:lineRule="exact"/>
            <w:textAlignment w:val="auto"/>
          </w:pPr>
          <w:r>
            <w:fldChar w:fldCharType="begin"/>
          </w:r>
          <w:r>
            <w:instrText xml:space="preserve"> HYPERLINK \l _Toc13695 </w:instrText>
          </w:r>
          <w:r>
            <w:fldChar w:fldCharType="separate"/>
          </w:r>
          <w:r>
            <w:rPr>
              <w:rFonts w:ascii="Times New Roman" w:eastAsia="黑体" w:hAnsi="Times New Roman" w:hint="eastAsia"/>
              <w:szCs w:val="32"/>
              <w:highlight w:val="auto"/>
            </w:rPr>
            <w:t>四、财</w:t>
          </w:r>
          <w:r>
            <w:rPr>
              <w:rFonts w:ascii="Times New Roman" w:eastAsia="黑体" w:hAnsi="Times New Roman" w:hint="eastAsia"/>
              <w:highlight w:val="auto"/>
            </w:rPr>
            <w:t>政拨款收入支出决算总体情况说明</w:t>
          </w:r>
          <w:r>
            <w:tab/>
          </w:r>
          <w:r>
            <w:fldChar w:fldCharType="begin"/>
          </w:r>
          <w:r>
            <w:instrText xml:space="preserve"> PAGEREF _Toc13695 \h </w:instrText>
          </w:r>
          <w:r>
            <w:fldChar w:fldCharType="separate"/>
          </w:r>
          <w:r>
            <w:t>5</w:t>
          </w:r>
          <w:r>
            <w:fldChar w:fldCharType="end"/>
          </w:r>
          <w:r>
            <w:fldChar w:fldCharType="end"/>
          </w:r>
        </w:p>
        <w:p>
          <w:pPr>
            <w:pStyle w:val="24"/>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60" w:lineRule="exact"/>
            <w:textAlignment w:val="auto"/>
          </w:pPr>
          <w:r>
            <w:fldChar w:fldCharType="begin"/>
          </w:r>
          <w:r>
            <w:instrText xml:space="preserve"> HYPERLINK \l _Toc25095 </w:instrText>
          </w:r>
          <w:r>
            <w:fldChar w:fldCharType="separate"/>
          </w:r>
          <w:r>
            <w:rPr>
              <w:rFonts w:ascii="Times New Roman" w:eastAsia="黑体" w:hAnsi="Times New Roman" w:hint="eastAsia"/>
              <w:szCs w:val="32"/>
              <w:highlight w:val="auto"/>
            </w:rPr>
            <w:t>五、一</w:t>
          </w:r>
          <w:r>
            <w:rPr>
              <w:rFonts w:ascii="Times New Roman" w:eastAsia="黑体" w:hAnsi="Times New Roman" w:hint="eastAsia"/>
              <w:highlight w:val="auto"/>
            </w:rPr>
            <w:t>般公共预算财政拨款支出决算情况说明</w:t>
          </w:r>
          <w:r>
            <w:tab/>
          </w:r>
          <w:r>
            <w:fldChar w:fldCharType="begin"/>
          </w:r>
          <w:r>
            <w:instrText xml:space="preserve"> PAGEREF _Toc25095 \h </w:instrText>
          </w:r>
          <w:r>
            <w:fldChar w:fldCharType="separate"/>
          </w:r>
          <w:r>
            <w:t>6</w:t>
          </w:r>
          <w:r>
            <w:fldChar w:fldCharType="end"/>
          </w:r>
          <w:r>
            <w:fldChar w:fldCharType="end"/>
          </w:r>
        </w:p>
        <w:p>
          <w:pPr>
            <w:pStyle w:val="24"/>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60" w:lineRule="exact"/>
            <w:textAlignment w:val="auto"/>
          </w:pPr>
          <w:r>
            <w:fldChar w:fldCharType="begin"/>
          </w:r>
          <w:r>
            <w:instrText xml:space="preserve"> HYPERLINK \l _Toc23013 </w:instrText>
          </w:r>
          <w:r>
            <w:fldChar w:fldCharType="separate"/>
          </w:r>
          <w:r>
            <w:rPr>
              <w:rFonts w:ascii="Times New Roman" w:eastAsia="黑体" w:hAnsi="Times New Roman" w:hint="eastAsia"/>
              <w:szCs w:val="32"/>
              <w:highlight w:val="auto"/>
            </w:rPr>
            <w:t>六、一</w:t>
          </w:r>
          <w:r>
            <w:rPr>
              <w:rFonts w:ascii="Times New Roman" w:eastAsia="黑体" w:hAnsi="Times New Roman" w:hint="eastAsia"/>
              <w:highlight w:val="auto"/>
            </w:rPr>
            <w:t>般公共预算财政拨款基本支出决算情况说明</w:t>
          </w:r>
          <w:r>
            <w:tab/>
          </w:r>
          <w:r>
            <w:fldChar w:fldCharType="begin"/>
          </w:r>
          <w:r>
            <w:instrText xml:space="preserve"> PAGEREF _Toc23013 \h </w:instrText>
          </w:r>
          <w:r>
            <w:fldChar w:fldCharType="separate"/>
          </w:r>
          <w:r>
            <w:t>8</w:t>
          </w:r>
          <w:r>
            <w:fldChar w:fldCharType="end"/>
          </w:r>
          <w:r>
            <w:fldChar w:fldCharType="end"/>
          </w:r>
        </w:p>
        <w:p>
          <w:pPr>
            <w:pStyle w:val="24"/>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60" w:lineRule="exact"/>
            <w:textAlignment w:val="auto"/>
          </w:pPr>
          <w:r>
            <w:fldChar w:fldCharType="begin"/>
          </w:r>
          <w:r>
            <w:instrText xml:space="preserve"> HYPERLINK \l _Toc16925 </w:instrText>
          </w:r>
          <w:r>
            <w:fldChar w:fldCharType="separate"/>
          </w:r>
          <w:r>
            <w:rPr>
              <w:rFonts w:ascii="Times New Roman" w:eastAsia="黑体" w:hAnsi="Times New Roman" w:hint="eastAsia"/>
              <w:szCs w:val="32"/>
              <w:highlight w:val="auto"/>
            </w:rPr>
            <w:t>七、</w:t>
          </w:r>
          <w:r>
            <w:rPr>
              <w:rFonts w:ascii="Times New Roman" w:eastAsia="黑体" w:hAnsi="Times New Roman" w:hint="eastAsia"/>
              <w:highlight w:val="auto"/>
            </w:rPr>
            <w:t>财政拨款“三公”经费支出决算情况说明</w:t>
          </w:r>
          <w:r>
            <w:tab/>
          </w:r>
          <w:r>
            <w:fldChar w:fldCharType="begin"/>
          </w:r>
          <w:r>
            <w:instrText xml:space="preserve"> PAGEREF _Toc16925 \h </w:instrText>
          </w:r>
          <w:r>
            <w:fldChar w:fldCharType="separate"/>
          </w:r>
          <w:r>
            <w:t>8</w:t>
          </w:r>
          <w:r>
            <w:fldChar w:fldCharType="end"/>
          </w:r>
          <w:r>
            <w:fldChar w:fldCharType="end"/>
          </w:r>
        </w:p>
        <w:p>
          <w:pPr>
            <w:pStyle w:val="24"/>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60" w:lineRule="exact"/>
            <w:textAlignment w:val="auto"/>
          </w:pPr>
          <w:r>
            <w:fldChar w:fldCharType="begin"/>
          </w:r>
          <w:r>
            <w:instrText xml:space="preserve"> HYPERLINK \l _Toc363 </w:instrText>
          </w:r>
          <w:r>
            <w:fldChar w:fldCharType="separate"/>
          </w:r>
          <w:r>
            <w:rPr>
              <w:rFonts w:ascii="Times New Roman" w:eastAsia="黑体" w:hAnsi="Times New Roman" w:hint="eastAsia"/>
              <w:szCs w:val="32"/>
              <w:highlight w:val="auto"/>
            </w:rPr>
            <w:t>八、</w:t>
          </w:r>
          <w:r>
            <w:rPr>
              <w:rFonts w:ascii="Times New Roman" w:eastAsia="黑体" w:hAnsi="Times New Roman" w:hint="eastAsia"/>
              <w:highlight w:val="auto"/>
            </w:rPr>
            <w:t>政府性基金预算支出决算情况说明</w:t>
          </w:r>
          <w:r>
            <w:tab/>
          </w:r>
          <w:r>
            <w:fldChar w:fldCharType="begin"/>
          </w:r>
          <w:r>
            <w:instrText xml:space="preserve"> PAGEREF _Toc363 \h </w:instrText>
          </w:r>
          <w:r>
            <w:fldChar w:fldCharType="separate"/>
          </w:r>
          <w:r>
            <w:t>10</w:t>
          </w:r>
          <w:r>
            <w:fldChar w:fldCharType="end"/>
          </w:r>
          <w:r>
            <w:fldChar w:fldCharType="end"/>
          </w:r>
        </w:p>
        <w:p>
          <w:pPr>
            <w:pStyle w:val="24"/>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60" w:lineRule="exact"/>
            <w:textAlignment w:val="auto"/>
          </w:pPr>
          <w:r>
            <w:fldChar w:fldCharType="begin"/>
          </w:r>
          <w:r>
            <w:instrText xml:space="preserve"> HYPERLINK \l _Toc25934 </w:instrText>
          </w:r>
          <w:r>
            <w:fldChar w:fldCharType="separate"/>
          </w:r>
          <w:r>
            <w:rPr>
              <w:rFonts w:ascii="Times New Roman" w:eastAsia="黑体" w:hAnsi="Times New Roman" w:hint="eastAsia"/>
              <w:lang w:eastAsia="zh-CN"/>
              <w:highlight w:val="auto"/>
            </w:rPr>
            <w:t>九、</w:t>
          </w:r>
          <w:r>
            <w:rPr>
              <w:rFonts w:ascii="Times New Roman" w:eastAsia="黑体" w:hAnsi="Times New Roman" w:hint="eastAsia"/>
              <w:highlight w:val="auto"/>
            </w:rPr>
            <w:t>国有资本经营预算支出决算情况说明</w:t>
          </w:r>
          <w:r>
            <w:tab/>
          </w:r>
          <w:r>
            <w:fldChar w:fldCharType="begin"/>
          </w:r>
          <w:r>
            <w:instrText xml:space="preserve"> PAGEREF _Toc25934 \h </w:instrText>
          </w:r>
          <w:r>
            <w:fldChar w:fldCharType="separate"/>
          </w:r>
          <w:r>
            <w:t>11</w:t>
          </w:r>
          <w:r>
            <w:fldChar w:fldCharType="end"/>
          </w:r>
          <w:r>
            <w:fldChar w:fldCharType="end"/>
          </w:r>
        </w:p>
        <w:p>
          <w:pPr>
            <w:pStyle w:val="24"/>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60" w:lineRule="exact"/>
            <w:textAlignment w:val="auto"/>
          </w:pPr>
          <w:r>
            <w:fldChar w:fldCharType="begin"/>
          </w:r>
          <w:r>
            <w:instrText xml:space="preserve"> HYPERLINK \l _Toc30513 </w:instrText>
          </w:r>
          <w:r>
            <w:fldChar w:fldCharType="separate"/>
          </w:r>
          <w:r>
            <w:rPr>
              <w:rFonts w:ascii="Times New Roman" w:eastAsia="黑体" w:hAnsi="Times New Roman" w:hint="eastAsia"/>
              <w:lang w:eastAsia="zh-CN"/>
              <w:highlight w:val="auto"/>
            </w:rPr>
            <w:t>十、</w:t>
          </w:r>
          <w:r>
            <w:rPr>
              <w:rFonts w:ascii="Times New Roman" w:eastAsia="黑体" w:hAnsi="Times New Roman" w:hint="eastAsia"/>
              <w:highlight w:val="auto"/>
            </w:rPr>
            <w:t>其他重要事项的情况说明</w:t>
          </w:r>
          <w:r>
            <w:tab/>
          </w:r>
          <w:r>
            <w:fldChar w:fldCharType="begin"/>
          </w:r>
          <w:r>
            <w:instrText xml:space="preserve"> PAGEREF _Toc30513 \h </w:instrText>
          </w:r>
          <w:r>
            <w:fldChar w:fldCharType="separate"/>
          </w:r>
          <w:r>
            <w:t>11</w:t>
          </w:r>
          <w:r>
            <w:fldChar w:fldCharType="end"/>
          </w:r>
          <w:r>
            <w:fldChar w:fldCharType="end"/>
          </w:r>
        </w:p>
        <w:p>
          <w:pPr>
            <w:pStyle w:val="21"/>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60" w:lineRule="exact"/>
            <w:textAlignment w:val="auto"/>
          </w:pPr>
          <w:r>
            <w:fldChar w:fldCharType="begin"/>
          </w:r>
          <w:r>
            <w:instrText xml:space="preserve"> HYPERLINK \l _Toc24596 </w:instrText>
          </w:r>
          <w:r>
            <w:fldChar w:fldCharType="separate"/>
          </w:r>
          <w:r>
            <w:rPr>
              <w:rFonts w:ascii="Times New Roman" w:eastAsia="黑体" w:hAnsi="Times New Roman" w:hint="eastAsia"/>
              <w:szCs w:val="44"/>
              <w:highlight w:val="auto"/>
            </w:rPr>
            <w:t>第</w:t>
          </w:r>
          <w:r>
            <w:rPr>
              <w:rFonts w:eastAsia="黑体" w:hint="eastAsia"/>
              <w:szCs w:val="44"/>
              <w:lang w:eastAsia="zh-CN"/>
              <w:highlight w:val="auto"/>
            </w:rPr>
            <w:t>三</w:t>
          </w:r>
          <w:r>
            <w:rPr>
              <w:rFonts w:ascii="Times New Roman" w:eastAsia="黑体" w:hAnsi="Times New Roman" w:hint="eastAsia"/>
              <w:szCs w:val="44"/>
              <w:highlight w:val="auto"/>
            </w:rPr>
            <w:t>部分</w:t>
          </w:r>
          <w:r>
            <w:rPr>
              <w:rFonts w:ascii="Times New Roman" w:eastAsia="黑体" w:hAnsi="Times New Roman" w:hint="eastAsia"/>
              <w:szCs w:val="44"/>
              <w:lang w:val="en-US" w:eastAsia="zh-CN"/>
              <w:highlight w:val="auto"/>
            </w:rPr>
            <w:t xml:space="preserve"> </w:t>
          </w:r>
          <w:r>
            <w:rPr>
              <w:rFonts w:eastAsia="黑体" w:hint="eastAsia"/>
              <w:szCs w:val="44"/>
              <w:lang w:val="en-US" w:eastAsia="zh-CN"/>
              <w:highlight w:val="auto"/>
            </w:rPr>
            <w:t xml:space="preserve"> </w:t>
          </w:r>
          <w:r>
            <w:rPr>
              <w:rFonts w:ascii="Times New Roman" w:eastAsia="黑体" w:hAnsi="Times New Roman" w:hint="eastAsia"/>
              <w:szCs w:val="44"/>
              <w:highlight w:val="auto"/>
            </w:rPr>
            <w:t>名词解释</w:t>
          </w:r>
          <w:r>
            <w:tab/>
          </w:r>
          <w:r>
            <w:fldChar w:fldCharType="begin"/>
          </w:r>
          <w:r>
            <w:instrText xml:space="preserve"> PAGEREF _Toc24596 \h </w:instrText>
          </w:r>
          <w:r>
            <w:fldChar w:fldCharType="separate"/>
          </w:r>
          <w:r>
            <w:t>14</w:t>
          </w:r>
          <w:r>
            <w:fldChar w:fldCharType="end"/>
          </w:r>
          <w:r>
            <w:fldChar w:fldCharType="end"/>
          </w:r>
        </w:p>
        <w:p>
          <w:pPr>
            <w:pStyle w:val="21"/>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60" w:lineRule="exact"/>
            <w:jc w:val="both"/>
            <w:textAlignment w:val="auto"/>
            <w:rPr>
              <w:rFonts w:ascii="Times New Roman" w:eastAsia="黑体" w:cs="Times New Roman" w:hAnsi="Times New Roman" w:hint="eastAsia"/>
              <w:szCs w:val="44"/>
              <w:lang w:eastAsia="zh-CN"/>
              <w:highlight w:val="auto"/>
            </w:rPr>
          </w:pPr>
          <w:r>
            <w:rPr>
              <w:rFonts w:ascii="Times New Roman" w:eastAsia="黑体" w:cs="Times New Roman" w:hAnsi="Times New Roman" w:hint="eastAsia"/>
              <w:szCs w:val="44"/>
              <w:highlight w:val="auto"/>
            </w:rPr>
            <w:t>第</w:t>
          </w:r>
          <w:r>
            <w:rPr>
              <w:rFonts w:ascii="Times New Roman" w:eastAsia="黑体" w:cs="Times New Roman" w:hAnsi="Times New Roman" w:hint="eastAsia"/>
              <w:szCs w:val="44"/>
              <w:lang w:val="en-US" w:eastAsia="zh-CN"/>
              <w:highlight w:val="auto"/>
            </w:rPr>
            <w:t>四</w:t>
          </w:r>
          <w:r>
            <w:rPr>
              <w:rFonts w:ascii="Times New Roman" w:eastAsia="黑体" w:cs="Times New Roman" w:hAnsi="Times New Roman" w:hint="eastAsia"/>
              <w:szCs w:val="44"/>
              <w:highlight w:val="auto"/>
            </w:rPr>
            <w:t>部分</w:t>
          </w:r>
          <w:r>
            <w:rPr>
              <w:rFonts w:ascii="Times New Roman" w:eastAsia="黑体" w:cs="Times New Roman" w:hAnsi="Times New Roman" w:hint="eastAsia"/>
              <w:szCs w:val="44"/>
              <w:lang w:val="en-US" w:eastAsia="zh-CN"/>
              <w:highlight w:val="auto"/>
            </w:rPr>
            <w:t xml:space="preserve">  附件</w:t>
          </w:r>
          <w:r>
            <w:tab/>
          </w:r>
          <w:r>
            <w:fldChar w:fldCharType="begin"/>
          </w:r>
          <w:r>
            <w:instrText xml:space="preserve"> PAGEREF _Toc24596 \h </w:instrText>
          </w:r>
          <w:r>
            <w:fldChar w:fldCharType="separate"/>
          </w:r>
          <w:r>
            <w:t>14</w:t>
          </w:r>
          <w:r>
            <w:fldChar w:fldCharType="end"/>
          </w:r>
        </w:p>
        <w:p>
          <w:pPr>
            <w:pStyle w:val="21"/>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60" w:lineRule="exact"/>
            <w:textAlignment w:val="auto"/>
          </w:pPr>
          <w:r>
            <w:fldChar w:fldCharType="begin"/>
          </w:r>
          <w:r>
            <w:instrText xml:space="preserve"> HYPERLINK \l _Toc1080 </w:instrText>
          </w:r>
          <w:r>
            <w:fldChar w:fldCharType="separate"/>
          </w:r>
          <w:r>
            <w:rPr>
              <w:rFonts w:ascii="Times New Roman" w:eastAsia="黑体" w:cs="Times New Roman" w:hAnsi="Times New Roman" w:hint="eastAsia"/>
              <w:szCs w:val="44"/>
              <w:highlight w:val="auto"/>
            </w:rPr>
            <w:t>第五部分 附表</w:t>
          </w:r>
          <w:r>
            <w:tab/>
          </w:r>
          <w:r>
            <w:fldChar w:fldCharType="begin"/>
          </w:r>
          <w:r>
            <w:instrText xml:space="preserve"> PAGEREF _Toc1080 \h </w:instrText>
          </w:r>
          <w:r>
            <w:fldChar w:fldCharType="separate"/>
          </w:r>
          <w:r>
            <w:t>41</w:t>
          </w:r>
          <w:r>
            <w:fldChar w:fldCharType="end"/>
          </w:r>
          <w:r>
            <w:fldChar w:fldCharType="end"/>
          </w:r>
        </w:p>
        <w:p>
          <w:pPr>
            <w:keepNext w:val="0"/>
            <w:keepLines w:val="0"/>
            <w:pageBreakBefore w:val="0"/>
            <w:widowControl w:val="0"/>
            <w:kinsoku/>
            <w:wordWrap/>
            <w:overflowPunct/>
            <w:topLinePunct w:val="0"/>
            <w:autoSpaceDE/>
            <w:autoSpaceDN/>
            <w:bidi w:val="0"/>
            <w:adjustRightInd/>
            <w:snapToGrid/>
            <w:spacing w:line="560" w:lineRule="exact"/>
            <w:textAlignment w:val="auto"/>
          </w:pPr>
          <w:r>
            <w:fldChar w:fldCharType="end"/>
          </w:r>
        </w:p>
      </w:sdtContent>
    </w:sdt>
    <w:p/>
    <w:p>
      <w:pPr>
        <w:pStyle w:val="1"/>
        <w:jc w:val="center"/>
        <w:rPr>
          <w:rFonts w:ascii="Times New Roman" w:eastAsia="方正小标宋简体" w:cs="方正小标宋简体" w:hAnsi="Times New Roman" w:hint="eastAsia"/>
          <w:b w:val="0"/>
          <w:color w:val="auto"/>
          <w:highlight w:val="auto"/>
        </w:rPr>
        <w:sectPr>
          <w:headerReference w:type="default" r:id="rId5"/>
          <w:footerReference w:type="default" r:id="rId6"/>
          <w:pgSz w:w="11906" w:h="16838"/>
          <w:pgMar w:top="1440" w:right="1800" w:bottom="1440" w:left="1800" w:header="851" w:footer="992" w:gutter="0"/>
          <w:pgNumType w:start="1"/>
          <w:docGrid w:type="lines" w:linePitch="312" w:charSpace="0"/>
        </w:sectPr>
      </w:pPr>
      <w:bookmarkStart w:id="8" w:name="_Toc5816"/>
    </w:p>
    <w:p>
      <w:pPr>
        <w:pStyle w:val="1"/>
        <w:jc w:val="center"/>
        <w:rPr>
          <w:rStyle w:val="1Char"/>
          <w:rFonts w:ascii="Times New Roman" w:eastAsia="方正小标宋简体" w:cs="方正小标宋简体" w:hAnsi="Times New Roman" w:hint="eastAsia"/>
          <w:b/>
          <w:bCs w:val="0"/>
          <w:color w:val="auto"/>
          <w:highlight w:val="auto"/>
        </w:rPr>
      </w:pPr>
      <w:r>
        <w:rPr>
          <w:rFonts w:ascii="Times New Roman" w:eastAsia="方正小标宋简体" w:cs="方正小标宋简体" w:hAnsi="Times New Roman" w:hint="eastAsia"/>
          <w:b w:val="0"/>
          <w:color w:val="auto"/>
          <w:highlight w:val="auto"/>
        </w:rPr>
        <w:t>第一部分</w:t>
      </w:r>
      <w:r>
        <w:rPr>
          <w:rFonts w:ascii="Times New Roman" w:eastAsia="方正小标宋简体" w:cs="方正小标宋简体" w:hAnsi="Times New Roman" w:hint="eastAsia"/>
          <w:b w:val="0"/>
          <w:color w:val="auto"/>
          <w:lang w:val="en-US" w:eastAsia="zh-CN"/>
          <w:highlight w:val="auto"/>
        </w:rPr>
        <w:t xml:space="preserve"> </w:t>
      </w:r>
      <w:r>
        <w:rPr>
          <w:rFonts w:ascii="Times New Roman" w:eastAsia="方正小标宋简体" w:cs="方正小标宋简体" w:hAnsi="Times New Roman" w:hint="eastAsia"/>
          <w:b w:val="0"/>
          <w:color w:val="auto"/>
          <w:highlight w:val="auto"/>
        </w:rPr>
        <w:t xml:space="preserve"> </w:t>
      </w:r>
      <w:r>
        <w:rPr>
          <w:rStyle w:val="1Char"/>
          <w:rFonts w:ascii="Times New Roman" w:eastAsia="方正小标宋简体" w:cs="方正小标宋简体" w:hAnsi="Times New Roman" w:hint="eastAsia"/>
          <w:b w:val="0"/>
          <w:bCs w:val="0"/>
          <w:color w:val="auto"/>
          <w:highlight w:val="auto"/>
        </w:rPr>
        <w:t>部门概况</w:t>
      </w:r>
      <w:bookmarkEnd w:id="6"/>
      <w:bookmarkEnd w:id="7"/>
      <w:bookmarkEnd w:id="8"/>
    </w:p>
    <w:p>
      <w:pPr>
        <w:pStyle w:val="2"/>
        <w:ind w:firstLineChars="200" w:firstLine="640"/>
        <w:rPr>
          <w:rFonts w:ascii="Times New Roman" w:eastAsia="黑体" w:hAnsi="Times New Roman" w:hint="eastAsia"/>
          <w:b w:val="0"/>
          <w:color w:val="auto"/>
          <w:lang w:eastAsia="zh-CN"/>
          <w:highlight w:val="auto"/>
        </w:rPr>
      </w:pPr>
      <w:bookmarkStart w:id="9" w:name="_Toc15396600"/>
      <w:bookmarkStart w:id="10" w:name="_Toc15377197"/>
      <w:bookmarkStart w:id="11" w:name="_Toc3839"/>
      <w:r>
        <w:rPr>
          <w:rFonts w:ascii="Times New Roman" w:eastAsia="黑体" w:hAnsi="Times New Roman" w:hint="eastAsia"/>
          <w:b w:val="0"/>
          <w:color w:val="auto"/>
          <w:highlight w:val="auto"/>
        </w:rPr>
        <w:t>一、</w:t>
      </w:r>
      <w:bookmarkEnd w:id="9"/>
      <w:bookmarkEnd w:id="10"/>
      <w:r>
        <w:rPr>
          <w:rFonts w:ascii="Times New Roman" w:eastAsia="黑体" w:hAnsi="Times New Roman" w:hint="eastAsia"/>
          <w:b w:val="0"/>
          <w:color w:val="auto"/>
          <w:lang w:eastAsia="zh-CN"/>
          <w:highlight w:val="auto"/>
        </w:rPr>
        <w:t>部门职责</w:t>
      </w:r>
      <w:bookmarkEnd w:id="11"/>
    </w:p>
    <w:p>
      <w:pPr>
        <w:pStyle w:val="15"/>
        <w:keepNext w:val="0"/>
        <w:keepLines w:val="0"/>
        <w:pageBreakBefore w:val="0"/>
        <w:widowControl w:val="0"/>
        <w:wordWrap/>
        <w:overflowPunct/>
        <w:topLinePunct w:val="0"/>
        <w:bidi w:val="0"/>
        <w:spacing w:beforeAutospacing="0" w:afterAutospacing="0" w:line="560" w:lineRule="exact"/>
        <w:ind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rPr>
        <w:t>根据《中华人民共和国人民警察法》相关规定，公安机关的主要职责为：预防、制止和侦查违法犯罪活动；维护社会治安秩序，制止危害社会治安秩序的行为；管理枪支弹药、管制刀具和易燃易爆、剧毒、放射性等危险物品；对法律、法规规定的特种行业进行管理；警卫国家规定的特定人员，守卫重要的场所和设施；管理集会、游行、示威活动</w:t>
      </w:r>
      <w:r>
        <w:rPr>
          <w:rFonts w:cs="仿宋_GB2312" w:hint="eastAsia"/>
          <w:sz w:val="32"/>
          <w:szCs w:val="32"/>
          <w:lang w:eastAsia="zh-CN"/>
        </w:rPr>
        <w:t>；</w:t>
      </w:r>
      <w:r>
        <w:rPr>
          <w:rFonts w:ascii="仿宋_GB2312" w:eastAsia="仿宋_GB2312" w:cs="仿宋_GB2312" w:hint="eastAsia"/>
          <w:sz w:val="32"/>
          <w:szCs w:val="32"/>
        </w:rPr>
        <w:t>管理户政、国籍、入境出境事务和外国人在中国境内居留、旅行的有关事务；维护国（边）境地区的治安秩序；对被判处管制、拘役、剥夺政治权利的罪犯和监外执行的罪犯执行刑罚，对被宣告缓刑、假释的罪犯实行监督、考察；监督管理计算机信息系统的安全保护工作；指导和监督国家机关、社会团体、企业事业组织和重点建设工程的治安保卫工作，指导治安保卫委员会等群众性组织的治安防范工作；法律、法规规定的其他职责。</w:t>
      </w:r>
    </w:p>
    <w:p>
      <w:pPr>
        <w:keepNext w:val="0"/>
        <w:keepLines w:val="0"/>
        <w:pageBreakBefore w:val="0"/>
        <w:widowControl w:val="0"/>
        <w:wordWrap/>
        <w:overflowPunct/>
        <w:topLinePunct w:val="0"/>
        <w:bidi w:val="0"/>
        <w:spacing w:beforeAutospacing="0" w:afterAutospacing="0" w:line="560" w:lineRule="exact"/>
        <w:ind w:firstLineChars="200" w:firstLine="640"/>
        <w:textAlignment w:val="auto"/>
      </w:pPr>
      <w:r>
        <w:rPr>
          <w:rFonts w:ascii="仿宋_GB2312" w:eastAsia="仿宋_GB2312" w:cs="仿宋_GB2312" w:hint="eastAsia"/>
          <w:sz w:val="32"/>
          <w:szCs w:val="32"/>
        </w:rPr>
        <w:t>统一管理全州城乡道路交通，维护道路交通秩序，负责交通标志、标线等安全设施设置情况的督查；负责全州交通警察队伍建设和管理；处理特大道路交通事故及交通事故、群众信访案件的复查、复核；负责全州交通安全宣传教育及交通民警的教育培训；起草全州道路交通法规、承办交通法治宣传、交通安全信息统计报送工作；负责车辆入户及检验，驾驶员考核与发牌发证等工作。</w:t>
      </w:r>
    </w:p>
    <w:p>
      <w:pPr>
        <w:pStyle w:val="2"/>
        <w:ind w:firstLineChars="200" w:firstLine="640"/>
        <w:rPr>
          <w:rStyle w:val="2Char"/>
          <w:rFonts w:ascii="Times New Roman" w:hAnsi="Times New Roman"/>
          <w:b w:val="0"/>
          <w:bCs w:val="0"/>
          <w:color w:val="auto"/>
          <w:highlight w:val="auto"/>
        </w:rPr>
      </w:pPr>
      <w:bookmarkStart w:id="12" w:name="_Toc15377200"/>
      <w:bookmarkStart w:id="13" w:name="_Toc8866"/>
      <w:bookmarkStart w:id="14" w:name="_Toc15396601"/>
      <w:r>
        <w:rPr>
          <w:rFonts w:ascii="Times New Roman" w:eastAsia="黑体" w:hAnsi="Times New Roman" w:hint="eastAsia"/>
          <w:b w:val="0"/>
          <w:color w:val="auto"/>
          <w:highlight w:val="auto"/>
        </w:rPr>
        <w:t>二、机</w:t>
      </w:r>
      <w:r>
        <w:rPr>
          <w:rStyle w:val="2Char"/>
          <w:rFonts w:ascii="Times New Roman" w:eastAsia="黑体" w:hAnsi="Times New Roman" w:hint="eastAsia"/>
          <w:b w:val="0"/>
          <w:bCs w:val="0"/>
          <w:color w:val="auto"/>
          <w:highlight w:val="auto"/>
        </w:rPr>
        <w:t>构设置</w:t>
      </w:r>
      <w:bookmarkEnd w:id="12"/>
      <w:bookmarkEnd w:id="13"/>
      <w:bookmarkEnd w:id="14"/>
    </w:p>
    <w:p>
      <w:pPr>
        <w:pStyle w:val="15"/>
        <w:adjustRightInd w:val="0"/>
        <w:snapToGrid w:val="0"/>
        <w:spacing w:beforeLines="0" w:before="93" w:line="600" w:lineRule="exact"/>
        <w:ind w:firstLineChars="209" w:firstLine="672"/>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本部门本年度纳入本套决算编制范围的独立编制机构数共3个，比上年增加0个；独立核算机构数共3个，比上年增加0个。</w:t>
      </w:r>
    </w:p>
    <w:p>
      <w:pPr>
        <w:ind w:firstLineChars="250" w:firstLine="800"/>
        <w:rPr>
          <w:rFonts w:ascii="Times New Roman" w:eastAsia="仿宋_GB2312" w:cs="仿宋_GB2312" w:hAnsi="Times New Roman" w:hint="eastAsia"/>
          <w:color w:val="auto"/>
          <w:sz w:val="32"/>
          <w:szCs w:val="32"/>
          <w:highlight w:val="auto"/>
        </w:rPr>
      </w:pPr>
      <w:r>
        <w:rPr>
          <w:rFonts w:eastAsia="仿宋_GB2312" w:cs="仿宋_GB2312" w:hint="eastAsia"/>
          <w:color w:val="auto"/>
          <w:sz w:val="32"/>
          <w:szCs w:val="32"/>
          <w:lang w:val="en-US" w:eastAsia="zh-CN"/>
          <w:highlight w:val="auto"/>
        </w:rPr>
        <w:t>阿坝州公安局（部门）</w:t>
      </w:r>
      <w:r>
        <w:rPr>
          <w:rFonts w:ascii="Times New Roman" w:eastAsia="仿宋_GB2312" w:cs="仿宋_GB2312" w:hAnsi="Times New Roman" w:hint="eastAsia"/>
          <w:color w:val="auto"/>
          <w:sz w:val="32"/>
          <w:szCs w:val="32"/>
          <w:highlight w:val="auto"/>
        </w:rPr>
        <w:t>下属二级</w:t>
      </w:r>
      <w:r>
        <w:rPr>
          <w:rFonts w:ascii="Times New Roman" w:eastAsia="仿宋_GB2312" w:cs="仿宋_GB2312" w:hAnsi="Times New Roman" w:hint="eastAsia"/>
          <w:color w:val="auto"/>
          <w:sz w:val="32"/>
          <w:szCs w:val="32"/>
          <w:lang w:eastAsia="zh-CN"/>
          <w:highlight w:val="auto"/>
        </w:rPr>
        <w:t>预算</w:t>
      </w:r>
      <w:r>
        <w:rPr>
          <w:rFonts w:ascii="Times New Roman" w:eastAsia="仿宋_GB2312" w:cs="仿宋_GB2312" w:hAnsi="Times New Roman" w:hint="eastAsia"/>
          <w:color w:val="auto"/>
          <w:sz w:val="32"/>
          <w:szCs w:val="32"/>
          <w:highlight w:val="auto"/>
        </w:rPr>
        <w:t>单位</w:t>
      </w:r>
      <w:r>
        <w:rPr>
          <w:rFonts w:eastAsia="仿宋_GB2312" w:cs="仿宋_GB2312" w:hint="eastAsia"/>
          <w:color w:val="auto"/>
          <w:sz w:val="32"/>
          <w:szCs w:val="32"/>
          <w:lang w:val="en-US" w:eastAsia="zh-CN"/>
          <w:highlight w:val="auto"/>
        </w:rPr>
        <w:t>3</w:t>
      </w:r>
      <w:r>
        <w:rPr>
          <w:rFonts w:ascii="Times New Roman" w:eastAsia="仿宋_GB2312" w:cs="仿宋_GB2312" w:hAnsi="Times New Roman" w:hint="eastAsia"/>
          <w:color w:val="auto"/>
          <w:sz w:val="32"/>
          <w:szCs w:val="32"/>
          <w:highlight w:val="auto"/>
        </w:rPr>
        <w:t>个，其中行政单位</w:t>
      </w:r>
      <w:r>
        <w:rPr>
          <w:rFonts w:eastAsia="仿宋_GB2312" w:cs="仿宋_GB2312" w:hint="eastAsia"/>
          <w:color w:val="auto"/>
          <w:sz w:val="32"/>
          <w:szCs w:val="32"/>
          <w:lang w:val="en-US" w:eastAsia="zh-CN"/>
          <w:highlight w:val="auto"/>
        </w:rPr>
        <w:t>2</w:t>
      </w:r>
      <w:r>
        <w:rPr>
          <w:rFonts w:ascii="Times New Roman" w:eastAsia="仿宋_GB2312" w:cs="仿宋_GB2312" w:hAnsi="Times New Roman" w:hint="eastAsia"/>
          <w:color w:val="auto"/>
          <w:sz w:val="32"/>
          <w:szCs w:val="32"/>
          <w:highlight w:val="auto"/>
        </w:rPr>
        <w:t>个，其他事业单位</w:t>
      </w:r>
      <w:r>
        <w:rPr>
          <w:rFonts w:eastAsia="仿宋_GB2312" w:cs="仿宋_GB2312" w:hint="eastAsia"/>
          <w:color w:val="auto"/>
          <w:sz w:val="32"/>
          <w:szCs w:val="32"/>
          <w:lang w:val="en-US" w:eastAsia="zh-CN"/>
          <w:highlight w:val="auto"/>
        </w:rPr>
        <w:t>1</w:t>
      </w:r>
      <w:r>
        <w:rPr>
          <w:rFonts w:ascii="Times New Roman" w:eastAsia="仿宋_GB2312" w:cs="仿宋_GB2312" w:hAnsi="Times New Roman" w:hint="eastAsia"/>
          <w:color w:val="auto"/>
          <w:sz w:val="32"/>
          <w:szCs w:val="32"/>
          <w:highlight w:val="auto"/>
        </w:rPr>
        <w:t>个。</w:t>
      </w:r>
    </w:p>
    <w:p>
      <w:pPr>
        <w:pStyle w:val="15"/>
        <w:adjustRightInd w:val="0"/>
        <w:snapToGrid w:val="0"/>
        <w:spacing w:beforeLines="0" w:before="93" w:line="600" w:lineRule="exact"/>
        <w:ind w:firstLineChars="209" w:firstLine="672"/>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纳入</w:t>
      </w:r>
      <w:r>
        <w:rPr>
          <w:rFonts w:eastAsia="仿宋_GB2312" w:cs="仿宋_GB2312" w:hint="eastAsia"/>
          <w:color w:val="auto"/>
          <w:sz w:val="32"/>
          <w:szCs w:val="32"/>
          <w:lang w:val="en-US" w:eastAsia="zh-CN"/>
          <w:highlight w:val="auto"/>
        </w:rPr>
        <w:t>阿坝州公安局（部门）</w:t>
      </w:r>
      <w:r>
        <w:rPr>
          <w:rFonts w:ascii="Times New Roman" w:cs="仿宋_GB2312" w:hAnsi="Times New Roman" w:hint="eastAsia"/>
          <w:color w:val="auto"/>
          <w:sz w:val="32"/>
          <w:szCs w:val="32"/>
          <w:lang w:eastAsia="zh-CN"/>
          <w:highlight w:val="auto"/>
        </w:rPr>
        <w:t>2025年度</w:t>
      </w:r>
      <w:r>
        <w:rPr>
          <w:rFonts w:ascii="Times New Roman" w:eastAsia="仿宋_GB2312" w:cs="仿宋_GB2312" w:hAnsi="Times New Roman" w:hint="eastAsia"/>
          <w:color w:val="auto"/>
          <w:sz w:val="32"/>
          <w:szCs w:val="32"/>
          <w:highlight w:val="auto"/>
        </w:rPr>
        <w:t>部门决算编制范围的二级预算单位包括：</w:t>
      </w:r>
    </w:p>
    <w:p>
      <w:pPr>
        <w:pStyle w:val="15"/>
        <w:adjustRightInd w:val="0"/>
        <w:snapToGrid w:val="0"/>
        <w:spacing w:beforeLines="0" w:before="93" w:line="600" w:lineRule="exact"/>
        <w:ind w:firstLineChars="209" w:firstLine="672"/>
        <w:rPr>
          <w:rFonts w:eastAsia="仿宋_GB2312" w:cs="仿宋_GB2312" w:hint="eastAsia"/>
          <w:color w:val="auto"/>
          <w:sz w:val="32"/>
          <w:szCs w:val="32"/>
          <w:lang w:val="en-US" w:eastAsia="zh-CN"/>
          <w:highlight w:val="auto"/>
        </w:rPr>
      </w:pPr>
      <w:r>
        <w:rPr>
          <w:rFonts w:cs="仿宋_GB2312" w:hint="eastAsia"/>
          <w:color w:val="auto"/>
          <w:sz w:val="32"/>
          <w:szCs w:val="32"/>
          <w:lang w:val="en-US" w:eastAsia="zh-CN"/>
          <w:highlight w:val="auto"/>
        </w:rPr>
        <w:t>1.</w:t>
      </w:r>
      <w:r>
        <w:rPr>
          <w:rFonts w:eastAsia="仿宋_GB2312" w:cs="仿宋_GB2312" w:hint="eastAsia"/>
          <w:color w:val="auto"/>
          <w:sz w:val="32"/>
          <w:szCs w:val="32"/>
          <w:lang w:val="en-US" w:eastAsia="zh-CN"/>
          <w:highlight w:val="auto"/>
        </w:rPr>
        <w:t>阿坝州公安局（本级）</w:t>
      </w:r>
    </w:p>
    <w:p>
      <w:pPr>
        <w:pStyle w:val="15"/>
        <w:adjustRightInd w:val="0"/>
        <w:snapToGrid w:val="0"/>
        <w:spacing w:beforeLines="0" w:before="93" w:line="600" w:lineRule="exact"/>
        <w:ind w:firstLineChars="209" w:firstLine="672"/>
        <w:rPr>
          <w:rFonts w:eastAsia="仿宋_GB2312" w:cs="仿宋_GB2312" w:hint="eastAsia"/>
          <w:color w:val="auto"/>
          <w:sz w:val="32"/>
          <w:szCs w:val="32"/>
          <w:lang w:val="en-US" w:eastAsia="zh-CN"/>
          <w:highlight w:val="auto"/>
        </w:rPr>
      </w:pPr>
      <w:bookmarkStart w:id="15" w:name="_Toc15377434"/>
      <w:bookmarkStart w:id="16" w:name="_Toc15378450"/>
      <w:bookmarkStart w:id="17" w:name="_Toc15306277"/>
      <w:bookmarkStart w:id="18" w:name="_Toc15377203"/>
      <w:r>
        <w:rPr>
          <w:rFonts w:cs="仿宋_GB2312" w:hint="eastAsia"/>
          <w:color w:val="auto"/>
          <w:sz w:val="32"/>
          <w:szCs w:val="32"/>
          <w:lang w:val="en-US" w:eastAsia="zh-CN"/>
          <w:highlight w:val="auto"/>
        </w:rPr>
        <w:t>2.</w:t>
      </w:r>
      <w:r>
        <w:rPr>
          <w:rFonts w:eastAsia="仿宋_GB2312" w:cs="仿宋_GB2312" w:hint="eastAsia"/>
          <w:color w:val="auto"/>
          <w:sz w:val="32"/>
          <w:szCs w:val="32"/>
          <w:lang w:val="en-US" w:eastAsia="zh-CN"/>
          <w:highlight w:val="auto"/>
        </w:rPr>
        <w:t>阿坝州公安局交通管理支队</w:t>
      </w:r>
    </w:p>
    <w:p>
      <w:pPr>
        <w:pStyle w:val="15"/>
        <w:adjustRightInd w:val="0"/>
        <w:snapToGrid w:val="0"/>
        <w:spacing w:beforeLines="0" w:before="93" w:line="600" w:lineRule="exact"/>
        <w:ind w:firstLineChars="209" w:firstLine="672"/>
        <w:rPr>
          <w:rFonts w:eastAsia="仿宋_GB2312" w:cs="仿宋_GB2312"/>
          <w:color w:val="auto"/>
          <w:sz w:val="32"/>
          <w:szCs w:val="32"/>
          <w:lang w:val="en-US" w:eastAsia="zh-CN"/>
          <w:highlight w:val="auto"/>
        </w:rPr>
      </w:pPr>
      <w:bookmarkEnd w:id="15"/>
      <w:bookmarkEnd w:id="16"/>
      <w:bookmarkEnd w:id="17"/>
      <w:bookmarkEnd w:id="18"/>
      <w:r>
        <w:rPr>
          <w:rFonts w:cs="仿宋_GB2312" w:hint="eastAsia"/>
          <w:color w:val="auto"/>
          <w:sz w:val="32"/>
          <w:szCs w:val="32"/>
          <w:lang w:val="en-US" w:eastAsia="zh-CN"/>
          <w:highlight w:val="auto"/>
        </w:rPr>
        <w:t>3.</w:t>
      </w:r>
      <w:r>
        <w:rPr>
          <w:rFonts w:eastAsia="仿宋_GB2312" w:cs="仿宋_GB2312" w:hint="eastAsia"/>
          <w:color w:val="auto"/>
          <w:sz w:val="32"/>
          <w:szCs w:val="32"/>
          <w:lang w:val="en-US" w:eastAsia="zh-CN"/>
          <w:highlight w:val="auto"/>
        </w:rPr>
        <w:t>阿坝州强制隔离戒毒所</w:t>
      </w:r>
    </w:p>
    <w:p>
      <w:pPr>
        <w:widowControl/>
        <w:jc w:val="left"/>
        <w:rPr>
          <w:rFonts w:ascii="Times New Roman" w:eastAsia="仿宋" w:hAnsi="Times New Roman"/>
          <w:color w:val="auto"/>
          <w:kern w:val="0"/>
          <w:sz w:val="32"/>
          <w:szCs w:val="32"/>
          <w:highlight w:val="auto"/>
        </w:rPr>
      </w:pPr>
      <w:r>
        <w:rPr>
          <w:rFonts w:ascii="Times New Roman" w:eastAsia="仿宋" w:hAnsi="Times New Roman"/>
          <w:color w:val="auto"/>
          <w:sz w:val="32"/>
          <w:szCs w:val="32"/>
          <w:highlight w:val="auto"/>
        </w:rPr>
        <w:br w:type="page"/>
      </w:r>
    </w:p>
    <w:p>
      <w:pPr>
        <w:pStyle w:val="1"/>
        <w:jc w:val="center"/>
        <w:rPr>
          <w:rFonts w:ascii="Times New Roman" w:eastAsia="方正小标宋简体" w:cs="方正小标宋简体" w:hAnsi="Times New Roman" w:hint="eastAsia"/>
          <w:b w:val="0"/>
          <w:color w:val="auto"/>
          <w:highlight w:val="auto"/>
        </w:rPr>
      </w:pPr>
      <w:bookmarkStart w:id="19" w:name="_Toc29762"/>
      <w:bookmarkStart w:id="20" w:name="_Toc15396602"/>
      <w:bookmarkStart w:id="21" w:name="_Toc15377204"/>
      <w:r>
        <w:rPr>
          <w:rFonts w:ascii="Times New Roman" w:eastAsia="方正小标宋简体" w:cs="方正小标宋简体" w:hAnsi="Times New Roman" w:hint="eastAsia"/>
          <w:b w:val="0"/>
          <w:color w:val="auto"/>
          <w:highlight w:val="auto"/>
        </w:rPr>
        <w:t>第二部分</w:t>
      </w:r>
      <w:r>
        <w:rPr>
          <w:rFonts w:ascii="Times New Roman" w:eastAsia="方正小标宋简体" w:cs="方正小标宋简体" w:hAnsi="Times New Roman" w:hint="eastAsia"/>
          <w:b w:val="0"/>
          <w:color w:val="auto"/>
          <w:lang w:val="en-US" w:eastAsia="zh-CN"/>
          <w:highlight w:val="auto"/>
        </w:rPr>
        <w:t xml:space="preserve"> </w:t>
      </w:r>
      <w:r>
        <w:rPr>
          <w:rFonts w:ascii="Times New Roman" w:eastAsia="方正小标宋简体" w:cs="方正小标宋简体" w:hAnsi="Times New Roman" w:hint="eastAsia"/>
          <w:b w:val="0"/>
          <w:color w:val="auto"/>
          <w:highlight w:val="auto"/>
        </w:rPr>
        <w:t xml:space="preserve"> </w:t>
      </w:r>
      <w:r>
        <w:rPr>
          <w:rFonts w:eastAsia="方正小标宋简体" w:cs="方正小标宋简体" w:hint="eastAsia"/>
          <w:b w:val="0"/>
          <w:color w:val="auto"/>
          <w:lang w:val="en-US" w:eastAsia="zh-CN"/>
          <w:highlight w:val="auto"/>
        </w:rPr>
        <w:t>2025年度</w:t>
      </w:r>
      <w:r>
        <w:rPr>
          <w:rFonts w:ascii="Times New Roman" w:eastAsia="方正小标宋简体" w:cs="方正小标宋简体" w:hAnsi="Times New Roman" w:hint="eastAsia"/>
          <w:b w:val="0"/>
          <w:color w:val="auto"/>
          <w:highlight w:val="auto"/>
        </w:rPr>
        <w:t>部门决算情况说明</w:t>
      </w:r>
      <w:bookmarkEnd w:id="19"/>
      <w:bookmarkEnd w:id="20"/>
      <w:bookmarkEnd w:id="21"/>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Style w:val="2Char"/>
          <w:rFonts w:ascii="Times New Roman" w:eastAsia="黑体" w:hAnsi="Times New Roman" w:hint="eastAsia"/>
          <w:b w:val="0"/>
          <w:color w:val="auto"/>
          <w:highlight w:val="auto"/>
        </w:rPr>
      </w:pPr>
      <w:bookmarkStart w:id="22" w:name="_Toc5113"/>
      <w:bookmarkStart w:id="23" w:name="_Toc15396603"/>
      <w:bookmarkStart w:id="24" w:name="_Toc15377205"/>
      <w:r>
        <w:rPr>
          <w:rFonts w:ascii="Times New Roman" w:eastAsia="黑体" w:hAnsi="Times New Roman" w:hint="eastAsia"/>
          <w:color w:val="auto"/>
          <w:sz w:val="32"/>
          <w:szCs w:val="32"/>
          <w:lang w:eastAsia="zh-CN"/>
          <w:highlight w:val="auto"/>
        </w:rPr>
        <w:t>一、</w:t>
      </w:r>
      <w:r>
        <w:rPr>
          <w:rFonts w:ascii="Times New Roman" w:eastAsia="黑体" w:hAnsi="Times New Roman" w:hint="eastAsia"/>
          <w:color w:val="auto"/>
          <w:sz w:val="32"/>
          <w:szCs w:val="32"/>
          <w:highlight w:val="auto"/>
        </w:rPr>
        <w:t>收</w:t>
      </w:r>
      <w:r>
        <w:rPr>
          <w:rStyle w:val="2Char"/>
          <w:rFonts w:ascii="Times New Roman" w:eastAsia="黑体" w:hAnsi="Times New Roman" w:hint="eastAsia"/>
          <w:b w:val="0"/>
          <w:color w:val="auto"/>
          <w:highlight w:val="auto"/>
        </w:rPr>
        <w:t>入支出决算总体情况说明</w:t>
      </w:r>
      <w:bookmarkEnd w:id="22"/>
      <w:bookmarkEnd w:id="23"/>
      <w:bookmarkEnd w:id="24"/>
    </w:p>
    <w:p>
      <w:pPr>
        <w:pStyle w:val="15"/>
        <w:keepNext w:val="0"/>
        <w:keepLines w:val="0"/>
        <w:pageBreakBefore w:val="0"/>
        <w:widowControl w:val="0"/>
        <w:wordWrap/>
        <w:overflowPunct/>
        <w:topLinePunct w:val="0"/>
        <w:bidi w:val="0"/>
        <w:spacing w:beforeAutospacing="0" w:afterAutospacing="0" w:line="560" w:lineRule="exact"/>
        <w:ind w:firstLineChars="200" w:firstLine="640"/>
        <w:textAlignment w:val="auto"/>
        <w:rPr>
          <w:rFonts w:ascii="仿宋_GB2312" w:eastAsia="仿宋_GB2312" w:cs="仿宋_GB2312" w:hint="eastAsia"/>
          <w:sz w:val="32"/>
          <w:szCs w:val="32"/>
          <w:lang w:val="en-US" w:eastAsia="zh-CN"/>
        </w:rPr>
      </w:pPr>
      <w:r>
        <w:rPr>
          <w:rFonts w:ascii="仿宋_GB2312" w:eastAsia="仿宋_GB2312" w:cs="仿宋_GB2312" w:hint="eastAsia"/>
          <w:sz w:val="32"/>
          <w:szCs w:val="32"/>
          <w:lang w:eastAsia="zh-CN"/>
        </w:rPr>
        <w:t>2025年度收入</w:t>
      </w:r>
      <w:r>
        <w:rPr>
          <w:rFonts w:ascii="仿宋_GB2312" w:eastAsia="仿宋_GB2312" w:cs="仿宋_GB2312" w:hint="eastAsia"/>
          <w:sz w:val="32"/>
          <w:szCs w:val="32"/>
          <w:lang w:val="en-US" w:eastAsia="zh-CN"/>
        </w:rPr>
        <w:t>总计33,440.43</w:t>
      </w:r>
      <w:r>
        <w:rPr>
          <w:rFonts w:ascii="仿宋_GB2312" w:eastAsia="仿宋_GB2312" w:cs="仿宋_GB2312" w:hint="eastAsia"/>
          <w:sz w:val="32"/>
          <w:szCs w:val="32"/>
        </w:rPr>
        <w:t>万元，</w:t>
      </w:r>
      <w:r>
        <w:rPr>
          <w:rFonts w:ascii="仿宋_GB2312" w:eastAsia="仿宋_GB2312" w:cs="仿宋_GB2312" w:hint="eastAsia"/>
          <w:sz w:val="32"/>
          <w:szCs w:val="32"/>
          <w:lang w:val="en-US" w:eastAsia="zh-CN"/>
        </w:rPr>
        <w:t>比上年增加170.18万元，增幅0.51%；支出决算数为33,491.93万元，比上年增加227.29万元，增幅0.68%，</w:t>
      </w:r>
      <w:r>
        <w:rPr>
          <w:rFonts w:ascii="仿宋_GB2312" w:eastAsia="仿宋_GB2312" w:cs="仿宋_GB2312" w:hint="eastAsia"/>
          <w:sz w:val="32"/>
          <w:szCs w:val="32"/>
        </w:rPr>
        <w:t>主要变动原因</w:t>
      </w:r>
      <w:r>
        <w:rPr>
          <w:rFonts w:ascii="仿宋_GB2312" w:eastAsia="仿宋_GB2312" w:cs="仿宋_GB2312" w:hint="eastAsia"/>
          <w:sz w:val="32"/>
          <w:szCs w:val="32"/>
          <w:lang w:eastAsia="zh-CN"/>
        </w:rPr>
        <w:t>：</w:t>
      </w:r>
      <w:r>
        <w:rPr>
          <w:rFonts w:ascii="仿宋_GB2312" w:eastAsia="仿宋_GB2312" w:cs="仿宋_GB2312" w:hint="eastAsia"/>
          <w:sz w:val="32"/>
          <w:szCs w:val="32"/>
          <w:lang w:val="en-US" w:eastAsia="zh-CN"/>
        </w:rPr>
        <w:t>阿坝州公安局（本级）部分项目资金减少及人员调动分流减少基本支出；阿坝州公安局交通管理支队新增交管大数据指挥中心业务技术用房家具设备采购、公安交通集成指挥专网平台建设项目、环蓉、环川智能卡口补点建设项目、-4G执法记录仪购置项目、公安交通管理综合应用平台社会化服务系统、道路交通综合智能监控系统运维费、交警网络运行维护项目，项目经费增加。</w:t>
      </w:r>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lang w:eastAsia="zh-CN"/>
          <w:highlight w:val="auto"/>
        </w:rPr>
        <w:drawing>
          <wp:anchor distT="0" distB="0" distL="114300" distR="114300" simplePos="0" relativeHeight="21" behindDoc="0" locked="0" layoutInCell="1" hidden="0" allowOverlap="1">
            <wp:simplePos x="0" y="0"/>
            <wp:positionH relativeFrom="column">
              <wp:posOffset>259080</wp:posOffset>
            </wp:positionH>
            <wp:positionV relativeFrom="paragraph">
              <wp:posOffset>242570</wp:posOffset>
            </wp:positionV>
            <wp:extent cx="5256530" cy="2988310"/>
            <wp:effectExtent l="0" t="0" r="0" b="0"/>
            <wp:wrapNone/>
            <wp:docPr id="10" name="图表 1"/>
            <wp:cNvGraphicFramePr>
              <a:graphicFrameLocks noChangeAspect="0"/>
            </wp:cNvGraphicFramePr>
            <a:graphic>
              <a:graphicData uri="http://schemas.openxmlformats.org/drawingml/2006/chart">
                <c:chart xmlns:c="http://schemas.openxmlformats.org/drawingml/2006/chart" r:id="rId8"/>
              </a:graphicData>
            </a:graphic>
          </wp:anchor>
        </w:drawing>
      </w:r>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lang w:eastAsia="zh-CN"/>
          <w:highlight w:val="auto"/>
        </w:rPr>
      </w:pPr>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highlight w:val="auto"/>
        </w:rPr>
      </w:pPr>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highlight w:val="auto"/>
        </w:rPr>
      </w:pPr>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highlight w:val="auto"/>
        </w:rPr>
      </w:pPr>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highlight w:val="auto"/>
        </w:rPr>
      </w:pPr>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highlight w:val="auto"/>
        </w:rPr>
      </w:pPr>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highlight w:val="auto"/>
        </w:rPr>
      </w:pPr>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highlight w:val="auto"/>
        </w:rPr>
      </w:pPr>
    </w:p>
    <w:p>
      <w:pPr>
        <w:spacing w:line="600" w:lineRule="exact"/>
        <w:ind w:firstLineChars="200"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（图1：收入、支出决算总计变动情况图）（柱状图）</w:t>
      </w:r>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黑体" w:hAnsi="Times New Roman" w:hint="eastAsia"/>
          <w:color w:val="auto"/>
          <w:sz w:val="32"/>
          <w:szCs w:val="32"/>
          <w:lang w:eastAsia="zh-CN"/>
          <w:highlight w:val="auto"/>
        </w:rPr>
      </w:pPr>
      <w:bookmarkStart w:id="25" w:name="_Toc15396604"/>
      <w:bookmarkStart w:id="26" w:name="_Toc15238"/>
      <w:bookmarkStart w:id="27" w:name="_Toc15377206"/>
      <w:r>
        <w:rPr>
          <w:rFonts w:ascii="Times New Roman" w:eastAsia="黑体" w:hAnsi="Times New Roman" w:hint="eastAsia"/>
          <w:color w:val="auto"/>
          <w:sz w:val="32"/>
          <w:szCs w:val="32"/>
          <w:lang w:eastAsia="zh-CN"/>
          <w:highlight w:val="auto"/>
        </w:rPr>
        <w:t>二、收入决算情况说明</w:t>
      </w:r>
      <w:bookmarkEnd w:id="25"/>
      <w:bookmarkEnd w:id="26"/>
      <w:bookmarkEnd w:id="27"/>
    </w:p>
    <w:p>
      <w:pPr>
        <w:pStyle w:val="15"/>
        <w:keepNext w:val="0"/>
        <w:keepLines w:val="0"/>
        <w:pageBreakBefore w:val="0"/>
        <w:widowControl w:val="0"/>
        <w:wordWrap/>
        <w:overflowPunct/>
        <w:topLinePunct w:val="0"/>
        <w:bidi w:val="0"/>
        <w:spacing w:beforeAutospacing="0" w:afterAutospacing="0" w:line="560" w:lineRule="exact"/>
        <w:ind w:firstLineChars="200" w:firstLine="640"/>
        <w:textAlignment w:val="auto"/>
        <w:rPr>
          <w:rFonts w:ascii="仿宋_GB2312" w:eastAsia="仿宋_GB2312" w:cs="仿宋_GB2312" w:hint="eastAsia"/>
          <w:sz w:val="32"/>
          <w:szCs w:val="32"/>
          <w:lang w:eastAsia="zh-CN"/>
        </w:rPr>
      </w:pPr>
      <w:r>
        <w:rPr>
          <w:rFonts w:ascii="仿宋_GB2312" w:eastAsia="仿宋_GB2312" w:cs="仿宋_GB2312" w:hint="eastAsia"/>
          <w:sz w:val="32"/>
          <w:szCs w:val="32"/>
          <w:lang w:eastAsia="zh-CN"/>
        </w:rPr>
        <w:t>2025年度本年收入合计</w:t>
      </w:r>
      <w:r>
        <w:rPr>
          <w:rFonts w:ascii="仿宋_GB2312" w:eastAsia="仿宋_GB2312" w:cs="仿宋_GB2312" w:hint="eastAsia"/>
          <w:sz w:val="32"/>
          <w:szCs w:val="32"/>
          <w:lang w:val="en-US" w:eastAsia="zh-CN"/>
        </w:rPr>
        <w:t>33,440.43</w:t>
      </w:r>
      <w:r>
        <w:rPr>
          <w:rFonts w:ascii="仿宋_GB2312" w:eastAsia="仿宋_GB2312" w:cs="仿宋_GB2312" w:hint="eastAsia"/>
          <w:sz w:val="32"/>
          <w:szCs w:val="32"/>
        </w:rPr>
        <w:t>万元</w:t>
      </w:r>
      <w:r>
        <w:rPr>
          <w:rFonts w:ascii="仿宋_GB2312" w:eastAsia="仿宋_GB2312" w:cs="仿宋_GB2312" w:hint="eastAsia"/>
          <w:sz w:val="32"/>
          <w:szCs w:val="32"/>
          <w:lang w:eastAsia="zh-CN"/>
        </w:rPr>
        <w:t>，其中：一般公共预算财政拨款收入33</w:t>
      </w:r>
      <w:r>
        <w:rPr>
          <w:rFonts w:ascii="仿宋_GB2312" w:eastAsia="仿宋_GB2312" w:cs="仿宋_GB2312" w:hint="eastAsia"/>
          <w:sz w:val="32"/>
          <w:szCs w:val="32"/>
          <w:lang w:val="en-US" w:eastAsia="zh-CN"/>
        </w:rPr>
        <w:t>,</w:t>
      </w:r>
      <w:r>
        <w:rPr>
          <w:rFonts w:ascii="仿宋_GB2312" w:eastAsia="仿宋_GB2312" w:cs="仿宋_GB2312" w:hint="eastAsia"/>
          <w:sz w:val="32"/>
          <w:szCs w:val="32"/>
          <w:lang w:eastAsia="zh-CN"/>
        </w:rPr>
        <w:t>427.43万元，占</w:t>
      </w:r>
      <w:r>
        <w:rPr>
          <w:rFonts w:ascii="仿宋_GB2312" w:eastAsia="仿宋_GB2312" w:cs="仿宋_GB2312" w:hint="eastAsia"/>
          <w:sz w:val="32"/>
          <w:szCs w:val="32"/>
          <w:lang w:val="en-US" w:eastAsia="zh-CN"/>
        </w:rPr>
        <w:t>99.96</w:t>
      </w:r>
      <w:r>
        <w:rPr>
          <w:rFonts w:ascii="仿宋_GB2312" w:eastAsia="仿宋_GB2312" w:cs="仿宋_GB2312" w:hint="eastAsia"/>
          <w:sz w:val="32"/>
          <w:szCs w:val="32"/>
          <w:lang w:eastAsia="zh-CN"/>
        </w:rPr>
        <w:t>%</w:t>
      </w:r>
      <w:r>
        <w:rPr>
          <w:rFonts w:ascii="仿宋_GB2312" w:eastAsia="仿宋_GB2312" w:cs="仿宋_GB2312" w:hint="eastAsia"/>
          <w:sz w:val="32"/>
          <w:szCs w:val="32"/>
          <w:lang w:val="en-US" w:eastAsia="zh-CN"/>
        </w:rPr>
        <w:t>;</w:t>
      </w:r>
      <w:r>
        <w:rPr>
          <w:rFonts w:ascii="仿宋_GB2312" w:eastAsia="仿宋_GB2312" w:cs="仿宋_GB2312" w:hint="eastAsia"/>
          <w:sz w:val="32"/>
          <w:szCs w:val="32"/>
          <w:lang w:eastAsia="zh-CN"/>
        </w:rPr>
        <w:t>其他收入</w:t>
      </w:r>
      <w:r>
        <w:rPr>
          <w:rFonts w:ascii="仿宋_GB2312" w:eastAsia="仿宋_GB2312" w:cs="仿宋_GB2312" w:hint="eastAsia"/>
          <w:sz w:val="32"/>
          <w:szCs w:val="32"/>
          <w:lang w:val="en-US" w:eastAsia="zh-CN"/>
        </w:rPr>
        <w:t>13</w:t>
      </w:r>
      <w:r>
        <w:rPr>
          <w:rFonts w:ascii="仿宋_GB2312" w:eastAsia="仿宋_GB2312" w:cs="仿宋_GB2312" w:hint="eastAsia"/>
          <w:sz w:val="32"/>
          <w:szCs w:val="32"/>
          <w:lang w:eastAsia="zh-CN"/>
        </w:rPr>
        <w:t>万元，占</w:t>
      </w:r>
      <w:r>
        <w:rPr>
          <w:rFonts w:ascii="仿宋_GB2312" w:eastAsia="仿宋_GB2312" w:cs="仿宋_GB2312" w:hint="eastAsia"/>
          <w:sz w:val="32"/>
          <w:szCs w:val="32"/>
          <w:lang w:val="en-US" w:eastAsia="zh-CN"/>
        </w:rPr>
        <w:t>0.04</w:t>
      </w:r>
      <w:r>
        <w:rPr>
          <w:rFonts w:ascii="仿宋_GB2312" w:eastAsia="仿宋_GB2312" w:cs="仿宋_GB2312" w:hint="eastAsia"/>
          <w:sz w:val="32"/>
          <w:szCs w:val="32"/>
          <w:lang w:eastAsia="zh-CN"/>
        </w:rPr>
        <w:t>%。</w:t>
      </w:r>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lang w:eastAsia="zh-CN"/>
          <w:highlight w:val="auto"/>
        </w:rPr>
      </w:pPr>
      <w:r>
        <w:rPr>
          <w:rFonts w:ascii="Times New Roman" w:eastAsia="仿宋_GB2312" w:cs="仿宋_GB2312" w:hAnsi="Times New Roman" w:hint="eastAsia"/>
          <w:color w:val="auto"/>
          <w:sz w:val="32"/>
          <w:szCs w:val="32"/>
          <w:lang w:eastAsia="zh-CN"/>
          <w:highlight w:val="auto"/>
        </w:rPr>
        <w:drawing>
          <wp:anchor distT="0" distB="0" distL="114300" distR="114300" simplePos="0" relativeHeight="23" behindDoc="0" locked="0" layoutInCell="1" hidden="0" allowOverlap="1">
            <wp:simplePos x="0" y="0"/>
            <wp:positionH relativeFrom="column">
              <wp:posOffset>87630</wp:posOffset>
            </wp:positionH>
            <wp:positionV relativeFrom="paragraph">
              <wp:posOffset>166370</wp:posOffset>
            </wp:positionV>
            <wp:extent cx="5256530" cy="2988310"/>
            <wp:effectExtent l="0" t="0" r="0" b="0"/>
            <wp:wrapNone/>
            <wp:docPr id="11" name="图表 2"/>
            <wp:cNvGraphicFramePr>
              <a:graphicFrameLocks noChangeAspect="0"/>
            </wp:cNvGraphicFramePr>
            <a:graphic>
              <a:graphicData uri="http://schemas.openxmlformats.org/drawingml/2006/chart">
                <c:chart xmlns:c="http://schemas.openxmlformats.org/drawingml/2006/chart" r:id="rId9"/>
              </a:graphicData>
            </a:graphic>
          </wp:anchor>
        </w:drawing>
      </w:r>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lang w:eastAsia="zh-CN"/>
          <w:highlight w:val="auto"/>
        </w:rPr>
      </w:pPr>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lang w:eastAsia="zh-CN"/>
          <w:highlight w:val="auto"/>
        </w:rPr>
      </w:pPr>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lang w:eastAsia="zh-CN"/>
          <w:highlight w:val="auto"/>
        </w:rPr>
      </w:pPr>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lang w:eastAsia="zh-CN"/>
          <w:highlight w:val="auto"/>
        </w:rPr>
      </w:pPr>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lang w:eastAsia="zh-CN"/>
          <w:highlight w:val="auto"/>
        </w:rPr>
      </w:pPr>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lang w:eastAsia="zh-CN"/>
          <w:highlight w:val="auto"/>
        </w:rPr>
      </w:pPr>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lang w:eastAsia="zh-CN"/>
          <w:highlight w:val="auto"/>
        </w:rPr>
      </w:pPr>
    </w:p>
    <w:p>
      <w:pPr>
        <w:spacing w:line="600" w:lineRule="exact"/>
        <w:ind w:firstLineChars="200"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（图2：收入决算结构图）（饼状图）</w:t>
      </w:r>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Style w:val="2Char"/>
          <w:rFonts w:ascii="Times New Roman" w:eastAsia="黑体" w:hAnsi="Times New Roman" w:hint="eastAsia"/>
          <w:b w:val="0"/>
          <w:color w:val="auto"/>
          <w:highlight w:val="auto"/>
        </w:rPr>
      </w:pPr>
      <w:bookmarkStart w:id="28" w:name="_Toc16287"/>
      <w:bookmarkStart w:id="29" w:name="_Toc15377207"/>
      <w:bookmarkStart w:id="30" w:name="_Toc15396605"/>
      <w:r>
        <w:rPr>
          <w:rFonts w:ascii="Times New Roman" w:eastAsia="黑体" w:hAnsi="Times New Roman" w:hint="eastAsia"/>
          <w:color w:val="auto"/>
          <w:sz w:val="32"/>
          <w:szCs w:val="32"/>
          <w:lang w:eastAsia="zh-CN"/>
          <w:highlight w:val="auto"/>
        </w:rPr>
        <w:t>三、</w:t>
      </w:r>
      <w:r>
        <w:rPr>
          <w:rFonts w:ascii="Times New Roman" w:eastAsia="黑体" w:hAnsi="Times New Roman" w:hint="eastAsia"/>
          <w:color w:val="auto"/>
          <w:sz w:val="32"/>
          <w:szCs w:val="32"/>
          <w:highlight w:val="auto"/>
        </w:rPr>
        <w:t>支</w:t>
      </w:r>
      <w:r>
        <w:rPr>
          <w:rStyle w:val="2Char"/>
          <w:rFonts w:ascii="Times New Roman" w:eastAsia="黑体" w:hAnsi="Times New Roman" w:hint="eastAsia"/>
          <w:b w:val="0"/>
          <w:color w:val="auto"/>
          <w:highlight w:val="auto"/>
        </w:rPr>
        <w:t>出决算情况说明</w:t>
      </w:r>
      <w:bookmarkEnd w:id="28"/>
      <w:bookmarkEnd w:id="29"/>
      <w:bookmarkEnd w:id="30"/>
    </w:p>
    <w:p>
      <w:pPr>
        <w:pStyle w:val="15"/>
        <w:keepNext w:val="0"/>
        <w:keepLines w:val="0"/>
        <w:pageBreakBefore w:val="0"/>
        <w:widowControl w:val="0"/>
        <w:wordWrap/>
        <w:overflowPunct/>
        <w:topLinePunct w:val="0"/>
        <w:bidi w:val="0"/>
        <w:spacing w:beforeAutospacing="0" w:afterAutospacing="0" w:line="560" w:lineRule="exact"/>
        <w:ind w:firstLineChars="200" w:firstLine="640"/>
        <w:textAlignment w:val="auto"/>
        <w:rPr>
          <w:rFonts w:ascii="仿宋_GB2312" w:eastAsia="仿宋_GB2312" w:cs="仿宋_GB2312" w:hint="eastAsia"/>
          <w:sz w:val="32"/>
          <w:szCs w:val="32"/>
          <w:lang w:eastAsia="zh-CN"/>
        </w:rPr>
      </w:pPr>
      <w:r>
        <w:rPr>
          <w:rFonts w:ascii="仿宋_GB2312" w:eastAsia="仿宋_GB2312" w:cs="仿宋_GB2312" w:hint="eastAsia"/>
          <w:sz w:val="32"/>
          <w:szCs w:val="32"/>
          <w:lang w:eastAsia="zh-CN"/>
        </w:rPr>
        <w:drawing>
          <wp:anchor distT="0" distB="0" distL="114300" distR="114300" simplePos="0" relativeHeight="25" behindDoc="0" locked="0" layoutInCell="1" hidden="0" allowOverlap="1">
            <wp:simplePos x="0" y="0"/>
            <wp:positionH relativeFrom="column">
              <wp:posOffset>144779</wp:posOffset>
            </wp:positionH>
            <wp:positionV relativeFrom="paragraph">
              <wp:posOffset>1118870</wp:posOffset>
            </wp:positionV>
            <wp:extent cx="5152390" cy="2750185"/>
            <wp:effectExtent l="0" t="0" r="0" b="0"/>
            <wp:wrapNone/>
            <wp:docPr id="12" name="图表 3"/>
            <wp:cNvGraphicFramePr>
              <a:graphicFrameLocks noChangeAspect="0"/>
            </wp:cNvGraphicFramePr>
            <a:graphic>
              <a:graphicData uri="http://schemas.openxmlformats.org/drawingml/2006/chart">
                <c:chart xmlns:c="http://schemas.openxmlformats.org/drawingml/2006/chart" r:id="rId10"/>
              </a:graphicData>
            </a:graphic>
          </wp:anchor>
        </w:drawing>
      </w:r>
      <w:r>
        <w:rPr>
          <w:rFonts w:ascii="仿宋_GB2312" w:eastAsia="仿宋_GB2312" w:cs="仿宋_GB2312" w:hint="eastAsia"/>
          <w:sz w:val="32"/>
          <w:szCs w:val="32"/>
          <w:lang w:eastAsia="zh-CN"/>
        </w:rPr>
        <w:t>2025年度本年支出合计</w:t>
      </w:r>
      <w:r>
        <w:rPr>
          <w:rFonts w:ascii="仿宋_GB2312" w:eastAsia="仿宋_GB2312" w:cs="仿宋_GB2312" w:hint="eastAsia"/>
          <w:sz w:val="32"/>
          <w:szCs w:val="32"/>
          <w:lang w:val="en-US" w:eastAsia="zh-CN"/>
        </w:rPr>
        <w:t>33,491.93</w:t>
      </w:r>
      <w:r>
        <w:rPr>
          <w:rFonts w:ascii="仿宋_GB2312" w:eastAsia="仿宋_GB2312" w:cs="仿宋_GB2312" w:hint="eastAsia"/>
          <w:sz w:val="32"/>
          <w:szCs w:val="32"/>
          <w:lang w:eastAsia="zh-CN"/>
        </w:rPr>
        <w:t>万元，其中：基本支出24</w:t>
      </w:r>
      <w:r>
        <w:rPr>
          <w:rFonts w:ascii="仿宋_GB2312" w:eastAsia="仿宋_GB2312" w:cs="仿宋_GB2312" w:hint="eastAsia"/>
          <w:sz w:val="32"/>
          <w:szCs w:val="32"/>
          <w:lang w:val="en-US" w:eastAsia="zh-CN"/>
        </w:rPr>
        <w:t>,</w:t>
      </w:r>
      <w:r>
        <w:rPr>
          <w:rFonts w:ascii="仿宋_GB2312" w:eastAsia="仿宋_GB2312" w:cs="仿宋_GB2312" w:hint="eastAsia"/>
          <w:sz w:val="32"/>
          <w:szCs w:val="32"/>
          <w:lang w:eastAsia="zh-CN"/>
        </w:rPr>
        <w:t>072.47万元，占</w:t>
      </w:r>
      <w:r>
        <w:rPr>
          <w:rFonts w:ascii="仿宋_GB2312" w:eastAsia="仿宋_GB2312" w:cs="仿宋_GB2312" w:hint="eastAsia"/>
          <w:sz w:val="32"/>
          <w:szCs w:val="32"/>
          <w:lang w:val="en-US" w:eastAsia="zh-CN"/>
        </w:rPr>
        <w:t>71.88</w:t>
      </w:r>
      <w:r>
        <w:rPr>
          <w:rFonts w:ascii="仿宋_GB2312" w:eastAsia="仿宋_GB2312" w:cs="仿宋_GB2312" w:hint="eastAsia"/>
          <w:sz w:val="32"/>
          <w:szCs w:val="32"/>
          <w:lang w:eastAsia="zh-CN"/>
        </w:rPr>
        <w:t>%；项目支出9</w:t>
      </w:r>
      <w:r>
        <w:rPr>
          <w:rFonts w:ascii="仿宋_GB2312" w:eastAsia="仿宋_GB2312" w:cs="仿宋_GB2312" w:hint="eastAsia"/>
          <w:sz w:val="32"/>
          <w:szCs w:val="32"/>
          <w:lang w:val="en-US" w:eastAsia="zh-CN"/>
        </w:rPr>
        <w:t>,</w:t>
      </w:r>
      <w:r>
        <w:rPr>
          <w:rFonts w:ascii="仿宋_GB2312" w:eastAsia="仿宋_GB2312" w:cs="仿宋_GB2312" w:hint="eastAsia"/>
          <w:sz w:val="32"/>
          <w:szCs w:val="32"/>
          <w:lang w:eastAsia="zh-CN"/>
        </w:rPr>
        <w:t>419.46万元，占</w:t>
      </w:r>
      <w:r>
        <w:rPr>
          <w:rFonts w:ascii="仿宋_GB2312" w:eastAsia="仿宋_GB2312" w:cs="仿宋_GB2312" w:hint="eastAsia"/>
          <w:sz w:val="32"/>
          <w:szCs w:val="32"/>
          <w:lang w:val="en-US" w:eastAsia="zh-CN"/>
        </w:rPr>
        <w:t>28.12</w:t>
      </w:r>
      <w:r>
        <w:rPr>
          <w:rFonts w:ascii="仿宋_GB2312" w:eastAsia="仿宋_GB2312" w:cs="仿宋_GB2312" w:hint="eastAsia"/>
          <w:sz w:val="32"/>
          <w:szCs w:val="32"/>
          <w:lang w:eastAsia="zh-CN"/>
        </w:rPr>
        <w:t>%。</w:t>
      </w:r>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lang w:eastAsia="zh-CN"/>
          <w:highlight w:val="auto"/>
        </w:rPr>
      </w:pPr>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lang w:eastAsia="zh-CN"/>
          <w:highlight w:val="auto"/>
        </w:rPr>
      </w:pPr>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lang w:eastAsia="zh-CN"/>
          <w:highlight w:val="auto"/>
        </w:rPr>
      </w:pPr>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lang w:eastAsia="zh-CN"/>
          <w:highlight w:val="auto"/>
        </w:rPr>
      </w:pPr>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lang w:eastAsia="zh-CN"/>
          <w:highlight w:val="auto"/>
        </w:rPr>
      </w:pPr>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lang w:eastAsia="zh-CN"/>
          <w:highlight w:val="auto"/>
        </w:rPr>
      </w:pPr>
    </w:p>
    <w:p>
      <w:pPr>
        <w:spacing w:line="600" w:lineRule="exact"/>
        <w:ind w:firstLineChars="200"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（图3：支出决算结构图）（饼状图）</w:t>
      </w:r>
    </w:p>
    <w:p>
      <w:pPr>
        <w:spacing w:line="600" w:lineRule="exact"/>
        <w:ind w:firstLineChars="200" w:firstLine="640"/>
        <w:outlineLvl w:val="1"/>
        <w:rPr>
          <w:rStyle w:val="2Char"/>
          <w:rFonts w:ascii="Times New Roman" w:eastAsia="黑体" w:hAnsi="Times New Roman"/>
          <w:b w:val="0"/>
          <w:color w:val="auto"/>
          <w:highlight w:val="auto"/>
        </w:rPr>
      </w:pPr>
      <w:bookmarkStart w:id="31" w:name="_Toc13695"/>
      <w:bookmarkStart w:id="32" w:name="_Toc15377208"/>
      <w:bookmarkStart w:id="33" w:name="_Toc15396606"/>
      <w:r>
        <w:rPr>
          <w:rFonts w:ascii="Times New Roman" w:eastAsia="黑体" w:hAnsi="Times New Roman" w:hint="eastAsia"/>
          <w:color w:val="auto"/>
          <w:sz w:val="32"/>
          <w:szCs w:val="32"/>
          <w:highlight w:val="auto"/>
        </w:rPr>
        <w:t>四、财</w:t>
      </w:r>
      <w:r>
        <w:rPr>
          <w:rStyle w:val="2Char"/>
          <w:rFonts w:ascii="Times New Roman" w:eastAsia="黑体" w:hAnsi="Times New Roman" w:hint="eastAsia"/>
          <w:b w:val="0"/>
          <w:color w:val="auto"/>
          <w:highlight w:val="auto"/>
        </w:rPr>
        <w:t>政拨款收入支出决算总体情况说明</w:t>
      </w:r>
      <w:bookmarkEnd w:id="31"/>
      <w:bookmarkEnd w:id="32"/>
      <w:bookmarkEnd w:id="33"/>
    </w:p>
    <w:p>
      <w:pPr>
        <w:pStyle w:val="25"/>
        <w:keepNext w:val="0"/>
        <w:keepLines w:val="0"/>
        <w:pageBreakBefore w:val="0"/>
        <w:widowControl/>
        <w:kinsoku/>
        <w:wordWrap/>
        <w:overflowPunct/>
        <w:topLinePunct w:val="0"/>
        <w:autoSpaceDE/>
        <w:autoSpaceDN/>
        <w:bidi w:val="0"/>
        <w:adjustRightInd/>
        <w:snapToGrid/>
        <w:spacing w:before="0" w:beforeAutospacing="0" w:line="560" w:lineRule="exact"/>
        <w:ind w:leftChars="200" w:left="420" w:firstLineChars="200" w:firstLine="640"/>
        <w:jc w:val="both"/>
        <w:textAlignment w:val="auto"/>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drawing>
          <wp:anchor distT="0" distB="0" distL="114300" distR="114300" simplePos="0" relativeHeight="29" behindDoc="0" locked="0" layoutInCell="1" hidden="0" allowOverlap="1">
            <wp:simplePos x="0" y="0"/>
            <wp:positionH relativeFrom="column">
              <wp:posOffset>230505</wp:posOffset>
            </wp:positionH>
            <wp:positionV relativeFrom="paragraph">
              <wp:posOffset>3681095</wp:posOffset>
            </wp:positionV>
            <wp:extent cx="5256530" cy="2988310"/>
            <wp:effectExtent l="0" t="0" r="0" b="0"/>
            <wp:wrapNone/>
            <wp:docPr id="13" name="图表 4"/>
            <wp:cNvGraphicFramePr>
              <a:graphicFrameLocks noChangeAspect="0"/>
            </wp:cNvGraphicFramePr>
            <a:graphic>
              <a:graphicData uri="http://schemas.openxmlformats.org/drawingml/2006/chart">
                <c:chart xmlns:c="http://schemas.openxmlformats.org/drawingml/2006/chart" r:id="rId11"/>
              </a:graphicData>
            </a:graphic>
          </wp:anchor>
        </w:drawing>
      </w: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财政拨款收入、支出总计均为</w:t>
      </w:r>
      <w:r>
        <w:rPr>
          <w:rFonts w:ascii="仿宋_GB2312" w:eastAsia="仿宋_GB2312" w:hint="eastAsia"/>
          <w:sz w:val="32"/>
          <w:szCs w:val="32"/>
          <w:lang w:val="en-US" w:eastAsia="zh-CN"/>
        </w:rPr>
        <w:t>33,427.43</w:t>
      </w:r>
      <w:r>
        <w:rPr>
          <w:rFonts w:ascii="Times New Roman" w:eastAsia="仿宋_GB2312" w:cs="仿宋_GB2312" w:hAnsi="Times New Roman" w:hint="eastAsia"/>
          <w:color w:val="auto"/>
          <w:kern w:val="2"/>
          <w:sz w:val="32"/>
          <w:szCs w:val="32"/>
          <w:lang w:val="en-US" w:eastAsia="zh-CN" w:bidi="ar-SA"/>
          <w:highlight w:val="auto"/>
        </w:rPr>
        <w:t>万元</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与</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年度相比，财政拨款收入、支出总计均增加171.13万元增幅0.51%。</w:t>
      </w:r>
      <w:r>
        <w:rPr>
          <w:rFonts w:ascii="仿宋_GB2312" w:eastAsia="仿宋_GB2312" w:hint="eastAsia"/>
          <w:sz w:val="32"/>
          <w:szCs w:val="32"/>
        </w:rPr>
        <w:t>主要变动原因</w:t>
      </w:r>
      <w:r>
        <w:rPr>
          <w:rFonts w:ascii="仿宋_GB2312" w:eastAsia="仿宋_GB2312" w:hint="eastAsia"/>
          <w:sz w:val="32"/>
          <w:szCs w:val="32"/>
          <w:lang w:eastAsia="zh-CN"/>
        </w:rPr>
        <w:t>：</w:t>
      </w:r>
      <w:r>
        <w:rPr>
          <w:rFonts w:ascii="仿宋_GB2312" w:eastAsia="仿宋_GB2312" w:hint="eastAsia"/>
          <w:sz w:val="32"/>
          <w:szCs w:val="32"/>
          <w:lang w:val="en-US" w:eastAsia="zh-CN"/>
        </w:rPr>
        <w:t>阿坝州公安局（本级）部分项目资金减少及人员调动分流减少基本支出；阿坝州公安局交通管理支队新增交管大数据指挥中心业务技术用房家具设备采购、公安交通集成指挥专网平台建设项目、环蓉、环川智能卡口补点建设项目、-4G执法记录仪购置项目、公安交通管理综合应用平台社会化服务系统、道路交通综合智能监控系统运维费、交警网络运行维护项目，项目经费增加。</w:t>
      </w:r>
    </w:p>
    <w:p>
      <w:pPr>
        <w:spacing w:line="600" w:lineRule="exact"/>
        <w:ind w:firstLineChars="200"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Chars="200"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Chars="200"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Chars="200"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Chars="200"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Chars="200"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Chars="200"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Chars="200"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Chars="200"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（图4：财政拨款收、支决算总计变动情况）（柱状图）</w:t>
      </w:r>
    </w:p>
    <w:p>
      <w:pPr>
        <w:spacing w:line="600" w:lineRule="exact"/>
        <w:ind w:firstLineChars="200" w:firstLine="640"/>
        <w:outlineLvl w:val="1"/>
        <w:rPr>
          <w:rStyle w:val="2Char"/>
          <w:rFonts w:ascii="Times New Roman" w:eastAsia="黑体" w:hAnsi="Times New Roman"/>
          <w:b w:val="0"/>
          <w:color w:val="auto"/>
          <w:highlight w:val="auto"/>
        </w:rPr>
      </w:pPr>
      <w:bookmarkStart w:id="34" w:name="_Toc15377209"/>
      <w:bookmarkStart w:id="35" w:name="_Toc25095"/>
      <w:bookmarkStart w:id="36" w:name="_Toc15396607"/>
      <w:r>
        <w:rPr>
          <w:rFonts w:ascii="Times New Roman" w:eastAsia="黑体" w:hAnsi="Times New Roman" w:hint="eastAsia"/>
          <w:color w:val="auto"/>
          <w:sz w:val="32"/>
          <w:szCs w:val="32"/>
          <w:highlight w:val="auto"/>
        </w:rPr>
        <w:t>五、</w:t>
      </w:r>
      <w:r>
        <w:rPr>
          <w:rFonts w:ascii="Times New Roman" w:eastAsia="黑体" w:hAnsi="Times New Roman" w:hint="eastAsia"/>
          <w:b/>
          <w:color w:val="auto"/>
          <w:sz w:val="32"/>
          <w:szCs w:val="32"/>
          <w:highlight w:val="auto"/>
        </w:rPr>
        <w:t>一</w:t>
      </w:r>
      <w:r>
        <w:rPr>
          <w:rStyle w:val="2Char"/>
          <w:rFonts w:ascii="Times New Roman" w:eastAsia="黑体" w:hAnsi="Times New Roman" w:hint="eastAsia"/>
          <w:b w:val="0"/>
          <w:color w:val="auto"/>
          <w:highlight w:val="auto"/>
        </w:rPr>
        <w:t>般公共预算财政拨款支出决算情况说明</w:t>
      </w:r>
      <w:bookmarkEnd w:id="34"/>
      <w:bookmarkEnd w:id="35"/>
      <w:bookmarkEnd w:id="36"/>
    </w:p>
    <w:p>
      <w:pPr>
        <w:spacing w:line="600" w:lineRule="exact"/>
        <w:ind w:firstLineChars="200" w:firstLine="640"/>
        <w:outlineLvl w:val="2"/>
        <w:rPr>
          <w:rFonts w:ascii="Times New Roman" w:eastAsia="楷体_GB2312" w:cs="楷体_GB2312" w:hAnsi="Times New Roman"/>
          <w:b/>
          <w:color w:val="auto"/>
          <w:sz w:val="32"/>
          <w:szCs w:val="32"/>
          <w:highlight w:val="auto"/>
        </w:rPr>
      </w:pPr>
      <w:bookmarkStart w:id="37" w:name="_Toc15377210"/>
      <w:r>
        <w:rPr>
          <w:rFonts w:ascii="Times New Roman" w:eastAsia="楷体_GB2312" w:cs="楷体_GB2312" w:hAnsi="Times New Roman" w:hint="eastAsia"/>
          <w:b/>
          <w:color w:val="auto"/>
          <w:sz w:val="32"/>
          <w:szCs w:val="32"/>
          <w:highlight w:val="auto"/>
        </w:rPr>
        <w:t>（一）一般公共预算财政拨款支出决算总体情况</w:t>
      </w:r>
      <w:bookmarkEnd w:id="37"/>
    </w:p>
    <w:p>
      <w:pPr>
        <w:spacing w:line="600" w:lineRule="exact"/>
        <w:ind w:firstLineChars="200" w:firstLine="640"/>
        <w:outlineLvl w:val="2"/>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一般公共预算财政拨款支出</w:t>
      </w:r>
      <w:r>
        <w:rPr>
          <w:rFonts w:ascii="仿宋_GB2312" w:eastAsia="仿宋_GB2312" w:hint="eastAsia"/>
          <w:sz w:val="32"/>
          <w:szCs w:val="32"/>
        </w:rPr>
        <w:t>33</w:t>
      </w:r>
      <w:r>
        <w:rPr>
          <w:rFonts w:ascii="仿宋_GB2312" w:eastAsia="仿宋_GB2312" w:hint="eastAsia"/>
          <w:sz w:val="32"/>
          <w:szCs w:val="32"/>
          <w:lang w:val="en-US" w:eastAsia="zh-CN"/>
        </w:rPr>
        <w:t>,427</w:t>
      </w:r>
      <w:r>
        <w:rPr>
          <w:rFonts w:ascii="仿宋_GB2312" w:eastAsia="仿宋_GB2312" w:hint="eastAsia"/>
          <w:sz w:val="32"/>
          <w:szCs w:val="32"/>
        </w:rPr>
        <w:t>.</w:t>
      </w:r>
      <w:r>
        <w:rPr>
          <w:rFonts w:ascii="仿宋_GB2312" w:eastAsia="仿宋_GB2312" w:hint="eastAsia"/>
          <w:sz w:val="32"/>
          <w:szCs w:val="32"/>
          <w:lang w:val="en-US" w:eastAsia="zh-CN"/>
        </w:rPr>
        <w:t>4</w:t>
      </w:r>
      <w:r>
        <w:rPr>
          <w:rFonts w:ascii="仿宋_GB2312" w:eastAsia="仿宋_GB2312" w:hint="eastAsia"/>
          <w:sz w:val="32"/>
          <w:szCs w:val="32"/>
        </w:rPr>
        <w:t>3</w:t>
      </w:r>
      <w:r>
        <w:rPr>
          <w:rFonts w:ascii="Times New Roman" w:eastAsia="仿宋_GB2312" w:cs="仿宋_GB2312" w:hAnsi="Times New Roman" w:hint="eastAsia"/>
          <w:color w:val="auto"/>
          <w:kern w:val="2"/>
          <w:sz w:val="32"/>
          <w:szCs w:val="32"/>
          <w:lang w:val="en-US" w:eastAsia="zh-CN" w:bidi="ar-SA"/>
          <w:highlight w:val="auto"/>
        </w:rPr>
        <w:t>万元，占本年支出合计的</w:t>
      </w:r>
      <w:r>
        <w:rPr>
          <w:rFonts w:eastAsia="仿宋_GB2312" w:cs="仿宋_GB2312" w:hint="eastAsia"/>
          <w:color w:val="auto"/>
          <w:kern w:val="2"/>
          <w:sz w:val="32"/>
          <w:szCs w:val="32"/>
          <w:lang w:val="en-US" w:eastAsia="zh-CN" w:bidi="ar-SA"/>
          <w:highlight w:val="auto"/>
        </w:rPr>
        <w:t>99.8</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与</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年度相比，一般公共预算财政拨款支出增加171.13万元增幅0.51%。主要变动原因是</w:t>
      </w:r>
      <w:r>
        <w:rPr>
          <w:rFonts w:eastAsia="仿宋_GB2312" w:cs="仿宋_GB2312" w:hint="eastAsia"/>
          <w:color w:val="auto"/>
          <w:kern w:val="2"/>
          <w:sz w:val="32"/>
          <w:szCs w:val="32"/>
          <w:lang w:val="en-US" w:eastAsia="zh-CN" w:bidi="ar-SA"/>
          <w:highlight w:val="auto"/>
        </w:rPr>
        <w:t>：</w:t>
      </w:r>
      <w:r>
        <w:rPr>
          <w:rFonts w:ascii="仿宋_GB2312" w:eastAsia="仿宋_GB2312" w:hint="eastAsia"/>
          <w:sz w:val="32"/>
          <w:szCs w:val="32"/>
          <w:lang w:val="en-US" w:eastAsia="zh-CN"/>
        </w:rPr>
        <w:t>阿坝州公安局（本级）部分项目资金减少及人员调动分流减少基本支出；阿坝州公安局交通管理支队新增交管大数据指挥中心业务技术用房家具设备采购、公安交通集成指挥专网平台建设项目、环蓉、环川智能卡口补点建设项目、-4G执法记录仪购置项目、公安交通管理综合应用平台社会化服务系统、道路交通综合智能监控系统运维费、交警网络运行维护项目，项目经费增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drawing>
          <wp:anchor distT="0" distB="0" distL="114300" distR="114300" simplePos="0" relativeHeight="33" behindDoc="0" locked="0" layoutInCell="1" hidden="0" allowOverlap="1">
            <wp:simplePos x="0" y="0"/>
            <wp:positionH relativeFrom="column">
              <wp:posOffset>259080</wp:posOffset>
            </wp:positionH>
            <wp:positionV relativeFrom="paragraph">
              <wp:posOffset>13969</wp:posOffset>
            </wp:positionV>
            <wp:extent cx="5256530" cy="2988310"/>
            <wp:effectExtent l="0" t="0" r="0" b="0"/>
            <wp:wrapNone/>
            <wp:docPr id="14" name="图表 5"/>
            <wp:cNvGraphicFramePr>
              <a:graphicFrameLocks noChangeAspect="0"/>
            </wp:cNvGraphicFramePr>
            <a:graphic>
              <a:graphicData uri="http://schemas.openxmlformats.org/drawingml/2006/chart">
                <c:chart xmlns:c="http://schemas.openxmlformats.org/drawingml/2006/chart" r:id="rId12"/>
              </a:graphicData>
            </a:graphic>
          </wp:anchor>
        </w:drawing>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（图5：一般公共预算财政拨款支出决算变动情况）（柱状图）</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38" w:name="_Toc15377211"/>
      <w:r>
        <w:rPr>
          <w:rFonts w:ascii="Times New Roman" w:eastAsia="楷体_GB2312" w:cs="楷体_GB2312" w:hAnsi="Times New Roman" w:hint="eastAsia"/>
          <w:b/>
          <w:color w:val="auto"/>
          <w:sz w:val="32"/>
          <w:szCs w:val="32"/>
          <w:highlight w:val="auto"/>
        </w:rPr>
        <w:t>（二）一般公共预算财政拨款支出决算结构情况</w:t>
      </w:r>
      <w:bookmarkEnd w:id="38"/>
    </w:p>
    <w:p>
      <w:pPr>
        <w:spacing w:line="600" w:lineRule="exact"/>
        <w:ind w:firstLine="640"/>
        <w:rPr>
          <w:rFonts w:ascii="仿宋_GB2312" w:eastAsia="仿宋_GB2312" w:hint="eastAsia"/>
          <w:sz w:val="32"/>
          <w:szCs w:val="32"/>
          <w:lang w:eastAsia="zh-CN"/>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一般公共预算财政拨款支出</w:t>
      </w:r>
      <w:r>
        <w:rPr>
          <w:rFonts w:ascii="仿宋_GB2312" w:eastAsia="仿宋_GB2312" w:hint="eastAsia"/>
          <w:sz w:val="32"/>
          <w:szCs w:val="32"/>
        </w:rPr>
        <w:t>33</w:t>
      </w:r>
      <w:r>
        <w:rPr>
          <w:rFonts w:ascii="仿宋_GB2312" w:eastAsia="仿宋_GB2312" w:hint="eastAsia"/>
          <w:sz w:val="32"/>
          <w:szCs w:val="32"/>
          <w:lang w:val="en-US" w:eastAsia="zh-CN"/>
        </w:rPr>
        <w:t>,427</w:t>
      </w:r>
      <w:r>
        <w:rPr>
          <w:rFonts w:ascii="仿宋_GB2312" w:eastAsia="仿宋_GB2312" w:hint="eastAsia"/>
          <w:sz w:val="32"/>
          <w:szCs w:val="32"/>
        </w:rPr>
        <w:t>.</w:t>
      </w:r>
      <w:r>
        <w:rPr>
          <w:rFonts w:ascii="仿宋_GB2312" w:eastAsia="仿宋_GB2312" w:hint="eastAsia"/>
          <w:sz w:val="32"/>
          <w:szCs w:val="32"/>
          <w:lang w:val="en-US" w:eastAsia="zh-CN"/>
        </w:rPr>
        <w:t>4</w:t>
      </w:r>
      <w:r>
        <w:rPr>
          <w:rFonts w:ascii="仿宋_GB2312" w:eastAsia="仿宋_GB2312" w:hint="eastAsia"/>
          <w:sz w:val="32"/>
          <w:szCs w:val="32"/>
        </w:rPr>
        <w:t>3</w:t>
      </w:r>
      <w:r>
        <w:rPr>
          <w:rFonts w:ascii="Times New Roman" w:eastAsia="仿宋_GB2312" w:cs="仿宋_GB2312" w:hAnsi="Times New Roman" w:hint="eastAsia"/>
          <w:color w:val="auto"/>
          <w:kern w:val="2"/>
          <w:sz w:val="32"/>
          <w:szCs w:val="32"/>
          <w:lang w:val="en-US" w:eastAsia="zh-CN" w:bidi="ar-SA"/>
          <w:highlight w:val="auto"/>
        </w:rPr>
        <w:t>万元，主要用于以下方面</w:t>
      </w:r>
      <w:r>
        <w:rPr>
          <w:rFonts w:eastAsia="仿宋_GB2312" w:cs="仿宋_GB2312" w:hint="eastAsia"/>
          <w:color w:val="auto"/>
          <w:kern w:val="2"/>
          <w:sz w:val="32"/>
          <w:szCs w:val="32"/>
          <w:lang w:val="en-US" w:eastAsia="zh-CN" w:bidi="ar-SA"/>
          <w:highlight w:val="auto"/>
        </w:rPr>
        <w:t>：</w:t>
      </w:r>
      <w:r>
        <w:rPr>
          <w:rFonts w:ascii="仿宋_GB2312" w:eastAsia="仿宋_GB2312" w:hint="eastAsia"/>
          <w:sz w:val="32"/>
          <w:szCs w:val="32"/>
          <w:highlight w:val="auto"/>
        </w:rPr>
        <w:t>公共安全支出</w:t>
      </w:r>
      <w:r>
        <w:rPr>
          <w:rFonts w:ascii="仿宋_GB2312" w:eastAsia="仿宋_GB2312" w:hint="eastAsia"/>
          <w:sz w:val="32"/>
          <w:szCs w:val="32"/>
          <w:lang w:eastAsia="zh-CN"/>
          <w:highlight w:val="auto"/>
        </w:rPr>
        <w:t>（</w:t>
      </w:r>
      <w:r>
        <w:rPr>
          <w:rFonts w:ascii="仿宋_GB2312" w:eastAsia="仿宋_GB2312" w:hint="eastAsia"/>
          <w:sz w:val="32"/>
          <w:szCs w:val="32"/>
          <w:lang w:val="en-US" w:eastAsia="zh-CN"/>
          <w:highlight w:val="auto"/>
        </w:rPr>
        <w:t>204</w:t>
      </w:r>
      <w:r>
        <w:rPr>
          <w:rFonts w:ascii="仿宋_GB2312" w:eastAsia="仿宋_GB2312" w:hint="eastAsia"/>
          <w:sz w:val="32"/>
          <w:szCs w:val="32"/>
          <w:lang w:eastAsia="zh-CN"/>
          <w:highlight w:val="auto"/>
        </w:rPr>
        <w:t>）</w:t>
      </w:r>
      <w:r>
        <w:rPr>
          <w:rFonts w:ascii="仿宋_GB2312" w:eastAsia="仿宋_GB2312" w:hint="eastAsia"/>
          <w:sz w:val="32"/>
          <w:szCs w:val="32"/>
          <w:highlight w:val="auto"/>
        </w:rPr>
        <w:t>为</w:t>
      </w:r>
      <w:r>
        <w:rPr>
          <w:rFonts w:ascii="仿宋_GB2312" w:eastAsia="仿宋_GB2312" w:hint="eastAsia"/>
          <w:sz w:val="32"/>
          <w:szCs w:val="32"/>
          <w:lang w:val="en-US" w:eastAsia="zh-CN"/>
          <w:highlight w:val="auto"/>
        </w:rPr>
        <w:t>28,187.12</w:t>
      </w:r>
      <w:r>
        <w:rPr>
          <w:rFonts w:ascii="仿宋_GB2312" w:eastAsia="仿宋_GB2312" w:hint="eastAsia"/>
          <w:sz w:val="32"/>
          <w:szCs w:val="32"/>
          <w:highlight w:val="auto"/>
        </w:rPr>
        <w:t>万元，占比</w:t>
      </w:r>
      <w:r>
        <w:rPr>
          <w:rFonts w:ascii="仿宋_GB2312" w:eastAsia="仿宋_GB2312" w:hint="eastAsia"/>
          <w:sz w:val="32"/>
          <w:szCs w:val="32"/>
          <w:lang w:val="en-US" w:eastAsia="zh-CN"/>
          <w:highlight w:val="auto"/>
        </w:rPr>
        <w:t>84.32</w:t>
      </w:r>
      <w:r>
        <w:rPr>
          <w:rFonts w:ascii="仿宋_GB2312" w:eastAsia="仿宋_GB2312" w:hint="eastAsia"/>
          <w:sz w:val="32"/>
          <w:szCs w:val="32"/>
          <w:highlight w:val="auto"/>
        </w:rPr>
        <w:t>%；社会保障和就业支出</w:t>
      </w:r>
      <w:r>
        <w:rPr>
          <w:rFonts w:ascii="仿宋_GB2312" w:eastAsia="仿宋_GB2312" w:hint="eastAsia"/>
          <w:sz w:val="32"/>
          <w:szCs w:val="32"/>
          <w:lang w:eastAsia="zh-CN"/>
          <w:highlight w:val="auto"/>
        </w:rPr>
        <w:t>（</w:t>
      </w:r>
      <w:r>
        <w:rPr>
          <w:rFonts w:ascii="仿宋_GB2312" w:eastAsia="仿宋_GB2312" w:hint="eastAsia"/>
          <w:sz w:val="32"/>
          <w:szCs w:val="32"/>
          <w:lang w:val="en-US" w:eastAsia="zh-CN"/>
          <w:highlight w:val="auto"/>
        </w:rPr>
        <w:t>208</w:t>
      </w:r>
      <w:r>
        <w:rPr>
          <w:rFonts w:ascii="仿宋_GB2312" w:eastAsia="仿宋_GB2312" w:hint="eastAsia"/>
          <w:sz w:val="32"/>
          <w:szCs w:val="32"/>
          <w:lang w:eastAsia="zh-CN"/>
          <w:highlight w:val="auto"/>
        </w:rPr>
        <w:t>）</w:t>
      </w:r>
      <w:r>
        <w:rPr>
          <w:rFonts w:ascii="仿宋_GB2312" w:eastAsia="仿宋_GB2312" w:hint="eastAsia"/>
          <w:sz w:val="32"/>
          <w:szCs w:val="32"/>
          <w:highlight w:val="auto"/>
        </w:rPr>
        <w:t>为</w:t>
      </w:r>
      <w:r>
        <w:rPr>
          <w:rFonts w:ascii="仿宋_GB2312" w:eastAsia="仿宋_GB2312" w:hint="eastAsia"/>
          <w:sz w:val="32"/>
          <w:szCs w:val="32"/>
          <w:lang w:val="en-US" w:eastAsia="zh-CN"/>
          <w:highlight w:val="auto"/>
        </w:rPr>
        <w:t>2,624.85</w:t>
      </w:r>
      <w:r>
        <w:rPr>
          <w:rFonts w:ascii="仿宋_GB2312" w:eastAsia="仿宋_GB2312" w:hint="eastAsia"/>
          <w:sz w:val="32"/>
          <w:szCs w:val="32"/>
          <w:highlight w:val="auto"/>
        </w:rPr>
        <w:t>万元，占比7.</w:t>
      </w:r>
      <w:r>
        <w:rPr>
          <w:rFonts w:ascii="仿宋_GB2312" w:eastAsia="仿宋_GB2312" w:hint="eastAsia"/>
          <w:sz w:val="32"/>
          <w:szCs w:val="32"/>
          <w:lang w:val="en-US" w:eastAsia="zh-CN"/>
          <w:highlight w:val="auto"/>
        </w:rPr>
        <w:t>85</w:t>
      </w:r>
      <w:r>
        <w:rPr>
          <w:rFonts w:ascii="仿宋_GB2312" w:eastAsia="仿宋_GB2312" w:hint="eastAsia"/>
          <w:sz w:val="32"/>
          <w:szCs w:val="32"/>
          <w:highlight w:val="auto"/>
        </w:rPr>
        <w:t>%；卫生健康支出</w:t>
      </w:r>
      <w:r>
        <w:rPr>
          <w:rFonts w:ascii="仿宋_GB2312" w:eastAsia="仿宋_GB2312" w:hint="eastAsia"/>
          <w:sz w:val="32"/>
          <w:szCs w:val="32"/>
          <w:lang w:eastAsia="zh-CN"/>
          <w:highlight w:val="auto"/>
        </w:rPr>
        <w:t>（</w:t>
      </w:r>
      <w:r>
        <w:rPr>
          <w:rFonts w:ascii="仿宋_GB2312" w:eastAsia="仿宋_GB2312" w:hint="eastAsia"/>
          <w:sz w:val="32"/>
          <w:szCs w:val="32"/>
          <w:lang w:val="en-US" w:eastAsia="zh-CN"/>
          <w:highlight w:val="auto"/>
        </w:rPr>
        <w:t>210</w:t>
      </w:r>
      <w:r>
        <w:rPr>
          <w:rFonts w:ascii="仿宋_GB2312" w:eastAsia="仿宋_GB2312" w:hint="eastAsia"/>
          <w:sz w:val="32"/>
          <w:szCs w:val="32"/>
          <w:lang w:eastAsia="zh-CN"/>
          <w:highlight w:val="auto"/>
        </w:rPr>
        <w:t>）</w:t>
      </w:r>
      <w:r>
        <w:rPr>
          <w:rFonts w:ascii="仿宋_GB2312" w:eastAsia="仿宋_GB2312" w:hint="eastAsia"/>
          <w:sz w:val="32"/>
          <w:szCs w:val="32"/>
          <w:highlight w:val="auto"/>
        </w:rPr>
        <w:t>为</w:t>
      </w:r>
      <w:r>
        <w:rPr>
          <w:rFonts w:ascii="仿宋_GB2312" w:eastAsia="仿宋_GB2312" w:hint="eastAsia"/>
          <w:sz w:val="32"/>
          <w:szCs w:val="32"/>
          <w:lang w:val="en-US" w:eastAsia="zh-CN"/>
          <w:highlight w:val="auto"/>
        </w:rPr>
        <w:t>1,102.6</w:t>
      </w:r>
      <w:r>
        <w:rPr>
          <w:rFonts w:ascii="仿宋_GB2312" w:eastAsia="仿宋_GB2312" w:hint="eastAsia"/>
          <w:sz w:val="32"/>
          <w:szCs w:val="32"/>
        </w:rPr>
        <w:t>万元，占比3.</w:t>
      </w:r>
      <w:r>
        <w:rPr>
          <w:rFonts w:ascii="仿宋_GB2312" w:eastAsia="仿宋_GB2312" w:hint="eastAsia"/>
          <w:sz w:val="32"/>
          <w:szCs w:val="32"/>
          <w:lang w:val="en-US" w:eastAsia="zh-CN"/>
        </w:rPr>
        <w:t>3</w:t>
      </w:r>
      <w:r>
        <w:rPr>
          <w:rFonts w:ascii="仿宋_GB2312" w:eastAsia="仿宋_GB2312" w:hint="eastAsia"/>
          <w:sz w:val="32"/>
          <w:szCs w:val="32"/>
        </w:rPr>
        <w:t>%；住房保障支出为</w:t>
      </w:r>
      <w:r>
        <w:rPr>
          <w:rFonts w:ascii="仿宋_GB2312" w:eastAsia="仿宋_GB2312" w:hint="eastAsia"/>
          <w:sz w:val="32"/>
          <w:szCs w:val="32"/>
          <w:lang w:eastAsia="zh-CN"/>
        </w:rPr>
        <w:t>（</w:t>
      </w:r>
      <w:r>
        <w:rPr>
          <w:rFonts w:ascii="仿宋_GB2312" w:eastAsia="仿宋_GB2312" w:hint="eastAsia"/>
          <w:sz w:val="32"/>
          <w:szCs w:val="32"/>
          <w:lang w:val="en-US" w:eastAsia="zh-CN"/>
        </w:rPr>
        <w:t>221</w:t>
      </w:r>
      <w:r>
        <w:rPr>
          <w:rFonts w:ascii="仿宋_GB2312" w:eastAsia="仿宋_GB2312" w:hint="eastAsia"/>
          <w:sz w:val="32"/>
          <w:szCs w:val="32"/>
          <w:lang w:eastAsia="zh-CN"/>
        </w:rPr>
        <w:t>）</w:t>
      </w:r>
      <w:r>
        <w:rPr>
          <w:rFonts w:ascii="仿宋_GB2312" w:eastAsia="仿宋_GB2312" w:hint="eastAsia"/>
          <w:sz w:val="32"/>
          <w:szCs w:val="32"/>
          <w:lang w:val="en-US" w:eastAsia="zh-CN"/>
        </w:rPr>
        <w:t>1,512.86</w:t>
      </w:r>
      <w:r>
        <w:rPr>
          <w:rFonts w:ascii="仿宋_GB2312" w:eastAsia="仿宋_GB2312" w:hint="eastAsia"/>
          <w:sz w:val="32"/>
          <w:szCs w:val="32"/>
        </w:rPr>
        <w:t>万，占比4.</w:t>
      </w:r>
      <w:r>
        <w:rPr>
          <w:rFonts w:ascii="仿宋_GB2312" w:eastAsia="仿宋_GB2312" w:hint="eastAsia"/>
          <w:sz w:val="32"/>
          <w:szCs w:val="32"/>
          <w:lang w:val="en-US" w:eastAsia="zh-CN"/>
        </w:rPr>
        <w:t>53</w:t>
      </w:r>
      <w:r>
        <w:rPr>
          <w:rFonts w:ascii="仿宋_GB2312" w:eastAsia="仿宋_GB2312" w:hint="eastAsia"/>
          <w:sz w:val="32"/>
          <w:szCs w:val="32"/>
        </w:rPr>
        <w:t>%</w:t>
      </w:r>
      <w:r>
        <w:rPr>
          <w:rFonts w:ascii="仿宋_GB2312" w:eastAsia="仿宋_GB2312" w:hint="eastAsia"/>
          <w:sz w:val="32"/>
          <w:szCs w:val="32"/>
          <w:lang w:eastAsia="zh-CN"/>
        </w:rPr>
        <w:t>。</w:t>
      </w:r>
    </w:p>
    <w:p>
      <w:pPr>
        <w:spacing w:line="600" w:lineRule="exact"/>
        <w:ind w:firstLine="640"/>
        <w:rPr>
          <w:rFonts w:ascii="仿宋_GB2312" w:eastAsia="仿宋_GB2312" w:hint="eastAsia"/>
          <w:sz w:val="32"/>
          <w:szCs w:val="32"/>
          <w:lang w:eastAsia="zh-CN"/>
        </w:rPr>
      </w:pPr>
      <w:r>
        <w:rPr>
          <w:rFonts w:ascii="仿宋_GB2312" w:eastAsia="仿宋_GB2312" w:hint="eastAsia"/>
          <w:sz w:val="32"/>
          <w:szCs w:val="32"/>
          <w:lang w:eastAsia="zh-CN"/>
        </w:rPr>
        <w:drawing>
          <wp:anchor distT="0" distB="0" distL="114300" distR="114300" simplePos="0" relativeHeight="35" behindDoc="0" locked="0" layoutInCell="1" hidden="0" allowOverlap="1">
            <wp:simplePos x="0" y="0"/>
            <wp:positionH relativeFrom="column">
              <wp:posOffset>59055</wp:posOffset>
            </wp:positionH>
            <wp:positionV relativeFrom="paragraph">
              <wp:posOffset>156845</wp:posOffset>
            </wp:positionV>
            <wp:extent cx="5256530" cy="2988310"/>
            <wp:effectExtent l="0" t="0" r="0" b="0"/>
            <wp:wrapNone/>
            <wp:docPr id="15" name="图表 7"/>
            <wp:cNvGraphicFramePr>
              <a:graphicFrameLocks noChangeAspect="0"/>
            </wp:cNvGraphicFramePr>
            <a:graphic>
              <a:graphicData uri="http://schemas.openxmlformats.org/drawingml/2006/chart">
                <c:chart xmlns:c="http://schemas.openxmlformats.org/drawingml/2006/chart" r:id="rId13"/>
              </a:graphicData>
            </a:graphic>
          </wp:anchor>
        </w:drawing>
      </w:r>
    </w:p>
    <w:p>
      <w:pPr>
        <w:spacing w:line="600" w:lineRule="exact"/>
        <w:ind w:firstLine="640"/>
        <w:rPr>
          <w:rFonts w:ascii="仿宋_GB2312" w:eastAsia="仿宋_GB2312" w:hint="eastAsia"/>
          <w:sz w:val="32"/>
          <w:szCs w:val="32"/>
          <w:lang w:eastAsia="zh-CN"/>
        </w:rPr>
      </w:pPr>
    </w:p>
    <w:p>
      <w:pPr>
        <w:spacing w:line="600" w:lineRule="exact"/>
        <w:ind w:firstLine="640"/>
        <w:rPr>
          <w:rFonts w:ascii="仿宋_GB2312" w:eastAsia="仿宋_GB2312" w:hint="eastAsia"/>
          <w:sz w:val="32"/>
          <w:szCs w:val="32"/>
          <w:lang w:eastAsia="zh-CN"/>
        </w:rPr>
      </w:pPr>
    </w:p>
    <w:p>
      <w:pPr>
        <w:spacing w:line="600" w:lineRule="exact"/>
        <w:ind w:firstLine="640"/>
        <w:rPr>
          <w:rFonts w:ascii="仿宋_GB2312" w:eastAsia="仿宋_GB2312" w:hint="eastAsia"/>
          <w:sz w:val="32"/>
          <w:szCs w:val="32"/>
          <w:lang w:eastAsia="zh-CN"/>
        </w:rPr>
      </w:pPr>
    </w:p>
    <w:p>
      <w:pPr>
        <w:spacing w:line="600" w:lineRule="exact"/>
        <w:ind w:firstLine="640"/>
        <w:rPr>
          <w:rFonts w:ascii="仿宋_GB2312" w:eastAsia="仿宋_GB2312" w:hint="eastAsia"/>
          <w:sz w:val="32"/>
          <w:szCs w:val="32"/>
          <w:lang w:eastAsia="zh-CN"/>
        </w:rPr>
      </w:pPr>
    </w:p>
    <w:p>
      <w:pPr>
        <w:spacing w:line="600" w:lineRule="exact"/>
        <w:ind w:firstLine="640"/>
        <w:rPr>
          <w:rFonts w:ascii="仿宋_GB2312" w:eastAsia="仿宋_GB2312" w:hint="eastAsia"/>
          <w:sz w:val="32"/>
          <w:szCs w:val="32"/>
          <w:lang w:eastAsia="zh-CN"/>
        </w:rPr>
      </w:pPr>
    </w:p>
    <w:p>
      <w:pPr>
        <w:spacing w:line="600" w:lineRule="exact"/>
        <w:ind w:firstLine="640"/>
        <w:rPr>
          <w:rFonts w:ascii="仿宋_GB2312" w:eastAsia="仿宋_GB2312" w:hint="eastAsia"/>
          <w:sz w:val="32"/>
          <w:szCs w:val="32"/>
          <w:lang w:eastAsia="zh-CN"/>
        </w:rPr>
      </w:pPr>
    </w:p>
    <w:p>
      <w:pPr>
        <w:spacing w:line="600" w:lineRule="exact"/>
        <w:ind w:firstLine="640"/>
        <w:rPr>
          <w:rFonts w:ascii="仿宋_GB2312" w:eastAsia="仿宋_GB2312" w:hint="eastAsia"/>
          <w:sz w:val="32"/>
          <w:szCs w:val="32"/>
          <w:lang w:eastAsia="zh-CN"/>
        </w:rPr>
      </w:pPr>
    </w:p>
    <w:p>
      <w:pPr>
        <w:spacing w:line="600" w:lineRule="exact"/>
        <w:ind w:firstLine="640"/>
        <w:rPr>
          <w:rFonts w:ascii="仿宋_GB2312" w:eastAsia="仿宋_GB2312" w:hint="eastAsia"/>
          <w:sz w:val="32"/>
          <w:szCs w:val="32"/>
          <w:lang w:val="en-US" w:eastAsia="zh-CN"/>
        </w:rPr>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（图6：一般公共预算财政拨款支出决算结构）（饼状图）</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39" w:name="_Toc15377212"/>
      <w:r>
        <w:rPr>
          <w:rFonts w:ascii="Times New Roman" w:eastAsia="楷体_GB2312" w:cs="楷体_GB2312" w:hAnsi="Times New Roman" w:hint="eastAsia"/>
          <w:b/>
          <w:color w:val="auto"/>
          <w:sz w:val="32"/>
          <w:szCs w:val="32"/>
          <w:highlight w:val="auto"/>
        </w:rPr>
        <w:t>（三）一般公共预算财政拨款支出决算具体情况</w:t>
      </w:r>
      <w:bookmarkEnd w:id="39"/>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bookmarkStart w:id="40" w:name="_Toc15377444"/>
      <w:bookmarkStart w:id="41" w:name="_Toc15377213"/>
      <w:bookmarkStart w:id="42" w:name="_Toc15378460"/>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一般公共预算支出决算数为</w:t>
      </w:r>
      <w:r>
        <w:rPr>
          <w:rFonts w:ascii="仿宋_GB2312" w:eastAsia="仿宋_GB2312" w:hint="eastAsia"/>
          <w:sz w:val="32"/>
          <w:szCs w:val="32"/>
        </w:rPr>
        <w:t>33</w:t>
      </w:r>
      <w:r>
        <w:rPr>
          <w:rFonts w:ascii="仿宋_GB2312" w:eastAsia="仿宋_GB2312" w:hint="eastAsia"/>
          <w:sz w:val="32"/>
          <w:szCs w:val="32"/>
          <w:lang w:val="en-US" w:eastAsia="zh-CN"/>
        </w:rPr>
        <w:t>,427</w:t>
      </w:r>
      <w:r>
        <w:rPr>
          <w:rFonts w:ascii="仿宋_GB2312" w:eastAsia="仿宋_GB2312" w:hint="eastAsia"/>
          <w:sz w:val="32"/>
          <w:szCs w:val="32"/>
        </w:rPr>
        <w:t>.</w:t>
      </w:r>
      <w:r>
        <w:rPr>
          <w:rFonts w:ascii="仿宋_GB2312" w:eastAsia="仿宋_GB2312" w:hint="eastAsia"/>
          <w:sz w:val="32"/>
          <w:szCs w:val="32"/>
          <w:lang w:val="en-US" w:eastAsia="zh-CN"/>
        </w:rPr>
        <w:t>4</w:t>
      </w:r>
      <w:r>
        <w:rPr>
          <w:rFonts w:ascii="仿宋_GB2312" w:eastAsia="仿宋_GB2312" w:hint="eastAsia"/>
          <w:sz w:val="32"/>
          <w:szCs w:val="32"/>
        </w:rPr>
        <w:t>3</w:t>
      </w:r>
      <w:r>
        <w:rPr>
          <w:rFonts w:ascii="仿宋_GB2312" w:eastAsia="仿宋_GB2312" w:hint="eastAsia"/>
          <w:sz w:val="32"/>
          <w:szCs w:val="32"/>
          <w:lang w:val="en-US" w:eastAsia="zh-CN"/>
        </w:rPr>
        <w:t>万元</w:t>
      </w:r>
      <w:r>
        <w:rPr>
          <w:rFonts w:ascii="Times New Roman" w:eastAsia="仿宋_GB2312" w:cs="仿宋_GB2312" w:hAnsi="Times New Roman" w:hint="eastAsia"/>
          <w:color w:val="auto"/>
          <w:kern w:val="2"/>
          <w:sz w:val="32"/>
          <w:szCs w:val="32"/>
          <w:lang w:val="en-US" w:eastAsia="zh-CN" w:bidi="ar-SA"/>
          <w:highlight w:val="auto"/>
        </w:rPr>
        <w:t>，完成预算</w:t>
      </w:r>
      <w:r>
        <w:rPr>
          <w:rFonts w:eastAsia="仿宋_GB2312" w:cs="仿宋_GB2312" w:hint="eastAsia"/>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%。其中：</w:t>
      </w:r>
      <w:bookmarkEnd w:id="40"/>
      <w:bookmarkEnd w:id="41"/>
      <w:bookmarkEnd w:id="42"/>
    </w:p>
    <w:p>
      <w:pPr>
        <w:spacing w:line="600" w:lineRule="exact"/>
        <w:ind w:left="0" w:firstLineChars="200" w:firstLine="640"/>
        <w:rPr>
          <w:rFonts w:eastAsia="仿宋_GB2312" w:cs="仿宋_GB2312"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1.</w:t>
      </w:r>
      <w:r>
        <w:rPr>
          <w:rFonts w:ascii="Times New Roman" w:eastAsia="仿宋_GB2312" w:cs="仿宋_GB2312" w:hAnsi="Times New Roman" w:hint="eastAsia"/>
          <w:color w:val="auto"/>
          <w:kern w:val="2"/>
          <w:sz w:val="32"/>
          <w:szCs w:val="32"/>
          <w:lang w:val="en-US" w:eastAsia="zh-CN" w:bidi="ar-SA"/>
          <w:highlight w:val="auto"/>
        </w:rPr>
        <w:t>社会保障和就业</w:t>
      </w:r>
      <w:r>
        <w:rPr>
          <w:rFonts w:eastAsia="仿宋_GB2312" w:cs="仿宋_GB2312" w:hint="eastAsia"/>
          <w:color w:val="auto"/>
          <w:kern w:val="2"/>
          <w:sz w:val="32"/>
          <w:szCs w:val="32"/>
          <w:lang w:val="en-US" w:eastAsia="zh-CN" w:bidi="ar-SA"/>
          <w:highlight w:val="auto"/>
        </w:rPr>
        <w:t>支出</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204</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支出决算为</w:t>
      </w:r>
      <w:r>
        <w:rPr>
          <w:rFonts w:ascii="仿宋_GB2312" w:eastAsia="仿宋_GB2312" w:hint="eastAsia"/>
          <w:sz w:val="32"/>
          <w:szCs w:val="32"/>
          <w:lang w:val="en-US" w:eastAsia="zh-CN"/>
          <w:highlight w:val="auto"/>
        </w:rPr>
        <w:t>28,187.12</w:t>
      </w:r>
      <w:r>
        <w:rPr>
          <w:rFonts w:ascii="Times New Roman" w:eastAsia="仿宋_GB2312" w:cs="仿宋_GB2312" w:hAnsi="Times New Roman" w:hint="eastAsia"/>
          <w:color w:val="auto"/>
          <w:kern w:val="2"/>
          <w:sz w:val="32"/>
          <w:szCs w:val="32"/>
          <w:lang w:val="en-US" w:eastAsia="zh-CN" w:bidi="ar-SA"/>
          <w:highlight w:val="auto"/>
        </w:rPr>
        <w:t>万元，完成预算</w:t>
      </w:r>
      <w:r>
        <w:rPr>
          <w:rFonts w:eastAsia="仿宋_GB2312" w:cs="仿宋_GB2312" w:hint="eastAsia"/>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%，决算数等于预算数</w:t>
      </w:r>
      <w:r>
        <w:rPr>
          <w:rFonts w:eastAsia="仿宋_GB2312" w:cs="仿宋_GB2312" w:hint="eastAsia"/>
          <w:color w:val="auto"/>
          <w:kern w:val="2"/>
          <w:sz w:val="32"/>
          <w:szCs w:val="32"/>
          <w:lang w:val="en-US" w:eastAsia="zh-CN" w:bidi="ar-SA"/>
          <w:highlight w:val="auto"/>
        </w:rPr>
        <w:t>。</w:t>
      </w:r>
    </w:p>
    <w:p>
      <w:pPr>
        <w:spacing w:line="600" w:lineRule="exact"/>
        <w:ind w:left="0" w:firstLineChars="200"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2.社会保障</w:t>
      </w:r>
      <w:r>
        <w:rPr>
          <w:rFonts w:ascii="仿宋_GB2312" w:eastAsia="仿宋_GB2312" w:hint="eastAsia"/>
          <w:sz w:val="32"/>
          <w:szCs w:val="32"/>
        </w:rPr>
        <w:t>和就业</w:t>
      </w:r>
      <w:r>
        <w:rPr>
          <w:rFonts w:eastAsia="仿宋_GB2312" w:cs="仿宋_GB2312" w:hint="eastAsia"/>
          <w:color w:val="auto"/>
          <w:kern w:val="2"/>
          <w:sz w:val="32"/>
          <w:szCs w:val="32"/>
          <w:lang w:val="en-US" w:eastAsia="zh-CN" w:bidi="ar-SA"/>
          <w:highlight w:val="auto"/>
        </w:rPr>
        <w:t>支出</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208</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支出决算为</w:t>
      </w:r>
      <w:r>
        <w:rPr>
          <w:rFonts w:ascii="仿宋_GB2312" w:eastAsia="仿宋_GB2312" w:hint="eastAsia"/>
          <w:sz w:val="32"/>
          <w:szCs w:val="32"/>
          <w:lang w:val="en-US" w:eastAsia="zh-CN"/>
          <w:highlight w:val="auto"/>
        </w:rPr>
        <w:t>2,624.85</w:t>
      </w:r>
      <w:r>
        <w:rPr>
          <w:rFonts w:ascii="Times New Roman" w:eastAsia="仿宋_GB2312" w:cs="仿宋_GB2312" w:hAnsi="Times New Roman" w:hint="eastAsia"/>
          <w:color w:val="auto"/>
          <w:kern w:val="2"/>
          <w:sz w:val="32"/>
          <w:szCs w:val="32"/>
          <w:lang w:val="en-US" w:eastAsia="zh-CN" w:bidi="ar-SA"/>
          <w:highlight w:val="auto"/>
        </w:rPr>
        <w:t>万元，完成预算</w:t>
      </w:r>
      <w:r>
        <w:rPr>
          <w:rFonts w:eastAsia="仿宋_GB2312" w:cs="仿宋_GB2312" w:hint="eastAsia"/>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%，决算数等于预算数</w:t>
      </w:r>
      <w:r>
        <w:rPr>
          <w:rFonts w:eastAsia="仿宋_GB2312" w:cs="仿宋_GB2312" w:hint="eastAsia"/>
          <w:color w:val="auto"/>
          <w:kern w:val="2"/>
          <w:sz w:val="32"/>
          <w:szCs w:val="32"/>
          <w:lang w:val="en-US" w:eastAsia="zh-CN" w:bidi="ar-SA"/>
          <w:highlight w:val="auto"/>
        </w:rPr>
        <w:t>。</w:t>
      </w:r>
    </w:p>
    <w:p>
      <w:pPr>
        <w:spacing w:line="600" w:lineRule="exact"/>
        <w:ind w:left="0" w:firstLineChars="200"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3.</w:t>
      </w:r>
      <w:r>
        <w:rPr>
          <w:rFonts w:ascii="Times New Roman" w:eastAsia="仿宋_GB2312" w:cs="仿宋_GB2312" w:hAnsi="Times New Roman" w:hint="eastAsia"/>
          <w:color w:val="auto"/>
          <w:kern w:val="2"/>
          <w:sz w:val="32"/>
          <w:szCs w:val="32"/>
          <w:lang w:val="en-US" w:eastAsia="zh-CN" w:bidi="ar-SA"/>
          <w:highlight w:val="auto"/>
        </w:rPr>
        <w:t>卫生健康</w:t>
      </w:r>
      <w:r>
        <w:rPr>
          <w:rFonts w:eastAsia="仿宋_GB2312" w:cs="仿宋_GB2312" w:hint="eastAsia"/>
          <w:color w:val="auto"/>
          <w:kern w:val="2"/>
          <w:sz w:val="32"/>
          <w:szCs w:val="32"/>
          <w:lang w:val="en-US" w:eastAsia="zh-CN" w:bidi="ar-SA"/>
          <w:highlight w:val="auto"/>
        </w:rPr>
        <w:t>支出</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210</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支出决算为</w:t>
      </w:r>
      <w:r>
        <w:rPr>
          <w:rFonts w:ascii="仿宋_GB2312" w:eastAsia="仿宋_GB2312" w:hint="eastAsia"/>
          <w:sz w:val="32"/>
          <w:szCs w:val="32"/>
          <w:lang w:val="en-US" w:eastAsia="zh-CN"/>
          <w:highlight w:val="auto"/>
        </w:rPr>
        <w:t>1,102.6</w:t>
      </w:r>
      <w:r>
        <w:rPr>
          <w:rFonts w:ascii="Times New Roman" w:eastAsia="仿宋_GB2312" w:cs="仿宋_GB2312" w:hAnsi="Times New Roman" w:hint="eastAsia"/>
          <w:color w:val="auto"/>
          <w:kern w:val="2"/>
          <w:sz w:val="32"/>
          <w:szCs w:val="32"/>
          <w:lang w:val="en-US" w:eastAsia="zh-CN" w:bidi="ar-SA"/>
          <w:highlight w:val="auto"/>
        </w:rPr>
        <w:t>万元，完成预算</w:t>
      </w:r>
      <w:r>
        <w:rPr>
          <w:rFonts w:eastAsia="仿宋_GB2312" w:cs="仿宋_GB2312" w:hint="eastAsia"/>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%，决算数等于预算数</w:t>
      </w:r>
      <w:r>
        <w:rPr>
          <w:rFonts w:eastAsia="仿宋_GB2312" w:cs="仿宋_GB2312" w:hint="eastAsia"/>
          <w:color w:val="auto"/>
          <w:kern w:val="2"/>
          <w:sz w:val="32"/>
          <w:szCs w:val="32"/>
          <w:lang w:val="en-US" w:eastAsia="zh-CN" w:bidi="ar-SA"/>
          <w:highlight w:val="auto"/>
        </w:rPr>
        <w:t>。</w:t>
      </w:r>
    </w:p>
    <w:p>
      <w:pPr>
        <w:spacing w:line="600" w:lineRule="exact"/>
        <w:ind w:left="0" w:firstLineChars="200"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4.</w:t>
      </w:r>
      <w:r>
        <w:rPr>
          <w:rFonts w:ascii="仿宋_GB2312" w:eastAsia="仿宋_GB2312" w:hint="eastAsia"/>
          <w:sz w:val="32"/>
          <w:szCs w:val="32"/>
        </w:rPr>
        <w:t>住房保障</w:t>
      </w:r>
      <w:r>
        <w:rPr>
          <w:rFonts w:eastAsia="仿宋_GB2312" w:cs="仿宋_GB2312" w:hint="eastAsia"/>
          <w:color w:val="auto"/>
          <w:kern w:val="2"/>
          <w:sz w:val="32"/>
          <w:szCs w:val="32"/>
          <w:lang w:val="en-US" w:eastAsia="zh-CN" w:bidi="ar-SA"/>
          <w:highlight w:val="auto"/>
        </w:rPr>
        <w:t>支出</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210</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支出决算为</w:t>
      </w:r>
      <w:r>
        <w:rPr>
          <w:rFonts w:ascii="仿宋_GB2312" w:eastAsia="仿宋_GB2312" w:hint="eastAsia"/>
          <w:sz w:val="32"/>
          <w:szCs w:val="32"/>
          <w:lang w:val="en-US" w:eastAsia="zh-CN"/>
        </w:rPr>
        <w:t>1,512.86</w:t>
      </w:r>
      <w:r>
        <w:rPr>
          <w:rFonts w:ascii="Times New Roman" w:eastAsia="仿宋_GB2312" w:cs="仿宋_GB2312" w:hAnsi="Times New Roman" w:hint="eastAsia"/>
          <w:color w:val="auto"/>
          <w:kern w:val="2"/>
          <w:sz w:val="32"/>
          <w:szCs w:val="32"/>
          <w:lang w:val="en-US" w:eastAsia="zh-CN" w:bidi="ar-SA"/>
          <w:highlight w:val="auto"/>
        </w:rPr>
        <w:t>万元，完成预算</w:t>
      </w:r>
      <w:r>
        <w:rPr>
          <w:rFonts w:eastAsia="仿宋_GB2312" w:cs="仿宋_GB2312" w:hint="eastAsia"/>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%，决算数等于预算数</w:t>
      </w:r>
      <w:r>
        <w:rPr>
          <w:rFonts w:eastAsia="仿宋_GB2312" w:cs="仿宋_GB2312" w:hint="eastAsia"/>
          <w:color w:val="auto"/>
          <w:kern w:val="2"/>
          <w:sz w:val="32"/>
          <w:szCs w:val="32"/>
          <w:lang w:val="en-US" w:eastAsia="zh-CN" w:bidi="ar-SA"/>
          <w:highlight w:val="auto"/>
        </w:rPr>
        <w:t>。</w:t>
      </w:r>
    </w:p>
    <w:p>
      <w:pPr>
        <w:tabs>
          <w:tab w:val="right" w:pos="8306"/>
        </w:tabs>
        <w:spacing w:line="600" w:lineRule="exact"/>
        <w:ind w:firstLine="640"/>
        <w:outlineLvl w:val="1"/>
        <w:rPr>
          <w:rStyle w:val="2Char"/>
          <w:rFonts w:ascii="Times New Roman" w:hAnsi="Times New Roman"/>
          <w:color w:val="auto"/>
          <w:highlight w:val="auto"/>
        </w:rPr>
      </w:pPr>
      <w:bookmarkStart w:id="43" w:name="_Toc15396608"/>
      <w:bookmarkStart w:id="44" w:name="_Toc15377214"/>
      <w:bookmarkStart w:id="45" w:name="_Toc23013"/>
      <w:r>
        <w:rPr>
          <w:rFonts w:ascii="Times New Roman" w:eastAsia="黑体" w:hAnsi="Times New Roman" w:hint="eastAsia"/>
          <w:color w:val="auto"/>
          <w:sz w:val="32"/>
          <w:szCs w:val="32"/>
          <w:highlight w:val="auto"/>
        </w:rPr>
        <w:t>六</w:t>
      </w:r>
      <w:r>
        <w:rPr>
          <w:rFonts w:ascii="Times New Roman" w:eastAsia="黑体" w:hAnsi="Times New Roman" w:hint="eastAsia"/>
          <w:b/>
          <w:color w:val="auto"/>
          <w:sz w:val="32"/>
          <w:szCs w:val="32"/>
          <w:highlight w:val="auto"/>
        </w:rPr>
        <w:t>、一</w:t>
      </w:r>
      <w:r>
        <w:rPr>
          <w:rStyle w:val="2Char"/>
          <w:rFonts w:ascii="Times New Roman" w:eastAsia="黑体" w:hAnsi="Times New Roman" w:hint="eastAsia"/>
          <w:b w:val="0"/>
          <w:color w:val="auto"/>
          <w:highlight w:val="auto"/>
        </w:rPr>
        <w:t>般公共预算财政拨款基本支出决算情况说明</w:t>
      </w:r>
      <w:bookmarkEnd w:id="43"/>
      <w:bookmarkEnd w:id="44"/>
      <w:bookmarkEnd w:id="45"/>
      <w:r>
        <w:rPr>
          <w:rStyle w:val="2Char"/>
          <w:rFonts w:ascii="Times New Roman" w:eastAsia="黑体" w:hAnsi="Times New Roman"/>
          <w:b w:val="0"/>
          <w:color w:val="auto"/>
          <w:highlight w:val="auto"/>
        </w:rPr>
        <w:tab/>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一般公共预算财政拨款基本支出</w:t>
      </w:r>
      <w:r>
        <w:rPr>
          <w:rFonts w:ascii="Times New Roman" w:eastAsia="仿宋_GB2312" w:cs="仿宋_GB2312" w:hAnsi="Times New Roman" w:hint="eastAsia"/>
          <w:color w:val="auto"/>
          <w:sz w:val="32"/>
          <w:szCs w:val="32"/>
          <w:lang w:eastAsia="zh-CN"/>
          <w:highlight w:val="auto"/>
        </w:rPr>
        <w:t>24</w:t>
      </w:r>
      <w:r>
        <w:rPr>
          <w:rFonts w:eastAsia="仿宋_GB2312" w:cs="仿宋_GB2312" w:hint="eastAsia"/>
          <w:color w:val="auto"/>
          <w:sz w:val="32"/>
          <w:szCs w:val="32"/>
          <w:lang w:val="en-US" w:eastAsia="zh-CN"/>
          <w:highlight w:val="auto"/>
        </w:rPr>
        <w:t>,</w:t>
      </w:r>
      <w:r>
        <w:rPr>
          <w:rFonts w:ascii="Times New Roman" w:eastAsia="仿宋_GB2312" w:cs="仿宋_GB2312" w:hAnsi="Times New Roman" w:hint="eastAsia"/>
          <w:color w:val="auto"/>
          <w:sz w:val="32"/>
          <w:szCs w:val="32"/>
          <w:lang w:eastAsia="zh-CN"/>
          <w:highlight w:val="auto"/>
        </w:rPr>
        <w:t>072.47</w:t>
      </w:r>
      <w:r>
        <w:rPr>
          <w:rFonts w:ascii="Times New Roman" w:eastAsia="仿宋_GB2312" w:cs="仿宋_GB2312" w:hAnsi="Times New Roman" w:hint="eastAsia"/>
          <w:color w:val="auto"/>
          <w:kern w:val="2"/>
          <w:sz w:val="32"/>
          <w:szCs w:val="32"/>
          <w:lang w:val="en-US" w:eastAsia="zh-CN" w:bidi="ar-SA"/>
          <w:highlight w:val="auto"/>
        </w:rPr>
        <w:t>万元，其中：</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人员经费21</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782.81万元，主要包括：基本工资、津贴补贴、奖金、伙食补助费、机关事业单位基本养老保险缴费、职业年金缴费、职工基本医疗保险缴费</w:t>
      </w:r>
      <w:r>
        <w:rPr>
          <w:rFonts w:eastAsia="仿宋_GB2312" w:cs="仿宋_GB2312" w:hint="eastAsia"/>
          <w:color w:val="auto"/>
          <w:kern w:val="2"/>
          <w:sz w:val="32"/>
          <w:szCs w:val="32"/>
          <w:lang w:val="en-US" w:eastAsia="zh-CN" w:bidi="ar-SA"/>
          <w:highlight w:val="auto"/>
        </w:rPr>
        <w:t>、公务员医疗补助缴费、</w:t>
      </w:r>
      <w:r>
        <w:rPr>
          <w:rFonts w:ascii="Times New Roman" w:eastAsia="仿宋_GB2312" w:cs="仿宋_GB2312" w:hAnsi="Times New Roman" w:hint="eastAsia"/>
          <w:color w:val="auto"/>
          <w:kern w:val="2"/>
          <w:sz w:val="32"/>
          <w:szCs w:val="32"/>
          <w:lang w:val="en-US" w:eastAsia="zh-CN" w:bidi="ar-SA"/>
          <w:highlight w:val="auto"/>
        </w:rPr>
        <w:t>其他社会保障缴费、住房公积金</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其他工资福利支出、离休费、抚恤金、生活补助、医疗费补助、奖励金等。</w:t>
        <w:br/>
        <w:t>　　公用经费2</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225.16万元，主要包括：办公费、印刷费、水费、电费、邮电费、物业管理费、差旅费、维修（护）费、租赁费、公务接待费、被装购置费</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专用材料费</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劳务费、委托业务费、工会经费、福利费、公务用车运行维护费、其他交通费、其他商品和服务支出、办公设备购置、专用设备购置、信息网络及软件购置更新等。</w:t>
      </w:r>
    </w:p>
    <w:p>
      <w:pPr>
        <w:spacing w:line="600" w:lineRule="exact"/>
        <w:ind w:firstLine="640"/>
        <w:outlineLvl w:val="1"/>
        <w:rPr>
          <w:rStyle w:val="2Char"/>
          <w:rFonts w:ascii="Times New Roman" w:eastAsia="黑体" w:hAnsi="Times New Roman"/>
          <w:b w:val="0"/>
          <w:color w:val="auto"/>
          <w:highlight w:val="auto"/>
        </w:rPr>
      </w:pPr>
      <w:bookmarkStart w:id="46" w:name="_Toc15396609"/>
      <w:bookmarkStart w:id="47" w:name="_Toc16925"/>
      <w:bookmarkStart w:id="48" w:name="_Toc15377215"/>
      <w:r>
        <w:rPr>
          <w:rFonts w:ascii="Times New Roman" w:eastAsia="黑体" w:hAnsi="Times New Roman" w:hint="eastAsia"/>
          <w:color w:val="auto"/>
          <w:sz w:val="32"/>
          <w:szCs w:val="32"/>
          <w:highlight w:val="auto"/>
        </w:rPr>
        <w:t>七、</w:t>
      </w:r>
      <w:r>
        <w:rPr>
          <w:rStyle w:val="2Char"/>
          <w:rFonts w:ascii="Times New Roman" w:eastAsia="黑体" w:hAnsi="Times New Roman" w:hint="eastAsia"/>
          <w:b w:val="0"/>
          <w:color w:val="auto"/>
          <w:highlight w:val="auto"/>
        </w:rPr>
        <w:t>财政拨款</w:t>
      </w:r>
      <w:r>
        <w:rPr>
          <w:rStyle w:val="2Char"/>
          <w:rFonts w:ascii="Times New Roman" w:eastAsia="黑体" w:hAnsi="Times New Roman" w:hint="eastAsia"/>
          <w:color w:val="auto"/>
          <w:highlight w:val="auto"/>
        </w:rPr>
        <w:t>“</w:t>
      </w:r>
      <w:r>
        <w:rPr>
          <w:rStyle w:val="2Char"/>
          <w:rFonts w:ascii="Times New Roman" w:eastAsia="黑体" w:hAnsi="Times New Roman" w:hint="eastAsia"/>
          <w:b w:val="0"/>
          <w:color w:val="auto"/>
          <w:highlight w:val="auto"/>
        </w:rPr>
        <w:t>三公”经费支出决算情况说明</w:t>
      </w:r>
      <w:bookmarkEnd w:id="46"/>
      <w:bookmarkEnd w:id="47"/>
      <w:bookmarkEnd w:id="48"/>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49" w:name="_Toc15377216"/>
      <w:r>
        <w:rPr>
          <w:rFonts w:ascii="Times New Roman" w:eastAsia="楷体_GB2312" w:cs="楷体_GB2312" w:hAnsi="Times New Roman" w:hint="eastAsia"/>
          <w:b/>
          <w:color w:val="auto"/>
          <w:sz w:val="32"/>
          <w:szCs w:val="32"/>
          <w:highlight w:val="auto"/>
        </w:rPr>
        <w:t>（一）财政拨款“三公”经费支出决算总体情况说明</w:t>
      </w:r>
      <w:bookmarkEnd w:id="49"/>
    </w:p>
    <w:p>
      <w:pPr>
        <w:spacing w:line="600" w:lineRule="exact"/>
        <w:ind w:firstLine="640"/>
        <w:rPr>
          <w:rFonts w:eastAsia="仿宋_GB2312" w:cs="仿宋_GB2312"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财政拨款“三公”经费支出决算为</w:t>
      </w:r>
      <w:r>
        <w:rPr>
          <w:rFonts w:eastAsia="仿宋_GB2312" w:cs="仿宋_GB2312" w:hint="eastAsia"/>
          <w:color w:val="auto"/>
          <w:kern w:val="2"/>
          <w:sz w:val="32"/>
          <w:szCs w:val="32"/>
          <w:lang w:val="en-US" w:eastAsia="zh-CN" w:bidi="ar-SA"/>
          <w:highlight w:val="auto"/>
        </w:rPr>
        <w:t>422.51</w:t>
      </w:r>
      <w:r>
        <w:rPr>
          <w:rFonts w:ascii="Times New Roman" w:eastAsia="仿宋_GB2312" w:cs="仿宋_GB2312" w:hAnsi="Times New Roman" w:hint="eastAsia"/>
          <w:color w:val="auto"/>
          <w:kern w:val="2"/>
          <w:sz w:val="32"/>
          <w:szCs w:val="32"/>
          <w:lang w:val="en-US" w:eastAsia="zh-CN" w:bidi="ar-SA"/>
          <w:highlight w:val="auto"/>
        </w:rPr>
        <w:t>万元，完成预算</w:t>
      </w:r>
      <w:r>
        <w:rPr>
          <w:rFonts w:eastAsia="仿宋_GB2312" w:cs="仿宋_GB2312" w:hint="eastAsia"/>
          <w:color w:val="auto"/>
          <w:kern w:val="2"/>
          <w:sz w:val="32"/>
          <w:szCs w:val="32"/>
          <w:lang w:val="en-US" w:eastAsia="zh-CN" w:bidi="ar-SA"/>
          <w:highlight w:val="auto"/>
        </w:rPr>
        <w:t>53.06</w:t>
      </w:r>
      <w:r>
        <w:rPr>
          <w:rFonts w:ascii="Times New Roman" w:eastAsia="仿宋_GB2312" w:cs="仿宋_GB2312" w:hAnsi="Times New Roman" w:hint="eastAsia"/>
          <w:color w:val="auto"/>
          <w:kern w:val="2"/>
          <w:sz w:val="32"/>
          <w:szCs w:val="32"/>
          <w:lang w:val="en-US" w:eastAsia="zh-CN" w:bidi="ar-SA"/>
          <w:highlight w:val="auto"/>
        </w:rPr>
        <w:t>%，较上年度</w:t>
      </w:r>
      <w:r>
        <w:rPr>
          <w:rFonts w:ascii="仿宋_GB2312" w:eastAsia="仿宋_GB2312" w:cs="宋体" w:hint="eastAsia"/>
          <w:sz w:val="32"/>
          <w:szCs w:val="32"/>
          <w:lang w:val="en-US" w:eastAsia="zh-CN"/>
        </w:rPr>
        <w:t>减少429.79</w:t>
      </w:r>
      <w:r>
        <w:rPr>
          <w:rFonts w:ascii="仿宋_GB2312" w:eastAsia="仿宋_GB2312" w:cs="宋体"/>
          <w:sz w:val="32"/>
          <w:szCs w:val="32"/>
        </w:rPr>
        <w:t>万元</w:t>
      </w:r>
      <w:r>
        <w:rPr>
          <w:rFonts w:ascii="Times New Roman" w:eastAsia="仿宋_GB2312" w:cs="仿宋_GB2312" w:hAnsi="Times New Roman" w:hint="eastAsia"/>
          <w:color w:val="auto"/>
          <w:kern w:val="2"/>
          <w:sz w:val="32"/>
          <w:szCs w:val="32"/>
          <w:lang w:val="en-US" w:eastAsia="zh-CN" w:bidi="ar-SA"/>
          <w:highlight w:val="auto"/>
        </w:rPr>
        <w:t>，下降</w:t>
      </w:r>
      <w:r>
        <w:rPr>
          <w:rFonts w:eastAsia="仿宋_GB2312" w:cs="仿宋_GB2312" w:hint="eastAsia"/>
          <w:color w:val="auto"/>
          <w:kern w:val="2"/>
          <w:sz w:val="32"/>
          <w:szCs w:val="32"/>
          <w:lang w:val="en-US" w:eastAsia="zh-CN" w:bidi="ar-SA"/>
          <w:highlight w:val="auto"/>
        </w:rPr>
        <w:t>53.93</w:t>
      </w:r>
      <w:r>
        <w:rPr>
          <w:rFonts w:ascii="Times New Roman" w:eastAsia="仿宋_GB2312" w:cs="仿宋_GB2312" w:hAnsi="Times New Roman" w:hint="eastAsia"/>
          <w:color w:val="auto"/>
          <w:kern w:val="2"/>
          <w:sz w:val="32"/>
          <w:szCs w:val="32"/>
          <w:lang w:val="en-US" w:eastAsia="zh-CN" w:bidi="ar-SA"/>
          <w:highlight w:val="auto"/>
        </w:rPr>
        <w:t>%。决算数小于预算数</w:t>
      </w:r>
      <w:r>
        <w:rPr>
          <w:rFonts w:eastAsia="仿宋_GB2312" w:cs="仿宋_GB2312" w:hint="eastAsia"/>
          <w:color w:val="auto"/>
          <w:kern w:val="2"/>
          <w:sz w:val="32"/>
          <w:szCs w:val="32"/>
          <w:lang w:val="en-US" w:eastAsia="zh-CN" w:bidi="ar-SA"/>
          <w:highlight w:val="auto"/>
        </w:rPr>
        <w:t>的</w:t>
      </w:r>
      <w:r>
        <w:rPr>
          <w:rFonts w:ascii="Times New Roman" w:eastAsia="仿宋_GB2312" w:cs="仿宋_GB2312" w:hAnsi="Times New Roman" w:hint="eastAsia"/>
          <w:color w:val="auto"/>
          <w:kern w:val="2"/>
          <w:sz w:val="32"/>
          <w:szCs w:val="32"/>
          <w:lang w:val="en-US" w:eastAsia="zh-CN" w:bidi="ar-SA"/>
          <w:highlight w:val="auto"/>
        </w:rPr>
        <w:t>主要原因是</w:t>
      </w:r>
      <w:r>
        <w:rPr>
          <w:rFonts w:eastAsia="仿宋_GB2312" w:cs="仿宋_GB2312" w:hint="eastAsia"/>
          <w:color w:val="auto"/>
          <w:kern w:val="2"/>
          <w:sz w:val="32"/>
          <w:szCs w:val="32"/>
          <w:lang w:val="en-US" w:eastAsia="zh-CN" w:bidi="ar-SA"/>
          <w:highlight w:val="auto"/>
        </w:rPr>
        <w:t>：</w:t>
      </w:r>
      <w:r>
        <w:rPr>
          <w:rStyle w:val="26"/>
          <w:rFonts w:ascii="仿宋_GB2312" w:eastAsia="仿宋_GB2312"/>
          <w:bCs w:val="0"/>
          <w:sz w:val="32"/>
          <w:szCs w:val="32"/>
        </w:rPr>
        <w:t>本年公车运行使用量减少，本</w:t>
      </w:r>
      <w:r>
        <w:rPr>
          <w:rStyle w:val="26"/>
          <w:rFonts w:ascii="仿宋_GB2312" w:eastAsia="仿宋_GB2312" w:hint="eastAsia"/>
          <w:bCs w:val="0"/>
          <w:sz w:val="32"/>
          <w:szCs w:val="32"/>
          <w:lang w:val="en-US" w:eastAsia="zh-CN"/>
        </w:rPr>
        <w:t>年无</w:t>
      </w:r>
      <w:r>
        <w:rPr>
          <w:rStyle w:val="26"/>
          <w:rFonts w:ascii="仿宋_GB2312" w:eastAsia="仿宋_GB2312"/>
          <w:bCs w:val="0"/>
          <w:sz w:val="32"/>
          <w:szCs w:val="32"/>
        </w:rPr>
        <w:t>公</w:t>
      </w:r>
      <w:r>
        <w:rPr>
          <w:rStyle w:val="26"/>
          <w:rFonts w:ascii="仿宋_GB2312" w:eastAsia="仿宋_GB2312" w:hint="eastAsia"/>
          <w:bCs w:val="0"/>
          <w:sz w:val="32"/>
          <w:szCs w:val="32"/>
          <w:lang w:val="en-US" w:eastAsia="zh-CN"/>
        </w:rPr>
        <w:t>务用</w:t>
      </w:r>
      <w:r>
        <w:rPr>
          <w:rStyle w:val="26"/>
          <w:rFonts w:ascii="仿宋_GB2312" w:eastAsia="仿宋_GB2312"/>
          <w:bCs w:val="0"/>
          <w:sz w:val="32"/>
          <w:szCs w:val="32"/>
        </w:rPr>
        <w:t>车</w:t>
      </w:r>
      <w:r>
        <w:rPr>
          <w:rStyle w:val="26"/>
          <w:rFonts w:ascii="仿宋_GB2312" w:eastAsia="仿宋_GB2312" w:hint="eastAsia"/>
          <w:bCs w:val="0"/>
          <w:sz w:val="32"/>
          <w:szCs w:val="32"/>
          <w:lang w:val="en-US" w:eastAsia="zh-CN"/>
        </w:rPr>
        <w:t>购置开支</w:t>
      </w:r>
      <w:r>
        <w:rPr>
          <w:rFonts w:eastAsia="仿宋_GB2312" w:cs="仿宋_GB2312" w:hint="eastAsia"/>
          <w:color w:val="auto"/>
          <w:kern w:val="2"/>
          <w:sz w:val="32"/>
          <w:szCs w:val="32"/>
          <w:lang w:val="en-US" w:eastAsia="zh-CN" w:bidi="ar-SA"/>
          <w:highlight w:val="auto"/>
        </w:rPr>
        <w:t>。</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50" w:name="_Toc15377217"/>
      <w:r>
        <w:rPr>
          <w:rFonts w:ascii="Times New Roman" w:eastAsia="楷体_GB2312" w:cs="楷体_GB2312" w:hAnsi="Times New Roman" w:hint="eastAsia"/>
          <w:b/>
          <w:color w:val="auto"/>
          <w:sz w:val="32"/>
          <w:szCs w:val="32"/>
          <w:highlight w:val="auto"/>
        </w:rPr>
        <w:t>（二）财政拨款“三公”经费支出决算具体情况说明</w:t>
      </w:r>
      <w:bookmarkEnd w:id="50"/>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财政拨款“三公”经费支出决算中，因公出国（境）费支出决算</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%；公务用车购置及运行维护费支出决算</w:t>
      </w:r>
      <w:r>
        <w:rPr>
          <w:rFonts w:ascii="仿宋_GB2312" w:eastAsia="仿宋_GB2312" w:cs="宋体" w:hint="eastAsia"/>
          <w:sz w:val="32"/>
          <w:szCs w:val="32"/>
          <w:lang w:val="en-US" w:eastAsia="zh-CN"/>
        </w:rPr>
        <w:t>422.17</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99.92</w:t>
      </w:r>
      <w:r>
        <w:rPr>
          <w:rFonts w:ascii="Times New Roman" w:eastAsia="仿宋_GB2312" w:cs="仿宋_GB2312" w:hAnsi="Times New Roman" w:hint="eastAsia"/>
          <w:color w:val="auto"/>
          <w:kern w:val="2"/>
          <w:sz w:val="32"/>
          <w:szCs w:val="32"/>
          <w:lang w:val="en-US" w:eastAsia="zh-CN" w:bidi="ar-SA"/>
          <w:highlight w:val="auto"/>
        </w:rPr>
        <w:t>%；公务接待费支出决算</w:t>
      </w:r>
      <w:r>
        <w:rPr>
          <w:rFonts w:eastAsia="仿宋_GB2312" w:cs="仿宋_GB2312" w:hint="eastAsia"/>
          <w:color w:val="auto"/>
          <w:kern w:val="2"/>
          <w:sz w:val="32"/>
          <w:szCs w:val="32"/>
          <w:lang w:val="en-US" w:eastAsia="zh-CN" w:bidi="ar-SA"/>
          <w:highlight w:val="auto"/>
        </w:rPr>
        <w:t>0.33</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0.08</w:t>
      </w:r>
      <w:r>
        <w:rPr>
          <w:rFonts w:ascii="Times New Roman" w:eastAsia="仿宋_GB2312" w:cs="仿宋_GB2312" w:hAnsi="Times New Roman" w:hint="eastAsia"/>
          <w:color w:val="auto"/>
          <w:kern w:val="2"/>
          <w:sz w:val="32"/>
          <w:szCs w:val="32"/>
          <w:lang w:val="en-US" w:eastAsia="zh-CN" w:bidi="ar-SA"/>
          <w:highlight w:val="auto"/>
        </w:rPr>
        <w:t>%。具体情况如下：</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drawing>
          <wp:anchor distT="0" distB="0" distL="114300" distR="114300" simplePos="0" relativeHeight="37" behindDoc="0" locked="0" layoutInCell="1" hidden="0" allowOverlap="1">
            <wp:simplePos x="0" y="0"/>
            <wp:positionH relativeFrom="column">
              <wp:posOffset>163830</wp:posOffset>
            </wp:positionH>
            <wp:positionV relativeFrom="paragraph">
              <wp:posOffset>33020</wp:posOffset>
            </wp:positionV>
            <wp:extent cx="5256530" cy="2988310"/>
            <wp:effectExtent l="0" t="0" r="0" b="0"/>
            <wp:wrapNone/>
            <wp:docPr id="16" name="图表 9"/>
            <wp:cNvGraphicFramePr>
              <a:graphicFrameLocks noChangeAspect="0"/>
            </wp:cNvGraphicFramePr>
            <a:graphic>
              <a:graphicData uri="http://schemas.openxmlformats.org/drawingml/2006/chart">
                <c:chart xmlns:c="http://schemas.openxmlformats.org/drawingml/2006/chart" r:id="rId14"/>
              </a:graphicData>
            </a:graphic>
          </wp:anchor>
        </w:drawing>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（图7：财政拨款“三公”经费支出结构）（饼状图）</w:t>
      </w:r>
    </w:p>
    <w:p>
      <w:pPr>
        <w:spacing w:line="600" w:lineRule="exact"/>
        <w:ind w:left="0" w:firstLineChars="200" w:firstLine="640"/>
        <w:rPr>
          <w:rFonts w:eastAsia="仿宋_GB2312" w:cs="仿宋_GB2312" w:hint="eastAsia"/>
          <w:color w:val="auto"/>
          <w:kern w:val="2"/>
          <w:sz w:val="32"/>
          <w:szCs w:val="32"/>
          <w:lang w:val="en-US" w:eastAsia="zh-CN" w:bidi="ar-SA"/>
          <w:highlight w:val="auto"/>
        </w:rPr>
      </w:pPr>
      <w:r>
        <w:rPr>
          <w:rFonts w:eastAsia="仿宋_GB2312" w:cs="仿宋_GB2312" w:hint="eastAsia"/>
          <w:b/>
          <w:bCs/>
          <w:color w:val="auto"/>
          <w:kern w:val="2"/>
          <w:sz w:val="32"/>
          <w:szCs w:val="32"/>
          <w:lang w:val="en-US" w:eastAsia="zh-CN" w:bidi="ar-SA"/>
          <w:highlight w:val="auto"/>
        </w:rPr>
        <w:t>1.</w:t>
      </w:r>
      <w:r>
        <w:rPr>
          <w:rFonts w:ascii="Times New Roman" w:eastAsia="仿宋_GB2312" w:cs="仿宋_GB2312" w:hAnsi="Times New Roman" w:hint="eastAsia"/>
          <w:b/>
          <w:bCs/>
          <w:color w:val="auto"/>
          <w:kern w:val="2"/>
          <w:sz w:val="32"/>
          <w:szCs w:val="32"/>
          <w:lang w:val="en-US" w:eastAsia="zh-CN" w:bidi="ar-SA"/>
          <w:highlight w:val="auto"/>
        </w:rPr>
        <w:t>因公出国（境）经费支出</w:t>
      </w:r>
      <w:r>
        <w:rPr>
          <w:rFonts w:eastAsia="仿宋_GB2312" w:cs="仿宋_GB2312" w:hint="eastAsia"/>
          <w:b/>
          <w:bCs/>
          <w:color w:val="auto"/>
          <w:kern w:val="2"/>
          <w:sz w:val="32"/>
          <w:szCs w:val="32"/>
          <w:lang w:val="en-US" w:eastAsia="zh-CN" w:bidi="ar-SA"/>
          <w:highlight w:val="auto"/>
        </w:rPr>
        <w:t>0</w:t>
      </w:r>
      <w:r>
        <w:rPr>
          <w:rFonts w:ascii="Times New Roman" w:eastAsia="仿宋_GB2312" w:cs="仿宋_GB2312" w:hAnsi="Times New Roman" w:hint="eastAsia"/>
          <w:b/>
          <w:bCs/>
          <w:color w:val="auto"/>
          <w:kern w:val="2"/>
          <w:sz w:val="32"/>
          <w:szCs w:val="32"/>
          <w:lang w:val="en-US" w:eastAsia="zh-CN" w:bidi="ar-SA"/>
          <w:highlight w:val="auto"/>
        </w:rPr>
        <w:t>万元，完成预算</w:t>
      </w:r>
      <w:r>
        <w:rPr>
          <w:rFonts w:eastAsia="仿宋_GB2312" w:cs="仿宋_GB2312" w:hint="eastAsia"/>
          <w:b/>
          <w:bCs/>
          <w:color w:val="auto"/>
          <w:kern w:val="2"/>
          <w:sz w:val="32"/>
          <w:szCs w:val="32"/>
          <w:lang w:val="en-US" w:eastAsia="zh-CN" w:bidi="ar-SA"/>
          <w:highlight w:val="auto"/>
        </w:rPr>
        <w:t>0</w:t>
      </w:r>
      <w:r>
        <w:rPr>
          <w:rFonts w:ascii="Times New Roman" w:eastAsia="仿宋_GB2312" w:cs="仿宋_GB2312" w:hAnsi="Times New Roman" w:hint="eastAsia"/>
          <w:b/>
          <w:bCs/>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全年安排因公出国（境）团组</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次，出国（境）</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人。因公出国（境）支出决算</w:t>
      </w:r>
      <w:r>
        <w:rPr>
          <w:rFonts w:eastAsia="仿宋_GB2312" w:cs="仿宋_GB2312" w:hint="eastAsia"/>
          <w:color w:val="auto"/>
          <w:kern w:val="2"/>
          <w:sz w:val="32"/>
          <w:szCs w:val="32"/>
          <w:lang w:val="en-US" w:eastAsia="zh-CN" w:bidi="ar-SA"/>
          <w:highlight w:val="auto"/>
        </w:rPr>
        <w:t>较上年度持平。</w:t>
      </w:r>
    </w:p>
    <w:p>
      <w:pPr>
        <w:spacing w:line="600" w:lineRule="exact"/>
        <w:ind w:left="0" w:firstLineChars="200"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2.公务用车购置及运行维护费支出</w:t>
      </w:r>
      <w:r>
        <w:rPr>
          <w:rFonts w:eastAsia="仿宋_GB2312" w:cs="仿宋_GB2312" w:hint="eastAsia"/>
          <w:b/>
          <w:bCs/>
          <w:color w:val="auto"/>
          <w:kern w:val="2"/>
          <w:sz w:val="32"/>
          <w:szCs w:val="32"/>
          <w:lang w:val="en-US" w:eastAsia="zh-CN" w:bidi="ar-SA"/>
          <w:highlight w:val="auto"/>
        </w:rPr>
        <w:t>422.17</w:t>
      </w:r>
      <w:r>
        <w:rPr>
          <w:rFonts w:ascii="Times New Roman" w:eastAsia="仿宋_GB2312" w:cs="仿宋_GB2312" w:hAnsi="Times New Roman" w:hint="eastAsia"/>
          <w:b/>
          <w:bCs/>
          <w:color w:val="auto"/>
          <w:kern w:val="2"/>
          <w:sz w:val="32"/>
          <w:szCs w:val="32"/>
          <w:lang w:val="en-US" w:eastAsia="zh-CN" w:bidi="ar-SA"/>
          <w:highlight w:val="auto"/>
        </w:rPr>
        <w:t>万元</w:t>
      </w:r>
      <w:r>
        <w:rPr>
          <w:rFonts w:eastAsia="仿宋_GB2312" w:cs="仿宋_GB2312" w:hint="eastAsia"/>
          <w:b/>
          <w:bCs/>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完成预算</w:t>
      </w:r>
      <w:r>
        <w:rPr>
          <w:rFonts w:eastAsia="仿宋_GB2312" w:cs="仿宋_GB2312" w:hint="eastAsia"/>
          <w:b/>
          <w:bCs/>
          <w:color w:val="auto"/>
          <w:kern w:val="2"/>
          <w:sz w:val="32"/>
          <w:szCs w:val="32"/>
          <w:lang w:val="en-US" w:eastAsia="zh-CN" w:bidi="ar-SA"/>
          <w:highlight w:val="auto"/>
        </w:rPr>
        <w:t>56.47</w:t>
      </w:r>
      <w:r>
        <w:rPr>
          <w:rFonts w:ascii="Times New Roman" w:eastAsia="仿宋_GB2312" w:cs="仿宋_GB2312" w:hAnsi="Times New Roman" w:hint="eastAsia"/>
          <w:b/>
          <w:bCs/>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公务用车购置及运行维护费支出决算比</w:t>
      </w:r>
      <w:r>
        <w:rPr>
          <w:rFonts w:eastAsia="仿宋_GB2312" w:cs="仿宋_GB2312" w:hint="eastAsia"/>
          <w:color w:val="auto"/>
          <w:kern w:val="2"/>
          <w:sz w:val="32"/>
          <w:szCs w:val="32"/>
          <w:lang w:val="en-US" w:eastAsia="zh-CN" w:bidi="ar-SA"/>
          <w:highlight w:val="auto"/>
        </w:rPr>
        <w:t>上年度</w:t>
      </w:r>
      <w:r>
        <w:rPr>
          <w:rFonts w:ascii="Times New Roman" w:eastAsia="仿宋_GB2312" w:cs="仿宋_GB2312" w:hAnsi="Times New Roman" w:hint="eastAsia"/>
          <w:color w:val="auto"/>
          <w:kern w:val="2"/>
          <w:sz w:val="32"/>
          <w:szCs w:val="32"/>
          <w:lang w:val="en-US" w:eastAsia="zh-CN" w:bidi="ar-SA"/>
          <w:highlight w:val="auto"/>
        </w:rPr>
        <w:t>减少</w:t>
      </w:r>
      <w:r>
        <w:rPr>
          <w:rFonts w:eastAsia="仿宋_GB2312" w:cs="仿宋_GB2312" w:hint="eastAsia"/>
          <w:color w:val="auto"/>
          <w:kern w:val="2"/>
          <w:sz w:val="32"/>
          <w:szCs w:val="32"/>
          <w:lang w:val="en-US" w:eastAsia="zh-CN" w:bidi="ar-SA"/>
          <w:highlight w:val="auto"/>
        </w:rPr>
        <w:t>494.68</w:t>
      </w:r>
      <w:r>
        <w:rPr>
          <w:rFonts w:ascii="Times New Roman" w:eastAsia="仿宋_GB2312" w:cs="仿宋_GB2312" w:hAnsi="Times New Roman" w:hint="eastAsia"/>
          <w:color w:val="auto"/>
          <w:kern w:val="2"/>
          <w:sz w:val="32"/>
          <w:szCs w:val="32"/>
          <w:lang w:val="en-US" w:eastAsia="zh-CN" w:bidi="ar-SA"/>
          <w:highlight w:val="auto"/>
        </w:rPr>
        <w:t>万元，下降</w:t>
      </w:r>
      <w:r>
        <w:rPr>
          <w:rFonts w:eastAsia="仿宋_GB2312" w:cs="仿宋_GB2312" w:hint="eastAsia"/>
          <w:color w:val="auto"/>
          <w:kern w:val="2"/>
          <w:sz w:val="32"/>
          <w:szCs w:val="32"/>
          <w:lang w:val="en-US" w:eastAsia="zh-CN" w:bidi="ar-SA"/>
          <w:highlight w:val="auto"/>
        </w:rPr>
        <w:t>53.93</w:t>
      </w:r>
      <w:r>
        <w:rPr>
          <w:rFonts w:ascii="Times New Roman" w:eastAsia="仿宋_GB2312" w:cs="仿宋_GB2312" w:hAnsi="Times New Roman" w:hint="eastAsia"/>
          <w:color w:val="auto"/>
          <w:kern w:val="2"/>
          <w:sz w:val="32"/>
          <w:szCs w:val="32"/>
          <w:lang w:val="en-US" w:eastAsia="zh-CN" w:bidi="ar-SA"/>
          <w:highlight w:val="auto"/>
        </w:rPr>
        <w:t>%。主要原因是</w:t>
      </w:r>
      <w:r>
        <w:rPr>
          <w:rFonts w:eastAsia="仿宋_GB2312" w:cs="仿宋_GB2312" w:hint="eastAsia"/>
          <w:color w:val="auto"/>
          <w:kern w:val="2"/>
          <w:sz w:val="32"/>
          <w:szCs w:val="32"/>
          <w:lang w:val="en-US" w:eastAsia="zh-CN" w:bidi="ar-SA"/>
          <w:highlight w:val="auto"/>
        </w:rPr>
        <w:t>：本年无公务用车购置费开支及厉行节约减少公车用车运行费用开支。</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其中：公务用车购置支出</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万元。全年按规定更新购置公务用车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，其中：轿车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辆、金额</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万元，越野车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辆、金额</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万元，载客汽车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辆、金额</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万元。截至2025年12月31日，单位共有公务用车167辆，其中：轿车15辆、越野车133辆、载客汽车19辆。</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公务用车运行维护费支出</w:t>
      </w:r>
      <w:r>
        <w:rPr>
          <w:rFonts w:eastAsia="仿宋_GB2312" w:cs="仿宋_GB2312" w:hint="eastAsia"/>
          <w:color w:val="auto"/>
          <w:kern w:val="2"/>
          <w:sz w:val="32"/>
          <w:szCs w:val="32"/>
          <w:lang w:val="en-US" w:eastAsia="zh-CN" w:bidi="ar-SA"/>
          <w:highlight w:val="auto"/>
        </w:rPr>
        <w:t>422.17</w:t>
      </w:r>
      <w:r>
        <w:rPr>
          <w:rFonts w:ascii="Times New Roman" w:eastAsia="仿宋_GB2312" w:cs="仿宋_GB2312" w:hAnsi="Times New Roman" w:hint="eastAsia"/>
          <w:color w:val="auto"/>
          <w:kern w:val="2"/>
          <w:sz w:val="32"/>
          <w:szCs w:val="32"/>
          <w:lang w:val="en-US" w:eastAsia="zh-CN" w:bidi="ar-SA"/>
          <w:highlight w:val="auto"/>
        </w:rPr>
        <w:t>万元。主要用于</w:t>
      </w:r>
      <w:r>
        <w:rPr>
          <w:rFonts w:eastAsia="仿宋_GB2312" w:cs="仿宋_GB2312" w:hint="eastAsia"/>
          <w:color w:val="auto"/>
          <w:kern w:val="2"/>
          <w:sz w:val="32"/>
          <w:szCs w:val="32"/>
          <w:lang w:val="en-US" w:eastAsia="zh-CN" w:bidi="ar-SA"/>
          <w:highlight w:val="auto"/>
        </w:rPr>
        <w:t>开展办案、安保WW、应急处突、抢险救援等工作</w:t>
      </w:r>
      <w:r>
        <w:rPr>
          <w:rFonts w:ascii="Times New Roman" w:eastAsia="仿宋_GB2312" w:cs="仿宋_GB2312" w:hAnsi="Times New Roman" w:hint="eastAsia"/>
          <w:color w:val="auto"/>
          <w:kern w:val="2"/>
          <w:sz w:val="32"/>
          <w:szCs w:val="32"/>
          <w:lang w:val="en-US" w:eastAsia="zh-CN" w:bidi="ar-SA"/>
          <w:highlight w:val="auto"/>
        </w:rPr>
        <w:t>所需的公务用车燃料费、维修费、过路过桥费、保险费等支出。</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3.公务接待费支出</w:t>
      </w:r>
      <w:r>
        <w:rPr>
          <w:rFonts w:eastAsia="仿宋_GB2312" w:cs="仿宋_GB2312" w:hint="eastAsia"/>
          <w:b/>
          <w:bCs/>
          <w:color w:val="auto"/>
          <w:kern w:val="2"/>
          <w:sz w:val="32"/>
          <w:szCs w:val="32"/>
          <w:lang w:val="en-US" w:eastAsia="zh-CN" w:bidi="ar-SA"/>
          <w:highlight w:val="auto"/>
        </w:rPr>
        <w:t>0.33</w:t>
      </w:r>
      <w:r>
        <w:rPr>
          <w:rFonts w:ascii="Times New Roman" w:eastAsia="仿宋_GB2312" w:cs="仿宋_GB2312" w:hAnsi="Times New Roman" w:hint="eastAsia"/>
          <w:b/>
          <w:bCs/>
          <w:color w:val="auto"/>
          <w:kern w:val="2"/>
          <w:sz w:val="32"/>
          <w:szCs w:val="32"/>
          <w:lang w:val="en-US" w:eastAsia="zh-CN" w:bidi="ar-SA"/>
          <w:highlight w:val="auto"/>
        </w:rPr>
        <w:t>万元，完成预算</w:t>
      </w:r>
      <w:r>
        <w:rPr>
          <w:rFonts w:eastAsia="仿宋_GB2312" w:cs="仿宋_GB2312" w:hint="eastAsia"/>
          <w:b/>
          <w:bCs/>
          <w:color w:val="auto"/>
          <w:kern w:val="2"/>
          <w:sz w:val="32"/>
          <w:szCs w:val="32"/>
          <w:lang w:val="en-US" w:eastAsia="zh-CN" w:bidi="ar-SA"/>
          <w:highlight w:val="auto"/>
        </w:rPr>
        <w:t>0.68</w:t>
      </w:r>
      <w:r>
        <w:rPr>
          <w:rFonts w:ascii="Times New Roman" w:eastAsia="仿宋_GB2312" w:cs="仿宋_GB2312" w:hAnsi="Times New Roman" w:hint="eastAsia"/>
          <w:b/>
          <w:bCs/>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公务接待费支出决算比</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年度减少</w:t>
      </w:r>
      <w:r>
        <w:rPr>
          <w:rFonts w:eastAsia="仿宋_GB2312" w:cs="仿宋_GB2312" w:hint="eastAsia"/>
          <w:color w:val="auto"/>
          <w:kern w:val="2"/>
          <w:sz w:val="32"/>
          <w:szCs w:val="32"/>
          <w:lang w:val="en-US" w:eastAsia="zh-CN" w:bidi="ar-SA"/>
          <w:highlight w:val="auto"/>
        </w:rPr>
        <w:t>1.29</w:t>
      </w:r>
      <w:r>
        <w:rPr>
          <w:rFonts w:ascii="Times New Roman" w:eastAsia="仿宋_GB2312" w:cs="仿宋_GB2312" w:hAnsi="Times New Roman" w:hint="eastAsia"/>
          <w:color w:val="auto"/>
          <w:kern w:val="2"/>
          <w:sz w:val="32"/>
          <w:szCs w:val="32"/>
          <w:lang w:val="en-US" w:eastAsia="zh-CN" w:bidi="ar-SA"/>
          <w:highlight w:val="auto"/>
        </w:rPr>
        <w:t>万元，下降</w:t>
      </w:r>
      <w:r>
        <w:rPr>
          <w:rFonts w:eastAsia="仿宋_GB2312" w:cs="仿宋_GB2312" w:hint="eastAsia"/>
          <w:color w:val="auto"/>
          <w:kern w:val="2"/>
          <w:sz w:val="32"/>
          <w:szCs w:val="32"/>
          <w:lang w:val="en-US" w:eastAsia="zh-CN" w:bidi="ar-SA"/>
          <w:highlight w:val="auto"/>
        </w:rPr>
        <w:t>79.44</w:t>
      </w:r>
      <w:r>
        <w:rPr>
          <w:rFonts w:ascii="Times New Roman" w:eastAsia="仿宋_GB2312" w:cs="仿宋_GB2312" w:hAnsi="Times New Roman" w:hint="eastAsia"/>
          <w:color w:val="auto"/>
          <w:kern w:val="2"/>
          <w:sz w:val="32"/>
          <w:szCs w:val="32"/>
          <w:lang w:val="en-US" w:eastAsia="zh-CN" w:bidi="ar-SA"/>
          <w:highlight w:val="auto"/>
        </w:rPr>
        <w:t>%。主要原因是</w:t>
      </w:r>
      <w:r>
        <w:rPr>
          <w:rFonts w:eastAsia="仿宋_GB2312" w:cs="仿宋_GB2312" w:hint="eastAsia"/>
          <w:color w:val="auto"/>
          <w:kern w:val="2"/>
          <w:sz w:val="32"/>
          <w:szCs w:val="32"/>
          <w:lang w:val="en-US" w:eastAsia="zh-CN" w:bidi="ar-SA"/>
          <w:highlight w:val="auto"/>
        </w:rPr>
        <w:t>：</w:t>
      </w:r>
      <w:r>
        <w:rPr>
          <w:rFonts w:eastAsia="仿宋_GB2312" w:cs="仿宋_GB2312"/>
          <w:color w:val="auto"/>
          <w:kern w:val="2"/>
          <w:sz w:val="32"/>
          <w:szCs w:val="32"/>
          <w:lang w:val="en-US" w:eastAsia="zh-CN" w:bidi="ar-SA"/>
        </w:rPr>
        <w:t>厉行节约</w:t>
      </w:r>
      <w:r>
        <w:rPr>
          <w:rFonts w:eastAsia="仿宋_GB2312" w:cs="仿宋_GB2312" w:hint="eastAsia"/>
          <w:color w:val="auto"/>
          <w:kern w:val="2"/>
          <w:sz w:val="32"/>
          <w:szCs w:val="32"/>
          <w:lang w:val="en-US" w:eastAsia="zh-CN" w:bidi="ar-SA"/>
          <w:highlight w:val="auto"/>
        </w:rPr>
        <w:t>，公务接待减少</w:t>
      </w:r>
      <w:r>
        <w:rPr>
          <w:rFonts w:ascii="Times New Roman" w:eastAsia="仿宋_GB2312" w:cs="仿宋_GB2312" w:hAnsi="Times New Roman" w:hint="eastAsia"/>
          <w:color w:val="auto"/>
          <w:kern w:val="2"/>
          <w:sz w:val="32"/>
          <w:szCs w:val="32"/>
          <w:lang w:val="en-US" w:eastAsia="zh-CN" w:bidi="ar-SA"/>
          <w:highlight w:val="auto"/>
        </w:rPr>
        <w:t>。其中：</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国内公务接待支出</w:t>
      </w:r>
      <w:r>
        <w:rPr>
          <w:rFonts w:eastAsia="仿宋_GB2312" w:cs="仿宋_GB2312" w:hint="eastAsia"/>
          <w:color w:val="auto"/>
          <w:kern w:val="2"/>
          <w:sz w:val="32"/>
          <w:szCs w:val="32"/>
          <w:lang w:val="en-US" w:eastAsia="zh-CN" w:bidi="ar-SA"/>
          <w:highlight w:val="auto"/>
        </w:rPr>
        <w:t>0.33</w:t>
      </w:r>
      <w:r>
        <w:rPr>
          <w:rFonts w:ascii="Times New Roman" w:eastAsia="仿宋_GB2312" w:cs="仿宋_GB2312" w:hAnsi="Times New Roman" w:hint="eastAsia"/>
          <w:color w:val="auto"/>
          <w:kern w:val="2"/>
          <w:sz w:val="32"/>
          <w:szCs w:val="32"/>
          <w:lang w:val="en-US" w:eastAsia="zh-CN" w:bidi="ar-SA"/>
          <w:highlight w:val="auto"/>
        </w:rPr>
        <w:t>万元，主要用于用餐费等。国内公务接待</w:t>
      </w:r>
      <w:r>
        <w:rPr>
          <w:rFonts w:eastAsia="仿宋_GB2312" w:cs="仿宋_GB2312" w:hint="eastAsia"/>
          <w:color w:val="auto"/>
          <w:kern w:val="2"/>
          <w:sz w:val="32"/>
          <w:szCs w:val="32"/>
          <w:lang w:val="en-US" w:eastAsia="zh-CN" w:bidi="ar-SA"/>
          <w:highlight w:val="auto"/>
        </w:rPr>
        <w:t>4</w:t>
      </w:r>
      <w:r>
        <w:rPr>
          <w:rFonts w:ascii="Times New Roman" w:eastAsia="仿宋_GB2312" w:cs="仿宋_GB2312" w:hAnsi="Times New Roman" w:hint="eastAsia"/>
          <w:color w:val="auto"/>
          <w:kern w:val="2"/>
          <w:sz w:val="32"/>
          <w:szCs w:val="32"/>
          <w:lang w:val="en-US" w:eastAsia="zh-CN" w:bidi="ar-SA"/>
          <w:highlight w:val="auto"/>
        </w:rPr>
        <w:t>批次，</w:t>
      </w:r>
      <w:r>
        <w:rPr>
          <w:rFonts w:eastAsia="仿宋_GB2312" w:cs="仿宋_GB2312" w:hint="eastAsia"/>
          <w:color w:val="auto"/>
          <w:kern w:val="2"/>
          <w:sz w:val="32"/>
          <w:szCs w:val="32"/>
          <w:lang w:val="en-US" w:eastAsia="zh-CN" w:bidi="ar-SA"/>
          <w:highlight w:val="auto"/>
        </w:rPr>
        <w:t>24</w:t>
      </w:r>
      <w:r>
        <w:rPr>
          <w:rFonts w:ascii="Times New Roman" w:eastAsia="仿宋_GB2312" w:cs="仿宋_GB2312" w:hAnsi="Times New Roman" w:hint="eastAsia"/>
          <w:color w:val="auto"/>
          <w:kern w:val="2"/>
          <w:sz w:val="32"/>
          <w:szCs w:val="32"/>
          <w:lang w:val="en-US" w:eastAsia="zh-CN" w:bidi="ar-SA"/>
          <w:highlight w:val="auto"/>
        </w:rPr>
        <w:t>人次（不包括陪同人员），共计支出</w:t>
      </w:r>
      <w:r>
        <w:rPr>
          <w:rFonts w:eastAsia="仿宋_GB2312" w:cs="仿宋_GB2312" w:hint="eastAsia"/>
          <w:color w:val="auto"/>
          <w:kern w:val="2"/>
          <w:sz w:val="32"/>
          <w:szCs w:val="32"/>
          <w:lang w:val="en-US" w:eastAsia="zh-CN" w:bidi="ar-SA"/>
          <w:highlight w:val="auto"/>
        </w:rPr>
        <w:t>0.33</w:t>
      </w:r>
      <w:r>
        <w:rPr>
          <w:rFonts w:ascii="Times New Roman" w:eastAsia="仿宋_GB2312" w:cs="仿宋_GB2312" w:hAnsi="Times New Roman" w:hint="eastAsia"/>
          <w:color w:val="auto"/>
          <w:kern w:val="2"/>
          <w:sz w:val="32"/>
          <w:szCs w:val="32"/>
          <w:lang w:val="en-US" w:eastAsia="zh-CN" w:bidi="ar-SA"/>
          <w:highlight w:val="auto"/>
        </w:rPr>
        <w:t>万元，具体内容包括：</w:t>
      </w:r>
      <w:r>
        <w:rPr>
          <w:rFonts w:ascii="Times New Roman" w:eastAsia="仿宋_GB2312" w:cs="仿宋_GB2312" w:hAnsi="Times New Roman" w:hint="eastAsia"/>
          <w:sz w:val="32"/>
          <w:szCs w:val="32"/>
          <w:lang w:val="en-US" w:eastAsia="zh-CN"/>
        </w:rPr>
        <w:t>特警支队接待青海省公安厅赴特警支队考察学习8人，支出1,100.00元；政治部接待省公安厅挂职期满干部考察组6人，支出700.00元；政治部接待绵阳市公安局赴阿坝开展送教活动4人，支出696.90元；督察支队接待自贡市集中评查专项工作组6人，支出840.00元</w:t>
      </w:r>
      <w:r>
        <w:rPr>
          <w:rFonts w:ascii="Times New Roman" w:eastAsia="仿宋_GB2312" w:cs="仿宋_GB2312" w:hAnsi="Times New Roman" w:hint="eastAsia"/>
          <w:color w:val="auto"/>
          <w:kern w:val="2"/>
          <w:sz w:val="32"/>
          <w:szCs w:val="32"/>
          <w:lang w:val="en-US" w:eastAsia="zh-CN" w:bidi="ar-SA"/>
          <w:highlight w:val="auto"/>
        </w:rPr>
        <w:t>。</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外事接待支出</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万元，外事接待</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批次，</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人次（不包括陪同人员），共计支出</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w:t>
      </w:r>
    </w:p>
    <w:p>
      <w:pPr>
        <w:spacing w:line="600" w:lineRule="exact"/>
        <w:ind w:firstLine="640"/>
        <w:outlineLvl w:val="1"/>
        <w:rPr>
          <w:rStyle w:val="2Char"/>
          <w:rFonts w:ascii="Times New Roman" w:eastAsia="黑体" w:hAnsi="Times New Roman"/>
          <w:color w:val="auto"/>
          <w:highlight w:val="auto"/>
        </w:rPr>
      </w:pPr>
      <w:bookmarkStart w:id="51" w:name="_Toc15377218"/>
      <w:bookmarkStart w:id="52" w:name="_Toc15396610"/>
      <w:bookmarkStart w:id="53" w:name="_Toc363"/>
      <w:r>
        <w:rPr>
          <w:rFonts w:ascii="Times New Roman" w:eastAsia="黑体" w:hAnsi="Times New Roman" w:hint="eastAsia"/>
          <w:color w:val="auto"/>
          <w:sz w:val="32"/>
          <w:szCs w:val="32"/>
          <w:highlight w:val="auto"/>
        </w:rPr>
        <w:t>八、</w:t>
      </w:r>
      <w:r>
        <w:rPr>
          <w:rStyle w:val="2Char"/>
          <w:rFonts w:ascii="Times New Roman" w:eastAsia="黑体" w:hAnsi="Times New Roman" w:hint="eastAsia"/>
          <w:b w:val="0"/>
          <w:color w:val="auto"/>
          <w:highlight w:val="auto"/>
        </w:rPr>
        <w:t>政府性基金预算支出决算情况说明</w:t>
      </w:r>
      <w:bookmarkEnd w:id="51"/>
      <w:bookmarkEnd w:id="52"/>
      <w:bookmarkEnd w:id="53"/>
    </w:p>
    <w:p>
      <w:pPr>
        <w:spacing w:line="600" w:lineRule="exact"/>
        <w:ind w:firstLine="640"/>
        <w:rPr>
          <w:rFonts w:eastAsia="仿宋_GB2312" w:cs="仿宋_GB2312"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政府性基金预算财政拨款支出</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万元，占本年支出合计的</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%。与</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年度相比，政府性基金预算财政拨款支出</w:t>
      </w:r>
      <w:r>
        <w:rPr>
          <w:rFonts w:eastAsia="仿宋_GB2312" w:cs="仿宋_GB2312" w:hint="eastAsia"/>
          <w:color w:val="auto"/>
          <w:kern w:val="2"/>
          <w:sz w:val="32"/>
          <w:szCs w:val="32"/>
          <w:lang w:val="en-US" w:eastAsia="zh-CN" w:bidi="ar-SA"/>
          <w:highlight w:val="auto"/>
        </w:rPr>
        <w:t>与上年持平。</w:t>
      </w:r>
    </w:p>
    <w:p>
      <w:pPr>
        <w:spacing w:line="600" w:lineRule="exact"/>
        <w:ind w:left="630"/>
        <w:outlineLvl w:val="1"/>
        <w:rPr>
          <w:rStyle w:val="2Char"/>
          <w:rFonts w:ascii="Times New Roman" w:eastAsia="黑体" w:hAnsi="Times New Roman"/>
          <w:b w:val="0"/>
          <w:color w:val="auto"/>
          <w:highlight w:val="auto"/>
        </w:rPr>
      </w:pPr>
      <w:bookmarkStart w:id="54" w:name="_Toc15377219"/>
      <w:bookmarkStart w:id="55" w:name="_Toc15396611"/>
      <w:bookmarkStart w:id="56" w:name="_Toc25934"/>
      <w:r>
        <w:rPr>
          <w:rStyle w:val="2Char"/>
          <w:rFonts w:ascii="Times New Roman" w:eastAsia="黑体" w:hAnsi="Times New Roman" w:hint="eastAsia"/>
          <w:b w:val="0"/>
          <w:color w:val="auto"/>
          <w:lang w:eastAsia="zh-CN"/>
          <w:highlight w:val="auto"/>
        </w:rPr>
        <w:t>九、</w:t>
      </w:r>
      <w:r>
        <w:rPr>
          <w:rStyle w:val="2Char"/>
          <w:rFonts w:ascii="Times New Roman" w:eastAsia="黑体" w:hAnsi="Times New Roman" w:hint="eastAsia"/>
          <w:b w:val="0"/>
          <w:color w:val="auto"/>
          <w:highlight w:val="auto"/>
        </w:rPr>
        <w:t>国有资本经营预算支出决算情况说明</w:t>
      </w:r>
      <w:bookmarkEnd w:id="54"/>
      <w:bookmarkEnd w:id="55"/>
      <w:bookmarkEnd w:id="56"/>
    </w:p>
    <w:p>
      <w:pPr>
        <w:spacing w:line="600" w:lineRule="exact"/>
        <w:ind w:firstLine="640"/>
        <w:rPr>
          <w:rFonts w:eastAsia="仿宋_GB2312" w:cs="仿宋_GB2312"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国有资本经营预算财政拨款支出</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万元，占本年支出合计的</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%。与</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年度相比，国有资本经营预算财政拨款支出</w:t>
      </w:r>
      <w:r>
        <w:rPr>
          <w:rFonts w:eastAsia="仿宋_GB2312" w:cs="仿宋_GB2312" w:hint="eastAsia"/>
          <w:color w:val="auto"/>
          <w:kern w:val="2"/>
          <w:sz w:val="32"/>
          <w:szCs w:val="32"/>
          <w:lang w:val="en-US" w:eastAsia="zh-CN" w:bidi="ar-SA"/>
          <w:highlight w:val="auto"/>
        </w:rPr>
        <w:t>与上年持平。</w:t>
      </w:r>
    </w:p>
    <w:p>
      <w:pPr>
        <w:spacing w:line="600" w:lineRule="exact"/>
        <w:ind w:left="630"/>
        <w:outlineLvl w:val="1"/>
        <w:rPr>
          <w:rStyle w:val="2Char"/>
          <w:rFonts w:ascii="Times New Roman" w:eastAsia="黑体" w:hAnsi="Times New Roman" w:hint="eastAsia"/>
          <w:b w:val="0"/>
          <w:color w:val="auto"/>
          <w:highlight w:val="auto"/>
        </w:rPr>
      </w:pPr>
      <w:bookmarkStart w:id="57" w:name="_Toc15377221"/>
      <w:bookmarkStart w:id="58" w:name="_Toc15396612"/>
      <w:bookmarkStart w:id="59" w:name="_Toc30513"/>
      <w:r>
        <w:rPr>
          <w:rStyle w:val="2Char"/>
          <w:rFonts w:ascii="Times New Roman" w:eastAsia="黑体" w:hAnsi="Times New Roman" w:hint="eastAsia"/>
          <w:b w:val="0"/>
          <w:color w:val="auto"/>
          <w:lang w:eastAsia="zh-CN"/>
          <w:highlight w:val="auto"/>
        </w:rPr>
        <w:t>十、</w:t>
      </w:r>
      <w:r>
        <w:rPr>
          <w:rStyle w:val="2Char"/>
          <w:rFonts w:ascii="Times New Roman" w:eastAsia="黑体" w:hAnsi="Times New Roman" w:hint="eastAsia"/>
          <w:b w:val="0"/>
          <w:color w:val="auto"/>
          <w:highlight w:val="auto"/>
        </w:rPr>
        <w:t>其他重要事项的情况说明</w:t>
      </w:r>
      <w:bookmarkEnd w:id="57"/>
      <w:bookmarkEnd w:id="58"/>
      <w:bookmarkEnd w:id="59"/>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60" w:name="_Toc15377222"/>
      <w:r>
        <w:rPr>
          <w:rFonts w:ascii="Times New Roman" w:eastAsia="楷体_GB2312" w:cs="楷体_GB2312" w:hAnsi="Times New Roman" w:hint="eastAsia"/>
          <w:b/>
          <w:color w:val="auto"/>
          <w:sz w:val="32"/>
          <w:szCs w:val="32"/>
          <w:highlight w:val="auto"/>
        </w:rPr>
        <w:t>（一）机关运行经费支出情况</w:t>
      </w:r>
      <w:bookmarkEnd w:id="60"/>
    </w:p>
    <w:p>
      <w:pPr>
        <w:spacing w:line="600" w:lineRule="exact"/>
        <w:ind w:firstLine="640"/>
        <w:rPr>
          <w:rFonts w:eastAsia="仿宋_GB2312" w:cs="仿宋_GB2312"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阿坝州公安局（部门）</w:t>
      </w:r>
      <w:r>
        <w:rPr>
          <w:rFonts w:ascii="Times New Roman" w:eastAsia="仿宋_GB2312" w:cs="仿宋_GB2312" w:hAnsi="Times New Roman" w:hint="eastAsia"/>
          <w:color w:val="auto"/>
          <w:kern w:val="2"/>
          <w:sz w:val="32"/>
          <w:szCs w:val="32"/>
          <w:lang w:val="en-US" w:eastAsia="zh-CN" w:bidi="ar-SA"/>
          <w:highlight w:val="auto"/>
        </w:rPr>
        <w:t>机关运行经费支出</w:t>
      </w:r>
      <w:r>
        <w:rPr>
          <w:rFonts w:eastAsia="仿宋_GB2312" w:cs="仿宋_GB2312" w:hint="eastAsia"/>
          <w:color w:val="auto"/>
          <w:kern w:val="2"/>
          <w:sz w:val="32"/>
          <w:szCs w:val="32"/>
          <w:lang w:val="en-US" w:eastAsia="zh-CN" w:bidi="ar-SA"/>
          <w:highlight w:val="auto"/>
        </w:rPr>
        <w:t>2,225.16</w:t>
      </w:r>
      <w:r>
        <w:rPr>
          <w:rFonts w:ascii="Times New Roman" w:eastAsia="仿宋_GB2312" w:cs="仿宋_GB2312" w:hAnsi="Times New Roman" w:hint="eastAsia"/>
          <w:color w:val="auto"/>
          <w:kern w:val="2"/>
          <w:sz w:val="32"/>
          <w:szCs w:val="32"/>
          <w:lang w:val="en-US" w:eastAsia="zh-CN" w:bidi="ar-SA"/>
          <w:highlight w:val="auto"/>
        </w:rPr>
        <w:t>万元，比</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年度减少</w:t>
      </w:r>
      <w:r>
        <w:rPr>
          <w:rFonts w:eastAsia="仿宋_GB2312" w:cs="仿宋_GB2312" w:hint="eastAsia"/>
          <w:color w:val="auto"/>
          <w:kern w:val="2"/>
          <w:sz w:val="32"/>
          <w:szCs w:val="32"/>
          <w:lang w:val="en-US" w:eastAsia="zh-CN" w:bidi="ar-SA"/>
          <w:highlight w:val="auto"/>
        </w:rPr>
        <w:t>96.83</w:t>
      </w:r>
      <w:r>
        <w:rPr>
          <w:rFonts w:ascii="Times New Roman" w:eastAsia="仿宋_GB2312" w:cs="仿宋_GB2312" w:hAnsi="Times New Roman" w:hint="eastAsia"/>
          <w:color w:val="auto"/>
          <w:kern w:val="2"/>
          <w:sz w:val="32"/>
          <w:szCs w:val="32"/>
          <w:lang w:val="en-US" w:eastAsia="zh-CN" w:bidi="ar-SA"/>
          <w:highlight w:val="auto"/>
        </w:rPr>
        <w:t>万元，下降</w:t>
      </w:r>
      <w:r>
        <w:rPr>
          <w:rFonts w:eastAsia="仿宋_GB2312" w:cs="仿宋_GB2312" w:hint="eastAsia"/>
          <w:color w:val="auto"/>
          <w:kern w:val="2"/>
          <w:sz w:val="32"/>
          <w:szCs w:val="32"/>
          <w:lang w:val="en-US" w:eastAsia="zh-CN" w:bidi="ar-SA"/>
          <w:highlight w:val="auto"/>
        </w:rPr>
        <w:t>4.19</w:t>
      </w:r>
      <w:r>
        <w:rPr>
          <w:rFonts w:ascii="Times New Roman" w:eastAsia="仿宋_GB2312" w:cs="仿宋_GB2312" w:hAnsi="Times New Roman" w:hint="eastAsia"/>
          <w:color w:val="auto"/>
          <w:kern w:val="2"/>
          <w:sz w:val="32"/>
          <w:szCs w:val="32"/>
          <w:lang w:val="en-US" w:eastAsia="zh-CN" w:bidi="ar-SA"/>
          <w:highlight w:val="auto"/>
        </w:rPr>
        <w:t>%。主要原因是</w:t>
      </w:r>
      <w:r>
        <w:rPr>
          <w:rFonts w:eastAsia="仿宋_GB2312" w:cs="仿宋_GB2312" w:hint="eastAsia"/>
          <w:color w:val="auto"/>
          <w:kern w:val="2"/>
          <w:sz w:val="32"/>
          <w:szCs w:val="32"/>
          <w:lang w:val="en-US" w:eastAsia="zh-CN" w:bidi="ar-SA"/>
          <w:highlight w:val="auto"/>
        </w:rPr>
        <w:t>厉行节约减少机关日常公用运行费用开支。</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61" w:name="_Toc15377223"/>
      <w:r>
        <w:rPr>
          <w:rFonts w:ascii="Times New Roman" w:eastAsia="楷体_GB2312" w:cs="楷体_GB2312" w:hAnsi="Times New Roman" w:hint="eastAsia"/>
          <w:b/>
          <w:color w:val="auto"/>
          <w:sz w:val="32"/>
          <w:szCs w:val="32"/>
          <w:highlight w:val="auto"/>
        </w:rPr>
        <w:t>（二）政府采购支出情况</w:t>
      </w:r>
      <w:bookmarkEnd w:id="61"/>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阿坝州公安局（部门）</w:t>
      </w:r>
      <w:r>
        <w:rPr>
          <w:rFonts w:ascii="Times New Roman" w:eastAsia="仿宋_GB2312" w:cs="仿宋_GB2312" w:hAnsi="Times New Roman" w:hint="eastAsia"/>
          <w:color w:val="auto"/>
          <w:kern w:val="2"/>
          <w:sz w:val="32"/>
          <w:szCs w:val="32"/>
          <w:lang w:val="en-US" w:eastAsia="zh-CN" w:bidi="ar-SA"/>
          <w:highlight w:val="auto"/>
        </w:rPr>
        <w:t>政府采购支出总额</w:t>
      </w:r>
      <w:r>
        <w:rPr>
          <w:rFonts w:eastAsia="仿宋_GB2312" w:cs="仿宋_GB2312" w:hint="eastAsia"/>
          <w:color w:val="auto"/>
          <w:kern w:val="2"/>
          <w:sz w:val="32"/>
          <w:szCs w:val="32"/>
          <w:lang w:val="en-US" w:eastAsia="zh-CN" w:bidi="ar-SA"/>
          <w:highlight w:val="auto"/>
        </w:rPr>
        <w:t>5,465.73</w:t>
      </w:r>
      <w:r>
        <w:rPr>
          <w:rFonts w:ascii="Times New Roman" w:eastAsia="仿宋_GB2312" w:cs="仿宋_GB2312" w:hAnsi="Times New Roman" w:hint="eastAsia"/>
          <w:color w:val="auto"/>
          <w:kern w:val="2"/>
          <w:sz w:val="32"/>
          <w:szCs w:val="32"/>
          <w:lang w:val="en-US" w:eastAsia="zh-CN" w:bidi="ar-SA"/>
          <w:highlight w:val="auto"/>
        </w:rPr>
        <w:t>万元，其中：政府采购货物支出</w:t>
      </w:r>
      <w:r>
        <w:rPr>
          <w:rFonts w:eastAsia="仿宋_GB2312" w:cs="仿宋_GB2312" w:hint="eastAsia"/>
          <w:color w:val="auto"/>
          <w:kern w:val="2"/>
          <w:sz w:val="32"/>
          <w:szCs w:val="32"/>
          <w:lang w:val="en-US" w:eastAsia="zh-CN" w:bidi="ar-SA"/>
          <w:highlight w:val="auto"/>
        </w:rPr>
        <w:t>3,451.62</w:t>
      </w:r>
      <w:r>
        <w:rPr>
          <w:rFonts w:ascii="Times New Roman" w:eastAsia="仿宋_GB2312" w:cs="仿宋_GB2312" w:hAnsi="Times New Roman" w:hint="eastAsia"/>
          <w:color w:val="auto"/>
          <w:kern w:val="2"/>
          <w:sz w:val="32"/>
          <w:szCs w:val="32"/>
          <w:lang w:val="en-US" w:eastAsia="zh-CN" w:bidi="ar-SA"/>
          <w:highlight w:val="auto"/>
        </w:rPr>
        <w:t>万元、政府采购工程支出</w:t>
      </w:r>
      <w:r>
        <w:rPr>
          <w:rFonts w:eastAsia="仿宋_GB2312" w:cs="仿宋_GB2312" w:hint="eastAsia"/>
          <w:color w:val="auto"/>
          <w:kern w:val="2"/>
          <w:sz w:val="32"/>
          <w:szCs w:val="32"/>
          <w:lang w:val="en-US" w:eastAsia="zh-CN" w:bidi="ar-SA"/>
          <w:highlight w:val="auto"/>
        </w:rPr>
        <w:t>374.42</w:t>
      </w:r>
      <w:r>
        <w:rPr>
          <w:rFonts w:ascii="Times New Roman" w:eastAsia="仿宋_GB2312" w:cs="仿宋_GB2312" w:hAnsi="Times New Roman" w:hint="eastAsia"/>
          <w:color w:val="auto"/>
          <w:kern w:val="2"/>
          <w:sz w:val="32"/>
          <w:szCs w:val="32"/>
          <w:lang w:val="en-US" w:eastAsia="zh-CN" w:bidi="ar-SA"/>
          <w:highlight w:val="auto"/>
        </w:rPr>
        <w:t>万元、政府采购服务支出</w:t>
      </w:r>
      <w:r>
        <w:rPr>
          <w:rFonts w:eastAsia="仿宋_GB2312" w:cs="仿宋_GB2312" w:hint="eastAsia"/>
          <w:color w:val="auto"/>
          <w:kern w:val="2"/>
          <w:sz w:val="32"/>
          <w:szCs w:val="32"/>
          <w:lang w:val="en-US" w:eastAsia="zh-CN" w:bidi="ar-SA"/>
          <w:highlight w:val="auto"/>
        </w:rPr>
        <w:t>1,639.68</w:t>
      </w:r>
      <w:r>
        <w:rPr>
          <w:rFonts w:ascii="Times New Roman" w:eastAsia="仿宋_GB2312" w:cs="仿宋_GB2312" w:hAnsi="Times New Roman" w:hint="eastAsia"/>
          <w:color w:val="auto"/>
          <w:kern w:val="2"/>
          <w:sz w:val="32"/>
          <w:szCs w:val="32"/>
          <w:lang w:val="en-US" w:eastAsia="zh-CN" w:bidi="ar-SA"/>
          <w:highlight w:val="auto"/>
        </w:rPr>
        <w:t>万元。主要用用于微户政系统运营服务外包项目</w:t>
      </w:r>
      <w:r>
        <w:rPr>
          <w:rFonts w:eastAsia="仿宋_GB2312" w:cs="仿宋_GB2312" w:hint="eastAsia"/>
          <w:color w:val="auto"/>
          <w:kern w:val="2"/>
          <w:sz w:val="32"/>
          <w:szCs w:val="32"/>
          <w:lang w:val="en-US" w:eastAsia="zh-CN" w:bidi="ar-SA"/>
          <w:highlight w:val="auto"/>
        </w:rPr>
        <w:t>、警犬犬粮及药品采购项目、物证鉴定所检验耗材采购、储备警用被装采购、测速卡口补点建设项目、交管大数据指挥中心业务技术用房办公家具采购项目等</w:t>
      </w:r>
      <w:r>
        <w:rPr>
          <w:rFonts w:ascii="Times New Roman" w:eastAsia="仿宋_GB2312" w:cs="仿宋_GB2312" w:hAnsi="Times New Roman" w:hint="eastAsia"/>
          <w:color w:val="auto"/>
          <w:kern w:val="2"/>
          <w:sz w:val="32"/>
          <w:szCs w:val="32"/>
          <w:lang w:val="en-US" w:eastAsia="zh-CN" w:bidi="ar-SA"/>
          <w:highlight w:val="auto"/>
        </w:rPr>
        <w:t>。授予中小企业合同金额</w:t>
      </w:r>
      <w:r>
        <w:rPr>
          <w:rFonts w:eastAsia="仿宋_GB2312" w:cs="仿宋_GB2312" w:hint="eastAsia"/>
          <w:color w:val="auto"/>
          <w:kern w:val="2"/>
          <w:sz w:val="32"/>
          <w:szCs w:val="32"/>
          <w:lang w:val="en-US" w:eastAsia="zh-CN" w:bidi="ar-SA"/>
          <w:highlight w:val="auto"/>
        </w:rPr>
        <w:t>1,577.77</w:t>
      </w:r>
      <w:r>
        <w:rPr>
          <w:rFonts w:ascii="Times New Roman" w:eastAsia="仿宋_GB2312" w:cs="仿宋_GB2312" w:hAnsi="Times New Roman" w:hint="eastAsia"/>
          <w:color w:val="auto"/>
          <w:kern w:val="2"/>
          <w:sz w:val="32"/>
          <w:szCs w:val="32"/>
          <w:lang w:val="en-US" w:eastAsia="zh-CN" w:bidi="ar-SA"/>
          <w:highlight w:val="auto"/>
        </w:rPr>
        <w:t>万元，占政府采购支出总额的</w:t>
      </w:r>
      <w:r>
        <w:rPr>
          <w:rFonts w:eastAsia="仿宋_GB2312" w:cs="仿宋_GB2312" w:hint="eastAsia"/>
          <w:color w:val="auto"/>
          <w:kern w:val="2"/>
          <w:sz w:val="32"/>
          <w:szCs w:val="32"/>
          <w:lang w:val="en-US" w:eastAsia="zh-CN" w:bidi="ar-SA"/>
          <w:highlight w:val="auto"/>
        </w:rPr>
        <w:t>45.71</w:t>
      </w:r>
      <w:r>
        <w:rPr>
          <w:rFonts w:ascii="Times New Roman" w:eastAsia="仿宋_GB2312" w:cs="仿宋_GB2312" w:hAnsi="Times New Roman" w:hint="eastAsia"/>
          <w:color w:val="auto"/>
          <w:kern w:val="2"/>
          <w:sz w:val="32"/>
          <w:szCs w:val="32"/>
          <w:lang w:val="en-US" w:eastAsia="zh-CN" w:bidi="ar-SA"/>
          <w:highlight w:val="auto"/>
        </w:rPr>
        <w:t>%，其中：授予小微企业合同金额</w:t>
      </w:r>
      <w:r>
        <w:rPr>
          <w:rFonts w:eastAsia="仿宋_GB2312" w:cs="仿宋_GB2312" w:hint="eastAsia"/>
          <w:color w:val="auto"/>
          <w:kern w:val="2"/>
          <w:sz w:val="32"/>
          <w:szCs w:val="32"/>
          <w:lang w:val="en-US" w:eastAsia="zh-CN" w:bidi="ar-SA"/>
          <w:highlight w:val="auto"/>
        </w:rPr>
        <w:t>1,577.77</w:t>
      </w:r>
      <w:r>
        <w:rPr>
          <w:rFonts w:ascii="Times New Roman" w:eastAsia="仿宋_GB2312" w:cs="仿宋_GB2312" w:hAnsi="Times New Roman" w:hint="eastAsia"/>
          <w:color w:val="auto"/>
          <w:kern w:val="2"/>
          <w:sz w:val="32"/>
          <w:szCs w:val="32"/>
          <w:lang w:val="en-US" w:eastAsia="zh-CN" w:bidi="ar-SA"/>
          <w:highlight w:val="auto"/>
        </w:rPr>
        <w:t>万元，占政府采购支出总额的</w:t>
      </w:r>
      <w:r>
        <w:rPr>
          <w:rFonts w:eastAsia="仿宋_GB2312" w:cs="仿宋_GB2312" w:hint="eastAsia"/>
          <w:color w:val="auto"/>
          <w:kern w:val="2"/>
          <w:sz w:val="32"/>
          <w:szCs w:val="32"/>
          <w:lang w:val="en-US" w:eastAsia="zh-CN" w:bidi="ar-SA"/>
          <w:highlight w:val="auto"/>
        </w:rPr>
        <w:t>45.71</w:t>
      </w:r>
      <w:r>
        <w:rPr>
          <w:rFonts w:ascii="Times New Roman" w:eastAsia="仿宋_GB2312" w:cs="仿宋_GB2312" w:hAnsi="Times New Roman" w:hint="eastAsia"/>
          <w:color w:val="auto"/>
          <w:kern w:val="2"/>
          <w:sz w:val="32"/>
          <w:szCs w:val="32"/>
          <w:lang w:val="en-US" w:eastAsia="zh-CN" w:bidi="ar-SA"/>
          <w:highlight w:val="auto"/>
        </w:rPr>
        <w:t>%。</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62" w:name="_Toc15377224"/>
      <w:r>
        <w:rPr>
          <w:rFonts w:ascii="Times New Roman" w:eastAsia="楷体_GB2312" w:cs="楷体_GB2312" w:hAnsi="Times New Roman" w:hint="eastAsia"/>
          <w:b/>
          <w:color w:val="auto"/>
          <w:sz w:val="32"/>
          <w:szCs w:val="32"/>
          <w:highlight w:val="auto"/>
        </w:rPr>
        <w:t>（三）国有资产占有使用情况</w:t>
      </w:r>
      <w:bookmarkEnd w:id="62"/>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截至202</w:t>
      </w:r>
      <w:r>
        <w:rPr>
          <w:rFonts w:eastAsia="仿宋_GB2312" w:cs="仿宋_GB2312" w:hint="eastAsia"/>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年12月31日，</w:t>
      </w:r>
      <w:r>
        <w:rPr>
          <w:rFonts w:eastAsia="仿宋_GB2312" w:cs="仿宋_GB2312" w:hint="eastAsia"/>
          <w:color w:val="auto"/>
          <w:kern w:val="2"/>
          <w:sz w:val="32"/>
          <w:szCs w:val="32"/>
          <w:lang w:val="en-US" w:eastAsia="zh-CN" w:bidi="ar-SA"/>
          <w:highlight w:val="auto"/>
        </w:rPr>
        <w:t>阿坝州公安局（部门）</w:t>
      </w:r>
      <w:r>
        <w:rPr>
          <w:rFonts w:ascii="Times New Roman" w:eastAsia="仿宋_GB2312" w:cs="仿宋_GB2312" w:hAnsi="Times New Roman" w:hint="eastAsia"/>
          <w:color w:val="auto"/>
          <w:kern w:val="2"/>
          <w:sz w:val="32"/>
          <w:szCs w:val="32"/>
          <w:lang w:val="en-US" w:eastAsia="zh-CN" w:bidi="ar-SA"/>
          <w:highlight w:val="auto"/>
        </w:rPr>
        <w:t>共有车辆</w:t>
      </w:r>
      <w:r>
        <w:rPr>
          <w:rFonts w:eastAsia="仿宋_GB2312" w:cs="仿宋_GB2312" w:hint="eastAsia"/>
          <w:color w:val="auto"/>
          <w:kern w:val="2"/>
          <w:sz w:val="32"/>
          <w:szCs w:val="32"/>
          <w:lang w:val="en-US" w:eastAsia="zh-CN" w:bidi="ar-SA"/>
          <w:highlight w:val="auto"/>
        </w:rPr>
        <w:t>167</w:t>
      </w:r>
      <w:r>
        <w:rPr>
          <w:rFonts w:ascii="Times New Roman" w:eastAsia="仿宋_GB2312" w:cs="仿宋_GB2312" w:hAnsi="Times New Roman" w:hint="eastAsia"/>
          <w:color w:val="auto"/>
          <w:kern w:val="2"/>
          <w:sz w:val="32"/>
          <w:szCs w:val="32"/>
          <w:lang w:val="en-US" w:eastAsia="zh-CN" w:bidi="ar-SA"/>
          <w:highlight w:val="auto"/>
        </w:rPr>
        <w:t>辆，其中：副部（省）级及以上领导用车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辆、主要</w:t>
      </w:r>
      <w:r>
        <w:rPr>
          <w:rFonts w:eastAsia="仿宋_GB2312" w:cs="仿宋_GB2312" w:hint="eastAsia"/>
          <w:color w:val="auto"/>
          <w:kern w:val="2"/>
          <w:sz w:val="32"/>
          <w:szCs w:val="32"/>
          <w:lang w:val="en-US" w:eastAsia="zh-CN" w:bidi="ar-SA"/>
          <w:highlight w:val="auto"/>
        </w:rPr>
        <w:t>负责人</w:t>
      </w:r>
      <w:r>
        <w:rPr>
          <w:rFonts w:ascii="Times New Roman" w:eastAsia="仿宋_GB2312" w:cs="仿宋_GB2312" w:hAnsi="Times New Roman" w:hint="eastAsia"/>
          <w:color w:val="auto"/>
          <w:kern w:val="2"/>
          <w:sz w:val="32"/>
          <w:szCs w:val="32"/>
          <w:lang w:val="en-US" w:eastAsia="zh-CN" w:bidi="ar-SA"/>
          <w:highlight w:val="auto"/>
        </w:rPr>
        <w:t>用车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辆、机要通信用车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辆、应急保障用车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辆、执法执勤用车</w:t>
      </w:r>
      <w:r>
        <w:rPr>
          <w:rFonts w:eastAsia="仿宋_GB2312" w:cs="仿宋_GB2312" w:hint="eastAsia"/>
          <w:color w:val="auto"/>
          <w:kern w:val="2"/>
          <w:sz w:val="32"/>
          <w:szCs w:val="32"/>
          <w:lang w:val="en-US" w:eastAsia="zh-CN" w:bidi="ar-SA"/>
          <w:highlight w:val="auto"/>
        </w:rPr>
        <w:t>119</w:t>
      </w:r>
      <w:r>
        <w:rPr>
          <w:rFonts w:ascii="Times New Roman" w:eastAsia="仿宋_GB2312" w:cs="仿宋_GB2312" w:hAnsi="Times New Roman" w:hint="eastAsia"/>
          <w:color w:val="auto"/>
          <w:kern w:val="2"/>
          <w:sz w:val="32"/>
          <w:szCs w:val="32"/>
          <w:lang w:val="en-US" w:eastAsia="zh-CN" w:bidi="ar-SA"/>
          <w:highlight w:val="auto"/>
        </w:rPr>
        <w:t>辆、特种专业技术用车</w:t>
      </w:r>
      <w:r>
        <w:rPr>
          <w:rFonts w:eastAsia="仿宋_GB2312" w:cs="仿宋_GB2312" w:hint="eastAsia"/>
          <w:color w:val="auto"/>
          <w:kern w:val="2"/>
          <w:sz w:val="32"/>
          <w:szCs w:val="32"/>
          <w:lang w:val="en-US" w:eastAsia="zh-CN" w:bidi="ar-SA"/>
          <w:highlight w:val="auto"/>
        </w:rPr>
        <w:t>48</w:t>
      </w:r>
      <w:r>
        <w:rPr>
          <w:rFonts w:ascii="Times New Roman" w:eastAsia="仿宋_GB2312" w:cs="仿宋_GB2312" w:hAnsi="Times New Roman" w:hint="eastAsia"/>
          <w:color w:val="auto"/>
          <w:kern w:val="2"/>
          <w:sz w:val="32"/>
          <w:szCs w:val="32"/>
          <w:lang w:val="en-US" w:eastAsia="zh-CN" w:bidi="ar-SA"/>
          <w:highlight w:val="auto"/>
        </w:rPr>
        <w:t>辆、离退休干部服务用车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辆、其他用车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辆，单价100万元</w:t>
      </w:r>
      <w:r>
        <w:rPr>
          <w:rFonts w:eastAsia="仿宋_GB2312" w:cs="仿宋_GB2312" w:hint="eastAsia"/>
          <w:color w:val="auto"/>
          <w:kern w:val="2"/>
          <w:sz w:val="32"/>
          <w:szCs w:val="32"/>
          <w:lang w:val="en-US" w:eastAsia="zh-CN" w:bidi="ar-SA"/>
          <w:highlight w:val="auto"/>
        </w:rPr>
        <w:t>（含）</w:t>
      </w:r>
      <w:r>
        <w:rPr>
          <w:rFonts w:ascii="Times New Roman" w:eastAsia="仿宋_GB2312" w:cs="仿宋_GB2312" w:hAnsi="Times New Roman" w:hint="eastAsia"/>
          <w:color w:val="auto"/>
          <w:kern w:val="2"/>
          <w:sz w:val="32"/>
          <w:szCs w:val="32"/>
          <w:lang w:val="en-US" w:eastAsia="zh-CN" w:bidi="ar-SA"/>
          <w:highlight w:val="auto"/>
        </w:rPr>
        <w:t>以上设备（不含车辆）</w:t>
      </w:r>
      <w:r>
        <w:rPr>
          <w:rFonts w:eastAsia="仿宋_GB2312" w:cs="仿宋_GB2312" w:hint="eastAsia"/>
          <w:color w:val="auto"/>
          <w:kern w:val="2"/>
          <w:sz w:val="32"/>
          <w:szCs w:val="32"/>
          <w:lang w:val="en-US" w:eastAsia="zh-CN" w:bidi="ar-SA"/>
          <w:highlight w:val="auto"/>
        </w:rPr>
        <w:t>56</w:t>
      </w:r>
      <w:r>
        <w:rPr>
          <w:rFonts w:ascii="Times New Roman" w:eastAsia="仿宋_GB2312" w:cs="仿宋_GB2312" w:hAnsi="Times New Roman" w:hint="eastAsia"/>
          <w:color w:val="auto"/>
          <w:kern w:val="2"/>
          <w:sz w:val="32"/>
          <w:szCs w:val="32"/>
          <w:lang w:val="en-US" w:eastAsia="zh-CN" w:bidi="ar-SA"/>
          <w:highlight w:val="auto"/>
        </w:rPr>
        <w:t>台（套）。</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r>
        <w:rPr>
          <w:rFonts w:ascii="Times New Roman" w:eastAsia="楷体_GB2312" w:cs="楷体_GB2312" w:hAnsi="Times New Roman" w:hint="eastAsia"/>
          <w:b/>
          <w:color w:val="auto"/>
          <w:sz w:val="32"/>
          <w:szCs w:val="32"/>
          <w:highlight w:val="auto"/>
        </w:rPr>
        <w:t>（四）预算绩效管理情况</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根据预算绩效管理要求，</w:t>
      </w:r>
      <w:r>
        <w:rPr>
          <w:rFonts w:eastAsia="仿宋_GB2312" w:cs="仿宋_GB2312" w:hint="eastAsia"/>
          <w:color w:val="auto"/>
          <w:kern w:val="2"/>
          <w:sz w:val="32"/>
          <w:szCs w:val="32"/>
          <w:lang w:val="en-US" w:eastAsia="zh-CN" w:bidi="ar-SA"/>
          <w:highlight w:val="auto"/>
        </w:rPr>
        <w:t>阿坝州公安局（部门）</w:t>
      </w:r>
      <w:r>
        <w:rPr>
          <w:rFonts w:ascii="Times New Roman" w:eastAsia="仿宋_GB2312" w:cs="仿宋_GB2312" w:hAnsi="Times New Roman" w:hint="eastAsia"/>
          <w:color w:val="auto"/>
          <w:kern w:val="2"/>
          <w:sz w:val="32"/>
          <w:szCs w:val="32"/>
          <w:lang w:val="en-US" w:eastAsia="zh-CN" w:bidi="ar-SA"/>
          <w:highlight w:val="auto"/>
        </w:rPr>
        <w:t>在2025年度，组织对</w:t>
      </w:r>
      <w:r>
        <w:rPr>
          <w:rFonts w:eastAsia="仿宋_GB2312" w:cs="仿宋_GB2312" w:hint="eastAsia"/>
          <w:color w:val="auto"/>
          <w:kern w:val="2"/>
          <w:sz w:val="32"/>
          <w:szCs w:val="32"/>
          <w:lang w:val="en-US" w:eastAsia="zh-CN" w:bidi="ar-SA"/>
          <w:highlight w:val="auto"/>
        </w:rPr>
        <w:t>车辆大修、特警基地基础设施维修改造、阿坝州公安局2025年视觉计算边缘节点算力扩容、测速卡口补点建设项目、道路交通管理业务经费</w:t>
      </w:r>
      <w:r>
        <w:rPr>
          <w:rFonts w:ascii="Times New Roman" w:eastAsia="仿宋_GB2312" w:cs="仿宋_GB2312" w:hAnsi="Times New Roman" w:hint="eastAsia"/>
          <w:color w:val="auto"/>
          <w:kern w:val="2"/>
          <w:sz w:val="32"/>
          <w:szCs w:val="32"/>
          <w:lang w:val="en-US" w:eastAsia="zh-CN" w:bidi="ar-SA"/>
          <w:highlight w:val="auto"/>
        </w:rPr>
        <w:t>等</w:t>
      </w:r>
      <w:r>
        <w:rPr>
          <w:rFonts w:eastAsia="仿宋_GB2312" w:cs="仿宋_GB2312" w:hint="eastAsia"/>
          <w:color w:val="auto"/>
          <w:kern w:val="2"/>
          <w:sz w:val="32"/>
          <w:szCs w:val="32"/>
          <w:lang w:val="en-US" w:eastAsia="zh-CN" w:bidi="ar-SA"/>
          <w:highlight w:val="auto"/>
        </w:rPr>
        <w:t>101</w:t>
      </w:r>
      <w:r>
        <w:rPr>
          <w:rFonts w:ascii="Times New Roman" w:eastAsia="仿宋_GB2312" w:cs="仿宋_GB2312" w:hAnsi="Times New Roman" w:hint="eastAsia"/>
          <w:color w:val="auto"/>
          <w:kern w:val="2"/>
          <w:sz w:val="32"/>
          <w:szCs w:val="32"/>
          <w:lang w:val="en-US" w:eastAsia="zh-CN" w:bidi="ar-SA"/>
          <w:highlight w:val="auto"/>
        </w:rPr>
        <w:t>个项目涉及金额</w:t>
      </w:r>
      <w:r>
        <w:rPr>
          <w:rFonts w:ascii="仿宋_GB2312" w:eastAsia="仿宋_GB2312" w:hint="eastAsia"/>
          <w:sz w:val="32"/>
          <w:szCs w:val="32"/>
        </w:rPr>
        <w:t>33</w:t>
      </w:r>
      <w:r>
        <w:rPr>
          <w:rFonts w:ascii="仿宋_GB2312" w:eastAsia="仿宋_GB2312" w:hint="eastAsia"/>
          <w:sz w:val="32"/>
          <w:szCs w:val="32"/>
          <w:lang w:val="en-US" w:eastAsia="zh-CN"/>
        </w:rPr>
        <w:t>,427</w:t>
      </w:r>
      <w:r>
        <w:rPr>
          <w:rFonts w:ascii="仿宋_GB2312" w:eastAsia="仿宋_GB2312" w:hint="eastAsia"/>
          <w:sz w:val="32"/>
          <w:szCs w:val="32"/>
        </w:rPr>
        <w:t>.</w:t>
      </w:r>
      <w:r>
        <w:rPr>
          <w:rFonts w:ascii="仿宋_GB2312" w:eastAsia="仿宋_GB2312" w:hint="eastAsia"/>
          <w:sz w:val="32"/>
          <w:szCs w:val="32"/>
          <w:lang w:val="en-US" w:eastAsia="zh-CN"/>
        </w:rPr>
        <w:t>4</w:t>
      </w:r>
      <w:r>
        <w:rPr>
          <w:rFonts w:ascii="仿宋_GB2312" w:eastAsia="仿宋_GB2312" w:hint="eastAsia"/>
          <w:sz w:val="32"/>
          <w:szCs w:val="32"/>
        </w:rPr>
        <w:t>3</w:t>
      </w:r>
      <w:r>
        <w:rPr>
          <w:rFonts w:ascii="Times New Roman" w:eastAsia="仿宋_GB2312" w:cs="仿宋_GB2312" w:hAnsi="Times New Roman" w:hint="eastAsia"/>
          <w:color w:val="auto"/>
          <w:kern w:val="2"/>
          <w:sz w:val="32"/>
          <w:szCs w:val="32"/>
          <w:lang w:val="en-US" w:eastAsia="zh-CN" w:bidi="ar-SA"/>
          <w:highlight w:val="auto"/>
        </w:rPr>
        <w:t>万元开展了事前绩效评估，对</w:t>
      </w:r>
      <w:r>
        <w:rPr>
          <w:rFonts w:eastAsia="仿宋_GB2312" w:cs="仿宋_GB2312" w:hint="eastAsia"/>
          <w:color w:val="auto"/>
          <w:kern w:val="2"/>
          <w:sz w:val="32"/>
          <w:szCs w:val="32"/>
          <w:lang w:val="en-US" w:eastAsia="zh-CN" w:bidi="ar-SA"/>
          <w:highlight w:val="auto"/>
        </w:rPr>
        <w:t>101</w:t>
      </w:r>
      <w:r>
        <w:rPr>
          <w:rFonts w:ascii="Times New Roman" w:eastAsia="仿宋_GB2312" w:cs="仿宋_GB2312" w:hAnsi="Times New Roman" w:hint="eastAsia"/>
          <w:color w:val="auto"/>
          <w:kern w:val="2"/>
          <w:sz w:val="32"/>
          <w:szCs w:val="32"/>
          <w:lang w:val="en-US" w:eastAsia="zh-CN" w:bidi="ar-SA"/>
          <w:highlight w:val="auto"/>
        </w:rPr>
        <w:t>个项目编制了绩效目标，预算执行过程中，</w:t>
      </w:r>
      <w:r>
        <w:rPr>
          <w:rFonts w:eastAsia="仿宋_GB2312" w:cs="仿宋_GB2312" w:hint="eastAsia"/>
          <w:color w:val="auto"/>
          <w:kern w:val="2"/>
          <w:sz w:val="32"/>
          <w:szCs w:val="32"/>
          <w:lang w:val="en-US" w:eastAsia="zh-CN" w:bidi="ar-SA"/>
          <w:highlight w:val="auto"/>
        </w:rPr>
        <w:t>对101</w:t>
      </w:r>
      <w:r>
        <w:rPr>
          <w:rFonts w:ascii="Times New Roman" w:eastAsia="仿宋_GB2312" w:cs="仿宋_GB2312" w:hAnsi="Times New Roman" w:hint="eastAsia"/>
          <w:color w:val="auto"/>
          <w:kern w:val="2"/>
          <w:sz w:val="32"/>
          <w:szCs w:val="32"/>
          <w:lang w:val="en-US" w:eastAsia="zh-CN" w:bidi="ar-SA"/>
          <w:highlight w:val="auto"/>
        </w:rPr>
        <w:t>个项目开展绩效监控。</w:t>
      </w:r>
    </w:p>
    <w:p>
      <w:pPr>
        <w:keepNext w:val="0"/>
        <w:keepLines w:val="0"/>
        <w:pageBreakBefore w:val="0"/>
        <w:widowControl w:val="0"/>
        <w:kinsoku w:val="0"/>
        <w:wordWrap/>
        <w:overflowPunct/>
        <w:topLinePunct w:val="0"/>
        <w:bidi w:val="0"/>
        <w:spacing w:line="576" w:lineRule="exact"/>
        <w:ind w:firstLineChars="200" w:firstLine="640"/>
        <w:jc w:val="both"/>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组织对2025年度一般公共预算等全面开展绩效自评，形成</w:t>
      </w:r>
      <w:r>
        <w:rPr>
          <w:rFonts w:eastAsia="仿宋_GB2312" w:cs="仿宋_GB2312" w:hint="eastAsia"/>
          <w:color w:val="auto"/>
          <w:kern w:val="2"/>
          <w:sz w:val="32"/>
          <w:szCs w:val="32"/>
          <w:lang w:val="en-US" w:eastAsia="zh-CN" w:bidi="ar-SA"/>
          <w:highlight w:val="auto"/>
        </w:rPr>
        <w:t>阿坝州公安局</w:t>
      </w:r>
      <w:r>
        <w:rPr>
          <w:rFonts w:ascii="Times New Roman" w:eastAsia="仿宋_GB2312" w:cs="仿宋_GB2312" w:hAnsi="Times New Roman" w:hint="eastAsia"/>
          <w:color w:val="auto"/>
          <w:kern w:val="2"/>
          <w:sz w:val="32"/>
          <w:szCs w:val="32"/>
          <w:lang w:val="en-US" w:eastAsia="zh-CN" w:bidi="ar-SA"/>
          <w:highlight w:val="auto"/>
        </w:rPr>
        <w:t>部门预算（含部门预算项目）绩效自评报告、</w:t>
      </w:r>
      <w:r>
        <w:rPr>
          <w:rFonts w:eastAsia="仿宋_GB2312" w:cs="仿宋_GB2312" w:hint="eastAsia"/>
          <w:color w:val="auto"/>
          <w:kern w:val="2"/>
          <w:sz w:val="32"/>
          <w:szCs w:val="32"/>
          <w:lang w:val="en-US" w:eastAsia="zh-CN" w:bidi="ar-SA"/>
          <w:highlight w:val="auto"/>
        </w:rPr>
        <w:t>特定工作经费、2024年省级财政林业草原专项资金</w:t>
      </w:r>
      <w:r>
        <w:rPr>
          <w:rFonts w:ascii="Times New Roman" w:eastAsia="仿宋_GB2312" w:cs="仿宋_GB2312" w:hAnsi="Times New Roman" w:hint="eastAsia"/>
          <w:color w:val="auto"/>
          <w:kern w:val="2"/>
          <w:sz w:val="32"/>
          <w:szCs w:val="32"/>
          <w:lang w:val="en-US" w:eastAsia="zh-CN" w:bidi="ar-SA"/>
          <w:highlight w:val="auto"/>
        </w:rPr>
        <w:t>等</w:t>
      </w:r>
      <w:r>
        <w:rPr>
          <w:rFonts w:eastAsia="仿宋_GB2312" w:cs="仿宋_GB2312" w:hint="eastAsia"/>
          <w:color w:val="auto"/>
          <w:kern w:val="2"/>
          <w:sz w:val="32"/>
          <w:szCs w:val="32"/>
          <w:lang w:val="en-US" w:eastAsia="zh-CN" w:bidi="ar-SA"/>
          <w:highlight w:val="auto"/>
        </w:rPr>
        <w:t>9</w:t>
      </w:r>
      <w:r>
        <w:rPr>
          <w:rFonts w:ascii="Times New Roman" w:eastAsia="仿宋_GB2312" w:cs="仿宋_GB2312" w:hAnsi="Times New Roman" w:hint="eastAsia"/>
          <w:color w:val="auto"/>
          <w:kern w:val="2"/>
          <w:sz w:val="32"/>
          <w:szCs w:val="32"/>
          <w:lang w:val="en-US" w:eastAsia="zh-CN" w:bidi="ar-SA"/>
          <w:highlight w:val="auto"/>
        </w:rPr>
        <w:t>等专项预算项目绩效自评报告，其中，</w:t>
      </w:r>
      <w:r>
        <w:rPr>
          <w:rFonts w:eastAsia="仿宋_GB2312" w:cs="仿宋_GB2312" w:hint="eastAsia"/>
          <w:color w:val="auto"/>
          <w:kern w:val="2"/>
          <w:sz w:val="32"/>
          <w:szCs w:val="32"/>
          <w:lang w:val="en-US" w:eastAsia="zh-CN" w:bidi="ar-SA"/>
          <w:highlight w:val="auto"/>
        </w:rPr>
        <w:t>阿坝州公安局</w:t>
      </w:r>
      <w:r>
        <w:rPr>
          <w:rFonts w:ascii="Times New Roman" w:eastAsia="仿宋_GB2312" w:cs="仿宋_GB2312" w:hAnsi="Times New Roman" w:hint="eastAsia"/>
          <w:color w:val="auto"/>
          <w:kern w:val="2"/>
          <w:sz w:val="32"/>
          <w:szCs w:val="32"/>
          <w:lang w:val="en-US" w:eastAsia="zh-CN" w:bidi="ar-SA"/>
          <w:highlight w:val="auto"/>
        </w:rPr>
        <w:t>部门预算（含部门预算项目）绩效自评得分为</w:t>
      </w:r>
      <w:r>
        <w:rPr>
          <w:rFonts w:eastAsia="仿宋_GB2312" w:cs="仿宋_GB2312" w:hint="eastAsia"/>
          <w:color w:val="auto"/>
          <w:kern w:val="2"/>
          <w:sz w:val="32"/>
          <w:szCs w:val="32"/>
          <w:lang w:val="en-US" w:eastAsia="zh-CN" w:bidi="ar-SA"/>
          <w:highlight w:val="auto"/>
        </w:rPr>
        <w:t>87.9</w:t>
      </w:r>
      <w:r>
        <w:rPr>
          <w:rFonts w:ascii="Times New Roman" w:eastAsia="仿宋_GB2312" w:cs="仿宋_GB2312" w:hAnsi="Times New Roman" w:hint="eastAsia"/>
          <w:color w:val="auto"/>
          <w:kern w:val="2"/>
          <w:sz w:val="32"/>
          <w:szCs w:val="32"/>
          <w:lang w:val="en-US" w:eastAsia="zh-CN" w:bidi="ar-SA"/>
          <w:highlight w:val="auto"/>
        </w:rPr>
        <w:t>分，绩效自评综述2025年，州公安局部门预算管理工作有序开展，完成数量指标保障3个单位</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达到时效指标-案件处理及时率98%</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目标坚持“三保”在预算安排和支出上的优先顺序，切实筑牢兜实“三保”底线，预算编制质量高</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完成效益指标有效保障社会安定。</w:t>
      </w:r>
      <w:r>
        <w:rPr>
          <w:rFonts w:eastAsia="仿宋_GB2312" w:cs="仿宋_GB2312" w:hint="eastAsia"/>
          <w:color w:val="auto"/>
          <w:kern w:val="2"/>
          <w:sz w:val="32"/>
          <w:szCs w:val="32"/>
          <w:lang w:val="en-US" w:eastAsia="zh-CN" w:bidi="ar-SA"/>
          <w:highlight w:val="auto"/>
        </w:rPr>
        <w:t>2024年省级财政林业草原专项资金</w:t>
      </w:r>
      <w:r>
        <w:rPr>
          <w:rFonts w:ascii="Times New Roman" w:eastAsia="仿宋_GB2312" w:cs="仿宋_GB2312" w:hAnsi="Times New Roman" w:hint="eastAsia"/>
          <w:color w:val="auto"/>
          <w:kern w:val="2"/>
          <w:sz w:val="32"/>
          <w:szCs w:val="32"/>
          <w:lang w:val="en-US" w:eastAsia="zh-CN" w:bidi="ar-SA"/>
          <w:highlight w:val="auto"/>
        </w:rPr>
        <w:t>专项预算项目绩效自评得分为</w:t>
      </w:r>
      <w:r>
        <w:rPr>
          <w:rFonts w:eastAsia="仿宋_GB2312" w:cs="仿宋_GB2312" w:hint="eastAsia"/>
          <w:color w:val="auto"/>
          <w:kern w:val="2"/>
          <w:sz w:val="32"/>
          <w:szCs w:val="32"/>
          <w:lang w:val="en-US" w:eastAsia="zh-CN" w:bidi="ar-SA"/>
          <w:highlight w:val="auto"/>
        </w:rPr>
        <w:t>81</w:t>
      </w:r>
      <w:r>
        <w:rPr>
          <w:rFonts w:ascii="Times New Roman" w:eastAsia="仿宋_GB2312" w:cs="仿宋_GB2312" w:hAnsi="Times New Roman" w:hint="eastAsia"/>
          <w:color w:val="auto"/>
          <w:kern w:val="2"/>
          <w:sz w:val="32"/>
          <w:szCs w:val="32"/>
          <w:lang w:val="en-US" w:eastAsia="zh-CN" w:bidi="ar-SA"/>
          <w:highlight w:val="auto"/>
        </w:rPr>
        <w:t>分，绩效自评综述</w:t>
      </w:r>
      <w:r>
        <w:rPr>
          <w:rFonts w:eastAsia="仿宋_GB2312" w:cs="仿宋_GB2312" w:hint="eastAsia"/>
          <w:color w:val="auto"/>
          <w:kern w:val="2"/>
          <w:sz w:val="32"/>
          <w:szCs w:val="32"/>
          <w:lang w:val="en-US" w:eastAsia="zh-CN" w:bidi="ar-SA"/>
          <w:highlight w:val="auto"/>
        </w:rPr>
        <w:t>：</w:t>
      </w:r>
      <w:r>
        <w:rPr>
          <w:rFonts w:eastAsia="仿宋_GB2312" w:cs="仿宋_GB2312"/>
          <w:color w:val="auto"/>
          <w:kern w:val="2"/>
          <w:sz w:val="32"/>
          <w:szCs w:val="32"/>
          <w:lang w:val="en-US" w:eastAsia="zh-CN" w:bidi="ar-SA"/>
          <w:highlight w:val="auto"/>
        </w:rPr>
        <w:t>项目设立决策程序</w:t>
      </w:r>
      <w:r>
        <w:rPr>
          <w:rFonts w:eastAsia="仿宋_GB2312" w:cs="仿宋_GB2312" w:hint="eastAsia"/>
          <w:color w:val="auto"/>
          <w:kern w:val="2"/>
          <w:sz w:val="32"/>
          <w:szCs w:val="32"/>
          <w:lang w:val="en-US" w:eastAsia="zh-CN" w:bidi="ar-SA"/>
          <w:highlight w:val="auto"/>
        </w:rPr>
        <w:t>较</w:t>
      </w:r>
      <w:r>
        <w:rPr>
          <w:rFonts w:eastAsia="仿宋_GB2312" w:cs="仿宋_GB2312"/>
          <w:color w:val="auto"/>
          <w:kern w:val="2"/>
          <w:sz w:val="32"/>
          <w:szCs w:val="32"/>
          <w:lang w:val="en-US" w:eastAsia="zh-CN" w:bidi="ar-SA"/>
          <w:highlight w:val="auto"/>
        </w:rPr>
        <w:t>严密</w:t>
      </w:r>
      <w:r>
        <w:rPr>
          <w:rFonts w:eastAsia="仿宋_GB2312" w:cs="仿宋_GB2312" w:hint="eastAsia"/>
          <w:color w:val="auto"/>
          <w:kern w:val="2"/>
          <w:sz w:val="32"/>
          <w:szCs w:val="32"/>
          <w:lang w:val="en-US" w:eastAsia="zh-CN" w:bidi="ar-SA"/>
          <w:highlight w:val="auto"/>
        </w:rPr>
        <w:t>、项目规划符合中央、州委、州政府有关决策部署安排，</w:t>
      </w:r>
      <w:r>
        <w:rPr>
          <w:rFonts w:eastAsia="仿宋_GB2312" w:cs="仿宋_GB2312"/>
          <w:color w:val="auto"/>
          <w:kern w:val="2"/>
          <w:sz w:val="32"/>
          <w:szCs w:val="32"/>
          <w:lang w:val="en-US" w:eastAsia="zh-CN" w:bidi="ar-SA"/>
          <w:highlight w:val="auto"/>
        </w:rPr>
        <w:t>资金管理办法等管理制度体系健全完善，不存在管理制度缺失、管理办法过期情况项目资金使用、拨付符合国家财经法规、财务管理制度及有关专项资金管理制度办法规定和审批程序，</w:t>
      </w:r>
      <w:r>
        <w:rPr>
          <w:rFonts w:eastAsia="仿宋_GB2312" w:cs="仿宋_GB2312" w:hint="eastAsia"/>
          <w:color w:val="auto"/>
          <w:kern w:val="2"/>
          <w:sz w:val="32"/>
          <w:szCs w:val="32"/>
          <w:lang w:val="en-US" w:eastAsia="zh-CN" w:bidi="ar-SA"/>
          <w:highlight w:val="auto"/>
        </w:rPr>
        <w:t>未</w:t>
      </w:r>
      <w:r>
        <w:rPr>
          <w:rFonts w:eastAsia="仿宋_GB2312" w:cs="仿宋_GB2312"/>
          <w:color w:val="auto"/>
          <w:kern w:val="2"/>
          <w:sz w:val="32"/>
          <w:szCs w:val="32"/>
          <w:lang w:val="en-US" w:eastAsia="zh-CN" w:bidi="ar-SA"/>
          <w:highlight w:val="auto"/>
        </w:rPr>
        <w:t>存在超范围、超标准、超进度使用专项资金，</w:t>
      </w:r>
      <w:r>
        <w:rPr>
          <w:rFonts w:eastAsia="仿宋_GB2312" w:cs="仿宋_GB2312" w:hint="eastAsia"/>
          <w:color w:val="auto"/>
          <w:kern w:val="2"/>
          <w:sz w:val="32"/>
          <w:szCs w:val="32"/>
          <w:lang w:val="en-US" w:eastAsia="zh-CN" w:bidi="ar-SA"/>
          <w:highlight w:val="auto"/>
        </w:rPr>
        <w:t>未</w:t>
      </w:r>
      <w:r>
        <w:rPr>
          <w:rFonts w:eastAsia="仿宋_GB2312" w:cs="仿宋_GB2312"/>
          <w:color w:val="auto"/>
          <w:kern w:val="2"/>
          <w:sz w:val="32"/>
          <w:szCs w:val="32"/>
          <w:lang w:val="en-US" w:eastAsia="zh-CN" w:bidi="ar-SA"/>
          <w:highlight w:val="auto"/>
        </w:rPr>
        <w:t>存在资金损失浪费、截留、挤占、挪用、虚列支出等情况，项目实施遵守相关法律法规</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绩效自评报告详见附件</w:t>
      </w:r>
      <w:r>
        <w:rPr>
          <w:rFonts w:eastAsia="仿宋_GB2312" w:cs="仿宋_GB2312" w:hint="eastAsia"/>
          <w:color w:val="auto"/>
          <w:kern w:val="2"/>
          <w:sz w:val="32"/>
          <w:szCs w:val="32"/>
          <w:lang w:val="en-US" w:eastAsia="zh-CN" w:bidi="ar-SA"/>
          <w:highlight w:val="auto"/>
        </w:rPr>
        <w:t>（其余8个项目均涉密，绩效自评报告不宜公开）</w:t>
      </w:r>
      <w:r>
        <w:rPr>
          <w:rFonts w:ascii="Times New Roman" w:eastAsia="仿宋_GB2312" w:cs="仿宋_GB2312" w:hAnsi="Times New Roman" w:hint="eastAsia"/>
          <w:color w:val="auto"/>
          <w:kern w:val="2"/>
          <w:sz w:val="32"/>
          <w:szCs w:val="32"/>
          <w:lang w:val="en-US" w:eastAsia="zh-CN" w:bidi="ar-SA"/>
          <w:highlight w:val="auto"/>
        </w:rPr>
        <w:t>。</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jc w:val="center"/>
        <w:outlineLvl w:val="0"/>
        <w:rPr>
          <w:rFonts w:ascii="Times New Roman" w:eastAsia="黑体" w:hAnsi="Times New Roman" w:hint="eastAsia"/>
          <w:color w:val="auto"/>
          <w:sz w:val="44"/>
          <w:szCs w:val="44"/>
          <w:highlight w:val="auto"/>
        </w:rPr>
      </w:pPr>
      <w:bookmarkStart w:id="63" w:name="_Toc24596"/>
      <w:bookmarkStart w:id="64" w:name="_Toc15377225"/>
      <w:bookmarkStart w:id="65" w:name="_Toc15396613"/>
    </w:p>
    <w:p>
      <w:pPr>
        <w:spacing w:line="600" w:lineRule="exact"/>
        <w:jc w:val="center"/>
        <w:outlineLvl w:val="0"/>
        <w:rPr>
          <w:rFonts w:ascii="Times New Roman" w:eastAsia="黑体" w:hAnsi="Times New Roman" w:hint="eastAsia"/>
          <w:color w:val="auto"/>
          <w:sz w:val="44"/>
          <w:szCs w:val="44"/>
          <w:highlight w:val="auto"/>
        </w:rPr>
      </w:pPr>
    </w:p>
    <w:p>
      <w:pPr>
        <w:spacing w:line="600" w:lineRule="exact"/>
        <w:jc w:val="center"/>
        <w:outlineLvl w:val="0"/>
        <w:rPr>
          <w:rFonts w:ascii="Times New Roman" w:eastAsia="黑体" w:hAnsi="Times New Roman"/>
          <w:color w:val="auto"/>
          <w:sz w:val="44"/>
          <w:szCs w:val="44"/>
          <w:highlight w:val="auto"/>
        </w:rPr>
      </w:pPr>
    </w:p>
    <w:p>
      <w:pPr>
        <w:spacing w:line="600" w:lineRule="exact"/>
        <w:jc w:val="center"/>
        <w:outlineLvl w:val="0"/>
        <w:rPr>
          <w:rFonts w:ascii="Times New Roman" w:eastAsia="黑体" w:hAnsi="Times New Roman"/>
          <w:color w:val="auto"/>
          <w:sz w:val="44"/>
          <w:szCs w:val="44"/>
          <w:highlight w:val="auto"/>
        </w:rPr>
      </w:pPr>
    </w:p>
    <w:p>
      <w:pPr>
        <w:spacing w:line="600" w:lineRule="exact"/>
        <w:jc w:val="center"/>
        <w:outlineLvl w:val="0"/>
        <w:rPr>
          <w:rFonts w:ascii="Times New Roman" w:eastAsia="黑体" w:hAnsi="Times New Roman"/>
          <w:color w:val="auto"/>
          <w:sz w:val="44"/>
          <w:szCs w:val="44"/>
          <w:highlight w:val="auto"/>
        </w:rPr>
      </w:pPr>
    </w:p>
    <w:p>
      <w:pPr>
        <w:spacing w:line="600" w:lineRule="exact"/>
        <w:jc w:val="center"/>
        <w:outlineLvl w:val="0"/>
        <w:rPr>
          <w:rFonts w:ascii="Times New Roman" w:eastAsia="黑体" w:hAnsi="Times New Roman"/>
          <w:color w:val="auto"/>
          <w:sz w:val="44"/>
          <w:szCs w:val="44"/>
          <w:highlight w:val="auto"/>
        </w:rPr>
      </w:pPr>
    </w:p>
    <w:p>
      <w:pPr>
        <w:spacing w:line="600" w:lineRule="exact"/>
        <w:jc w:val="center"/>
        <w:outlineLvl w:val="0"/>
        <w:rPr>
          <w:rFonts w:ascii="Times New Roman" w:eastAsia="黑体" w:hAnsi="Times New Roman"/>
          <w:color w:val="auto"/>
          <w:sz w:val="44"/>
          <w:szCs w:val="44"/>
          <w:highlight w:val="auto"/>
        </w:rPr>
      </w:pPr>
    </w:p>
    <w:p>
      <w:pPr>
        <w:spacing w:line="600" w:lineRule="exact"/>
        <w:jc w:val="center"/>
        <w:outlineLvl w:val="0"/>
        <w:rPr>
          <w:rFonts w:ascii="Times New Roman" w:eastAsia="黑体" w:hAnsi="Times New Roman"/>
          <w:color w:val="auto"/>
          <w:sz w:val="44"/>
          <w:szCs w:val="44"/>
          <w:highlight w:val="auto"/>
        </w:rPr>
      </w:pPr>
    </w:p>
    <w:p>
      <w:pPr>
        <w:spacing w:line="600" w:lineRule="exact"/>
        <w:jc w:val="center"/>
        <w:outlineLvl w:val="0"/>
        <w:rPr>
          <w:rFonts w:ascii="Times New Roman" w:eastAsia="黑体" w:hAnsi="Times New Roman"/>
          <w:color w:val="auto"/>
          <w:sz w:val="44"/>
          <w:szCs w:val="44"/>
          <w:highlight w:val="auto"/>
        </w:rPr>
      </w:pPr>
    </w:p>
    <w:p>
      <w:pPr>
        <w:spacing w:line="600" w:lineRule="exact"/>
        <w:jc w:val="center"/>
        <w:outlineLvl w:val="0"/>
        <w:rPr>
          <w:rFonts w:ascii="Times New Roman" w:eastAsia="黑体" w:hAnsi="Times New Roman"/>
          <w:color w:val="auto"/>
          <w:sz w:val="44"/>
          <w:szCs w:val="44"/>
          <w:highlight w:val="auto"/>
        </w:rPr>
      </w:pPr>
    </w:p>
    <w:p>
      <w:pPr>
        <w:spacing w:line="600" w:lineRule="exact"/>
        <w:jc w:val="center"/>
        <w:outlineLvl w:val="0"/>
        <w:rPr>
          <w:rFonts w:ascii="Times New Roman" w:eastAsia="黑体" w:hAnsi="Times New Roman"/>
          <w:color w:val="auto"/>
          <w:sz w:val="44"/>
          <w:szCs w:val="44"/>
          <w:highlight w:val="auto"/>
        </w:rPr>
      </w:pPr>
    </w:p>
    <w:p>
      <w:pPr>
        <w:spacing w:line="600" w:lineRule="exact"/>
        <w:jc w:val="center"/>
        <w:outlineLvl w:val="0"/>
        <w:rPr>
          <w:rFonts w:ascii="Times New Roman" w:eastAsia="黑体" w:hAnsi="Times New Roman"/>
          <w:color w:val="auto"/>
          <w:sz w:val="44"/>
          <w:szCs w:val="44"/>
          <w:highlight w:val="auto"/>
        </w:rPr>
      </w:pPr>
    </w:p>
    <w:p>
      <w:pPr>
        <w:spacing w:line="600" w:lineRule="exact"/>
        <w:jc w:val="center"/>
        <w:outlineLvl w:val="0"/>
        <w:rPr>
          <w:rFonts w:ascii="Times New Roman" w:eastAsia="黑体" w:hAnsi="Times New Roman"/>
          <w:color w:val="auto"/>
          <w:sz w:val="44"/>
          <w:szCs w:val="44"/>
          <w:highlight w:val="auto"/>
        </w:rPr>
      </w:pPr>
    </w:p>
    <w:p>
      <w:pPr>
        <w:spacing w:line="600" w:lineRule="exact"/>
        <w:jc w:val="center"/>
        <w:outlineLvl w:val="0"/>
        <w:rPr>
          <w:rFonts w:ascii="Times New Roman" w:eastAsia="黑体" w:hAnsi="Times New Roman"/>
          <w:color w:val="auto"/>
          <w:sz w:val="44"/>
          <w:szCs w:val="44"/>
          <w:highlight w:val="auto"/>
        </w:rPr>
      </w:pPr>
    </w:p>
    <w:p>
      <w:pPr>
        <w:spacing w:line="600" w:lineRule="exact"/>
        <w:jc w:val="center"/>
        <w:outlineLvl w:val="0"/>
        <w:rPr>
          <w:rFonts w:ascii="Times New Roman" w:eastAsia="黑体" w:hAnsi="Times New Roman"/>
          <w:color w:val="auto"/>
          <w:sz w:val="44"/>
          <w:szCs w:val="44"/>
          <w:highlight w:val="auto"/>
        </w:rPr>
      </w:pPr>
    </w:p>
    <w:p>
      <w:pPr>
        <w:spacing w:line="600" w:lineRule="exact"/>
        <w:jc w:val="center"/>
        <w:outlineLvl w:val="0"/>
        <w:rPr>
          <w:rFonts w:ascii="Times New Roman" w:eastAsia="黑体" w:hAnsi="Times New Roman"/>
          <w:color w:val="auto"/>
          <w:sz w:val="44"/>
          <w:szCs w:val="44"/>
          <w:highlight w:val="auto"/>
        </w:rPr>
      </w:pPr>
    </w:p>
    <w:p>
      <w:pPr>
        <w:spacing w:line="600" w:lineRule="exact"/>
        <w:jc w:val="center"/>
        <w:outlineLvl w:val="0"/>
        <w:rPr>
          <w:rFonts w:ascii="Times New Roman" w:eastAsia="黑体" w:hAnsi="Times New Roman"/>
          <w:color w:val="auto"/>
          <w:sz w:val="44"/>
          <w:szCs w:val="44"/>
          <w:highlight w:val="auto"/>
        </w:rPr>
      </w:pPr>
    </w:p>
    <w:p>
      <w:pPr>
        <w:spacing w:line="600" w:lineRule="exact"/>
        <w:jc w:val="center"/>
        <w:outlineLvl w:val="0"/>
        <w:rPr>
          <w:rFonts w:ascii="Times New Roman" w:eastAsia="黑体" w:hAnsi="Times New Roman"/>
          <w:color w:val="auto"/>
          <w:sz w:val="44"/>
          <w:szCs w:val="44"/>
          <w:highlight w:val="auto"/>
        </w:rPr>
      </w:pPr>
    </w:p>
    <w:p>
      <w:pPr>
        <w:spacing w:line="600" w:lineRule="exact"/>
        <w:jc w:val="center"/>
        <w:outlineLvl w:val="0"/>
        <w:rPr>
          <w:rFonts w:ascii="Times New Roman" w:eastAsia="黑体" w:hAnsi="Times New Roman" w:hint="eastAsia"/>
          <w:color w:val="auto"/>
          <w:sz w:val="44"/>
          <w:szCs w:val="44"/>
          <w:highlight w:val="auto"/>
        </w:rPr>
      </w:pPr>
      <w:r>
        <w:rPr>
          <w:rFonts w:ascii="Times New Roman" w:eastAsia="黑体" w:hAnsi="Times New Roman" w:hint="eastAsia"/>
          <w:color w:val="auto"/>
          <w:sz w:val="44"/>
          <w:szCs w:val="44"/>
          <w:highlight w:val="auto"/>
        </w:rPr>
        <w:t>第</w:t>
      </w:r>
      <w:r>
        <w:rPr>
          <w:rFonts w:eastAsia="黑体" w:hint="eastAsia"/>
          <w:color w:val="auto"/>
          <w:sz w:val="44"/>
          <w:szCs w:val="44"/>
          <w:lang w:eastAsia="zh-CN"/>
          <w:highlight w:val="auto"/>
        </w:rPr>
        <w:t>三</w:t>
      </w:r>
      <w:r>
        <w:rPr>
          <w:rFonts w:ascii="Times New Roman" w:eastAsia="黑体" w:hAnsi="Times New Roman" w:hint="eastAsia"/>
          <w:color w:val="auto"/>
          <w:sz w:val="44"/>
          <w:szCs w:val="44"/>
          <w:highlight w:val="auto"/>
        </w:rPr>
        <w:t>部分</w:t>
      </w:r>
      <w:r>
        <w:rPr>
          <w:rFonts w:ascii="Times New Roman" w:eastAsia="黑体" w:hAnsi="Times New Roman" w:hint="eastAsia"/>
          <w:color w:val="auto"/>
          <w:sz w:val="44"/>
          <w:szCs w:val="44"/>
          <w:lang w:val="en-US" w:eastAsia="zh-CN"/>
          <w:highlight w:val="auto"/>
        </w:rPr>
        <w:t xml:space="preserve"> </w:t>
      </w:r>
      <w:r>
        <w:rPr>
          <w:rFonts w:eastAsia="黑体" w:hint="eastAsia"/>
          <w:color w:val="auto"/>
          <w:sz w:val="44"/>
          <w:szCs w:val="44"/>
          <w:lang w:val="en-US" w:eastAsia="zh-CN"/>
          <w:highlight w:val="auto"/>
        </w:rPr>
        <w:t xml:space="preserve"> </w:t>
      </w:r>
      <w:r>
        <w:rPr>
          <w:rFonts w:ascii="Times New Roman" w:eastAsia="黑体" w:hAnsi="Times New Roman" w:hint="eastAsia"/>
          <w:color w:val="auto"/>
          <w:sz w:val="44"/>
          <w:szCs w:val="44"/>
          <w:highlight w:val="auto"/>
        </w:rPr>
        <w:t>名词解释</w:t>
      </w:r>
      <w:bookmarkEnd w:id="63"/>
      <w:bookmarkEnd w:id="64"/>
      <w:bookmarkEnd w:id="65"/>
    </w:p>
    <w:p>
      <w:pPr>
        <w:spacing w:line="600" w:lineRule="exact"/>
        <w:jc w:val="left"/>
        <w:rPr>
          <w:rFonts w:ascii="Times New Roman" w:hAnsi="Times New Roman"/>
          <w:b/>
          <w:color w:val="auto"/>
          <w:sz w:val="44"/>
          <w:szCs w:val="44"/>
          <w:highlight w:val="auto"/>
        </w:rPr>
      </w:pPr>
    </w:p>
    <w:p>
      <w:pPr>
        <w:keepNext w:val="0"/>
        <w:keepLines w:val="0"/>
        <w:pageBreakBefore w:val="0"/>
        <w:widowControl w:val="0"/>
        <w:kinsoku w:val="0"/>
        <w:wordWrap/>
        <w:overflowPunct/>
        <w:topLinePunct w:val="0"/>
        <w:autoSpaceDE w:val="0"/>
        <w:autoSpaceDN w:val="0"/>
        <w:bidi w:val="0"/>
        <w:adjustRightInd w:val="0"/>
        <w:snapToGrid w:val="0"/>
        <w:spacing w:line="560" w:lineRule="exact"/>
        <w:ind w:firstLine="640"/>
        <w:textAlignment w:val="auto"/>
        <w:rPr>
          <w:rFonts w:ascii="Times New Roman" w:eastAsia="仿宋_GB2312" w:cs="仿宋_GB2312" w:hAnsi="Times New Roman" w:hint="eastAsia"/>
          <w:color w:val="auto"/>
          <w:kern w:val="2"/>
          <w:sz w:val="32"/>
          <w:szCs w:val="32"/>
          <w:lang w:val="en-US" w:eastAsia="zh-CN" w:bidi="ar-SA"/>
          <w:highlight w:val="auto"/>
        </w:rPr>
      </w:pPr>
      <w:bookmarkStart w:id="66" w:name="_Toc15377226"/>
      <w:r>
        <w:rPr>
          <w:rFonts w:ascii="Times New Roman" w:eastAsia="仿宋_GB2312" w:cs="仿宋_GB2312" w:hAnsi="Times New Roman" w:hint="eastAsia"/>
          <w:color w:val="auto"/>
          <w:kern w:val="2"/>
          <w:sz w:val="32"/>
          <w:szCs w:val="32"/>
          <w:lang w:val="en-US" w:eastAsia="zh-CN" w:bidi="ar-SA"/>
          <w:highlight w:val="auto"/>
        </w:rPr>
        <w:t>1.财政拨款收入：指单位从同级财政部门取得的财政预算资金。</w:t>
      </w:r>
    </w:p>
    <w:p>
      <w:pPr>
        <w:keepNext w:val="0"/>
        <w:keepLines w:val="0"/>
        <w:pageBreakBefore w:val="0"/>
        <w:widowControl w:val="0"/>
        <w:kinsoku w:val="0"/>
        <w:wordWrap/>
        <w:overflowPunct/>
        <w:topLinePunct w:val="0"/>
        <w:autoSpaceDE w:val="0"/>
        <w:autoSpaceDN w:val="0"/>
        <w:bidi w:val="0"/>
        <w:adjustRightInd w:val="0"/>
        <w:snapToGrid w:val="0"/>
        <w:spacing w:line="560" w:lineRule="exact"/>
        <w:ind w:firstLine="640"/>
        <w:textAlignment w:val="auto"/>
        <w:rPr>
          <w:rFonts w:ascii="仿宋_GB2312" w:eastAsia="仿宋_GB2312" w:hint="eastAsia"/>
          <w:color w:val="auto"/>
          <w:sz w:val="32"/>
          <w:szCs w:val="32"/>
        </w:rPr>
      </w:pPr>
      <w:r>
        <w:rPr>
          <w:rFonts w:ascii="Times New Roman" w:eastAsia="仿宋_GB2312" w:cs="仿宋_GB2312" w:hAnsi="Times New Roman" w:hint="eastAsia"/>
          <w:color w:val="auto"/>
          <w:kern w:val="2"/>
          <w:sz w:val="32"/>
          <w:szCs w:val="32"/>
          <w:lang w:val="en-US" w:eastAsia="zh-CN" w:bidi="ar-SA"/>
          <w:highlight w:val="auto"/>
        </w:rPr>
        <w:t>2.</w:t>
      </w:r>
      <w:r>
        <w:rPr>
          <w:rFonts w:ascii="仿宋_GB2312" w:eastAsia="仿宋_GB2312" w:hint="eastAsia"/>
          <w:color w:val="auto"/>
          <w:sz w:val="32"/>
          <w:szCs w:val="32"/>
        </w:rPr>
        <w:t>公共安全支出（204）：指</w:t>
      </w:r>
      <w:r>
        <w:rPr>
          <w:rFonts w:ascii="仿宋_GB2312" w:eastAsia="仿宋_GB2312" w:hint="eastAsia"/>
          <w:color w:val="auto"/>
          <w:sz w:val="32"/>
          <w:szCs w:val="32"/>
          <w:lang w:val="en-US" w:eastAsia="zh-CN"/>
        </w:rPr>
        <w:t>政府维护社会公共安全方面的支出</w:t>
      </w:r>
      <w:r>
        <w:rPr>
          <w:rFonts w:ascii="仿宋_GB2312" w:eastAsia="仿宋_GB2312" w:hint="eastAsia"/>
          <w:color w:val="auto"/>
          <w:sz w:val="32"/>
          <w:szCs w:val="32"/>
        </w:rPr>
        <w:t>。</w:t>
      </w:r>
    </w:p>
    <w:p>
      <w:pPr>
        <w:keepNext w:val="0"/>
        <w:keepLines w:val="0"/>
        <w:pageBreakBefore w:val="0"/>
        <w:widowControl w:val="0"/>
        <w:kinsoku w:val="0"/>
        <w:wordWrap/>
        <w:overflowPunct/>
        <w:topLinePunct w:val="0"/>
        <w:autoSpaceDE w:val="0"/>
        <w:autoSpaceDN w:val="0"/>
        <w:bidi w:val="0"/>
        <w:adjustRightInd w:val="0"/>
        <w:snapToGrid w:val="0"/>
        <w:spacing w:line="560" w:lineRule="exact"/>
        <w:ind w:left="0" w:firstLineChars="200" w:firstLine="640"/>
        <w:textAlignment w:val="auto"/>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3</w:t>
      </w:r>
      <w:r>
        <w:rPr>
          <w:rFonts w:ascii="Times New Roman" w:eastAsia="仿宋_GB2312" w:cs="仿宋_GB2312" w:hAnsi="Times New Roman" w:hint="eastAsia"/>
          <w:color w:val="auto"/>
          <w:kern w:val="2"/>
          <w:sz w:val="32"/>
          <w:szCs w:val="32"/>
          <w:lang w:val="en-US" w:eastAsia="zh-CN" w:bidi="ar-SA"/>
          <w:highlight w:val="auto"/>
        </w:rPr>
        <w:t>.</w:t>
      </w:r>
      <w:r>
        <w:rPr>
          <w:rFonts w:ascii="仿宋_GB2312" w:eastAsia="仿宋_GB2312" w:cs="仿宋_GB2312" w:hint="eastAsia"/>
          <w:color w:val="000000"/>
          <w:spacing w:val="-2"/>
          <w:kern w:val="0"/>
          <w:sz w:val="32"/>
          <w:szCs w:val="32"/>
        </w:rPr>
        <w:t>社会保障和就业支出</w:t>
      </w:r>
      <w:r>
        <w:rPr>
          <w:rFonts w:eastAsia="仿宋_GB2312" w:cs="仿宋_GB2312" w:hint="eastAsia"/>
          <w:color w:val="auto"/>
          <w:kern w:val="2"/>
          <w:sz w:val="32"/>
          <w:szCs w:val="32"/>
          <w:lang w:val="en-US" w:eastAsia="zh-CN" w:bidi="ar-SA"/>
          <w:highlight w:val="auto"/>
        </w:rPr>
        <w:t>支出</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208</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：指政府在社会保障与就业方面的支出。</w:t>
      </w:r>
    </w:p>
    <w:p>
      <w:pPr>
        <w:keepNext w:val="0"/>
        <w:keepLines w:val="0"/>
        <w:pageBreakBefore w:val="0"/>
        <w:widowControl w:val="0"/>
        <w:kinsoku w:val="0"/>
        <w:wordWrap/>
        <w:overflowPunct/>
        <w:topLinePunct w:val="0"/>
        <w:autoSpaceDE w:val="0"/>
        <w:autoSpaceDN w:val="0"/>
        <w:bidi w:val="0"/>
        <w:adjustRightInd w:val="0"/>
        <w:snapToGrid w:val="0"/>
        <w:spacing w:line="560" w:lineRule="exact"/>
        <w:ind w:firstLine="640"/>
        <w:textAlignment w:val="auto"/>
        <w:rPr>
          <w:rFonts w:eastAsia="仿宋_GB2312" w:cs="仿宋_GB2312"/>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3.卫生健康支出</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210</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：指政府卫生健康方面的支出。</w:t>
      </w:r>
    </w:p>
    <w:p>
      <w:pPr>
        <w:keepNext w:val="0"/>
        <w:keepLines w:val="0"/>
        <w:pageBreakBefore w:val="0"/>
        <w:widowControl w:val="0"/>
        <w:kinsoku w:val="0"/>
        <w:wordWrap/>
        <w:overflowPunct/>
        <w:topLinePunct w:val="0"/>
        <w:autoSpaceDE w:val="0"/>
        <w:autoSpaceDN w:val="0"/>
        <w:bidi w:val="0"/>
        <w:adjustRightInd w:val="0"/>
        <w:snapToGrid w:val="0"/>
        <w:spacing w:line="560" w:lineRule="exact"/>
        <w:ind w:firstLine="640"/>
        <w:textAlignment w:val="auto"/>
        <w:rPr>
          <w:rFonts w:eastAsia="仿宋_GB2312" w:cs="仿宋_GB2312"/>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4.住房保障支出</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221</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：指政府用于住房方面的支出。</w:t>
      </w:r>
    </w:p>
    <w:p>
      <w:pPr>
        <w:keepNext w:val="0"/>
        <w:keepLines w:val="0"/>
        <w:pageBreakBefore w:val="0"/>
        <w:widowControl w:val="0"/>
        <w:kinsoku w:val="0"/>
        <w:wordWrap/>
        <w:overflowPunct/>
        <w:topLinePunct w:val="0"/>
        <w:autoSpaceDE w:val="0"/>
        <w:autoSpaceDN w:val="0"/>
        <w:bidi w:val="0"/>
        <w:adjustRightInd w:val="0"/>
        <w:snapToGrid w:val="0"/>
        <w:spacing w:line="560" w:lineRule="exact"/>
        <w:ind w:firstLine="640"/>
        <w:textAlignment w:val="auto"/>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.基本支出：指为保障机构正常运转、完成日常工作任务而发生的人员支出和公用支出。</w:t>
      </w:r>
    </w:p>
    <w:p>
      <w:pPr>
        <w:keepNext w:val="0"/>
        <w:keepLines w:val="0"/>
        <w:pageBreakBefore w:val="0"/>
        <w:widowControl w:val="0"/>
        <w:kinsoku w:val="0"/>
        <w:wordWrap/>
        <w:overflowPunct/>
        <w:topLinePunct w:val="0"/>
        <w:autoSpaceDE w:val="0"/>
        <w:autoSpaceDN w:val="0"/>
        <w:bidi w:val="0"/>
        <w:adjustRightInd w:val="0"/>
        <w:snapToGrid w:val="0"/>
        <w:spacing w:line="560" w:lineRule="exact"/>
        <w:ind w:firstLine="640"/>
        <w:textAlignment w:val="auto"/>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6.“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keepNext w:val="0"/>
        <w:keepLines w:val="0"/>
        <w:pageBreakBefore w:val="0"/>
        <w:widowControl w:val="0"/>
        <w:kinsoku w:val="0"/>
        <w:wordWrap/>
        <w:overflowPunct/>
        <w:topLinePunct w:val="0"/>
        <w:autoSpaceDE w:val="0"/>
        <w:autoSpaceDN w:val="0"/>
        <w:bidi w:val="0"/>
        <w:adjustRightInd w:val="0"/>
        <w:snapToGrid w:val="0"/>
        <w:spacing w:line="560" w:lineRule="exact"/>
        <w:ind w:firstLine="640"/>
        <w:textAlignment w:val="auto"/>
        <w:rPr>
          <w:rFonts w:ascii="Times New Roman" w:eastAsia="黑体" w:cs="Times New Roman" w:hAnsi="Times New Roman"/>
          <w:color w:val="auto"/>
          <w:sz w:val="44"/>
          <w:szCs w:val="44"/>
          <w:lang w:val="en-US" w:eastAsia="zh-CN"/>
          <w:highlight w:val="auto"/>
        </w:rPr>
      </w:pPr>
      <w:r>
        <w:rPr>
          <w:rFonts w:ascii="Times New Roman" w:eastAsia="仿宋_GB2312" w:cs="仿宋_GB2312" w:hAnsi="Times New Roman" w:hint="eastAsia"/>
          <w:color w:val="auto"/>
          <w:kern w:val="2"/>
          <w:sz w:val="32"/>
          <w:szCs w:val="32"/>
          <w:lang w:val="en-US" w:eastAsia="zh-CN" w:bidi="ar-SA"/>
          <w:highlight w:val="auto"/>
        </w:rPr>
        <w:t>7.机关运行经费：为保障行政单位（含参照公务员法管理的事业单位）运行用于购买货物和服务的各项资金，包括办公费、印刷费、水费、电费、邮电费、物业管理费、差旅费、维修（护）费、租赁费、公务接待费、被装购置费、专用材料费、劳务费、委托业务费、工会经费、福利费、公务用车运行维护费、其他交通费、其他商品和服务支出、办公设备购置、专用设备购置、信息网络及软件购置更新等。</w:t>
        <w:br w:type="page"/>
      </w:r>
      <w:bookmarkStart w:id="67" w:name="_Toc15396614"/>
      <w:r>
        <w:rPr>
          <w:rFonts w:ascii="Times New Roman" w:eastAsia="仿宋_GB2312" w:cs="仿宋_GB2312" w:hAnsi="Times New Roman" w:hint="eastAsia"/>
          <w:color w:val="auto"/>
          <w:kern w:val="2"/>
          <w:sz w:val="32"/>
          <w:szCs w:val="32"/>
          <w:lang w:val="en-US" w:eastAsia="zh-CN" w:bidi="ar-SA"/>
          <w:highlight w:val="auto"/>
        </w:rPr>
        <w:t xml:space="preserve">                 </w:t>
      </w:r>
      <w:r>
        <w:rPr>
          <w:rFonts w:ascii="Times New Roman" w:eastAsia="黑体" w:cs="Times New Roman" w:hAnsi="Times New Roman" w:hint="eastAsia"/>
          <w:color w:val="auto"/>
          <w:sz w:val="44"/>
          <w:szCs w:val="44"/>
          <w:lang w:val="en-US" w:eastAsia="zh-CN"/>
          <w:highlight w:val="auto"/>
        </w:rPr>
        <w:t>第四部分  附件</w:t>
      </w:r>
    </w:p>
    <w:p>
      <w:pPr>
        <w:keepNext w:val="0"/>
        <w:keepLines w:val="0"/>
        <w:pageBreakBefore w:val="0"/>
        <w:widowControl w:val="0"/>
        <w:kinsoku w:val="0"/>
        <w:wordWrap/>
        <w:overflowPunct/>
        <w:topLinePunct w:val="0"/>
        <w:autoSpaceDE w:val="0"/>
        <w:autoSpaceDN w:val="0"/>
        <w:bidi w:val="0"/>
        <w:adjustRightInd w:val="0"/>
        <w:snapToGrid w:val="0"/>
        <w:spacing w:line="560" w:lineRule="exact"/>
        <w:ind w:firstLine="640"/>
        <w:textAlignment w:val="auto"/>
        <w:rPr>
          <w:rFonts w:hint="eastAsia"/>
        </w:rPr>
      </w:pPr>
    </w:p>
    <w:p>
      <w:pPr>
        <w:pageBreakBefore w:val="0"/>
        <w:widowControl/>
        <w:kinsoku/>
        <w:overflowPunct/>
        <w:topLinePunct w:val="0"/>
        <w:autoSpaceDE/>
        <w:autoSpaceDN/>
        <w:bidi w:val="0"/>
        <w:spacing w:line="578" w:lineRule="exact"/>
        <w:ind w:left="0"/>
        <w:contextualSpacing/>
        <w:jc w:val="center"/>
        <w:rPr>
          <w:rFonts w:eastAsia="方正小标宋简体" w:hint="eastAsia"/>
          <w:bCs/>
          <w:sz w:val="44"/>
          <w:szCs w:val="44"/>
          <w:shd w:val="clear" w:color="auto" w:fill="FFFFFF"/>
          <w:lang w:val="en-US" w:eastAsia="zh-CN"/>
        </w:rPr>
      </w:pPr>
      <w:bookmarkEnd w:id="67"/>
      <w:r>
        <w:rPr>
          <w:rFonts w:eastAsia="方正小标宋简体" w:hint="eastAsia"/>
          <w:bCs/>
          <w:sz w:val="44"/>
          <w:szCs w:val="44"/>
          <w:shd w:val="clear" w:color="auto" w:fill="FFFFFF"/>
          <w:lang w:val="en-US" w:eastAsia="zh-CN"/>
        </w:rPr>
        <w:t>阿坝州公安局</w:t>
      </w:r>
    </w:p>
    <w:p>
      <w:pPr>
        <w:pageBreakBefore w:val="0"/>
        <w:widowControl/>
        <w:kinsoku/>
        <w:overflowPunct/>
        <w:topLinePunct w:val="0"/>
        <w:autoSpaceDE/>
        <w:autoSpaceDN/>
        <w:bidi w:val="0"/>
        <w:spacing w:line="578" w:lineRule="exact"/>
        <w:ind w:left="0"/>
        <w:contextualSpacing/>
        <w:jc w:val="center"/>
        <w:rPr>
          <w:rFonts w:eastAsia="方正小标宋简体"/>
          <w:bCs/>
          <w:sz w:val="44"/>
          <w:szCs w:val="44"/>
          <w:shd w:val="clear" w:color="auto" w:fill="FFFFFF"/>
        </w:rPr>
      </w:pPr>
      <w:r>
        <w:rPr>
          <w:rFonts w:eastAsia="方正小标宋简体"/>
          <w:bCs/>
          <w:sz w:val="44"/>
          <w:szCs w:val="44"/>
          <w:shd w:val="clear" w:color="auto" w:fill="FFFFFF"/>
        </w:rPr>
        <w:t>部门预算绩效</w:t>
      </w:r>
      <w:r>
        <w:rPr>
          <w:rFonts w:eastAsia="方正小标宋简体" w:hint="eastAsia"/>
          <w:bCs/>
          <w:sz w:val="44"/>
          <w:szCs w:val="44"/>
          <w:shd w:val="clear" w:color="auto" w:fill="FFFFFF"/>
        </w:rPr>
        <w:t>自评</w:t>
      </w:r>
      <w:r>
        <w:rPr>
          <w:rFonts w:eastAsia="方正小标宋简体"/>
          <w:bCs/>
          <w:sz w:val="44"/>
          <w:szCs w:val="44"/>
          <w:shd w:val="clear" w:color="auto" w:fill="FFFFFF"/>
        </w:rPr>
        <w:t>报告</w:t>
      </w:r>
    </w:p>
    <w:p>
      <w:pPr>
        <w:keepNext w:val="0"/>
        <w:keepLines w:val="0"/>
        <w:pageBreakBefore w:val="0"/>
        <w:widowControl/>
        <w:kinsoku/>
        <w:wordWrap/>
        <w:overflowPunct/>
        <w:topLinePunct w:val="0"/>
        <w:autoSpaceDE/>
        <w:autoSpaceDN/>
        <w:bidi w:val="0"/>
        <w:adjustRightInd w:val="0"/>
        <w:snapToGrid w:val="0"/>
        <w:spacing w:line="560" w:lineRule="exact"/>
        <w:ind w:left="0" w:firstLineChars="200" w:firstLine="420"/>
        <w:contextualSpacing/>
        <w:jc w:val="left"/>
        <w:textAlignment w:val="auto"/>
        <w:outlineLvl w:val="9"/>
        <w:rPr>
          <w:rFonts w:ascii="Times New Roman" w:cs="Times New Roman" w:hAnsi="Times New Roman"/>
          <w:szCs w:val="32"/>
          <w:lang w:val="zh-CN" w:eastAsia="zh-CN"/>
        </w:rPr>
      </w:pPr>
    </w:p>
    <w:p>
      <w:pPr>
        <w:spacing w:line="600" w:lineRule="exact"/>
        <w:ind w:firstLineChars="200" w:firstLine="640"/>
        <w:jc w:val="both"/>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color w:val="auto"/>
          <w:kern w:val="2"/>
          <w:sz w:val="32"/>
          <w:szCs w:val="32"/>
          <w:lang w:val="zh-CN" w:eastAsia="zh-CN" w:bidi="ar-SA"/>
          <w:highlight w:val="auto"/>
        </w:rPr>
        <w:t>为深入贯彻落实党中央、国务院和省委、省政府、州委、州政府关于全面实施预算绩效管理的决策部署，进一步强化预算绩效管理主体责任和绩效理念，按照《阿坝州财政局关于开展202</w:t>
      </w:r>
      <w:r>
        <w:rPr>
          <w:rFonts w:ascii="Times New Roman" w:eastAsia="仿宋_GB2312" w:cs="仿宋_GB2312" w:hAnsi="Times New Roman" w:hint="eastAsia"/>
          <w:color w:val="auto"/>
          <w:kern w:val="2"/>
          <w:sz w:val="32"/>
          <w:szCs w:val="32"/>
          <w:lang w:val="en-US" w:eastAsia="zh-CN" w:bidi="ar-SA"/>
          <w:highlight w:val="auto"/>
        </w:rPr>
        <w:t>6</w:t>
      </w:r>
      <w:r>
        <w:rPr>
          <w:rFonts w:ascii="Times New Roman" w:eastAsia="仿宋_GB2312" w:cs="仿宋_GB2312" w:hAnsi="Times New Roman"/>
          <w:color w:val="auto"/>
          <w:kern w:val="2"/>
          <w:sz w:val="32"/>
          <w:szCs w:val="32"/>
          <w:lang w:val="zh-CN" w:eastAsia="zh-CN" w:bidi="ar-SA"/>
          <w:highlight w:val="auto"/>
        </w:rPr>
        <w:t>年州级部门</w:t>
      </w:r>
      <w:r>
        <w:rPr>
          <w:rFonts w:ascii="Times New Roman" w:eastAsia="仿宋_GB2312" w:cs="仿宋_GB2312" w:hAnsi="Times New Roman" w:hint="eastAsia"/>
          <w:color w:val="auto"/>
          <w:kern w:val="2"/>
          <w:sz w:val="32"/>
          <w:szCs w:val="32"/>
          <w:lang w:val="en-US" w:eastAsia="zh-CN" w:bidi="ar-SA"/>
          <w:highlight w:val="auto"/>
        </w:rPr>
        <w:t>预算</w:t>
      </w:r>
      <w:r>
        <w:rPr>
          <w:rFonts w:ascii="Times New Roman" w:eastAsia="仿宋_GB2312" w:cs="仿宋_GB2312" w:hAnsi="Times New Roman"/>
          <w:color w:val="auto"/>
          <w:kern w:val="2"/>
          <w:sz w:val="32"/>
          <w:szCs w:val="32"/>
          <w:lang w:val="zh-CN" w:eastAsia="zh-CN" w:bidi="ar-SA"/>
          <w:highlight w:val="auto"/>
        </w:rPr>
        <w:t>绩效自评工作的通知》（阿州财监绩〔202</w:t>
      </w:r>
      <w:r>
        <w:rPr>
          <w:rFonts w:ascii="Times New Roman" w:eastAsia="仿宋_GB2312" w:cs="仿宋_GB2312" w:hAnsi="Times New Roman" w:hint="eastAsia"/>
          <w:color w:val="auto"/>
          <w:kern w:val="2"/>
          <w:sz w:val="32"/>
          <w:szCs w:val="32"/>
          <w:lang w:val="en-US" w:eastAsia="zh-CN" w:bidi="ar-SA"/>
          <w:highlight w:val="auto"/>
        </w:rPr>
        <w:t>6</w:t>
      </w:r>
      <w:r>
        <w:rPr>
          <w:rFonts w:ascii="Times New Roman" w:eastAsia="仿宋_GB2312" w:cs="仿宋_GB2312" w:hAnsi="Times New Roman"/>
          <w:color w:val="auto"/>
          <w:kern w:val="2"/>
          <w:sz w:val="32"/>
          <w:szCs w:val="32"/>
          <w:lang w:val="zh-CN"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3</w:t>
      </w:r>
      <w:r>
        <w:rPr>
          <w:rFonts w:ascii="Times New Roman" w:eastAsia="仿宋_GB2312" w:cs="仿宋_GB2312" w:hAnsi="Times New Roman"/>
          <w:color w:val="auto"/>
          <w:kern w:val="2"/>
          <w:sz w:val="32"/>
          <w:szCs w:val="32"/>
          <w:lang w:val="zh-CN" w:eastAsia="zh-CN" w:bidi="ar-SA"/>
          <w:highlight w:val="auto"/>
        </w:rPr>
        <w:t>号）要求，我</w:t>
      </w:r>
      <w:r>
        <w:rPr>
          <w:rFonts w:ascii="Times New Roman" w:eastAsia="仿宋_GB2312" w:cs="仿宋_GB2312" w:hAnsi="Times New Roman" w:hint="eastAsia"/>
          <w:color w:val="auto"/>
          <w:kern w:val="2"/>
          <w:sz w:val="32"/>
          <w:szCs w:val="32"/>
          <w:lang w:val="zh-CN" w:eastAsia="zh-CN" w:bidi="ar-SA"/>
          <w:highlight w:val="auto"/>
        </w:rPr>
        <w:t>部门</w:t>
      </w:r>
      <w:r>
        <w:rPr>
          <w:rFonts w:ascii="Times New Roman" w:eastAsia="仿宋_GB2312" w:cs="仿宋_GB2312" w:hAnsi="Times New Roman"/>
          <w:color w:val="auto"/>
          <w:kern w:val="2"/>
          <w:sz w:val="32"/>
          <w:szCs w:val="32"/>
          <w:lang w:val="zh-CN" w:eastAsia="zh-CN" w:bidi="ar-SA"/>
          <w:highlight w:val="auto"/>
        </w:rPr>
        <w:t>认真组织开展</w:t>
      </w:r>
      <w:r>
        <w:rPr>
          <w:rFonts w:ascii="Times New Roman" w:eastAsia="仿宋_GB2312" w:cs="仿宋_GB2312" w:hAnsi="Times New Roman" w:hint="eastAsia"/>
          <w:color w:val="auto"/>
          <w:kern w:val="2"/>
          <w:sz w:val="32"/>
          <w:szCs w:val="32"/>
          <w:lang w:val="zh-CN" w:eastAsia="zh-CN" w:bidi="ar-SA"/>
          <w:highlight w:val="auto"/>
        </w:rPr>
        <w:t>部门</w:t>
      </w:r>
      <w:r>
        <w:rPr>
          <w:rFonts w:ascii="Times New Roman" w:eastAsia="仿宋_GB2312" w:cs="仿宋_GB2312" w:hAnsi="Times New Roman"/>
          <w:color w:val="auto"/>
          <w:kern w:val="2"/>
          <w:sz w:val="32"/>
          <w:szCs w:val="32"/>
          <w:lang w:val="zh-CN" w:eastAsia="zh-CN" w:bidi="ar-SA"/>
          <w:highlight w:val="auto"/>
        </w:rPr>
        <w:t>整体绩效自评工作，现将我</w:t>
      </w:r>
      <w:r>
        <w:rPr>
          <w:rFonts w:ascii="Times New Roman" w:eastAsia="仿宋_GB2312" w:cs="仿宋_GB2312" w:hAnsi="Times New Roman" w:hint="eastAsia"/>
          <w:color w:val="auto"/>
          <w:kern w:val="2"/>
          <w:sz w:val="32"/>
          <w:szCs w:val="32"/>
          <w:lang w:val="zh-CN" w:eastAsia="zh-CN" w:bidi="ar-SA"/>
          <w:highlight w:val="auto"/>
        </w:rPr>
        <w:t>部门</w:t>
      </w:r>
      <w:r>
        <w:rPr>
          <w:rFonts w:ascii="Times New Roman" w:eastAsia="仿宋_GB2312" w:cs="仿宋_GB2312" w:hAnsi="Times New Roman"/>
          <w:color w:val="auto"/>
          <w:kern w:val="2"/>
          <w:sz w:val="32"/>
          <w:szCs w:val="32"/>
          <w:lang w:val="zh-CN" w:eastAsia="zh-CN" w:bidi="ar-SA"/>
          <w:highlight w:val="auto"/>
        </w:rPr>
        <w:t>202</w:t>
      </w:r>
      <w:r>
        <w:rPr>
          <w:rFonts w:ascii="Times New Roman" w:eastAsia="仿宋_GB2312" w:cs="仿宋_GB2312" w:hAnsi="Times New Roman" w:hint="eastAsia"/>
          <w:color w:val="auto"/>
          <w:kern w:val="2"/>
          <w:sz w:val="32"/>
          <w:szCs w:val="32"/>
          <w:lang w:val="en-US" w:eastAsia="zh-CN" w:bidi="ar-SA"/>
          <w:highlight w:val="auto"/>
        </w:rPr>
        <w:t>5</w:t>
      </w:r>
      <w:r>
        <w:rPr>
          <w:rFonts w:ascii="Times New Roman" w:eastAsia="仿宋_GB2312" w:cs="仿宋_GB2312" w:hAnsi="Times New Roman"/>
          <w:color w:val="auto"/>
          <w:kern w:val="2"/>
          <w:sz w:val="32"/>
          <w:szCs w:val="32"/>
          <w:lang w:val="zh-CN" w:eastAsia="zh-CN" w:bidi="ar-SA"/>
          <w:highlight w:val="auto"/>
        </w:rPr>
        <w:t>年预算使用管理绩效评价报告如下：</w:t>
      </w:r>
    </w:p>
    <w:p>
      <w:pPr>
        <w:pageBreakBefore w:val="0"/>
        <w:widowControl/>
        <w:kinsoku/>
        <w:overflowPunct/>
        <w:topLinePunct w:val="0"/>
        <w:autoSpaceDE/>
        <w:autoSpaceDN/>
        <w:bidi w:val="0"/>
        <w:adjustRightInd w:val="0"/>
        <w:snapToGrid w:val="0"/>
        <w:spacing w:line="578" w:lineRule="exact"/>
        <w:ind w:firstLineChars="200" w:firstLine="640"/>
        <w:contextualSpacing/>
        <w:jc w:val="both"/>
        <w:rPr>
          <w:sz w:val="32"/>
          <w:szCs w:val="32"/>
        </w:rPr>
      </w:pPr>
      <w:r>
        <w:rPr>
          <w:rFonts w:eastAsia="黑体"/>
          <w:color w:val="000000"/>
          <w:kern w:val="0"/>
          <w:sz w:val="32"/>
          <w:szCs w:val="32"/>
          <w:shd w:val="clear" w:color="auto" w:fill="FFFFFF"/>
          <w:lang w:val="zh-CN"/>
        </w:rPr>
        <w:t>一、</w:t>
      </w:r>
      <w:r>
        <w:rPr>
          <w:rFonts w:eastAsia="黑体" w:hint="eastAsia"/>
          <w:color w:val="000000"/>
          <w:kern w:val="0"/>
          <w:sz w:val="32"/>
          <w:szCs w:val="32"/>
          <w:shd w:val="clear" w:color="auto" w:fill="FFFFFF"/>
          <w:lang w:val="zh-CN"/>
        </w:rPr>
        <w:t>阿坝州公安局</w:t>
      </w:r>
      <w:r>
        <w:rPr>
          <w:rFonts w:eastAsia="黑体"/>
          <w:color w:val="000000"/>
          <w:kern w:val="0"/>
          <w:sz w:val="32"/>
          <w:szCs w:val="32"/>
          <w:shd w:val="clear" w:color="auto" w:fill="FFFFFF"/>
          <w:lang w:val="zh-CN"/>
        </w:rPr>
        <w:t>基本情况</w:t>
      </w:r>
    </w:p>
    <w:p>
      <w:pPr>
        <w:keepNext w:val="0"/>
        <w:keepLines w:val="0"/>
        <w:pageBreakBefore w:val="0"/>
        <w:widowControl/>
        <w:kinsoku/>
        <w:wordWrap/>
        <w:overflowPunct/>
        <w:topLinePunct w:val="0"/>
        <w:autoSpaceDE/>
        <w:autoSpaceDN/>
        <w:bidi w:val="0"/>
        <w:adjustRightInd w:val="0"/>
        <w:snapToGrid w:val="0"/>
        <w:spacing w:line="560" w:lineRule="exact"/>
        <w:ind w:left="0" w:firstLineChars="200" w:firstLine="640"/>
        <w:contextualSpacing/>
        <w:jc w:val="both"/>
        <w:textAlignment w:val="auto"/>
        <w:outlineLvl w:val="9"/>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（一）机构组成。</w:t>
      </w:r>
    </w:p>
    <w:p>
      <w:pPr>
        <w:keepNext w:val="0"/>
        <w:keepLines w:val="0"/>
        <w:pageBreakBefore w:val="0"/>
        <w:widowControl/>
        <w:kinsoku/>
        <w:wordWrap/>
        <w:overflowPunct/>
        <w:topLinePunct w:val="0"/>
        <w:autoSpaceDE/>
        <w:autoSpaceDN/>
        <w:bidi w:val="0"/>
        <w:adjustRightInd w:val="0"/>
        <w:snapToGrid w:val="0"/>
        <w:spacing w:line="560" w:lineRule="exact"/>
        <w:ind w:left="0" w:firstLineChars="200" w:firstLine="640"/>
        <w:contextualSpacing/>
        <w:jc w:val="both"/>
        <w:textAlignment w:val="auto"/>
        <w:outlineLvl w:val="9"/>
        <w:rPr>
          <w:rFonts w:ascii="Times New Roman" w:eastAsia="仿宋_GB2312" w:cs="仿宋_GB2312" w:hAnsi="Times New Roman"/>
          <w:color w:val="auto"/>
          <w:kern w:val="2"/>
          <w:sz w:val="32"/>
          <w:szCs w:val="32"/>
          <w:lang w:val="zh-CN" w:eastAsia="zh-CN" w:bidi="ar-SA"/>
          <w:highlight w:val="auto"/>
        </w:rPr>
      </w:pPr>
      <w:r>
        <w:rPr>
          <w:rFonts w:ascii="Times New Roman" w:eastAsia="仿宋_GB2312" w:cs="仿宋_GB2312" w:hAnsi="Times New Roman"/>
          <w:color w:val="auto"/>
          <w:kern w:val="2"/>
          <w:sz w:val="32"/>
          <w:szCs w:val="32"/>
          <w:lang w:val="zh-CN" w:eastAsia="zh-CN" w:bidi="ar-SA"/>
          <w:highlight w:val="auto"/>
        </w:rPr>
        <w:t xml:space="preserve">阿坝州公安局是州政府主管全州公安工作的职能部门，属一级预算单位，下设两个独立预算二级单位：州强制隔离戒毒所、阿坝州交警支队。阿坝州公安局内设机构31个（含4个驻外分局），包括：州纪委驻州公安局纪检组、机关党委、政治部、办公室、情指中心、政保支队、警卫处、治安管理支队、监所管理支队、州强制戒毒所、刑侦支队、科通支队、出入境支队、交警支队、物证鉴定所、反恐支队、督察支队、技侦支队、警务保障处、森警支队、法制支队、经侦支队、禁毒支队、网安支队、行政审批处、食药环支队、特警支队、九黄机场分局、红原机场分局、卧龙分局、双江口分局。 </w:t>
      </w:r>
    </w:p>
    <w:p>
      <w:pPr>
        <w:keepNext w:val="0"/>
        <w:keepLines w:val="0"/>
        <w:pageBreakBefore w:val="0"/>
        <w:widowControl/>
        <w:kinsoku/>
        <w:wordWrap/>
        <w:overflowPunct/>
        <w:topLinePunct w:val="0"/>
        <w:autoSpaceDE/>
        <w:autoSpaceDN/>
        <w:bidi w:val="0"/>
        <w:adjustRightInd w:val="0"/>
        <w:snapToGrid w:val="0"/>
        <w:spacing w:line="560" w:lineRule="exact"/>
        <w:ind w:left="0" w:firstLineChars="200" w:firstLine="640"/>
        <w:contextualSpacing/>
        <w:jc w:val="both"/>
        <w:textAlignment w:val="auto"/>
        <w:outlineLvl w:val="9"/>
        <w:rPr>
          <w:rFonts w:eastAsia="楷体_GB2312"/>
          <w:b/>
          <w:bCs/>
          <w:color w:val="000000"/>
          <w:kern w:val="0"/>
          <w:szCs w:val="32"/>
          <w:shd w:val="clear" w:color="auto" w:fill="FFFFFF"/>
          <w:lang w:val="zh-CN"/>
        </w:rPr>
      </w:pPr>
      <w:r>
        <w:rPr>
          <w:rFonts w:ascii="Times New Roman" w:eastAsia="楷体_GB2312" w:cs="Times New Roman" w:hAnsi="Times New Roman" w:hint="eastAsia"/>
          <w:b/>
          <w:bCs/>
          <w:color w:val="000000"/>
          <w:kern w:val="0"/>
          <w:sz w:val="32"/>
          <w:szCs w:val="32"/>
          <w:shd w:val="clear" w:color="auto" w:fill="FFFFFF"/>
          <w:lang w:val="zh-CN"/>
        </w:rPr>
        <w:t>（</w:t>
      </w:r>
      <w:r>
        <w:rPr>
          <w:rFonts w:ascii="Times New Roman" w:eastAsia="楷体_GB2312" w:cs="Times New Roman" w:hAnsi="Times New Roman" w:hint="eastAsia"/>
          <w:b/>
          <w:bCs/>
          <w:color w:val="000000"/>
          <w:kern w:val="0"/>
          <w:sz w:val="32"/>
          <w:szCs w:val="32"/>
          <w:shd w:val="clear" w:color="auto" w:fill="FFFFFF"/>
          <w:lang w:val="en-US" w:eastAsia="zh-CN"/>
        </w:rPr>
        <w:t>二</w:t>
      </w:r>
      <w:r>
        <w:rPr>
          <w:rFonts w:ascii="Times New Roman" w:eastAsia="楷体_GB2312" w:cs="Times New Roman" w:hAnsi="Times New Roman" w:hint="eastAsia"/>
          <w:b/>
          <w:bCs/>
          <w:color w:val="000000"/>
          <w:kern w:val="0"/>
          <w:sz w:val="32"/>
          <w:szCs w:val="32"/>
          <w:shd w:val="clear" w:color="auto" w:fill="FFFFFF"/>
          <w:lang w:val="zh-CN"/>
        </w:rPr>
        <w:t>）</w:t>
      </w:r>
      <w:r>
        <w:rPr>
          <w:rFonts w:ascii="Times New Roman" w:eastAsia="楷体_GB2312" w:cs="Times New Roman" w:hAnsi="Times New Roman"/>
          <w:b/>
          <w:bCs/>
          <w:color w:val="000000"/>
          <w:kern w:val="0"/>
          <w:sz w:val="32"/>
          <w:szCs w:val="32"/>
          <w:shd w:val="clear" w:color="auto" w:fill="FFFFFF"/>
          <w:lang w:val="zh-CN"/>
        </w:rPr>
        <w:t>机构职能。</w:t>
      </w:r>
    </w:p>
    <w:p>
      <w:pPr>
        <w:spacing w:line="600" w:lineRule="exact"/>
        <w:ind w:firstLineChars="200" w:firstLine="640"/>
        <w:jc w:val="both"/>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color w:val="auto"/>
          <w:kern w:val="2"/>
          <w:sz w:val="32"/>
          <w:szCs w:val="32"/>
          <w:lang w:val="en-US" w:eastAsia="zh-CN" w:bidi="ar-SA"/>
          <w:highlight w:val="auto"/>
        </w:rPr>
        <w:t xml:space="preserve"> 1.贯彻执行国家公安工作的方针</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政策</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法律</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法规和规章，起草地方性公安法规、规章草案</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部署、指导、监督、检查全州公安工作</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负责本系统、本部门依法行政工作</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落实行政执法责任制；</w:t>
      </w:r>
    </w:p>
    <w:p>
      <w:pPr>
        <w:spacing w:line="600" w:lineRule="exact"/>
        <w:ind w:firstLineChars="200" w:firstLine="640"/>
        <w:jc w:val="both"/>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color w:val="auto"/>
          <w:kern w:val="2"/>
          <w:sz w:val="32"/>
          <w:szCs w:val="32"/>
          <w:lang w:val="en-US" w:eastAsia="zh-CN" w:bidi="ar-SA"/>
          <w:highlight w:val="auto"/>
        </w:rPr>
        <w:t>2.指导、协调全州公安机关应急管理、抢险救援工作和社会公共突发事件的处置工作；</w:t>
      </w:r>
    </w:p>
    <w:p>
      <w:pPr>
        <w:spacing w:line="600" w:lineRule="exact"/>
        <w:ind w:firstLineChars="200" w:firstLine="640"/>
        <w:jc w:val="both"/>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color w:val="auto"/>
          <w:kern w:val="2"/>
          <w:sz w:val="32"/>
          <w:szCs w:val="32"/>
          <w:lang w:val="en-US" w:eastAsia="zh-CN" w:bidi="ar-SA"/>
          <w:highlight w:val="auto"/>
        </w:rPr>
        <w:t>3.收集掌握影响社会稳定、危害国家安全和社会治安的情况</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分析研判形势</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制定对策；</w:t>
      </w:r>
    </w:p>
    <w:p>
      <w:pPr>
        <w:spacing w:line="600" w:lineRule="exact"/>
        <w:ind w:firstLineChars="200" w:firstLine="640"/>
        <w:jc w:val="both"/>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color w:val="auto"/>
          <w:kern w:val="2"/>
          <w:sz w:val="32"/>
          <w:szCs w:val="32"/>
          <w:lang w:val="en-US" w:eastAsia="zh-CN" w:bidi="ar-SA"/>
          <w:highlight w:val="auto"/>
        </w:rPr>
        <w:t>4.组织、实施、指导全州公安法制建设</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按管辖办理行政诉讼、行政复议案件</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依法实施行政许可、行政审批事项；</w:t>
      </w:r>
    </w:p>
    <w:p>
      <w:pPr>
        <w:spacing w:line="600" w:lineRule="exact"/>
        <w:ind w:firstLineChars="200" w:firstLine="640"/>
        <w:jc w:val="both"/>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color w:val="auto"/>
          <w:kern w:val="2"/>
          <w:sz w:val="32"/>
          <w:szCs w:val="32"/>
          <w:lang w:val="en-US" w:eastAsia="zh-CN" w:bidi="ar-SA"/>
          <w:highlight w:val="auto"/>
        </w:rPr>
        <w:t>5.组织指导全州公安侦查工作</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协调、指挥、侦破重特大案件</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处置治安灾害事故、骚乱和群体性突发事件、组织实施重大活动的安全保卫工作；</w:t>
      </w:r>
    </w:p>
    <w:p>
      <w:pPr>
        <w:spacing w:line="600" w:lineRule="exact"/>
        <w:ind w:firstLineChars="200" w:firstLine="640"/>
        <w:jc w:val="both"/>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color w:val="auto"/>
          <w:kern w:val="2"/>
          <w:sz w:val="32"/>
          <w:szCs w:val="32"/>
          <w:lang w:val="en-US" w:eastAsia="zh-CN" w:bidi="ar-SA"/>
          <w:highlight w:val="auto"/>
        </w:rPr>
        <w:t>6.指导、监督全州公安机关查处危害社会治安秩序行为</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依法管理户口、居民身份证、枪支弹药、危险物品、特种行业等工作</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依法管理集会、游行、示威活动；</w:t>
      </w:r>
    </w:p>
    <w:p>
      <w:pPr>
        <w:spacing w:line="600" w:lineRule="exact"/>
        <w:ind w:firstLineChars="200" w:firstLine="640"/>
        <w:jc w:val="both"/>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color w:val="auto"/>
          <w:kern w:val="2"/>
          <w:sz w:val="32"/>
          <w:szCs w:val="32"/>
          <w:lang w:val="en-US" w:eastAsia="zh-CN" w:bidi="ar-SA"/>
          <w:highlight w:val="auto"/>
        </w:rPr>
        <w:t>7.负责全州道路交通安全管理工作并承担相应责任。指导监督全州公安机关维护道路交通安全、交通秩序</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组织、协调处置重特大交通事故</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依法管理机动车辆(不含拖拉机)和驾驶人员；</w:t>
      </w:r>
    </w:p>
    <w:p>
      <w:pPr>
        <w:spacing w:line="600" w:lineRule="exact"/>
        <w:ind w:firstLineChars="200" w:firstLine="640"/>
        <w:jc w:val="both"/>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color w:val="auto"/>
          <w:kern w:val="2"/>
          <w:sz w:val="32"/>
          <w:szCs w:val="32"/>
          <w:lang w:val="en-US" w:eastAsia="zh-CN" w:bidi="ar-SA"/>
          <w:highlight w:val="auto"/>
        </w:rPr>
        <w:t xml:space="preserve">8.负责全州消防工作并承担相应责任。指导、监督、协调全州消防监督、火灾预防、火灾扑救工作和公安应急抢险救援工作； </w:t>
      </w:r>
    </w:p>
    <w:p>
      <w:pPr>
        <w:spacing w:line="600" w:lineRule="exact"/>
        <w:ind w:firstLineChars="200" w:firstLine="640"/>
        <w:jc w:val="both"/>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color w:val="auto"/>
          <w:kern w:val="2"/>
          <w:sz w:val="32"/>
          <w:szCs w:val="32"/>
          <w:lang w:val="en-US" w:eastAsia="zh-CN" w:bidi="ar-SA"/>
          <w:highlight w:val="auto"/>
        </w:rPr>
        <w:t>9.指导全州公安警卫业务工作</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组织实施对有关党和国家领导人以及重要外宾在州内的安全警卫工作并承担相应责任。组织、实施全州航空选等要害目标的安全保卫指导；</w:t>
      </w:r>
    </w:p>
    <w:p>
      <w:pPr>
        <w:spacing w:line="600" w:lineRule="exact"/>
        <w:ind w:firstLineChars="200" w:firstLine="640"/>
        <w:jc w:val="both"/>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color w:val="auto"/>
          <w:kern w:val="2"/>
          <w:sz w:val="32"/>
          <w:szCs w:val="32"/>
          <w:lang w:val="en-US" w:eastAsia="zh-CN" w:bidi="ar-SA"/>
          <w:highlight w:val="auto"/>
        </w:rPr>
        <w:t>10.指导、监督全州公安机关对公共信息网络的安全保护工作</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负责信息安全等级保卫工作的监督、检查、指导；</w:t>
      </w:r>
    </w:p>
    <w:p>
      <w:pPr>
        <w:spacing w:line="600" w:lineRule="exact"/>
        <w:ind w:firstLineChars="200" w:firstLine="640"/>
        <w:jc w:val="both"/>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color w:val="auto"/>
          <w:kern w:val="2"/>
          <w:sz w:val="32"/>
          <w:szCs w:val="32"/>
          <w:lang w:val="en-US" w:eastAsia="zh-CN" w:bidi="ar-SA"/>
          <w:highlight w:val="auto"/>
        </w:rPr>
        <w:t>11.依法管理国籍、出境入境和外国人在中国境内居留、旅行的有关工作；</w:t>
      </w:r>
    </w:p>
    <w:p>
      <w:pPr>
        <w:spacing w:line="600" w:lineRule="exact"/>
        <w:ind w:firstLineChars="200" w:firstLine="640"/>
        <w:jc w:val="both"/>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color w:val="auto"/>
          <w:kern w:val="2"/>
          <w:sz w:val="32"/>
          <w:szCs w:val="32"/>
          <w:lang w:val="en-US" w:eastAsia="zh-CN" w:bidi="ar-SA"/>
          <w:highlight w:val="auto"/>
        </w:rPr>
        <w:t>12.组织、指导、协调对恐怖活动的情报、防范、侦察和应急处置工作；</w:t>
      </w:r>
    </w:p>
    <w:p>
      <w:pPr>
        <w:spacing w:line="600" w:lineRule="exact"/>
        <w:ind w:firstLineChars="200" w:firstLine="640"/>
        <w:jc w:val="both"/>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color w:val="auto"/>
          <w:kern w:val="2"/>
          <w:sz w:val="32"/>
          <w:szCs w:val="32"/>
          <w:lang w:val="en-US" w:eastAsia="zh-CN" w:bidi="ar-SA"/>
          <w:highlight w:val="auto"/>
        </w:rPr>
        <w:t>13.指导、监督全州公安机关依法承担的执行刑罚和监督考察工作。指导、监督全州公安机关看守所、拘留所、强制戒毒所的管理工作。指导、监督、办理收容教养和劳动教养审批工作。管理阿坝州看守所、阿坝州强制隔离戒毒所；</w:t>
      </w:r>
    </w:p>
    <w:p>
      <w:pPr>
        <w:spacing w:line="600" w:lineRule="exact"/>
        <w:ind w:firstLineChars="200" w:firstLine="640"/>
        <w:jc w:val="both"/>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color w:val="auto"/>
          <w:kern w:val="2"/>
          <w:sz w:val="32"/>
          <w:szCs w:val="32"/>
          <w:lang w:val="en-US" w:eastAsia="zh-CN" w:bidi="ar-SA"/>
          <w:highlight w:val="auto"/>
        </w:rPr>
        <w:t>14.组织实施全州公安科学技术工作</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组织、指导、规划全州公安机关的指挥系统、信息技术、刑事技术建设；</w:t>
      </w:r>
    </w:p>
    <w:p>
      <w:pPr>
        <w:spacing w:line="600" w:lineRule="exact"/>
        <w:ind w:firstLineChars="200" w:firstLine="640"/>
        <w:jc w:val="both"/>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color w:val="auto"/>
          <w:kern w:val="2"/>
          <w:sz w:val="32"/>
          <w:szCs w:val="32"/>
          <w:lang w:val="en-US" w:eastAsia="zh-CN" w:bidi="ar-SA"/>
          <w:highlight w:val="auto"/>
        </w:rPr>
        <w:t>15.拟订全州公安机关装备和经费等警务保障计划和管理制度</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组织协调全州公安机关重大任务的警务保障工作；</w:t>
      </w:r>
    </w:p>
    <w:p>
      <w:pPr>
        <w:spacing w:line="600" w:lineRule="exact"/>
        <w:ind w:firstLineChars="200" w:firstLine="640"/>
        <w:jc w:val="both"/>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color w:val="auto"/>
          <w:kern w:val="2"/>
          <w:sz w:val="32"/>
          <w:szCs w:val="32"/>
          <w:lang w:val="en-US" w:eastAsia="zh-CN" w:bidi="ar-SA"/>
          <w:highlight w:val="auto"/>
        </w:rPr>
        <w:t>16.指导全州公安队伍建设和公安机关党风廉政建设</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组织、指导全州公安机关组织人事管理、民警教育训练和宣传工作</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按规定权限管理干部</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拟订全州公安队伍监督管理工作规章制度</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组织、指导全州公安机关督察、审计、信访工作</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指导、监督全州公安机关及人民警察的执法活动</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按规定权限实施对干部的监督，查处或督办公安队伍重大违纪案件；</w:t>
      </w:r>
    </w:p>
    <w:p>
      <w:pPr>
        <w:spacing w:line="600" w:lineRule="exact"/>
        <w:ind w:firstLineChars="200" w:firstLine="640"/>
        <w:jc w:val="both"/>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color w:val="auto"/>
          <w:kern w:val="2"/>
          <w:sz w:val="32"/>
          <w:szCs w:val="32"/>
          <w:lang w:val="en-US" w:eastAsia="zh-CN" w:bidi="ar-SA"/>
          <w:highlight w:val="auto"/>
        </w:rPr>
        <w:t>17.指导州内森林公安机关的业务工作；</w:t>
      </w:r>
    </w:p>
    <w:p>
      <w:pPr>
        <w:spacing w:line="600" w:lineRule="exact"/>
        <w:ind w:firstLineChars="200" w:firstLine="640"/>
        <w:jc w:val="both"/>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color w:val="auto"/>
          <w:kern w:val="2"/>
          <w:sz w:val="32"/>
          <w:szCs w:val="32"/>
          <w:lang w:val="en-US" w:eastAsia="zh-CN" w:bidi="ar-SA"/>
          <w:highlight w:val="auto"/>
        </w:rPr>
        <w:t>18.承担州政府禁毒委员会、劳动教养管理委员会、反恐工作协调小组日常工作；</w:t>
      </w:r>
    </w:p>
    <w:p>
      <w:pPr>
        <w:spacing w:line="600" w:lineRule="exact"/>
        <w:ind w:firstLineChars="200" w:firstLine="640"/>
        <w:jc w:val="both"/>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color w:val="auto"/>
          <w:kern w:val="2"/>
          <w:sz w:val="32"/>
          <w:szCs w:val="32"/>
          <w:lang w:val="en-US" w:eastAsia="zh-CN" w:bidi="ar-SA"/>
          <w:highlight w:val="auto"/>
        </w:rPr>
        <w:t>19.承担州政府公布的有关行政审批事项；</w:t>
      </w:r>
    </w:p>
    <w:p>
      <w:pPr>
        <w:spacing w:line="600" w:lineRule="exact"/>
        <w:ind w:firstLineChars="200" w:firstLine="640"/>
        <w:jc w:val="both"/>
        <w:rPr>
          <w:rFonts w:ascii="Times New Roman" w:eastAsia="仿宋_GB2312" w:cs="仿宋_GB2312" w:hAnsi="Times New Roman" w:hint="eastAsia"/>
          <w:color w:val="auto"/>
          <w:kern w:val="2"/>
          <w:sz w:val="32"/>
          <w:szCs w:val="32"/>
          <w:lang w:val="zh-CN" w:eastAsia="zh-CN" w:bidi="ar-SA"/>
          <w:highlight w:val="auto"/>
        </w:rPr>
      </w:pPr>
      <w:r>
        <w:rPr>
          <w:rFonts w:ascii="Times New Roman" w:eastAsia="仿宋_GB2312" w:cs="仿宋_GB2312" w:hAnsi="Times New Roman"/>
          <w:color w:val="auto"/>
          <w:kern w:val="2"/>
          <w:sz w:val="32"/>
          <w:szCs w:val="32"/>
          <w:lang w:val="en-US" w:eastAsia="zh-CN" w:bidi="ar-SA"/>
          <w:highlight w:val="auto"/>
        </w:rPr>
        <w:t>20.承办州政府和公安厅交办的其他事项。</w:t>
      </w:r>
    </w:p>
    <w:p>
      <w:pPr>
        <w:keepNext w:val="0"/>
        <w:keepLines w:val="0"/>
        <w:pageBreakBefore w:val="0"/>
        <w:widowControl/>
        <w:kinsoku/>
        <w:wordWrap/>
        <w:overflowPunct/>
        <w:topLinePunct w:val="0"/>
        <w:autoSpaceDE/>
        <w:autoSpaceDN/>
        <w:bidi w:val="0"/>
        <w:adjustRightInd w:val="0"/>
        <w:snapToGrid w:val="0"/>
        <w:spacing w:line="560" w:lineRule="exact"/>
        <w:ind w:left="0" w:firstLineChars="200" w:firstLine="640"/>
        <w:contextualSpacing/>
        <w:jc w:val="both"/>
        <w:textAlignment w:val="auto"/>
        <w:outlineLvl w:val="9"/>
        <w:rPr>
          <w:rFonts w:ascii="Times New Roman" w:eastAsia="仿宋_GB2312" w:cs="仿宋_GB2312" w:hAnsi="Times New Roman"/>
          <w:color w:val="auto"/>
          <w:kern w:val="2"/>
          <w:sz w:val="32"/>
          <w:szCs w:val="32"/>
          <w:lang w:val="zh-CN" w:eastAsia="zh-CN" w:bidi="ar-SA"/>
          <w:highlight w:val="auto"/>
        </w:rPr>
      </w:pPr>
      <w:r>
        <w:rPr>
          <w:rFonts w:eastAsia="楷体_GB2312"/>
          <w:b/>
          <w:bCs/>
          <w:color w:val="000000"/>
          <w:kern w:val="0"/>
          <w:sz w:val="32"/>
          <w:szCs w:val="32"/>
          <w:shd w:val="clear" w:color="auto" w:fill="FFFFFF"/>
          <w:lang w:val="zh-CN"/>
        </w:rPr>
        <w:t>（三）人员概况。</w:t>
      </w:r>
      <w:r>
        <w:rPr>
          <w:rFonts w:ascii="Times New Roman" w:eastAsia="仿宋_GB2312" w:cs="仿宋_GB2312" w:hAnsi="Times New Roman"/>
          <w:color w:val="auto"/>
          <w:kern w:val="2"/>
          <w:sz w:val="32"/>
          <w:szCs w:val="32"/>
          <w:lang w:val="en-US" w:eastAsia="zh-CN" w:bidi="ar-SA"/>
          <w:highlight w:val="auto"/>
        </w:rPr>
        <w:t>截至202</w:t>
      </w:r>
      <w:r>
        <w:rPr>
          <w:rFonts w:ascii="Times New Roman" w:eastAsia="仿宋_GB2312" w:cs="仿宋_GB2312" w:hAnsi="Times New Roman" w:hint="eastAsia"/>
          <w:color w:val="auto"/>
          <w:kern w:val="2"/>
          <w:sz w:val="32"/>
          <w:szCs w:val="32"/>
          <w:lang w:val="en-US" w:eastAsia="zh-CN" w:bidi="ar-SA"/>
          <w:highlight w:val="auto"/>
        </w:rPr>
        <w:t>5</w:t>
      </w:r>
      <w:r>
        <w:rPr>
          <w:rFonts w:ascii="Times New Roman" w:eastAsia="仿宋_GB2312" w:cs="仿宋_GB2312" w:hAnsi="Times New Roman"/>
          <w:color w:val="auto"/>
          <w:kern w:val="2"/>
          <w:sz w:val="32"/>
          <w:szCs w:val="32"/>
          <w:lang w:val="en-US" w:eastAsia="zh-CN" w:bidi="ar-SA"/>
          <w:highlight w:val="auto"/>
        </w:rPr>
        <w:t>年末，阿坝州公安局在职人员编制数为</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人</w:t>
      </w:r>
      <w:r>
        <w:rPr>
          <w:rFonts w:ascii="Times New Roman" w:eastAsia="仿宋_GB2312" w:cs="仿宋_GB2312" w:hAnsi="Times New Roman" w:hint="eastAsia"/>
          <w:color w:val="auto"/>
          <w:kern w:val="2"/>
          <w:sz w:val="32"/>
          <w:szCs w:val="32"/>
          <w:lang w:val="en-US" w:eastAsia="zh-CN" w:bidi="ar-SA"/>
          <w:highlight w:val="auto"/>
        </w:rPr>
        <w:t>（单位人员情况不宜公开）</w:t>
      </w:r>
      <w:r>
        <w:rPr>
          <w:rFonts w:ascii="Times New Roman" w:eastAsia="仿宋_GB2312" w:cs="仿宋_GB2312" w:hAnsi="Times New Roman"/>
          <w:color w:val="auto"/>
          <w:kern w:val="2"/>
          <w:sz w:val="32"/>
          <w:szCs w:val="32"/>
          <w:lang w:val="en-US" w:eastAsia="zh-CN" w:bidi="ar-SA"/>
          <w:highlight w:val="auto"/>
        </w:rPr>
        <w:t>。</w:t>
      </w:r>
    </w:p>
    <w:p>
      <w:pPr>
        <w:pageBreakBefore w:val="0"/>
        <w:widowControl/>
        <w:kinsoku/>
        <w:overflowPunct/>
        <w:topLinePunct w:val="0"/>
        <w:autoSpaceDE/>
        <w:autoSpaceDN/>
        <w:bidi w:val="0"/>
        <w:adjustRightInd w:val="0"/>
        <w:snapToGrid w:val="0"/>
        <w:spacing w:line="578" w:lineRule="exact"/>
        <w:ind w:firstLineChars="200" w:firstLine="640"/>
        <w:contextualSpacing/>
        <w:jc w:val="both"/>
        <w:rPr>
          <w:rFonts w:ascii="Times New Roman" w:eastAsia="黑体" w:cs="Times New Roman" w:hAnsi="Times New Roman"/>
          <w:color w:val="000000"/>
          <w:kern w:val="0"/>
          <w:sz w:val="32"/>
          <w:szCs w:val="32"/>
          <w:shd w:val="clear" w:color="auto" w:fill="FFFFFF"/>
          <w:lang w:val="zh-CN"/>
        </w:rPr>
      </w:pPr>
      <w:r>
        <w:rPr>
          <w:rFonts w:ascii="Times New Roman" w:eastAsia="黑体" w:cs="Times New Roman" w:hAnsi="Times New Roman"/>
          <w:color w:val="000000"/>
          <w:kern w:val="0"/>
          <w:sz w:val="32"/>
          <w:szCs w:val="32"/>
          <w:shd w:val="clear" w:color="auto" w:fill="FFFFFF"/>
          <w:lang w:val="zh-CN"/>
        </w:rPr>
        <w:t>二、部门资金收支情况</w:t>
      </w:r>
    </w:p>
    <w:p>
      <w:pPr>
        <w:spacing w:line="600" w:lineRule="exact"/>
        <w:ind w:firstLineChars="200" w:firstLine="640"/>
        <w:jc w:val="both"/>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楷体_GB2312" w:cs="Times New Roman" w:hAnsi="Times New Roman" w:hint="eastAsia"/>
          <w:b/>
          <w:bCs/>
          <w:color w:val="000000"/>
          <w:kern w:val="0"/>
          <w:sz w:val="32"/>
          <w:szCs w:val="32"/>
          <w:shd w:val="clear" w:color="auto" w:fill="FFFFFF"/>
          <w:lang w:val="zh-CN" w:eastAsia="zh-CN"/>
        </w:rPr>
        <w:t>（一）收入情况。</w:t>
      </w:r>
      <w:r>
        <w:rPr>
          <w:rFonts w:ascii="Times New Roman" w:eastAsia="仿宋_GB2312" w:cs="仿宋_GB2312" w:hAnsi="Times New Roman" w:hint="eastAsia"/>
          <w:color w:val="auto"/>
          <w:kern w:val="2"/>
          <w:sz w:val="32"/>
          <w:szCs w:val="32"/>
          <w:lang w:val="en-US" w:eastAsia="zh-CN" w:bidi="ar-SA"/>
          <w:highlight w:val="auto"/>
        </w:rPr>
        <w:t>阿坝州公安局2025年年初预算收入27,711.99万元，其中州本级25,009.98万元，州强制隔离戒毒所90.78万元，州交警支队2,611.23万元。阿坝州公安局2025年决算报表收入33,736.83万元（一般公共预算财政拨款收入33,427.43万元，其他收入13.00万元，年初结转和结余296.40万元），其中州本级29,983.86万元，州强制隔离戒毒所105.13万元，州交警支队3,647.84万元。</w:t>
      </w:r>
    </w:p>
    <w:p>
      <w:pPr>
        <w:spacing w:line="600" w:lineRule="exact"/>
        <w:ind w:firstLineChars="200" w:firstLine="640"/>
        <w:jc w:val="both"/>
        <w:rPr>
          <w:rFonts w:ascii="Times New Roman" w:eastAsia="仿宋_GB2312" w:cs="仿宋_GB2312" w:hAnsi="Times New Roman" w:hint="eastAsia"/>
          <w:color w:val="auto"/>
          <w:kern w:val="2"/>
          <w:sz w:val="32"/>
          <w:szCs w:val="32"/>
          <w:lang w:val="zh-CN" w:eastAsia="zh-CN" w:bidi="ar-SA"/>
          <w:highlight w:val="auto"/>
        </w:rPr>
      </w:pPr>
      <w:r>
        <w:rPr>
          <w:rFonts w:ascii="Times New Roman" w:eastAsia="楷体_GB2312" w:cs="Times New Roman" w:hAnsi="Times New Roman" w:hint="eastAsia"/>
          <w:b/>
          <w:bCs/>
          <w:color w:val="000000"/>
          <w:kern w:val="0"/>
          <w:sz w:val="32"/>
          <w:szCs w:val="32"/>
          <w:shd w:val="clear" w:color="auto" w:fill="FFFFFF"/>
          <w:lang w:val="zh-CN" w:eastAsia="zh-CN"/>
        </w:rPr>
        <w:t>（二）支出情况。</w:t>
      </w:r>
      <w:r>
        <w:rPr>
          <w:rFonts w:ascii="Times New Roman" w:eastAsia="仿宋_GB2312" w:cs="仿宋_GB2312" w:hAnsi="Times New Roman" w:hint="eastAsia"/>
          <w:color w:val="auto"/>
          <w:kern w:val="2"/>
          <w:sz w:val="32"/>
          <w:szCs w:val="32"/>
          <w:lang w:val="en-US" w:eastAsia="zh-CN" w:bidi="ar-SA"/>
          <w:highlight w:val="auto"/>
        </w:rPr>
        <w:t>阿坝州公安局2025年年初预算收入27,711.99万元，</w:t>
      </w:r>
      <w:r>
        <w:rPr>
          <w:rFonts w:ascii="Times New Roman" w:eastAsia="仿宋_GB2312" w:cs="仿宋_GB2312" w:hAnsi="Times New Roman" w:hint="eastAsia"/>
          <w:color w:val="auto"/>
          <w:kern w:val="2"/>
          <w:sz w:val="32"/>
          <w:szCs w:val="32"/>
          <w:lang w:val="zh-CN" w:eastAsia="zh-CN" w:bidi="ar-SA"/>
          <w:highlight w:val="auto"/>
        </w:rPr>
        <w:t>按</w:t>
      </w:r>
      <w:r>
        <w:rPr>
          <w:rFonts w:ascii="Times New Roman" w:eastAsia="仿宋_GB2312" w:cs="仿宋_GB2312" w:hAnsi="Times New Roman"/>
          <w:color w:val="auto"/>
          <w:kern w:val="2"/>
          <w:sz w:val="32"/>
          <w:szCs w:val="32"/>
          <w:lang w:val="zh-CN" w:eastAsia="zh-CN" w:bidi="ar-SA"/>
          <w:highlight w:val="auto"/>
        </w:rPr>
        <w:t>功能科目</w:t>
      </w:r>
      <w:r>
        <w:rPr>
          <w:rFonts w:ascii="Times New Roman" w:eastAsia="仿宋_GB2312" w:cs="仿宋_GB2312" w:hAnsi="Times New Roman" w:hint="eastAsia"/>
          <w:color w:val="auto"/>
          <w:kern w:val="2"/>
          <w:sz w:val="32"/>
          <w:szCs w:val="32"/>
          <w:lang w:val="zh-CN" w:eastAsia="zh-CN" w:bidi="ar-SA"/>
          <w:highlight w:val="auto"/>
        </w:rPr>
        <w:t>分类：公共安全支出22,495.94万元，占总支出</w:t>
      </w:r>
      <w:r>
        <w:rPr>
          <w:rFonts w:ascii="Times New Roman" w:eastAsia="仿宋_GB2312" w:cs="仿宋_GB2312" w:hAnsi="Times New Roman" w:hint="eastAsia"/>
          <w:color w:val="auto"/>
          <w:kern w:val="2"/>
          <w:sz w:val="32"/>
          <w:szCs w:val="32"/>
          <w:lang w:val="en-US" w:eastAsia="zh-CN" w:bidi="ar-SA"/>
          <w:highlight w:val="auto"/>
        </w:rPr>
        <w:t>81.18</w:t>
      </w:r>
      <w:r>
        <w:rPr>
          <w:rFonts w:ascii="Times New Roman" w:eastAsia="仿宋_GB2312" w:cs="仿宋_GB2312" w:hAnsi="Times New Roman" w:hint="eastAsia"/>
          <w:color w:val="auto"/>
          <w:kern w:val="2"/>
          <w:sz w:val="32"/>
          <w:szCs w:val="32"/>
          <w:lang w:val="zh-CN" w:eastAsia="zh-CN" w:bidi="ar-SA"/>
          <w:highlight w:val="auto"/>
        </w:rPr>
        <w:t>%，社会保障和就业支出2,825.59万元，占总支出</w:t>
      </w:r>
      <w:r>
        <w:rPr>
          <w:rFonts w:ascii="Times New Roman" w:eastAsia="仿宋_GB2312" w:cs="仿宋_GB2312" w:hAnsi="Times New Roman" w:hint="eastAsia"/>
          <w:color w:val="auto"/>
          <w:kern w:val="2"/>
          <w:sz w:val="32"/>
          <w:szCs w:val="32"/>
          <w:lang w:val="en-US" w:eastAsia="zh-CN" w:bidi="ar-SA"/>
          <w:highlight w:val="auto"/>
        </w:rPr>
        <w:t>10.20</w:t>
      </w:r>
      <w:r>
        <w:rPr>
          <w:rFonts w:ascii="Times New Roman" w:eastAsia="仿宋_GB2312" w:cs="仿宋_GB2312" w:hAnsi="Times New Roman" w:hint="eastAsia"/>
          <w:color w:val="auto"/>
          <w:kern w:val="2"/>
          <w:sz w:val="32"/>
          <w:szCs w:val="32"/>
          <w:lang w:val="zh-CN" w:eastAsia="zh-CN" w:bidi="ar-SA"/>
          <w:highlight w:val="auto"/>
        </w:rPr>
        <w:t>%，卫生健康支出1,004.20万元，占总支出</w:t>
      </w:r>
      <w:r>
        <w:rPr>
          <w:rFonts w:ascii="Times New Roman" w:eastAsia="仿宋_GB2312" w:cs="仿宋_GB2312" w:hAnsi="Times New Roman" w:hint="eastAsia"/>
          <w:color w:val="auto"/>
          <w:kern w:val="2"/>
          <w:sz w:val="32"/>
          <w:szCs w:val="32"/>
          <w:lang w:val="en-US" w:eastAsia="zh-CN" w:bidi="ar-SA"/>
          <w:highlight w:val="auto"/>
        </w:rPr>
        <w:t>3.62</w:t>
      </w:r>
      <w:r>
        <w:rPr>
          <w:rFonts w:ascii="Times New Roman" w:eastAsia="仿宋_GB2312" w:cs="仿宋_GB2312" w:hAnsi="Times New Roman" w:hint="eastAsia"/>
          <w:color w:val="auto"/>
          <w:kern w:val="2"/>
          <w:sz w:val="32"/>
          <w:szCs w:val="32"/>
          <w:lang w:val="zh-CN" w:eastAsia="zh-CN" w:bidi="ar-SA"/>
          <w:highlight w:val="auto"/>
        </w:rPr>
        <w:t>%，住房保障支出1,386.26万元，占总支出</w:t>
      </w:r>
      <w:r>
        <w:rPr>
          <w:rFonts w:ascii="Times New Roman" w:eastAsia="仿宋_GB2312" w:cs="仿宋_GB2312" w:hAnsi="Times New Roman" w:hint="eastAsia"/>
          <w:color w:val="auto"/>
          <w:kern w:val="2"/>
          <w:sz w:val="32"/>
          <w:szCs w:val="32"/>
          <w:lang w:val="en-US" w:eastAsia="zh-CN" w:bidi="ar-SA"/>
          <w:highlight w:val="auto"/>
        </w:rPr>
        <w:t>5.00</w:t>
      </w:r>
      <w:r>
        <w:rPr>
          <w:rFonts w:ascii="Times New Roman" w:eastAsia="仿宋_GB2312" w:cs="仿宋_GB2312" w:hAnsi="Times New Roman" w:hint="eastAsia"/>
          <w:color w:val="auto"/>
          <w:kern w:val="2"/>
          <w:sz w:val="32"/>
          <w:szCs w:val="32"/>
          <w:lang w:val="zh-CN" w:eastAsia="zh-CN" w:bidi="ar-SA"/>
          <w:highlight w:val="auto"/>
        </w:rPr>
        <w:t>%；按</w:t>
      </w:r>
      <w:r>
        <w:rPr>
          <w:rFonts w:ascii="Times New Roman" w:eastAsia="仿宋_GB2312" w:cs="仿宋_GB2312" w:hAnsi="Times New Roman" w:hint="eastAsia"/>
          <w:color w:val="auto"/>
          <w:kern w:val="2"/>
          <w:sz w:val="32"/>
          <w:szCs w:val="32"/>
          <w:lang w:val="en-US" w:eastAsia="zh-CN" w:bidi="ar-SA"/>
          <w:highlight w:val="auto"/>
        </w:rPr>
        <w:t>支出性质</w:t>
      </w:r>
      <w:r>
        <w:rPr>
          <w:rFonts w:ascii="Times New Roman" w:eastAsia="仿宋_GB2312" w:cs="仿宋_GB2312" w:hAnsi="Times New Roman"/>
          <w:color w:val="auto"/>
          <w:kern w:val="2"/>
          <w:sz w:val="32"/>
          <w:szCs w:val="32"/>
          <w:lang w:val="zh-CN" w:eastAsia="zh-CN" w:bidi="ar-SA"/>
          <w:highlight w:val="auto"/>
        </w:rPr>
        <w:t>分类</w:t>
      </w:r>
      <w:r>
        <w:rPr>
          <w:rFonts w:ascii="Times New Roman" w:eastAsia="仿宋_GB2312" w:cs="仿宋_GB2312" w:hAnsi="Times New Roman" w:hint="eastAsia"/>
          <w:color w:val="auto"/>
          <w:kern w:val="2"/>
          <w:sz w:val="32"/>
          <w:szCs w:val="32"/>
          <w:lang w:val="zh-CN"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基本支出22,015.66万元，</w:t>
      </w:r>
      <w:r>
        <w:rPr>
          <w:rFonts w:ascii="Times New Roman" w:eastAsia="仿宋_GB2312" w:cs="仿宋_GB2312" w:hAnsi="Times New Roman" w:hint="eastAsia"/>
          <w:color w:val="auto"/>
          <w:kern w:val="2"/>
          <w:sz w:val="32"/>
          <w:szCs w:val="32"/>
          <w:lang w:val="zh-CN" w:eastAsia="zh-CN" w:bidi="ar-SA"/>
          <w:highlight w:val="auto"/>
        </w:rPr>
        <w:t>占总支出</w:t>
      </w:r>
      <w:r>
        <w:rPr>
          <w:rFonts w:ascii="Times New Roman" w:eastAsia="仿宋_GB2312" w:cs="仿宋_GB2312" w:hAnsi="Times New Roman" w:hint="eastAsia"/>
          <w:color w:val="auto"/>
          <w:kern w:val="2"/>
          <w:sz w:val="32"/>
          <w:szCs w:val="32"/>
          <w:lang w:val="en-US" w:eastAsia="zh-CN" w:bidi="ar-SA"/>
          <w:highlight w:val="auto"/>
        </w:rPr>
        <w:t>79.44</w:t>
      </w:r>
      <w:r>
        <w:rPr>
          <w:rFonts w:ascii="Times New Roman" w:eastAsia="仿宋_GB2312" w:cs="仿宋_GB2312" w:hAnsi="Times New Roman" w:hint="eastAsia"/>
          <w:color w:val="auto"/>
          <w:kern w:val="2"/>
          <w:sz w:val="32"/>
          <w:szCs w:val="32"/>
          <w:lang w:val="zh-CN"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项目支出5,696.33万元，</w:t>
      </w:r>
      <w:r>
        <w:rPr>
          <w:rFonts w:ascii="Times New Roman" w:eastAsia="仿宋_GB2312" w:cs="仿宋_GB2312" w:hAnsi="Times New Roman" w:hint="eastAsia"/>
          <w:color w:val="auto"/>
          <w:kern w:val="2"/>
          <w:sz w:val="32"/>
          <w:szCs w:val="32"/>
          <w:lang w:val="zh-CN" w:eastAsia="zh-CN" w:bidi="ar-SA"/>
          <w:highlight w:val="auto"/>
        </w:rPr>
        <w:t>占总支出</w:t>
      </w:r>
      <w:r>
        <w:rPr>
          <w:rFonts w:ascii="Times New Roman" w:eastAsia="仿宋_GB2312" w:cs="仿宋_GB2312" w:hAnsi="Times New Roman" w:hint="eastAsia"/>
          <w:color w:val="auto"/>
          <w:kern w:val="2"/>
          <w:sz w:val="32"/>
          <w:szCs w:val="32"/>
          <w:lang w:val="en-US" w:eastAsia="zh-CN" w:bidi="ar-SA"/>
          <w:highlight w:val="auto"/>
        </w:rPr>
        <w:t>20.56</w:t>
      </w:r>
      <w:r>
        <w:rPr>
          <w:rFonts w:ascii="Times New Roman" w:eastAsia="仿宋_GB2312" w:cs="仿宋_GB2312" w:hAnsi="Times New Roman" w:hint="eastAsia"/>
          <w:color w:val="auto"/>
          <w:kern w:val="2"/>
          <w:sz w:val="32"/>
          <w:szCs w:val="32"/>
          <w:lang w:val="zh-CN" w:eastAsia="zh-CN" w:bidi="ar-SA"/>
          <w:highlight w:val="auto"/>
        </w:rPr>
        <w:t>%。</w:t>
      </w:r>
    </w:p>
    <w:p>
      <w:pPr>
        <w:spacing w:line="600" w:lineRule="exact"/>
        <w:jc w:val="both"/>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zh-CN" w:eastAsia="zh-CN" w:bidi="ar-SA"/>
          <w:highlight w:val="auto"/>
        </w:rPr>
        <w:t>202</w:t>
      </w:r>
      <w:r>
        <w:rPr>
          <w:rFonts w:ascii="Times New Roman" w:eastAsia="仿宋_GB2312" w:cs="仿宋_GB2312" w:hAnsi="Times New Roman" w:hint="eastAsia"/>
          <w:color w:val="auto"/>
          <w:kern w:val="2"/>
          <w:sz w:val="32"/>
          <w:szCs w:val="32"/>
          <w:lang w:val="en-US" w:eastAsia="zh-CN" w:bidi="ar-SA"/>
          <w:highlight w:val="auto"/>
        </w:rPr>
        <w:t>5年决算报表支出为33,491.93万元，</w:t>
      </w:r>
      <w:r>
        <w:rPr>
          <w:rFonts w:ascii="Times New Roman" w:eastAsia="仿宋_GB2312" w:cs="仿宋_GB2312" w:hAnsi="Times New Roman" w:hint="eastAsia"/>
          <w:color w:val="auto"/>
          <w:kern w:val="2"/>
          <w:sz w:val="32"/>
          <w:szCs w:val="32"/>
          <w:lang w:val="zh-CN" w:eastAsia="zh-CN" w:bidi="ar-SA"/>
          <w:highlight w:val="auto"/>
        </w:rPr>
        <w:t>按</w:t>
      </w:r>
      <w:r>
        <w:rPr>
          <w:rFonts w:ascii="Times New Roman" w:eastAsia="仿宋_GB2312" w:cs="仿宋_GB2312" w:hAnsi="Times New Roman"/>
          <w:color w:val="auto"/>
          <w:kern w:val="2"/>
          <w:sz w:val="32"/>
          <w:szCs w:val="32"/>
          <w:lang w:val="zh-CN" w:eastAsia="zh-CN" w:bidi="ar-SA"/>
          <w:highlight w:val="auto"/>
        </w:rPr>
        <w:t>功能科目</w:t>
      </w:r>
      <w:r>
        <w:rPr>
          <w:rFonts w:ascii="Times New Roman" w:eastAsia="仿宋_GB2312" w:cs="仿宋_GB2312" w:hAnsi="Times New Roman" w:hint="eastAsia"/>
          <w:color w:val="auto"/>
          <w:kern w:val="2"/>
          <w:sz w:val="32"/>
          <w:szCs w:val="32"/>
          <w:lang w:val="zh-CN" w:eastAsia="zh-CN" w:bidi="ar-SA"/>
          <w:highlight w:val="auto"/>
        </w:rPr>
        <w:t>分类：公共安全支出28,251.62万元，占总支出</w:t>
      </w:r>
      <w:r>
        <w:rPr>
          <w:rFonts w:ascii="Times New Roman" w:eastAsia="仿宋_GB2312" w:cs="仿宋_GB2312" w:hAnsi="Times New Roman" w:hint="eastAsia"/>
          <w:color w:val="auto"/>
          <w:kern w:val="2"/>
          <w:sz w:val="32"/>
          <w:szCs w:val="32"/>
          <w:lang w:val="en-US" w:eastAsia="zh-CN" w:bidi="ar-SA"/>
          <w:highlight w:val="auto"/>
        </w:rPr>
        <w:t>84.35</w:t>
      </w:r>
      <w:r>
        <w:rPr>
          <w:rFonts w:ascii="Times New Roman" w:eastAsia="仿宋_GB2312" w:cs="仿宋_GB2312" w:hAnsi="Times New Roman" w:hint="eastAsia"/>
          <w:color w:val="auto"/>
          <w:kern w:val="2"/>
          <w:sz w:val="32"/>
          <w:szCs w:val="32"/>
          <w:lang w:val="zh-CN" w:eastAsia="zh-CN" w:bidi="ar-SA"/>
          <w:highlight w:val="auto"/>
        </w:rPr>
        <w:t>%，社会保障和就业支出2,624.85万元，占总支出</w:t>
      </w:r>
      <w:r>
        <w:rPr>
          <w:rFonts w:ascii="Times New Roman" w:eastAsia="仿宋_GB2312" w:cs="仿宋_GB2312" w:hAnsi="Times New Roman" w:hint="eastAsia"/>
          <w:color w:val="auto"/>
          <w:kern w:val="2"/>
          <w:sz w:val="32"/>
          <w:szCs w:val="32"/>
          <w:lang w:val="en-US" w:eastAsia="zh-CN" w:bidi="ar-SA"/>
          <w:highlight w:val="auto"/>
        </w:rPr>
        <w:t>7.84</w:t>
      </w:r>
      <w:r>
        <w:rPr>
          <w:rFonts w:ascii="Times New Roman" w:eastAsia="仿宋_GB2312" w:cs="仿宋_GB2312" w:hAnsi="Times New Roman" w:hint="eastAsia"/>
          <w:color w:val="auto"/>
          <w:kern w:val="2"/>
          <w:sz w:val="32"/>
          <w:szCs w:val="32"/>
          <w:lang w:val="zh-CN" w:eastAsia="zh-CN" w:bidi="ar-SA"/>
          <w:highlight w:val="auto"/>
        </w:rPr>
        <w:t>%，卫生健康支出1,102.60万元，占总支出</w:t>
      </w:r>
      <w:r>
        <w:rPr>
          <w:rFonts w:ascii="Times New Roman" w:eastAsia="仿宋_GB2312" w:cs="仿宋_GB2312" w:hAnsi="Times New Roman" w:hint="eastAsia"/>
          <w:color w:val="auto"/>
          <w:kern w:val="2"/>
          <w:sz w:val="32"/>
          <w:szCs w:val="32"/>
          <w:lang w:val="en-US" w:eastAsia="zh-CN" w:bidi="ar-SA"/>
          <w:highlight w:val="auto"/>
        </w:rPr>
        <w:t>3.29</w:t>
      </w:r>
      <w:r>
        <w:rPr>
          <w:rFonts w:ascii="Times New Roman" w:eastAsia="仿宋_GB2312" w:cs="仿宋_GB2312" w:hAnsi="Times New Roman" w:hint="eastAsia"/>
          <w:color w:val="auto"/>
          <w:kern w:val="2"/>
          <w:sz w:val="32"/>
          <w:szCs w:val="32"/>
          <w:lang w:val="zh-CN" w:eastAsia="zh-CN" w:bidi="ar-SA"/>
          <w:highlight w:val="auto"/>
        </w:rPr>
        <w:t>%，住房保障支出1,512.86万元，占总支出</w:t>
      </w:r>
      <w:r>
        <w:rPr>
          <w:rFonts w:ascii="Times New Roman" w:eastAsia="仿宋_GB2312" w:cs="仿宋_GB2312" w:hAnsi="Times New Roman" w:hint="eastAsia"/>
          <w:color w:val="auto"/>
          <w:kern w:val="2"/>
          <w:sz w:val="32"/>
          <w:szCs w:val="32"/>
          <w:lang w:val="en-US" w:eastAsia="zh-CN" w:bidi="ar-SA"/>
          <w:highlight w:val="auto"/>
        </w:rPr>
        <w:t>4.52</w:t>
      </w:r>
      <w:r>
        <w:rPr>
          <w:rFonts w:ascii="Times New Roman" w:eastAsia="仿宋_GB2312" w:cs="仿宋_GB2312" w:hAnsi="Times New Roman" w:hint="eastAsia"/>
          <w:color w:val="auto"/>
          <w:kern w:val="2"/>
          <w:sz w:val="32"/>
          <w:szCs w:val="32"/>
          <w:lang w:val="zh-CN"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zh-CN" w:eastAsia="zh-CN" w:bidi="ar-SA"/>
          <w:highlight w:val="auto"/>
        </w:rPr>
        <w:t>按</w:t>
      </w:r>
      <w:r>
        <w:rPr>
          <w:rFonts w:ascii="Times New Roman" w:eastAsia="仿宋_GB2312" w:cs="仿宋_GB2312" w:hAnsi="Times New Roman" w:hint="eastAsia"/>
          <w:color w:val="auto"/>
          <w:kern w:val="2"/>
          <w:sz w:val="32"/>
          <w:szCs w:val="32"/>
          <w:lang w:val="en-US" w:eastAsia="zh-CN" w:bidi="ar-SA"/>
          <w:highlight w:val="auto"/>
        </w:rPr>
        <w:t>支出性质</w:t>
      </w:r>
      <w:r>
        <w:rPr>
          <w:rFonts w:ascii="Times New Roman" w:eastAsia="仿宋_GB2312" w:cs="仿宋_GB2312" w:hAnsi="Times New Roman"/>
          <w:color w:val="auto"/>
          <w:kern w:val="2"/>
          <w:sz w:val="32"/>
          <w:szCs w:val="32"/>
          <w:lang w:val="zh-CN" w:eastAsia="zh-CN" w:bidi="ar-SA"/>
          <w:highlight w:val="auto"/>
        </w:rPr>
        <w:t>分类</w:t>
      </w:r>
      <w:r>
        <w:rPr>
          <w:rFonts w:ascii="Times New Roman" w:eastAsia="仿宋_GB2312" w:cs="仿宋_GB2312" w:hAnsi="Times New Roman" w:hint="eastAsia"/>
          <w:color w:val="auto"/>
          <w:kern w:val="2"/>
          <w:sz w:val="32"/>
          <w:szCs w:val="32"/>
          <w:lang w:val="zh-CN"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基本支出24,072.47万元，</w:t>
      </w:r>
      <w:r>
        <w:rPr>
          <w:rFonts w:ascii="Times New Roman" w:eastAsia="仿宋_GB2312" w:cs="仿宋_GB2312" w:hAnsi="Times New Roman" w:hint="eastAsia"/>
          <w:color w:val="auto"/>
          <w:kern w:val="2"/>
          <w:sz w:val="32"/>
          <w:szCs w:val="32"/>
          <w:lang w:val="zh-CN" w:eastAsia="zh-CN" w:bidi="ar-SA"/>
          <w:highlight w:val="auto"/>
        </w:rPr>
        <w:t>占总支出</w:t>
      </w:r>
      <w:r>
        <w:rPr>
          <w:rFonts w:ascii="Times New Roman" w:eastAsia="仿宋_GB2312" w:cs="仿宋_GB2312" w:hAnsi="Times New Roman" w:hint="eastAsia"/>
          <w:color w:val="auto"/>
          <w:kern w:val="2"/>
          <w:sz w:val="32"/>
          <w:szCs w:val="32"/>
          <w:lang w:val="en-US" w:eastAsia="zh-CN" w:bidi="ar-SA"/>
          <w:highlight w:val="auto"/>
        </w:rPr>
        <w:t>71.88</w:t>
      </w:r>
      <w:r>
        <w:rPr>
          <w:rFonts w:ascii="Times New Roman" w:eastAsia="仿宋_GB2312" w:cs="仿宋_GB2312" w:hAnsi="Times New Roman" w:hint="eastAsia"/>
          <w:color w:val="auto"/>
          <w:kern w:val="2"/>
          <w:sz w:val="32"/>
          <w:szCs w:val="32"/>
          <w:lang w:val="zh-CN"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项目支出9,419.46万元，</w:t>
      </w:r>
      <w:r>
        <w:rPr>
          <w:rFonts w:ascii="Times New Roman" w:eastAsia="仿宋_GB2312" w:cs="仿宋_GB2312" w:hAnsi="Times New Roman" w:hint="eastAsia"/>
          <w:color w:val="auto"/>
          <w:kern w:val="2"/>
          <w:sz w:val="32"/>
          <w:szCs w:val="32"/>
          <w:lang w:val="zh-CN" w:eastAsia="zh-CN" w:bidi="ar-SA"/>
          <w:highlight w:val="auto"/>
        </w:rPr>
        <w:t>占总支出</w:t>
      </w:r>
      <w:r>
        <w:rPr>
          <w:rFonts w:ascii="Times New Roman" w:eastAsia="仿宋_GB2312" w:cs="仿宋_GB2312" w:hAnsi="Times New Roman" w:hint="eastAsia"/>
          <w:color w:val="auto"/>
          <w:kern w:val="2"/>
          <w:sz w:val="32"/>
          <w:szCs w:val="32"/>
          <w:lang w:val="en-US" w:eastAsia="zh-CN" w:bidi="ar-SA"/>
          <w:highlight w:val="auto"/>
        </w:rPr>
        <w:t>28.12</w:t>
      </w:r>
      <w:r>
        <w:rPr>
          <w:rFonts w:ascii="Times New Roman" w:eastAsia="仿宋_GB2312" w:cs="仿宋_GB2312" w:hAnsi="Times New Roman" w:hint="eastAsia"/>
          <w:color w:val="auto"/>
          <w:kern w:val="2"/>
          <w:sz w:val="32"/>
          <w:szCs w:val="32"/>
          <w:lang w:val="zh-CN" w:eastAsia="zh-CN" w:bidi="ar-SA"/>
          <w:highlight w:val="auto"/>
        </w:rPr>
        <w:t>%。</w:t>
      </w:r>
    </w:p>
    <w:p>
      <w:pPr>
        <w:spacing w:line="600" w:lineRule="exact"/>
        <w:ind w:firstLineChars="200" w:firstLine="640"/>
        <w:jc w:val="both"/>
        <w:rPr>
          <w:rFonts w:ascii="Times New Roman" w:eastAsia="仿宋_GB2312" w:cs="仿宋_GB2312" w:hAnsi="Times New Roman" w:hint="eastAsia"/>
          <w:color w:val="auto"/>
          <w:kern w:val="2"/>
          <w:sz w:val="32"/>
          <w:szCs w:val="32"/>
          <w:lang w:val="zh-CN" w:eastAsia="zh-CN" w:bidi="ar-SA"/>
          <w:highlight w:val="auto"/>
        </w:rPr>
      </w:pPr>
      <w:r>
        <w:rPr>
          <w:rFonts w:ascii="Times New Roman" w:eastAsia="楷体_GB2312" w:cs="Times New Roman" w:hAnsi="Times New Roman" w:hint="eastAsia"/>
          <w:b/>
          <w:bCs/>
          <w:color w:val="000000"/>
          <w:kern w:val="0"/>
          <w:sz w:val="32"/>
          <w:szCs w:val="32"/>
          <w:shd w:val="clear" w:color="auto" w:fill="FFFFFF"/>
          <w:lang w:val="zh-CN" w:eastAsia="zh-CN"/>
        </w:rPr>
        <w:t>（三）</w:t>
      </w:r>
      <w:r>
        <w:rPr>
          <w:rFonts w:ascii="Times New Roman" w:eastAsia="楷体_GB2312" w:cs="Times New Roman" w:hAnsi="Times New Roman" w:hint="eastAsia"/>
          <w:b/>
          <w:bCs/>
          <w:color w:val="000000"/>
          <w:kern w:val="0"/>
          <w:sz w:val="32"/>
          <w:szCs w:val="32"/>
          <w:shd w:val="clear" w:color="auto" w:fill="FFFFFF"/>
          <w:lang w:val="en-US" w:eastAsia="zh-CN"/>
        </w:rPr>
        <w:t>结余分配和结转结余情况。</w:t>
      </w:r>
      <w:r>
        <w:rPr>
          <w:rFonts w:ascii="Times New Roman" w:eastAsia="仿宋_GB2312" w:cs="仿宋_GB2312" w:hAnsi="Times New Roman" w:hint="eastAsia"/>
          <w:color w:val="auto"/>
          <w:kern w:val="2"/>
          <w:sz w:val="32"/>
          <w:szCs w:val="32"/>
          <w:lang w:val="zh-CN" w:eastAsia="zh-CN" w:bidi="ar-SA"/>
          <w:highlight w:val="auto"/>
        </w:rPr>
        <w:t>202</w:t>
      </w:r>
      <w:r>
        <w:rPr>
          <w:rFonts w:ascii="Times New Roman" w:eastAsia="仿宋_GB2312" w:cs="仿宋_GB2312" w:hAnsi="Times New Roman" w:hint="eastAsia"/>
          <w:color w:val="auto"/>
          <w:kern w:val="2"/>
          <w:sz w:val="32"/>
          <w:szCs w:val="32"/>
          <w:lang w:val="en-US" w:eastAsia="zh-CN" w:bidi="ar-SA"/>
          <w:highlight w:val="auto"/>
        </w:rPr>
        <w:t>5年决算</w:t>
      </w:r>
      <w:r>
        <w:rPr>
          <w:rFonts w:ascii="Times New Roman" w:eastAsia="仿宋_GB2312" w:cs="仿宋_GB2312" w:hAnsi="Times New Roman"/>
          <w:color w:val="auto"/>
          <w:kern w:val="2"/>
          <w:sz w:val="32"/>
          <w:szCs w:val="32"/>
          <w:lang w:val="en-US" w:eastAsia="zh-CN" w:bidi="ar-SA"/>
          <w:highlight w:val="auto"/>
        </w:rPr>
        <w:t>报表结转结余</w:t>
      </w:r>
      <w:r>
        <w:rPr>
          <w:rFonts w:ascii="Times New Roman" w:eastAsia="仿宋_GB2312" w:cs="仿宋_GB2312" w:hAnsi="Times New Roman" w:hint="eastAsia"/>
          <w:color w:val="auto"/>
          <w:kern w:val="2"/>
          <w:sz w:val="32"/>
          <w:szCs w:val="32"/>
          <w:lang w:val="en-US" w:eastAsia="zh-CN" w:bidi="ar-SA"/>
          <w:highlight w:val="auto"/>
        </w:rPr>
        <w:t>244.90</w:t>
      </w:r>
      <w:r>
        <w:rPr>
          <w:rFonts w:ascii="Times New Roman" w:eastAsia="仿宋_GB2312" w:cs="仿宋_GB2312" w:hAnsi="Times New Roman" w:hint="eastAsia"/>
          <w:color w:val="auto"/>
          <w:kern w:val="2"/>
          <w:sz w:val="32"/>
          <w:szCs w:val="32"/>
          <w:lang w:val="zh-CN" w:eastAsia="zh-CN" w:bidi="ar-SA"/>
          <w:highlight w:val="auto"/>
        </w:rPr>
        <w:t>万元，其中：非财政拨款结转基本支出78.87</w:t>
      </w:r>
      <w:r>
        <w:rPr>
          <w:rFonts w:ascii="Times New Roman" w:eastAsia="仿宋_GB2312" w:cs="仿宋_GB2312" w:hAnsi="Times New Roman" w:hint="eastAsia"/>
          <w:color w:val="auto"/>
          <w:kern w:val="2"/>
          <w:sz w:val="32"/>
          <w:szCs w:val="32"/>
          <w:lang w:val="en-US" w:eastAsia="zh-CN" w:bidi="ar-SA"/>
          <w:highlight w:val="auto"/>
        </w:rPr>
        <w:t>万元</w:t>
      </w:r>
      <w:r>
        <w:rPr>
          <w:rFonts w:ascii="Times New Roman" w:eastAsia="仿宋_GB2312" w:cs="仿宋_GB2312" w:hAnsi="Times New Roman" w:hint="eastAsia"/>
          <w:color w:val="auto"/>
          <w:kern w:val="2"/>
          <w:sz w:val="32"/>
          <w:szCs w:val="32"/>
          <w:lang w:val="zh-CN"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占结转结余32.20%，</w:t>
      </w:r>
      <w:r>
        <w:rPr>
          <w:rFonts w:ascii="Times New Roman" w:eastAsia="仿宋_GB2312" w:cs="仿宋_GB2312" w:hAnsi="Times New Roman" w:hint="eastAsia"/>
          <w:color w:val="auto"/>
          <w:kern w:val="2"/>
          <w:sz w:val="32"/>
          <w:szCs w:val="32"/>
          <w:lang w:val="zh-CN" w:eastAsia="zh-CN" w:bidi="ar-SA"/>
          <w:highlight w:val="auto"/>
        </w:rPr>
        <w:t>非财政拨款结转项目支出166.03</w:t>
      </w:r>
      <w:r>
        <w:rPr>
          <w:rFonts w:ascii="Times New Roman" w:eastAsia="仿宋_GB2312" w:cs="仿宋_GB2312" w:hAnsi="Times New Roman" w:hint="eastAsia"/>
          <w:color w:val="auto"/>
          <w:kern w:val="2"/>
          <w:sz w:val="32"/>
          <w:szCs w:val="32"/>
          <w:lang w:val="en-US" w:eastAsia="zh-CN" w:bidi="ar-SA"/>
          <w:highlight w:val="auto"/>
        </w:rPr>
        <w:t>万元</w:t>
      </w:r>
      <w:r>
        <w:rPr>
          <w:rFonts w:ascii="Times New Roman" w:eastAsia="仿宋_GB2312" w:cs="仿宋_GB2312" w:hAnsi="Times New Roman" w:hint="eastAsia"/>
          <w:color w:val="auto"/>
          <w:kern w:val="2"/>
          <w:sz w:val="32"/>
          <w:szCs w:val="32"/>
          <w:lang w:val="zh-CN"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占结转结余67.80%</w:t>
      </w:r>
      <w:r>
        <w:rPr>
          <w:rFonts w:ascii="Times New Roman" w:eastAsia="仿宋_GB2312" w:cs="仿宋_GB2312" w:hAnsi="Times New Roman" w:hint="eastAsia"/>
          <w:color w:val="auto"/>
          <w:kern w:val="2"/>
          <w:sz w:val="32"/>
          <w:szCs w:val="32"/>
          <w:lang w:val="zh-CN" w:eastAsia="zh-CN" w:bidi="ar-SA"/>
          <w:highlight w:val="auto"/>
        </w:rPr>
        <w:t>。</w:t>
      </w:r>
    </w:p>
    <w:p>
      <w:pPr>
        <w:pageBreakBefore w:val="0"/>
        <w:widowControl/>
        <w:kinsoku/>
        <w:overflowPunct/>
        <w:topLinePunct w:val="0"/>
        <w:autoSpaceDE/>
        <w:autoSpaceDN/>
        <w:bidi w:val="0"/>
        <w:adjustRightInd w:val="0"/>
        <w:snapToGrid w:val="0"/>
        <w:spacing w:line="578" w:lineRule="exact"/>
        <w:ind w:firstLineChars="200" w:firstLine="640"/>
        <w:contextualSpacing/>
        <w:jc w:val="both"/>
        <w:rPr>
          <w:rFonts w:eastAsia="黑体"/>
          <w:color w:val="000000"/>
          <w:kern w:val="0"/>
          <w:szCs w:val="32"/>
          <w:shd w:val="clear" w:color="auto" w:fill="FFFFFF"/>
          <w14:textFill>
            <w14:solidFill>
              <w14:srgbClr w14:val="000000"/>
            </w14:solidFill>
          </w14:textFill>
        </w:rPr>
      </w:pPr>
      <w:r>
        <w:rPr>
          <w:rFonts w:ascii="Times New Roman" w:eastAsia="黑体" w:cs="Times New Roman" w:hAnsi="Times New Roman"/>
          <w:color w:val="000000"/>
          <w:kern w:val="0"/>
          <w:sz w:val="32"/>
          <w:szCs w:val="32"/>
          <w:shd w:val="clear" w:color="auto" w:fill="FFFFFF"/>
          <w:lang w:val="zh-CN"/>
        </w:rPr>
        <w:t>三、部门预算绩效分析</w:t>
      </w:r>
    </w:p>
    <w:p>
      <w:pPr>
        <w:spacing w:line="600" w:lineRule="exact"/>
        <w:ind w:firstLineChars="200" w:firstLine="640"/>
        <w:jc w:val="both"/>
        <w:rPr>
          <w:rFonts w:ascii="Times New Roman" w:eastAsia="仿宋_GB2312" w:cs="仿宋_GB2312" w:hAnsi="Times New Roman"/>
          <w:color w:val="auto"/>
          <w:kern w:val="2"/>
          <w:sz w:val="32"/>
          <w:szCs w:val="32"/>
          <w:lang w:val="zh-CN" w:eastAsia="zh-CN" w:bidi="ar-SA"/>
          <w:highlight w:val="auto"/>
        </w:rPr>
      </w:pPr>
      <w:r>
        <w:rPr>
          <w:rFonts w:ascii="Times New Roman" w:eastAsia="楷体_GB2312" w:cs="Times New Roman" w:hAnsi="Times New Roman" w:hint="eastAsia"/>
          <w:b/>
          <w:bCs/>
          <w:color w:val="000000"/>
          <w:kern w:val="0"/>
          <w:sz w:val="32"/>
          <w:szCs w:val="32"/>
          <w:shd w:val="clear" w:color="auto" w:fill="FFFFFF"/>
          <w:lang w:val="zh-CN" w:eastAsia="zh-CN"/>
        </w:rPr>
        <w:t>（一）部门预算总体绩效分析。</w:t>
      </w:r>
      <w:r>
        <w:rPr>
          <w:rFonts w:ascii="Times New Roman" w:eastAsia="仿宋_GB2312" w:cs="仿宋_GB2312" w:hAnsi="Times New Roman"/>
          <w:color w:val="auto"/>
          <w:kern w:val="2"/>
          <w:sz w:val="32"/>
          <w:szCs w:val="32"/>
          <w:lang w:val="zh-CN" w:eastAsia="zh-CN" w:bidi="ar-SA"/>
          <w:highlight w:val="auto"/>
        </w:rPr>
        <w:t>202</w:t>
      </w:r>
      <w:r>
        <w:rPr>
          <w:rFonts w:ascii="Times New Roman" w:eastAsia="仿宋_GB2312" w:cs="仿宋_GB2312" w:hAnsi="Times New Roman" w:hint="eastAsia"/>
          <w:color w:val="auto"/>
          <w:kern w:val="2"/>
          <w:sz w:val="32"/>
          <w:szCs w:val="32"/>
          <w:lang w:val="en-US" w:eastAsia="zh-CN" w:bidi="ar-SA"/>
          <w:highlight w:val="auto"/>
        </w:rPr>
        <w:t>5</w:t>
      </w:r>
      <w:r>
        <w:rPr>
          <w:rFonts w:ascii="Times New Roman" w:eastAsia="仿宋_GB2312" w:cs="仿宋_GB2312" w:hAnsi="Times New Roman"/>
          <w:color w:val="auto"/>
          <w:kern w:val="2"/>
          <w:sz w:val="32"/>
          <w:szCs w:val="32"/>
          <w:lang w:val="zh-CN" w:eastAsia="zh-CN" w:bidi="ar-SA"/>
          <w:highlight w:val="auto"/>
        </w:rPr>
        <w:t>年</w:t>
      </w:r>
      <w:r>
        <w:rPr>
          <w:rFonts w:ascii="Times New Roman" w:eastAsia="仿宋_GB2312" w:cs="仿宋_GB2312" w:hAnsi="Times New Roman" w:hint="eastAsia"/>
          <w:color w:val="auto"/>
          <w:kern w:val="2"/>
          <w:sz w:val="32"/>
          <w:szCs w:val="32"/>
          <w:lang w:val="zh-CN"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州公安局</w:t>
      </w:r>
      <w:r>
        <w:rPr>
          <w:rFonts w:ascii="Times New Roman" w:eastAsia="仿宋_GB2312" w:cs="仿宋_GB2312" w:hAnsi="Times New Roman"/>
          <w:color w:val="auto"/>
          <w:kern w:val="2"/>
          <w:sz w:val="32"/>
          <w:szCs w:val="32"/>
          <w:lang w:val="zh-CN" w:eastAsia="zh-CN" w:bidi="ar-SA"/>
          <w:highlight w:val="auto"/>
        </w:rPr>
        <w:t>部门预算管理工作有序开展，现结合整体支出绩效评价指标体系，将主要情况总结如下：</w:t>
      </w:r>
    </w:p>
    <w:p>
      <w:pPr>
        <w:spacing w:line="600" w:lineRule="exact"/>
        <w:ind w:firstLineChars="200" w:firstLine="640"/>
        <w:jc w:val="both"/>
        <w:rPr>
          <w:rFonts w:ascii="Times New Roman" w:eastAsia="仿宋_GB2312" w:cs="仿宋_GB2312" w:hAnsi="Times New Roman"/>
          <w:color w:val="auto"/>
          <w:kern w:val="2"/>
          <w:sz w:val="32"/>
          <w:szCs w:val="32"/>
          <w:lang w:val="zh-CN"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1.</w:t>
      </w:r>
      <w:r>
        <w:rPr>
          <w:rFonts w:ascii="Times New Roman" w:eastAsia="仿宋_GB2312" w:cs="仿宋_GB2312" w:hAnsi="Times New Roman" w:hint="eastAsia"/>
          <w:b/>
          <w:bCs/>
          <w:color w:val="auto"/>
          <w:kern w:val="2"/>
          <w:sz w:val="32"/>
          <w:szCs w:val="32"/>
          <w:lang w:val="zh-CN" w:eastAsia="zh-CN" w:bidi="ar-SA"/>
          <w:highlight w:val="auto"/>
        </w:rPr>
        <w:t>履职效能。</w:t>
      </w:r>
      <w:r>
        <w:rPr>
          <w:rFonts w:ascii="Times New Roman" w:eastAsia="仿宋_GB2312" w:cs="仿宋_GB2312" w:hAnsi="Times New Roman" w:hint="eastAsia"/>
          <w:color w:val="auto"/>
          <w:kern w:val="2"/>
          <w:sz w:val="32"/>
          <w:szCs w:val="32"/>
          <w:lang w:val="zh-CN" w:eastAsia="zh-CN" w:bidi="ar-SA"/>
          <w:highlight w:val="auto"/>
        </w:rPr>
        <w:t>完成数量指标保障</w:t>
      </w:r>
      <w:r>
        <w:rPr>
          <w:rFonts w:ascii="Times New Roman" w:eastAsia="仿宋_GB2312" w:cs="仿宋_GB2312" w:hAnsi="Times New Roman" w:hint="eastAsia"/>
          <w:color w:val="auto"/>
          <w:kern w:val="2"/>
          <w:sz w:val="32"/>
          <w:szCs w:val="32"/>
          <w:lang w:val="en-US" w:eastAsia="zh-CN" w:bidi="ar-SA"/>
          <w:highlight w:val="auto"/>
        </w:rPr>
        <w:t>3个单位，全年对阿坝州公安局、州交警支队、州强制隔离戒毒所三个单位进行了保障；完成效益指标有效保障社会安定；达到时效指标-案件处理及时率98%目标</w:t>
      </w:r>
      <w:r>
        <w:rPr>
          <w:rFonts w:ascii="Times New Roman" w:eastAsia="仿宋_GB2312" w:cs="仿宋_GB2312" w:hAnsi="Times New Roman"/>
          <w:color w:val="auto"/>
          <w:kern w:val="2"/>
          <w:sz w:val="32"/>
          <w:szCs w:val="32"/>
          <w:lang w:val="zh-CN" w:eastAsia="zh-CN" w:bidi="ar-SA"/>
          <w:highlight w:val="auto"/>
        </w:rPr>
        <w:t>。</w:t>
      </w:r>
    </w:p>
    <w:p>
      <w:pPr>
        <w:spacing w:line="600" w:lineRule="exact"/>
        <w:ind w:firstLineChars="200" w:firstLine="640"/>
        <w:jc w:val="both"/>
        <w:rPr>
          <w:rFonts w:ascii="Times New Roman" w:eastAsia="仿宋_GB2312" w:cs="仿宋_GB2312" w:hAnsi="Times New Roman"/>
          <w:color w:val="auto"/>
          <w:kern w:val="2"/>
          <w:sz w:val="32"/>
          <w:szCs w:val="32"/>
          <w:lang w:val="zh-CN" w:eastAsia="zh-CN" w:bidi="ar-SA"/>
          <w:highlight w:val="auto"/>
        </w:rPr>
      </w:pPr>
      <w:r>
        <w:rPr>
          <w:rFonts w:ascii="Times New Roman" w:eastAsia="仿宋_GB2312" w:cs="仿宋_GB2312" w:hAnsi="Times New Roman"/>
          <w:b/>
          <w:bCs/>
          <w:color w:val="auto"/>
          <w:kern w:val="2"/>
          <w:sz w:val="32"/>
          <w:szCs w:val="32"/>
          <w:lang w:val="en-US" w:eastAsia="zh-CN" w:bidi="ar-SA"/>
          <w:highlight w:val="auto"/>
        </w:rPr>
        <w:t>2.</w:t>
      </w:r>
      <w:r>
        <w:rPr>
          <w:rFonts w:ascii="Times New Roman" w:eastAsia="仿宋_GB2312" w:cs="仿宋_GB2312" w:hAnsi="Times New Roman"/>
          <w:b/>
          <w:bCs/>
          <w:color w:val="auto"/>
          <w:kern w:val="2"/>
          <w:sz w:val="32"/>
          <w:szCs w:val="32"/>
          <w:lang w:val="zh-CN" w:eastAsia="zh-CN" w:bidi="ar-SA"/>
          <w:highlight w:val="auto"/>
        </w:rPr>
        <w:t>预算管理。</w:t>
      </w:r>
      <w:r>
        <w:rPr>
          <w:rFonts w:ascii="Times New Roman" w:eastAsia="仿宋_GB2312" w:cs="仿宋_GB2312" w:hAnsi="Times New Roman"/>
          <w:color w:val="auto"/>
          <w:kern w:val="2"/>
          <w:sz w:val="32"/>
          <w:szCs w:val="32"/>
          <w:lang w:val="zh-CN" w:eastAsia="zh-CN" w:bidi="ar-SA"/>
          <w:highlight w:val="auto"/>
        </w:rPr>
        <w:t>严格按要求编制年初部门预算，</w:t>
      </w:r>
      <w:r>
        <w:rPr>
          <w:rFonts w:ascii="Times New Roman" w:eastAsia="仿宋_GB2312" w:cs="仿宋_GB2312" w:hAnsi="Times New Roman" w:hint="eastAsia"/>
          <w:color w:val="auto"/>
          <w:kern w:val="2"/>
          <w:sz w:val="32"/>
          <w:szCs w:val="32"/>
          <w:lang w:val="zh-CN" w:eastAsia="zh-CN" w:bidi="ar-SA"/>
          <w:highlight w:val="auto"/>
        </w:rPr>
        <w:t>财政拨款预算偏离度为</w:t>
      </w:r>
      <w:r>
        <w:rPr>
          <w:rFonts w:ascii="Times New Roman" w:eastAsia="仿宋_GB2312" w:cs="仿宋_GB2312" w:hAnsi="Times New Roman" w:hint="eastAsia"/>
          <w:color w:val="auto"/>
          <w:kern w:val="2"/>
          <w:sz w:val="32"/>
          <w:szCs w:val="32"/>
          <w:lang w:val="en-US" w:eastAsia="zh-CN" w:bidi="ar-SA"/>
          <w:highlight w:val="auto"/>
        </w:rPr>
        <w:t>0.06</w:t>
      </w:r>
      <w:r>
        <w:rPr>
          <w:rFonts w:ascii="Times New Roman" w:eastAsia="仿宋_GB2312" w:cs="仿宋_GB2312" w:hAnsi="Times New Roman" w:hint="eastAsia"/>
          <w:color w:val="auto"/>
          <w:kern w:val="2"/>
          <w:sz w:val="32"/>
          <w:szCs w:val="32"/>
          <w:lang w:val="zh-CN" w:eastAsia="zh-CN" w:bidi="ar-SA"/>
          <w:highlight w:val="auto"/>
        </w:rPr>
        <w:t>，政府采购预算偏离度为</w:t>
      </w:r>
      <w:r>
        <w:rPr>
          <w:rFonts w:ascii="Times New Roman" w:eastAsia="仿宋_GB2312" w:cs="仿宋_GB2312" w:hAnsi="Times New Roman" w:hint="eastAsia"/>
          <w:color w:val="auto"/>
          <w:kern w:val="2"/>
          <w:sz w:val="32"/>
          <w:szCs w:val="32"/>
          <w:lang w:val="en-US" w:eastAsia="zh-CN" w:bidi="ar-SA"/>
          <w:highlight w:val="auto"/>
        </w:rPr>
        <w:t>0，</w:t>
      </w:r>
      <w:r>
        <w:rPr>
          <w:rFonts w:ascii="Times New Roman" w:eastAsia="仿宋_GB2312" w:cs="仿宋_GB2312" w:hAnsi="Times New Roman"/>
          <w:color w:val="auto"/>
          <w:kern w:val="2"/>
          <w:sz w:val="32"/>
          <w:szCs w:val="32"/>
          <w:lang w:val="zh-CN" w:eastAsia="zh-CN" w:bidi="ar-SA"/>
          <w:highlight w:val="auto"/>
        </w:rPr>
        <w:t>坚持“三保”在预算安排和支出上的优先顺序，切实筑牢兜实“三保”底线</w:t>
      </w:r>
      <w:r>
        <w:rPr>
          <w:rFonts w:ascii="Times New Roman" w:eastAsia="仿宋_GB2312" w:cs="仿宋_GB2312" w:hAnsi="Times New Roman" w:hint="eastAsia"/>
          <w:color w:val="auto"/>
          <w:kern w:val="2"/>
          <w:sz w:val="32"/>
          <w:szCs w:val="32"/>
          <w:lang w:val="zh-CN"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预算编制质量高</w:t>
      </w:r>
      <w:r>
        <w:rPr>
          <w:rFonts w:ascii="Times New Roman" w:eastAsia="仿宋_GB2312" w:cs="仿宋_GB2312" w:hAnsi="Times New Roman" w:hint="eastAsia"/>
          <w:color w:val="auto"/>
          <w:kern w:val="2"/>
          <w:sz w:val="32"/>
          <w:szCs w:val="32"/>
          <w:lang w:val="zh-CN" w:eastAsia="zh-CN" w:bidi="ar-SA"/>
          <w:highlight w:val="auto"/>
        </w:rPr>
        <w:t>；</w:t>
      </w:r>
      <w:r>
        <w:rPr>
          <w:rFonts w:ascii="Times New Roman" w:eastAsia="仿宋_GB2312" w:cs="仿宋_GB2312" w:hAnsi="Times New Roman"/>
          <w:color w:val="auto"/>
          <w:kern w:val="2"/>
          <w:sz w:val="32"/>
          <w:szCs w:val="32"/>
          <w:lang w:val="zh-CN" w:eastAsia="zh-CN" w:bidi="ar-SA"/>
          <w:highlight w:val="auto"/>
        </w:rPr>
        <w:t>单位收入统筹</w:t>
      </w:r>
      <w:r>
        <w:rPr>
          <w:rFonts w:ascii="Times New Roman" w:eastAsia="仿宋_GB2312" w:cs="仿宋_GB2312" w:hAnsi="Times New Roman" w:hint="eastAsia"/>
          <w:color w:val="auto"/>
          <w:kern w:val="2"/>
          <w:sz w:val="32"/>
          <w:szCs w:val="32"/>
          <w:lang w:val="zh-CN" w:eastAsia="zh-CN" w:bidi="ar-SA"/>
          <w:highlight w:val="auto"/>
        </w:rPr>
        <w:t>程度良好；</w:t>
      </w:r>
      <w:r>
        <w:rPr>
          <w:rFonts w:ascii="Times New Roman" w:eastAsia="仿宋_GB2312" w:cs="仿宋_GB2312" w:hAnsi="Times New Roman"/>
          <w:color w:val="auto"/>
          <w:kern w:val="2"/>
          <w:sz w:val="32"/>
          <w:szCs w:val="32"/>
          <w:lang w:val="zh-CN" w:eastAsia="zh-CN" w:bidi="ar-SA"/>
          <w:highlight w:val="auto"/>
        </w:rPr>
        <w:t>坚持“先有预算后有支出”，严格执行人大批准的预算，严禁超预算、无预算安排支出或开展政府采购</w:t>
      </w:r>
      <w:r>
        <w:rPr>
          <w:rFonts w:ascii="Times New Roman" w:eastAsia="仿宋_GB2312" w:cs="仿宋_GB2312" w:hAnsi="Times New Roman" w:hint="eastAsia"/>
          <w:color w:val="auto"/>
          <w:kern w:val="2"/>
          <w:sz w:val="32"/>
          <w:szCs w:val="32"/>
          <w:lang w:val="zh-CN" w:eastAsia="zh-CN" w:bidi="ar-SA"/>
          <w:highlight w:val="auto"/>
        </w:rPr>
        <w:t>；</w:t>
      </w:r>
      <w:r>
        <w:rPr>
          <w:rFonts w:ascii="Times New Roman" w:eastAsia="仿宋_GB2312" w:cs="仿宋_GB2312" w:hAnsi="Times New Roman"/>
          <w:color w:val="auto"/>
          <w:kern w:val="2"/>
          <w:sz w:val="32"/>
          <w:szCs w:val="32"/>
          <w:lang w:val="zh-CN" w:eastAsia="zh-CN" w:bidi="ar-SA"/>
          <w:highlight w:val="auto"/>
        </w:rPr>
        <w:t>规范部门预算调整调剂，严禁随意变更资金用途和支出科目，强化预算指标对预算支出的控制，加强资金使用的追踪和监管；持续深化部门预决算公开，确保部门预决算公开内容全面、完整、规范。细化公开群众关心的“三公”经费及增减变化说明等，主动接受社会监督</w:t>
      </w:r>
      <w:r>
        <w:rPr>
          <w:rFonts w:ascii="Times New Roman" w:eastAsia="仿宋_GB2312" w:cs="仿宋_GB2312" w:hAnsi="Times New Roman" w:hint="eastAsia"/>
          <w:color w:val="auto"/>
          <w:kern w:val="2"/>
          <w:sz w:val="32"/>
          <w:szCs w:val="32"/>
          <w:lang w:val="zh-CN" w:eastAsia="zh-CN" w:bidi="ar-SA"/>
          <w:highlight w:val="auto"/>
        </w:rPr>
        <w:t>；按进度加强</w:t>
      </w:r>
      <w:r>
        <w:rPr>
          <w:rFonts w:ascii="Times New Roman" w:eastAsia="仿宋_GB2312" w:cs="仿宋_GB2312" w:hAnsi="Times New Roman"/>
          <w:color w:val="auto"/>
          <w:kern w:val="2"/>
          <w:sz w:val="32"/>
          <w:szCs w:val="32"/>
          <w:lang w:val="zh-CN" w:eastAsia="zh-CN" w:bidi="ar-SA"/>
          <w:highlight w:val="auto"/>
        </w:rPr>
        <w:t>支出执行进度。</w:t>
      </w:r>
    </w:p>
    <w:p>
      <w:pPr>
        <w:spacing w:line="600" w:lineRule="exact"/>
        <w:ind w:firstLineChars="200" w:firstLine="640"/>
        <w:jc w:val="both"/>
        <w:rPr>
          <w:rFonts w:ascii="Times New Roman" w:eastAsia="仿宋_GB2312" w:cs="仿宋_GB2312" w:hAnsi="Times New Roman"/>
          <w:color w:val="auto"/>
          <w:kern w:val="2"/>
          <w:sz w:val="32"/>
          <w:szCs w:val="32"/>
          <w:lang w:val="zh-CN" w:eastAsia="zh-CN" w:bidi="ar-SA"/>
          <w:highlight w:val="auto"/>
        </w:rPr>
      </w:pPr>
      <w:r>
        <w:rPr>
          <w:rFonts w:ascii="Times New Roman" w:eastAsia="仿宋_GB2312" w:cs="仿宋_GB2312" w:hAnsi="Times New Roman"/>
          <w:b/>
          <w:bCs/>
          <w:color w:val="auto"/>
          <w:kern w:val="2"/>
          <w:sz w:val="32"/>
          <w:szCs w:val="32"/>
          <w:lang w:val="en-US" w:eastAsia="zh-CN" w:bidi="ar-SA"/>
          <w:highlight w:val="auto"/>
        </w:rPr>
        <w:t>3.</w:t>
      </w:r>
      <w:r>
        <w:rPr>
          <w:rFonts w:ascii="Times New Roman" w:eastAsia="仿宋_GB2312" w:cs="仿宋_GB2312" w:hAnsi="Times New Roman"/>
          <w:b/>
          <w:bCs/>
          <w:color w:val="auto"/>
          <w:kern w:val="2"/>
          <w:sz w:val="32"/>
          <w:szCs w:val="32"/>
          <w:lang w:val="zh-CN" w:eastAsia="zh-CN" w:bidi="ar-SA"/>
          <w:highlight w:val="auto"/>
        </w:rPr>
        <w:t>财务管理。</w:t>
      </w:r>
      <w:r>
        <w:rPr>
          <w:rFonts w:ascii="Times New Roman" w:eastAsia="仿宋_GB2312" w:cs="仿宋_GB2312" w:hAnsi="Times New Roman" w:hint="eastAsia"/>
          <w:color w:val="auto"/>
          <w:kern w:val="2"/>
          <w:sz w:val="32"/>
          <w:szCs w:val="32"/>
          <w:lang w:val="zh-CN" w:eastAsia="zh-CN" w:bidi="ar-SA"/>
          <w:highlight w:val="auto"/>
        </w:rPr>
        <w:t>我部门严格按照</w:t>
      </w:r>
      <w:r>
        <w:rPr>
          <w:rFonts w:ascii="Times New Roman" w:eastAsia="仿宋_GB2312" w:cs="仿宋_GB2312" w:hAnsi="Times New Roman" w:hint="eastAsia"/>
          <w:color w:val="auto"/>
          <w:kern w:val="2"/>
          <w:sz w:val="32"/>
          <w:szCs w:val="32"/>
          <w:lang w:val="en-US" w:eastAsia="zh-CN" w:bidi="ar-SA"/>
          <w:highlight w:val="auto"/>
        </w:rPr>
        <w:t>《阿坝州公安局财务管理办法》、《阿坝州公安机关合同管理规定》、《阿坝州公安局政府采购管理实施办法》、《阿坝州公安局非政府采购管理实施办法》、《阿坝州公安局涉密采购管理实施办法》等进行财务管理活动；同时财务人员按照职责进行分工，切实做到“不相容岗位分离”，财务工作人员之间相互制约、相互监督，确保单位资金安全</w:t>
      </w:r>
      <w:r>
        <w:rPr>
          <w:rFonts w:ascii="Times New Roman" w:eastAsia="仿宋_GB2312" w:cs="仿宋_GB2312" w:hAnsi="Times New Roman" w:hint="eastAsia"/>
          <w:color w:val="auto"/>
          <w:kern w:val="2"/>
          <w:sz w:val="32"/>
          <w:szCs w:val="32"/>
          <w:lang w:val="zh-CN" w:eastAsia="zh-CN" w:bidi="ar-SA"/>
          <w:highlight w:val="auto"/>
        </w:rPr>
        <w:t>。</w:t>
      </w:r>
    </w:p>
    <w:p>
      <w:pPr>
        <w:spacing w:line="600" w:lineRule="exact"/>
        <w:ind w:firstLineChars="200" w:firstLine="640"/>
        <w:jc w:val="both"/>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b/>
          <w:bCs/>
          <w:color w:val="auto"/>
          <w:kern w:val="2"/>
          <w:sz w:val="32"/>
          <w:szCs w:val="32"/>
          <w:lang w:val="en-US" w:eastAsia="zh-CN" w:bidi="ar-SA"/>
          <w:highlight w:val="auto"/>
        </w:rPr>
        <w:t>4.</w:t>
      </w:r>
      <w:r>
        <w:rPr>
          <w:rFonts w:ascii="Times New Roman" w:eastAsia="仿宋_GB2312" w:cs="仿宋_GB2312" w:hAnsi="Times New Roman"/>
          <w:b/>
          <w:bCs/>
          <w:color w:val="auto"/>
          <w:kern w:val="2"/>
          <w:sz w:val="32"/>
          <w:szCs w:val="32"/>
          <w:lang w:val="zh-CN" w:eastAsia="zh-CN" w:bidi="ar-SA"/>
          <w:highlight w:val="auto"/>
        </w:rPr>
        <w:t>资产管理。</w:t>
      </w:r>
      <w:r>
        <w:rPr>
          <w:rFonts w:ascii="Times New Roman" w:eastAsia="仿宋_GB2312" w:cs="仿宋_GB2312" w:hAnsi="Times New Roman" w:hint="eastAsia"/>
          <w:color w:val="auto"/>
          <w:kern w:val="2"/>
          <w:sz w:val="32"/>
          <w:szCs w:val="32"/>
          <w:lang w:val="en-US" w:eastAsia="zh-CN" w:bidi="ar-SA"/>
          <w:highlight w:val="auto"/>
        </w:rPr>
        <w:t>2024年我部门资产净值35,197.55万元，年末实有人数为685人，上年部门人均占有资产51.38万元，2025年我部门资产净值34,912.47万元，年末实有人数为7116人，本年部门人均占有资产49.10万元，部门人均资产变化率为-4.40%。2025年部门办公家具超最低使用年限资产使用率为3.25%，部门办公设备超最低使用年限资产使用率为8.54%，我部门所有资产均合理使用，无闲置资产。</w:t>
      </w:r>
    </w:p>
    <w:p>
      <w:pPr>
        <w:spacing w:line="600" w:lineRule="exact"/>
        <w:ind w:firstLineChars="200" w:firstLine="640"/>
        <w:jc w:val="both"/>
        <w:rPr>
          <w:rFonts w:ascii="Times New Roman" w:eastAsia="仿宋_GB2312" w:cs="仿宋_GB2312" w:hAnsi="Times New Roman"/>
          <w:color w:val="auto"/>
          <w:kern w:val="2"/>
          <w:sz w:val="32"/>
          <w:szCs w:val="32"/>
          <w:lang w:val="zh-CN" w:eastAsia="zh-CN" w:bidi="ar-SA"/>
          <w:highlight w:val="auto"/>
        </w:rPr>
      </w:pPr>
      <w:r>
        <w:rPr>
          <w:rFonts w:ascii="Times New Roman" w:eastAsia="仿宋_GB2312" w:cs="仿宋_GB2312" w:hAnsi="Times New Roman"/>
          <w:b/>
          <w:bCs/>
          <w:color w:val="auto"/>
          <w:kern w:val="2"/>
          <w:sz w:val="32"/>
          <w:szCs w:val="32"/>
          <w:lang w:val="en-US" w:eastAsia="zh-CN" w:bidi="ar-SA"/>
          <w:highlight w:val="auto"/>
        </w:rPr>
        <w:t>5.</w:t>
      </w:r>
      <w:r>
        <w:rPr>
          <w:rFonts w:ascii="Times New Roman" w:eastAsia="仿宋_GB2312" w:cs="仿宋_GB2312" w:hAnsi="Times New Roman"/>
          <w:b/>
          <w:bCs/>
          <w:color w:val="auto"/>
          <w:kern w:val="2"/>
          <w:sz w:val="32"/>
          <w:szCs w:val="32"/>
          <w:lang w:val="zh-CN" w:eastAsia="zh-CN" w:bidi="ar-SA"/>
          <w:highlight w:val="auto"/>
        </w:rPr>
        <w:t>采购管理。</w:t>
      </w:r>
      <w:r>
        <w:rPr>
          <w:rFonts w:ascii="Times New Roman" w:eastAsia="仿宋_GB2312" w:cs="仿宋_GB2312" w:hAnsi="Times New Roman" w:hint="eastAsia"/>
          <w:color w:val="auto"/>
          <w:kern w:val="2"/>
          <w:sz w:val="32"/>
          <w:szCs w:val="32"/>
          <w:lang w:val="zh-CN" w:eastAsia="zh-CN" w:bidi="ar-SA"/>
          <w:highlight w:val="auto"/>
        </w:rPr>
        <w:t>我部门一直高度重视发挥政府采购政策作用支持中小企业（含中型、小型、微型企业）发展，202</w:t>
      </w:r>
      <w:r>
        <w:rPr>
          <w:rFonts w:ascii="Times New Roman" w:eastAsia="仿宋_GB2312" w:cs="仿宋_GB2312" w:hAnsi="Times New Roman" w:hint="eastAsia"/>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zh-CN" w:eastAsia="zh-CN" w:bidi="ar-SA"/>
          <w:highlight w:val="auto"/>
        </w:rPr>
        <w:t>年，我部门政府采购共授予中小企业</w:t>
      </w:r>
      <w:r>
        <w:rPr>
          <w:rFonts w:ascii="Times New Roman" w:eastAsia="仿宋_GB2312" w:cs="仿宋_GB2312" w:hAnsi="Times New Roman" w:hint="eastAsia"/>
          <w:color w:val="auto"/>
          <w:kern w:val="2"/>
          <w:sz w:val="32"/>
          <w:szCs w:val="32"/>
          <w:lang w:val="en-US" w:eastAsia="zh-CN" w:bidi="ar-SA"/>
          <w:highlight w:val="auto"/>
        </w:rPr>
        <w:t>16个项目，涉及</w:t>
      </w:r>
      <w:r>
        <w:rPr>
          <w:rFonts w:ascii="Times New Roman" w:eastAsia="仿宋_GB2312" w:cs="仿宋_GB2312" w:hAnsi="Times New Roman" w:hint="eastAsia"/>
          <w:color w:val="auto"/>
          <w:kern w:val="2"/>
          <w:sz w:val="32"/>
          <w:szCs w:val="32"/>
          <w:lang w:val="zh-CN" w:eastAsia="zh-CN" w:bidi="ar-SA"/>
          <w:highlight w:val="auto"/>
        </w:rPr>
        <w:t>合同金额</w:t>
      </w:r>
      <w:r>
        <w:rPr>
          <w:rFonts w:ascii="Times New Roman" w:eastAsia="仿宋_GB2312" w:cs="仿宋_GB2312" w:hAnsi="Times New Roman" w:hint="eastAsia"/>
          <w:color w:val="auto"/>
          <w:kern w:val="2"/>
          <w:sz w:val="32"/>
          <w:szCs w:val="32"/>
          <w:lang w:val="en-US" w:eastAsia="zh-CN" w:bidi="ar-SA"/>
          <w:highlight w:val="auto"/>
        </w:rPr>
        <w:t>2,174.56万元</w:t>
      </w:r>
      <w:r>
        <w:rPr>
          <w:rFonts w:ascii="Times New Roman" w:eastAsia="仿宋_GB2312" w:cs="仿宋_GB2312" w:hAnsi="Times New Roman" w:hint="eastAsia"/>
          <w:color w:val="auto"/>
          <w:kern w:val="2"/>
          <w:sz w:val="32"/>
          <w:szCs w:val="32"/>
          <w:lang w:val="zh-CN" w:eastAsia="zh-CN" w:bidi="ar-SA"/>
          <w:highlight w:val="auto"/>
        </w:rPr>
        <w:t>，有效鼓励了中小企业的发展。</w:t>
      </w:r>
    </w:p>
    <w:p>
      <w:pPr>
        <w:spacing w:line="600" w:lineRule="exact"/>
        <w:ind w:firstLineChars="200" w:firstLine="640"/>
        <w:jc w:val="both"/>
        <w:rPr>
          <w:rFonts w:ascii="Times New Roman" w:eastAsia="楷体_GB2312" w:cs="Times New Roman" w:hAnsi="Times New Roman" w:hint="eastAsia"/>
          <w:b/>
          <w:bCs/>
          <w:color w:val="000000"/>
          <w:kern w:val="0"/>
          <w:sz w:val="32"/>
          <w:szCs w:val="32"/>
          <w:shd w:val="clear" w:color="auto" w:fill="FFFFFF"/>
          <w:lang w:val="en-US" w:eastAsia="zh-CN"/>
        </w:rPr>
      </w:pPr>
      <w:r>
        <w:rPr>
          <w:rFonts w:ascii="Times New Roman" w:eastAsia="楷体_GB2312" w:cs="Times New Roman" w:hAnsi="Times New Roman" w:hint="eastAsia"/>
          <w:b/>
          <w:bCs/>
          <w:color w:val="000000"/>
          <w:kern w:val="0"/>
          <w:sz w:val="32"/>
          <w:szCs w:val="32"/>
          <w:shd w:val="clear" w:color="auto" w:fill="FFFFFF"/>
          <w:lang w:val="zh-CN" w:eastAsia="zh-CN"/>
        </w:rPr>
        <w:t>（二）部门预算项目绩效分析。</w:t>
      </w:r>
    </w:p>
    <w:p>
      <w:pPr>
        <w:keepNext w:val="0"/>
        <w:keepLines w:val="0"/>
        <w:pageBreakBefore w:val="0"/>
        <w:widowControl w:val="0"/>
        <w:kinsoku w:val="0"/>
        <w:wordWrap w:val="0"/>
        <w:overflowPunct w:val="0"/>
        <w:topLinePunct w:val="0"/>
        <w:autoSpaceDE w:val="0"/>
        <w:autoSpaceDN w:val="0"/>
        <w:bidi w:val="0"/>
        <w:adjustRightInd/>
        <w:snapToGrid w:val="0"/>
        <w:spacing w:line="560" w:lineRule="exact"/>
        <w:ind w:firstLineChars="200" w:firstLine="640"/>
        <w:jc w:val="both"/>
        <w:textAlignment w:val="auto"/>
        <w:rPr>
          <w:rFonts w:ascii="Times New Roman" w:eastAsia="仿宋_GB2312" w:cs="仿宋_GB2312" w:hAnsi="Times New Roman" w:hint="eastAsia"/>
          <w:color w:val="auto"/>
          <w:kern w:val="2"/>
          <w:sz w:val="32"/>
          <w:szCs w:val="32"/>
          <w:lang w:val="zh-CN" w:eastAsia="zh-CN" w:bidi="ar-SA"/>
          <w:highlight w:val="auto"/>
        </w:rPr>
      </w:pPr>
      <w:r>
        <w:rPr>
          <w:rFonts w:ascii="Times New Roman" w:eastAsia="仿宋_GB2312" w:cs="仿宋_GB2312" w:hAnsi="Times New Roman"/>
          <w:color w:val="auto"/>
          <w:kern w:val="2"/>
          <w:sz w:val="32"/>
          <w:szCs w:val="32"/>
          <w:lang w:val="en-US" w:eastAsia="zh-CN" w:bidi="ar-SA"/>
          <w:highlight w:val="auto"/>
        </w:rPr>
        <w:t>常年项目绩效分析。</w:t>
      </w:r>
      <w:r>
        <w:rPr>
          <w:rFonts w:ascii="Times New Roman" w:eastAsia="仿宋_GB2312" w:cs="仿宋_GB2312" w:hAnsi="Times New Roman"/>
          <w:color w:val="auto"/>
          <w:kern w:val="2"/>
          <w:sz w:val="32"/>
          <w:szCs w:val="32"/>
          <w:lang w:val="zh-CN" w:eastAsia="zh-CN" w:bidi="ar-SA"/>
          <w:highlight w:val="auto"/>
        </w:rPr>
        <w:t>该类项目总数</w:t>
      </w:r>
      <w:r>
        <w:rPr>
          <w:rFonts w:ascii="Times New Roman" w:eastAsia="仿宋_GB2312" w:cs="仿宋_GB2312" w:hAnsi="Times New Roman" w:hint="eastAsia"/>
          <w:color w:val="auto"/>
          <w:kern w:val="2"/>
          <w:sz w:val="32"/>
          <w:szCs w:val="32"/>
          <w:lang w:val="en-US" w:eastAsia="zh-CN" w:bidi="ar-SA"/>
          <w:highlight w:val="auto"/>
        </w:rPr>
        <w:t>38</w:t>
      </w:r>
      <w:r>
        <w:rPr>
          <w:rFonts w:ascii="Times New Roman" w:eastAsia="仿宋_GB2312" w:cs="仿宋_GB2312" w:hAnsi="Times New Roman"/>
          <w:color w:val="auto"/>
          <w:kern w:val="2"/>
          <w:sz w:val="32"/>
          <w:szCs w:val="32"/>
          <w:lang w:val="zh-CN" w:eastAsia="zh-CN" w:bidi="ar-SA"/>
          <w:highlight w:val="auto"/>
        </w:rPr>
        <w:t>个，涉及预算总金额</w:t>
      </w:r>
      <w:r>
        <w:rPr>
          <w:rFonts w:ascii="Times New Roman" w:eastAsia="仿宋_GB2312" w:cs="仿宋_GB2312" w:hAnsi="Times New Roman"/>
          <w:color w:val="auto"/>
          <w:kern w:val="2"/>
          <w:sz w:val="32"/>
          <w:szCs w:val="32"/>
          <w:lang w:val="en-US" w:eastAsia="zh-CN" w:bidi="ar-SA"/>
          <w:highlight w:val="auto"/>
        </w:rPr>
        <w:t xml:space="preserve"> </w:t>
      </w:r>
      <w:r>
        <w:rPr>
          <w:rFonts w:ascii="Times New Roman" w:eastAsia="仿宋_GB2312" w:cs="仿宋_GB2312" w:hAnsi="Times New Roman" w:hint="eastAsia"/>
          <w:color w:val="auto"/>
          <w:kern w:val="2"/>
          <w:sz w:val="32"/>
          <w:szCs w:val="32"/>
          <w:lang w:val="en-US" w:eastAsia="zh-CN" w:bidi="ar-SA"/>
          <w:highlight w:val="auto"/>
        </w:rPr>
        <w:t>4,827.46</w:t>
      </w:r>
      <w:r>
        <w:rPr>
          <w:rFonts w:ascii="Times New Roman" w:eastAsia="仿宋_GB2312" w:cs="仿宋_GB2312" w:hAnsi="Times New Roman"/>
          <w:color w:val="auto"/>
          <w:kern w:val="2"/>
          <w:sz w:val="32"/>
          <w:szCs w:val="32"/>
          <w:lang w:val="zh-CN" w:eastAsia="zh-CN" w:bidi="ar-SA"/>
          <w:highlight w:val="auto"/>
        </w:rPr>
        <w:t>万元，1</w:t>
      </w:r>
      <w:r>
        <w:rPr>
          <w:rFonts w:ascii="Times New Roman" w:eastAsia="仿宋_GB2312" w:cs="仿宋_GB2312" w:hAnsi="Times New Roman" w:hint="eastAsia"/>
          <w:color w:val="auto"/>
          <w:kern w:val="2"/>
          <w:sz w:val="32"/>
          <w:szCs w:val="32"/>
          <w:lang w:val="zh-CN" w:eastAsia="zh-CN" w:bidi="ar-SA"/>
          <w:highlight w:val="auto"/>
        </w:rPr>
        <w:t>—</w:t>
      </w:r>
      <w:r>
        <w:rPr>
          <w:rFonts w:ascii="Times New Roman" w:eastAsia="仿宋_GB2312" w:cs="仿宋_GB2312" w:hAnsi="Times New Roman"/>
          <w:color w:val="auto"/>
          <w:kern w:val="2"/>
          <w:sz w:val="32"/>
          <w:szCs w:val="32"/>
          <w:lang w:val="zh-CN" w:eastAsia="zh-CN" w:bidi="ar-SA"/>
          <w:highlight w:val="auto"/>
        </w:rPr>
        <w:t>1</w:t>
      </w:r>
      <w:r>
        <w:rPr>
          <w:rFonts w:ascii="Times New Roman" w:eastAsia="仿宋_GB2312" w:cs="仿宋_GB2312" w:hAnsi="Times New Roman"/>
          <w:color w:val="auto"/>
          <w:kern w:val="2"/>
          <w:sz w:val="32"/>
          <w:szCs w:val="32"/>
          <w:lang w:val="en-US" w:eastAsia="zh-CN" w:bidi="ar-SA"/>
          <w:highlight w:val="auto"/>
        </w:rPr>
        <w:t>2</w:t>
      </w:r>
      <w:r>
        <w:rPr>
          <w:rFonts w:ascii="Times New Roman" w:eastAsia="仿宋_GB2312" w:cs="仿宋_GB2312" w:hAnsi="Times New Roman"/>
          <w:color w:val="auto"/>
          <w:kern w:val="2"/>
          <w:sz w:val="32"/>
          <w:szCs w:val="32"/>
          <w:lang w:val="zh-CN" w:eastAsia="zh-CN" w:bidi="ar-SA"/>
          <w:highlight w:val="auto"/>
        </w:rPr>
        <w:t>月预算执行总体进度为</w:t>
      </w:r>
      <w:r>
        <w:rPr>
          <w:rFonts w:ascii="Times New Roman" w:eastAsia="仿宋_GB2312" w:cs="仿宋_GB2312" w:hAnsi="Times New Roman" w:hint="eastAsia"/>
          <w:color w:val="auto"/>
          <w:kern w:val="2"/>
          <w:sz w:val="32"/>
          <w:szCs w:val="32"/>
          <w:lang w:val="en-US" w:eastAsia="zh-CN" w:bidi="ar-SA"/>
          <w:highlight w:val="auto"/>
        </w:rPr>
        <w:t>60.80</w:t>
      </w:r>
      <w:r>
        <w:rPr>
          <w:rFonts w:ascii="Times New Roman" w:eastAsia="仿宋_GB2312" w:cs="仿宋_GB2312" w:hAnsi="Times New Roman"/>
          <w:color w:val="auto"/>
          <w:kern w:val="2"/>
          <w:sz w:val="32"/>
          <w:szCs w:val="32"/>
          <w:lang w:val="zh-CN" w:eastAsia="zh-CN" w:bidi="ar-SA"/>
          <w:highlight w:val="auto"/>
        </w:rPr>
        <w:t>%，预算结余率大于</w:t>
      </w:r>
      <w:r>
        <w:rPr>
          <w:rFonts w:ascii="Times New Roman" w:eastAsia="仿宋_GB2312" w:cs="仿宋_GB2312" w:hAnsi="Times New Roman"/>
          <w:color w:val="auto"/>
          <w:kern w:val="2"/>
          <w:sz w:val="32"/>
          <w:szCs w:val="32"/>
          <w:lang w:val="en-US" w:eastAsia="zh-CN" w:bidi="ar-SA"/>
          <w:highlight w:val="auto"/>
        </w:rPr>
        <w:t>10%</w:t>
      </w:r>
      <w:r>
        <w:rPr>
          <w:rFonts w:ascii="Times New Roman" w:eastAsia="仿宋_GB2312" w:cs="仿宋_GB2312" w:hAnsi="Times New Roman"/>
          <w:color w:val="auto"/>
          <w:kern w:val="2"/>
          <w:sz w:val="32"/>
          <w:szCs w:val="32"/>
          <w:lang w:val="zh-CN" w:eastAsia="zh-CN" w:bidi="ar-SA"/>
          <w:highlight w:val="auto"/>
        </w:rPr>
        <w:t>的项目</w:t>
      </w:r>
      <w:r>
        <w:rPr>
          <w:rFonts w:ascii="Times New Roman" w:eastAsia="仿宋_GB2312" w:cs="仿宋_GB2312" w:hAnsi="Times New Roman" w:hint="eastAsia"/>
          <w:color w:val="auto"/>
          <w:kern w:val="2"/>
          <w:sz w:val="32"/>
          <w:szCs w:val="32"/>
          <w:lang w:val="en-US" w:eastAsia="zh-CN" w:bidi="ar-SA"/>
          <w:highlight w:val="auto"/>
        </w:rPr>
        <w:t>共计19个：51320021T000000061286-车管业务经费、51320021T000000061343-道路交通管理业务经费、51320021T000000061365-交警办公网路租赁费、51320022T000005474874-新春慰问金、51320024T000010548737-道路交通综合智能监控系统运维费、51320025T000012526118-信息中心运维服务（2025）、51320025T000012546492-大数据治理维护（2025）、51320025T000012546576-信息系统等级保护测评（2025）、51320025T000012566466-车辆大修（2025）、51320025T000012597837-测速卡口补点建设项目、51320025T000012611231-网络租赁及维护（2025）、51320025T000012611881-州公安局房屋维修（2025）、51320025T000012612885-交管大数据业务技术用房（2025）、51320025T000012614005-MM力量工作经费（2025）、51320025T000012614266-JD业务费（2025）、51320025T000012615739-96110反诈预警劝阻专线及AI人工智能预警系统运营升级服务、51320025T000012680709-支队机关物业管理服务项目、51320025T000012680731-车管所物业管理服务项目、51320025T000012787476-交警网络运行维护项目</w:t>
      </w:r>
      <w:r>
        <w:rPr>
          <w:rFonts w:ascii="Times New Roman" w:eastAsia="仿宋_GB2312" w:cs="仿宋_GB2312" w:hAnsi="Times New Roman" w:hint="eastAsia"/>
          <w:color w:val="auto"/>
          <w:kern w:val="2"/>
          <w:sz w:val="32"/>
          <w:szCs w:val="32"/>
          <w:lang w:val="zh-CN" w:eastAsia="zh-CN" w:bidi="ar-SA"/>
          <w:highlight w:val="auto"/>
        </w:rPr>
        <w:t>。</w:t>
      </w:r>
    </w:p>
    <w:p>
      <w:pPr>
        <w:spacing w:line="600" w:lineRule="exact"/>
        <w:ind w:firstLineChars="200" w:firstLine="640"/>
        <w:jc w:val="both"/>
        <w:rPr>
          <w:rFonts w:ascii="Times New Roman" w:eastAsia="仿宋_GB2312" w:cs="仿宋_GB2312" w:hAnsi="Times New Roman"/>
          <w:color w:val="auto"/>
          <w:kern w:val="2"/>
          <w:sz w:val="32"/>
          <w:szCs w:val="32"/>
          <w:lang w:val="zh-CN" w:eastAsia="zh-CN" w:bidi="ar-SA"/>
          <w:highlight w:val="auto"/>
        </w:rPr>
      </w:pPr>
      <w:r>
        <w:rPr>
          <w:rFonts w:ascii="Times New Roman" w:eastAsia="仿宋_GB2312" w:cs="仿宋_GB2312" w:hAnsi="Times New Roman"/>
          <w:color w:val="auto"/>
          <w:kern w:val="2"/>
          <w:sz w:val="32"/>
          <w:szCs w:val="32"/>
          <w:lang w:val="en-US" w:eastAsia="zh-CN" w:bidi="ar-SA"/>
          <w:highlight w:val="auto"/>
        </w:rPr>
        <w:t>阶段（</w:t>
      </w:r>
      <w:r>
        <w:rPr>
          <w:rFonts w:ascii="Times New Roman" w:eastAsia="仿宋_GB2312" w:cs="仿宋_GB2312" w:hAnsi="Times New Roman" w:hint="eastAsia"/>
          <w:color w:val="auto"/>
          <w:kern w:val="2"/>
          <w:sz w:val="32"/>
          <w:szCs w:val="32"/>
          <w:lang w:val="en-US" w:eastAsia="zh-CN" w:bidi="ar-SA"/>
          <w:highlight w:val="auto"/>
        </w:rPr>
        <w:t>含</w:t>
      </w:r>
      <w:r>
        <w:rPr>
          <w:rFonts w:ascii="Times New Roman" w:eastAsia="仿宋_GB2312" w:cs="仿宋_GB2312" w:hAnsi="Times New Roman"/>
          <w:color w:val="auto"/>
          <w:kern w:val="2"/>
          <w:sz w:val="32"/>
          <w:szCs w:val="32"/>
          <w:lang w:val="en-US" w:eastAsia="zh-CN" w:bidi="ar-SA"/>
          <w:highlight w:val="auto"/>
        </w:rPr>
        <w:t>一次性）项目绩效分析。</w:t>
      </w:r>
      <w:r>
        <w:rPr>
          <w:rFonts w:ascii="Times New Roman" w:eastAsia="仿宋_GB2312" w:cs="仿宋_GB2312" w:hAnsi="Times New Roman"/>
          <w:color w:val="auto"/>
          <w:kern w:val="2"/>
          <w:sz w:val="32"/>
          <w:szCs w:val="32"/>
          <w:lang w:val="zh-CN" w:eastAsia="zh-CN" w:bidi="ar-SA"/>
          <w:highlight w:val="auto"/>
        </w:rPr>
        <w:t>该类项目总数</w:t>
      </w:r>
      <w:r>
        <w:rPr>
          <w:rFonts w:ascii="Times New Roman" w:eastAsia="仿宋_GB2312" w:cs="仿宋_GB2312" w:hAnsi="Times New Roman" w:hint="eastAsia"/>
          <w:color w:val="auto"/>
          <w:kern w:val="2"/>
          <w:sz w:val="32"/>
          <w:szCs w:val="32"/>
          <w:lang w:val="en-US" w:eastAsia="zh-CN" w:bidi="ar-SA"/>
          <w:highlight w:val="auto"/>
        </w:rPr>
        <w:t>17</w:t>
      </w:r>
      <w:r>
        <w:rPr>
          <w:rFonts w:ascii="Times New Roman" w:eastAsia="仿宋_GB2312" w:cs="仿宋_GB2312" w:hAnsi="Times New Roman"/>
          <w:color w:val="auto"/>
          <w:kern w:val="2"/>
          <w:sz w:val="32"/>
          <w:szCs w:val="32"/>
          <w:lang w:val="zh-CN" w:eastAsia="zh-CN" w:bidi="ar-SA"/>
          <w:highlight w:val="auto"/>
        </w:rPr>
        <w:t>个，涉及预算总金额</w:t>
      </w:r>
      <w:r>
        <w:rPr>
          <w:rFonts w:ascii="Times New Roman" w:eastAsia="仿宋_GB2312" w:cs="仿宋_GB2312" w:hAnsi="Times New Roman" w:hint="eastAsia"/>
          <w:color w:val="auto"/>
          <w:kern w:val="2"/>
          <w:sz w:val="32"/>
          <w:szCs w:val="32"/>
          <w:lang w:val="en-US" w:eastAsia="zh-CN" w:bidi="ar-SA"/>
          <w:highlight w:val="auto"/>
        </w:rPr>
        <w:t>4,483.81</w:t>
      </w:r>
      <w:r>
        <w:rPr>
          <w:rFonts w:ascii="Times New Roman" w:eastAsia="仿宋_GB2312" w:cs="仿宋_GB2312" w:hAnsi="Times New Roman"/>
          <w:color w:val="auto"/>
          <w:kern w:val="2"/>
          <w:sz w:val="32"/>
          <w:szCs w:val="32"/>
          <w:lang w:val="zh-CN" w:eastAsia="zh-CN" w:bidi="ar-SA"/>
          <w:highlight w:val="auto"/>
        </w:rPr>
        <w:t>万元，1</w:t>
      </w:r>
      <w:r>
        <w:rPr>
          <w:rFonts w:ascii="Times New Roman" w:eastAsia="仿宋_GB2312" w:cs="仿宋_GB2312" w:hAnsi="Times New Roman" w:hint="eastAsia"/>
          <w:color w:val="auto"/>
          <w:kern w:val="2"/>
          <w:sz w:val="32"/>
          <w:szCs w:val="32"/>
          <w:lang w:val="zh-CN" w:eastAsia="zh-CN" w:bidi="ar-SA"/>
          <w:highlight w:val="auto"/>
        </w:rPr>
        <w:t>—</w:t>
      </w:r>
      <w:r>
        <w:rPr>
          <w:rFonts w:ascii="Times New Roman" w:eastAsia="仿宋_GB2312" w:cs="仿宋_GB2312" w:hAnsi="Times New Roman"/>
          <w:color w:val="auto"/>
          <w:kern w:val="2"/>
          <w:sz w:val="32"/>
          <w:szCs w:val="32"/>
          <w:lang w:val="zh-CN" w:eastAsia="zh-CN" w:bidi="ar-SA"/>
          <w:highlight w:val="auto"/>
        </w:rPr>
        <w:t>1</w:t>
      </w:r>
      <w:r>
        <w:rPr>
          <w:rFonts w:ascii="Times New Roman" w:eastAsia="仿宋_GB2312" w:cs="仿宋_GB2312" w:hAnsi="Times New Roman"/>
          <w:color w:val="auto"/>
          <w:kern w:val="2"/>
          <w:sz w:val="32"/>
          <w:szCs w:val="32"/>
          <w:lang w:val="en-US" w:eastAsia="zh-CN" w:bidi="ar-SA"/>
          <w:highlight w:val="auto"/>
        </w:rPr>
        <w:t>2</w:t>
      </w:r>
      <w:r>
        <w:rPr>
          <w:rFonts w:ascii="Times New Roman" w:eastAsia="仿宋_GB2312" w:cs="仿宋_GB2312" w:hAnsi="Times New Roman"/>
          <w:color w:val="auto"/>
          <w:kern w:val="2"/>
          <w:sz w:val="32"/>
          <w:szCs w:val="32"/>
          <w:lang w:val="zh-CN" w:eastAsia="zh-CN" w:bidi="ar-SA"/>
          <w:highlight w:val="auto"/>
        </w:rPr>
        <w:t>月预算执行总体进度为</w:t>
      </w:r>
      <w:r>
        <w:rPr>
          <w:rFonts w:ascii="Times New Roman" w:eastAsia="仿宋_GB2312" w:cs="仿宋_GB2312" w:hAnsi="Times New Roman" w:hint="eastAsia"/>
          <w:color w:val="auto"/>
          <w:kern w:val="2"/>
          <w:sz w:val="32"/>
          <w:szCs w:val="32"/>
          <w:lang w:val="en-US" w:eastAsia="zh-CN" w:bidi="ar-SA"/>
          <w:highlight w:val="auto"/>
        </w:rPr>
        <w:t>83.08</w:t>
      </w:r>
      <w:r>
        <w:rPr>
          <w:rFonts w:ascii="Times New Roman" w:eastAsia="仿宋_GB2312" w:cs="仿宋_GB2312" w:hAnsi="Times New Roman"/>
          <w:color w:val="auto"/>
          <w:kern w:val="2"/>
          <w:sz w:val="32"/>
          <w:szCs w:val="32"/>
          <w:lang w:val="zh-CN" w:eastAsia="zh-CN" w:bidi="ar-SA"/>
          <w:highlight w:val="auto"/>
        </w:rPr>
        <w:t>%，其中：预算结余率大于</w:t>
      </w:r>
      <w:r>
        <w:rPr>
          <w:rFonts w:ascii="Times New Roman" w:eastAsia="仿宋_GB2312" w:cs="仿宋_GB2312" w:hAnsi="Times New Roman"/>
          <w:color w:val="auto"/>
          <w:kern w:val="2"/>
          <w:sz w:val="32"/>
          <w:szCs w:val="32"/>
          <w:lang w:val="en-US" w:eastAsia="zh-CN" w:bidi="ar-SA"/>
          <w:highlight w:val="auto"/>
        </w:rPr>
        <w:t>10%</w:t>
      </w:r>
      <w:r>
        <w:rPr>
          <w:rFonts w:ascii="Times New Roman" w:eastAsia="仿宋_GB2312" w:cs="仿宋_GB2312" w:hAnsi="Times New Roman"/>
          <w:color w:val="auto"/>
          <w:kern w:val="2"/>
          <w:sz w:val="32"/>
          <w:szCs w:val="32"/>
          <w:lang w:val="zh-CN" w:eastAsia="zh-CN" w:bidi="ar-SA"/>
          <w:highlight w:val="auto"/>
        </w:rPr>
        <w:t>的项目共计</w:t>
      </w:r>
      <w:r>
        <w:rPr>
          <w:rFonts w:ascii="Times New Roman" w:eastAsia="仿宋_GB2312" w:cs="仿宋_GB2312" w:hAnsi="Times New Roman" w:hint="eastAsia"/>
          <w:color w:val="auto"/>
          <w:kern w:val="2"/>
          <w:sz w:val="32"/>
          <w:szCs w:val="32"/>
          <w:lang w:val="en-US" w:eastAsia="zh-CN" w:bidi="ar-SA"/>
          <w:highlight w:val="auto"/>
        </w:rPr>
        <w:t>3</w:t>
      </w:r>
      <w:r>
        <w:rPr>
          <w:rFonts w:ascii="Times New Roman" w:eastAsia="仿宋_GB2312" w:cs="仿宋_GB2312" w:hAnsi="Times New Roman"/>
          <w:color w:val="auto"/>
          <w:kern w:val="2"/>
          <w:sz w:val="32"/>
          <w:szCs w:val="32"/>
          <w:lang w:val="zh-CN" w:eastAsia="zh-CN" w:bidi="ar-SA"/>
          <w:highlight w:val="auto"/>
        </w:rPr>
        <w:t>个</w:t>
      </w:r>
      <w:r>
        <w:rPr>
          <w:rFonts w:ascii="Times New Roman" w:eastAsia="仿宋_GB2312" w:cs="仿宋_GB2312" w:hAnsi="Times New Roman" w:hint="eastAsia"/>
          <w:color w:val="auto"/>
          <w:kern w:val="2"/>
          <w:sz w:val="32"/>
          <w:szCs w:val="32"/>
          <w:lang w:val="zh-CN" w:eastAsia="zh-CN" w:bidi="ar-SA"/>
          <w:highlight w:val="auto"/>
        </w:rPr>
        <w:t>：51320025T000012597848-交管大数据指挥中心业务技术用房办公家具采购项目、51320025T000012808437-物证鉴定所2025年仪器维护保养费（2025）、51320025T000012810016-特警基地基础设施维修改造项目（2025）。</w:t>
      </w:r>
    </w:p>
    <w:p>
      <w:pPr>
        <w:spacing w:line="600" w:lineRule="exact"/>
        <w:ind w:firstLineChars="200" w:firstLine="640"/>
        <w:jc w:val="both"/>
        <w:rPr>
          <w:rFonts w:ascii="Times New Roman" w:eastAsia="仿宋_GB2312" w:cs="仿宋_GB2312" w:hAnsi="Times New Roman" w:hint="eastAsia"/>
          <w:color w:val="auto"/>
          <w:kern w:val="2"/>
          <w:sz w:val="32"/>
          <w:szCs w:val="32"/>
          <w:lang w:val="zh-CN"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1.</w:t>
      </w:r>
      <w:r>
        <w:rPr>
          <w:rFonts w:ascii="Times New Roman" w:eastAsia="仿宋_GB2312" w:cs="仿宋_GB2312" w:hAnsi="Times New Roman" w:hint="eastAsia"/>
          <w:b/>
          <w:bCs/>
          <w:color w:val="auto"/>
          <w:kern w:val="2"/>
          <w:sz w:val="32"/>
          <w:szCs w:val="32"/>
          <w:lang w:val="zh-CN" w:eastAsia="zh-CN" w:bidi="ar-SA"/>
          <w:highlight w:val="auto"/>
        </w:rPr>
        <w:t>项目决策。</w:t>
      </w:r>
      <w:r>
        <w:rPr>
          <w:rFonts w:ascii="Times New Roman" w:eastAsia="仿宋_GB2312" w:cs="仿宋_GB2312" w:hAnsi="Times New Roman"/>
          <w:color w:val="auto"/>
          <w:kern w:val="2"/>
          <w:sz w:val="32"/>
          <w:szCs w:val="32"/>
          <w:lang w:val="zh-CN" w:eastAsia="zh-CN" w:bidi="ar-SA"/>
          <w:highlight w:val="auto"/>
        </w:rPr>
        <w:t>部门预算项目设立按规定履行评估论证、申报程序</w:t>
      </w:r>
      <w:r>
        <w:rPr>
          <w:rFonts w:ascii="Times New Roman" w:eastAsia="仿宋_GB2312" w:cs="仿宋_GB2312" w:hAnsi="Times New Roman" w:hint="eastAsia"/>
          <w:color w:val="auto"/>
          <w:kern w:val="2"/>
          <w:sz w:val="32"/>
          <w:szCs w:val="32"/>
          <w:lang w:val="zh-CN" w:eastAsia="zh-CN" w:bidi="ar-SA"/>
          <w:highlight w:val="auto"/>
        </w:rPr>
        <w:t>；</w:t>
      </w:r>
      <w:r>
        <w:rPr>
          <w:rFonts w:ascii="Times New Roman" w:eastAsia="仿宋_GB2312" w:cs="仿宋_GB2312" w:hAnsi="Times New Roman"/>
          <w:color w:val="auto"/>
          <w:kern w:val="2"/>
          <w:sz w:val="32"/>
          <w:szCs w:val="32"/>
          <w:lang w:val="zh-CN" w:eastAsia="zh-CN" w:bidi="ar-SA"/>
          <w:highlight w:val="auto"/>
        </w:rPr>
        <w:t>部门预算项目绩效目标与计划期内的任务量、预算安排的资金量匹配，绩效目标设置科学合理、规范完整、量化细化、预算匹配</w:t>
      </w:r>
      <w:r>
        <w:rPr>
          <w:rFonts w:ascii="Times New Roman" w:eastAsia="仿宋_GB2312" w:cs="仿宋_GB2312" w:hAnsi="Times New Roman" w:hint="eastAsia"/>
          <w:color w:val="auto"/>
          <w:kern w:val="2"/>
          <w:sz w:val="32"/>
          <w:szCs w:val="32"/>
          <w:lang w:val="zh-CN" w:eastAsia="zh-CN" w:bidi="ar-SA"/>
          <w:highlight w:val="auto"/>
        </w:rPr>
        <w:t>；</w:t>
      </w:r>
      <w:r>
        <w:rPr>
          <w:rFonts w:ascii="Times New Roman" w:eastAsia="仿宋_GB2312" w:cs="仿宋_GB2312" w:hAnsi="Times New Roman"/>
          <w:color w:val="auto"/>
          <w:kern w:val="2"/>
          <w:sz w:val="32"/>
          <w:szCs w:val="32"/>
          <w:lang w:val="zh-CN" w:eastAsia="zh-CN" w:bidi="ar-SA"/>
          <w:highlight w:val="auto"/>
        </w:rPr>
        <w:t>部门预算项目在规定时间完成项目入库</w:t>
      </w:r>
      <w:r>
        <w:rPr>
          <w:rFonts w:ascii="Times New Roman" w:eastAsia="仿宋_GB2312" w:cs="仿宋_GB2312" w:hAnsi="Times New Roman" w:hint="eastAsia"/>
          <w:color w:val="auto"/>
          <w:kern w:val="2"/>
          <w:sz w:val="32"/>
          <w:szCs w:val="32"/>
          <w:lang w:val="zh-CN" w:eastAsia="zh-CN" w:bidi="ar-SA"/>
          <w:highlight w:val="auto"/>
        </w:rPr>
        <w:t>。</w:t>
      </w:r>
    </w:p>
    <w:p>
      <w:pPr>
        <w:spacing w:line="600" w:lineRule="exact"/>
        <w:ind w:firstLineChars="200" w:firstLine="640"/>
        <w:jc w:val="both"/>
        <w:rPr>
          <w:rFonts w:ascii="Times New Roman" w:eastAsia="仿宋_GB2312" w:cs="仿宋_GB2312" w:hAnsi="Times New Roman" w:hint="eastAsia"/>
          <w:color w:val="auto"/>
          <w:kern w:val="2"/>
          <w:sz w:val="32"/>
          <w:szCs w:val="32"/>
          <w:lang w:val="zh-CN" w:eastAsia="zh-CN" w:bidi="ar-SA"/>
          <w:highlight w:val="auto"/>
        </w:rPr>
      </w:pPr>
      <w:r>
        <w:rPr>
          <w:rFonts w:ascii="Times New Roman" w:eastAsia="仿宋_GB2312" w:cs="仿宋_GB2312" w:hAnsi="Times New Roman" w:hint="eastAsia"/>
          <w:color w:val="auto"/>
          <w:kern w:val="2"/>
          <w:sz w:val="32"/>
          <w:szCs w:val="32"/>
          <w:lang w:val="zh-CN" w:eastAsia="zh-CN" w:bidi="ar-SA"/>
          <w:highlight w:val="auto"/>
        </w:rPr>
        <w:t>（1）常年性项目按照工作需要及以前年度项目设置、实施情况，在年初预算时由各项目责任部门申报、警务保障处汇总，一次性项目由各项目责任部门在年初预算时，根据实际工作需要申报项目、警务保障处汇总。警务保障处汇总后的项目，现由警务保障处负责人、分管财务局领导结合上年个责任部门项目完成情况、绩效目标完成情况等进行初选，对上年项目完成情况、绩效目标完成情况落后的部门适当压减本年项目预算，初筛后的预算项目报局党委会审批。局党委结合州局年初工作计划及重大事项工作规划，对预算项目进行逐一审核，由局党委审核后的预算项目为部门本年上报预算项目。202</w:t>
      </w:r>
      <w:r>
        <w:rPr>
          <w:rFonts w:ascii="Times New Roman" w:eastAsia="仿宋_GB2312" w:cs="仿宋_GB2312" w:hAnsi="Times New Roman" w:hint="eastAsia"/>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zh-CN" w:eastAsia="zh-CN" w:bidi="ar-SA"/>
          <w:highlight w:val="auto"/>
        </w:rPr>
        <w:t>年我部门纳入预算项目</w:t>
      </w:r>
      <w:r>
        <w:rPr>
          <w:rFonts w:ascii="Times New Roman" w:eastAsia="仿宋_GB2312" w:cs="仿宋_GB2312" w:hAnsi="Times New Roman" w:hint="eastAsia"/>
          <w:color w:val="auto"/>
          <w:kern w:val="2"/>
          <w:sz w:val="32"/>
          <w:szCs w:val="32"/>
          <w:lang w:val="en-US" w:eastAsia="zh-CN" w:bidi="ar-SA"/>
          <w:highlight w:val="auto"/>
        </w:rPr>
        <w:t>55</w:t>
      </w:r>
      <w:r>
        <w:rPr>
          <w:rFonts w:ascii="Times New Roman" w:eastAsia="仿宋_GB2312" w:cs="仿宋_GB2312" w:hAnsi="Times New Roman" w:hint="eastAsia"/>
          <w:color w:val="auto"/>
          <w:kern w:val="2"/>
          <w:sz w:val="32"/>
          <w:szCs w:val="32"/>
          <w:lang w:val="zh-CN" w:eastAsia="zh-CN" w:bidi="ar-SA"/>
          <w:highlight w:val="auto"/>
        </w:rPr>
        <w:t>个，其中：常年性项目</w:t>
      </w:r>
      <w:r>
        <w:rPr>
          <w:rFonts w:ascii="Times New Roman" w:eastAsia="仿宋_GB2312" w:cs="仿宋_GB2312" w:hAnsi="Times New Roman" w:hint="eastAsia"/>
          <w:color w:val="auto"/>
          <w:kern w:val="2"/>
          <w:sz w:val="32"/>
          <w:szCs w:val="32"/>
          <w:lang w:val="en-US" w:eastAsia="zh-CN" w:bidi="ar-SA"/>
          <w:highlight w:val="auto"/>
        </w:rPr>
        <w:t>38</w:t>
      </w:r>
      <w:r>
        <w:rPr>
          <w:rFonts w:ascii="Times New Roman" w:eastAsia="仿宋_GB2312" w:cs="仿宋_GB2312" w:hAnsi="Times New Roman" w:hint="eastAsia"/>
          <w:color w:val="auto"/>
          <w:kern w:val="2"/>
          <w:sz w:val="32"/>
          <w:szCs w:val="32"/>
          <w:lang w:val="zh-CN" w:eastAsia="zh-CN" w:bidi="ar-SA"/>
          <w:highlight w:val="auto"/>
        </w:rPr>
        <w:t>个、一次性项目</w:t>
      </w:r>
      <w:r>
        <w:rPr>
          <w:rFonts w:ascii="Times New Roman" w:eastAsia="仿宋_GB2312" w:cs="仿宋_GB2312" w:hAnsi="Times New Roman" w:hint="eastAsia"/>
          <w:color w:val="auto"/>
          <w:kern w:val="2"/>
          <w:sz w:val="32"/>
          <w:szCs w:val="32"/>
          <w:lang w:val="en-US" w:eastAsia="zh-CN" w:bidi="ar-SA"/>
          <w:highlight w:val="auto"/>
        </w:rPr>
        <w:t>17</w:t>
      </w:r>
      <w:r>
        <w:rPr>
          <w:rFonts w:ascii="Times New Roman" w:eastAsia="仿宋_GB2312" w:cs="仿宋_GB2312" w:hAnsi="Times New Roman" w:hint="eastAsia"/>
          <w:color w:val="auto"/>
          <w:kern w:val="2"/>
          <w:sz w:val="32"/>
          <w:szCs w:val="32"/>
          <w:lang w:val="zh-CN" w:eastAsia="zh-CN" w:bidi="ar-SA"/>
          <w:highlight w:val="auto"/>
        </w:rPr>
        <w:t>个。</w:t>
      </w:r>
    </w:p>
    <w:p>
      <w:pPr>
        <w:spacing w:line="600" w:lineRule="exact"/>
        <w:ind w:firstLineChars="200" w:firstLine="640"/>
        <w:jc w:val="both"/>
        <w:rPr>
          <w:rFonts w:ascii="Times New Roman" w:eastAsia="仿宋_GB2312" w:cs="仿宋_GB2312" w:hAnsi="Times New Roman" w:hint="eastAsia"/>
          <w:color w:val="auto"/>
          <w:kern w:val="2"/>
          <w:sz w:val="32"/>
          <w:szCs w:val="32"/>
          <w:lang w:val="zh-CN" w:eastAsia="zh-CN" w:bidi="ar-SA"/>
          <w:highlight w:val="auto"/>
        </w:rPr>
      </w:pPr>
      <w:r>
        <w:rPr>
          <w:rFonts w:ascii="Times New Roman" w:eastAsia="仿宋_GB2312" w:cs="仿宋_GB2312" w:hAnsi="Times New Roman" w:hint="eastAsia"/>
          <w:color w:val="auto"/>
          <w:kern w:val="2"/>
          <w:sz w:val="32"/>
          <w:szCs w:val="32"/>
          <w:lang w:val="zh-CN" w:eastAsia="zh-CN" w:bidi="ar-SA"/>
          <w:highlight w:val="auto"/>
        </w:rPr>
        <w:t>（2）由局党委审定的上报预算项目，由各项目责任部门结合具体工作实际设置绩效目标，绩效目标由财务人员审核后录入“一体化系统”，每个项目设置一级指标4个、二级指标7个、三级指标7个（结合项目具体实际设定），并督促各项目责任部门按照年初制定的绩效目标实施该项目。</w:t>
      </w:r>
    </w:p>
    <w:p>
      <w:pPr>
        <w:spacing w:line="600" w:lineRule="exact"/>
        <w:ind w:firstLineChars="200" w:firstLine="640"/>
        <w:jc w:val="both"/>
        <w:rPr>
          <w:rFonts w:ascii="Times New Roman" w:eastAsia="仿宋_GB2312" w:cs="仿宋_GB2312" w:hAnsi="Times New Roman"/>
          <w:color w:val="auto"/>
          <w:kern w:val="2"/>
          <w:sz w:val="32"/>
          <w:szCs w:val="32"/>
          <w:lang w:val="zh-CN" w:eastAsia="zh-CN" w:bidi="ar-SA"/>
          <w:highlight w:val="auto"/>
        </w:rPr>
      </w:pPr>
      <w:r>
        <w:rPr>
          <w:rFonts w:ascii="Times New Roman" w:eastAsia="仿宋_GB2312" w:cs="仿宋_GB2312" w:hAnsi="Times New Roman" w:hint="eastAsia"/>
          <w:color w:val="auto"/>
          <w:kern w:val="2"/>
          <w:sz w:val="32"/>
          <w:szCs w:val="32"/>
          <w:lang w:val="zh-CN" w:eastAsia="zh-CN" w:bidi="ar-SA"/>
          <w:highlight w:val="auto"/>
        </w:rPr>
        <w:t>（3）待财政批复预算项目后，由各项目责任部门进行项目入库，入库时必须对项目进行事前绩效评估、上传绩效评估报告，200万以上的预算项目要由专业三方进行事前绩效评估。项目入库工作在每年9月30日前录入、实施，超过9月30日未进行项目入库的，不再纳入今年项目实施，对年初预算适当进行调整。</w:t>
      </w:r>
    </w:p>
    <w:p>
      <w:pPr>
        <w:spacing w:line="600" w:lineRule="exact"/>
        <w:ind w:firstLineChars="200" w:firstLine="640"/>
        <w:jc w:val="both"/>
        <w:rPr>
          <w:rFonts w:ascii="Times New Roman" w:eastAsia="仿宋_GB2312" w:cs="仿宋_GB2312" w:hAnsi="Times New Roman" w:hint="eastAsia"/>
          <w:color w:val="auto"/>
          <w:kern w:val="2"/>
          <w:sz w:val="32"/>
          <w:szCs w:val="32"/>
          <w:lang w:val="zh-CN"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2.项目执行</w:t>
      </w:r>
      <w:r>
        <w:rPr>
          <w:rFonts w:ascii="Times New Roman" w:eastAsia="仿宋_GB2312" w:cs="仿宋_GB2312" w:hAnsi="Times New Roman" w:hint="eastAsia"/>
          <w:b/>
          <w:bCs/>
          <w:color w:val="auto"/>
          <w:kern w:val="2"/>
          <w:sz w:val="32"/>
          <w:szCs w:val="32"/>
          <w:lang w:val="zh-CN" w:eastAsia="zh-CN" w:bidi="ar-SA"/>
          <w:highlight w:val="auto"/>
        </w:rPr>
        <w:t>。</w:t>
      </w:r>
      <w:r>
        <w:rPr>
          <w:rFonts w:ascii="Times New Roman" w:eastAsia="仿宋_GB2312" w:cs="仿宋_GB2312" w:hAnsi="Times New Roman" w:hint="eastAsia"/>
          <w:color w:val="auto"/>
          <w:kern w:val="2"/>
          <w:sz w:val="32"/>
          <w:szCs w:val="32"/>
          <w:lang w:val="zh-CN" w:eastAsia="zh-CN" w:bidi="ar-SA"/>
          <w:highlight w:val="auto"/>
        </w:rPr>
        <w:t>部门预算项目实际列支内容与绩效目标设置方向相符；部门预算项目全部采取对应调整措施；常年项目总数</w:t>
      </w:r>
      <w:r>
        <w:rPr>
          <w:rFonts w:ascii="Times New Roman" w:eastAsia="仿宋_GB2312" w:cs="仿宋_GB2312" w:hAnsi="Times New Roman" w:hint="eastAsia"/>
          <w:color w:val="auto"/>
          <w:kern w:val="2"/>
          <w:sz w:val="32"/>
          <w:szCs w:val="32"/>
          <w:lang w:val="en-US" w:eastAsia="zh-CN" w:bidi="ar-SA"/>
          <w:highlight w:val="auto"/>
        </w:rPr>
        <w:t>38</w:t>
      </w:r>
      <w:r>
        <w:rPr>
          <w:rFonts w:ascii="Times New Roman" w:eastAsia="仿宋_GB2312" w:cs="仿宋_GB2312" w:hAnsi="Times New Roman" w:hint="eastAsia"/>
          <w:color w:val="auto"/>
          <w:kern w:val="2"/>
          <w:sz w:val="32"/>
          <w:szCs w:val="32"/>
          <w:lang w:val="zh-CN" w:eastAsia="zh-CN" w:bidi="ar-SA"/>
          <w:highlight w:val="auto"/>
        </w:rPr>
        <w:t>个，涉及预算总金额</w:t>
      </w:r>
      <w:r>
        <w:rPr>
          <w:rFonts w:ascii="Times New Roman" w:eastAsia="仿宋_GB2312" w:cs="仿宋_GB2312" w:hAnsi="Times New Roman" w:hint="eastAsia"/>
          <w:color w:val="auto"/>
          <w:kern w:val="2"/>
          <w:sz w:val="32"/>
          <w:szCs w:val="32"/>
          <w:lang w:val="en-US" w:eastAsia="zh-CN" w:bidi="ar-SA"/>
          <w:highlight w:val="auto"/>
        </w:rPr>
        <w:t>4,827.46</w:t>
      </w:r>
      <w:r>
        <w:rPr>
          <w:rFonts w:ascii="Times New Roman" w:eastAsia="仿宋_GB2312" w:cs="仿宋_GB2312" w:hAnsi="Times New Roman" w:hint="eastAsia"/>
          <w:color w:val="auto"/>
          <w:kern w:val="2"/>
          <w:sz w:val="32"/>
          <w:szCs w:val="32"/>
          <w:lang w:val="zh-CN" w:eastAsia="zh-CN" w:bidi="ar-SA"/>
          <w:highlight w:val="auto"/>
        </w:rPr>
        <w:t>万元，</w:t>
      </w:r>
      <w:r>
        <w:rPr>
          <w:rFonts w:ascii="Times New Roman" w:eastAsia="仿宋_GB2312" w:cs="仿宋_GB2312" w:hAnsi="Times New Roman"/>
          <w:color w:val="auto"/>
          <w:kern w:val="2"/>
          <w:sz w:val="32"/>
          <w:szCs w:val="32"/>
          <w:lang w:val="zh-CN" w:eastAsia="zh-CN" w:bidi="ar-SA"/>
          <w:highlight w:val="auto"/>
        </w:rPr>
        <w:t>1</w:t>
      </w:r>
      <w:r>
        <w:rPr>
          <w:rFonts w:ascii="Times New Roman" w:eastAsia="仿宋_GB2312" w:cs="仿宋_GB2312" w:hAnsi="Times New Roman" w:hint="eastAsia"/>
          <w:color w:val="auto"/>
          <w:kern w:val="2"/>
          <w:sz w:val="32"/>
          <w:szCs w:val="32"/>
          <w:lang w:val="zh-CN" w:eastAsia="zh-CN" w:bidi="ar-SA"/>
          <w:highlight w:val="auto"/>
        </w:rPr>
        <w:t>—</w:t>
      </w:r>
      <w:r>
        <w:rPr>
          <w:rFonts w:ascii="Times New Roman" w:eastAsia="仿宋_GB2312" w:cs="仿宋_GB2312" w:hAnsi="Times New Roman"/>
          <w:color w:val="auto"/>
          <w:kern w:val="2"/>
          <w:sz w:val="32"/>
          <w:szCs w:val="32"/>
          <w:lang w:val="zh-CN" w:eastAsia="zh-CN" w:bidi="ar-SA"/>
          <w:highlight w:val="auto"/>
        </w:rPr>
        <w:t>1</w:t>
      </w:r>
      <w:r>
        <w:rPr>
          <w:rFonts w:ascii="Times New Roman" w:eastAsia="仿宋_GB2312" w:cs="仿宋_GB2312" w:hAnsi="Times New Roman"/>
          <w:color w:val="auto"/>
          <w:kern w:val="2"/>
          <w:sz w:val="32"/>
          <w:szCs w:val="32"/>
          <w:lang w:val="en-US" w:eastAsia="zh-CN" w:bidi="ar-SA"/>
          <w:highlight w:val="auto"/>
        </w:rPr>
        <w:t>2</w:t>
      </w:r>
      <w:r>
        <w:rPr>
          <w:rFonts w:ascii="Times New Roman" w:eastAsia="仿宋_GB2312" w:cs="仿宋_GB2312" w:hAnsi="Times New Roman"/>
          <w:color w:val="auto"/>
          <w:kern w:val="2"/>
          <w:sz w:val="32"/>
          <w:szCs w:val="32"/>
          <w:lang w:val="zh-CN" w:eastAsia="zh-CN" w:bidi="ar-SA"/>
          <w:highlight w:val="auto"/>
        </w:rPr>
        <w:t>月预算执行总体进度为</w:t>
      </w:r>
      <w:r>
        <w:rPr>
          <w:rFonts w:ascii="Times New Roman" w:eastAsia="仿宋_GB2312" w:cs="仿宋_GB2312" w:hAnsi="Times New Roman" w:hint="eastAsia"/>
          <w:color w:val="auto"/>
          <w:kern w:val="2"/>
          <w:sz w:val="32"/>
          <w:szCs w:val="32"/>
          <w:lang w:val="en-US" w:eastAsia="zh-CN" w:bidi="ar-SA"/>
          <w:highlight w:val="auto"/>
        </w:rPr>
        <w:t>60.80</w:t>
      </w:r>
      <w:r>
        <w:rPr>
          <w:rFonts w:ascii="Times New Roman" w:eastAsia="仿宋_GB2312" w:cs="仿宋_GB2312" w:hAnsi="Times New Roman"/>
          <w:color w:val="auto"/>
          <w:kern w:val="2"/>
          <w:sz w:val="32"/>
          <w:szCs w:val="32"/>
          <w:lang w:val="zh-CN" w:eastAsia="zh-CN" w:bidi="ar-SA"/>
          <w:highlight w:val="auto"/>
        </w:rPr>
        <w:t>%，预算结余率大于</w:t>
      </w:r>
      <w:r>
        <w:rPr>
          <w:rFonts w:ascii="Times New Roman" w:eastAsia="仿宋_GB2312" w:cs="仿宋_GB2312" w:hAnsi="Times New Roman"/>
          <w:color w:val="auto"/>
          <w:kern w:val="2"/>
          <w:sz w:val="32"/>
          <w:szCs w:val="32"/>
          <w:lang w:val="en-US" w:eastAsia="zh-CN" w:bidi="ar-SA"/>
          <w:highlight w:val="auto"/>
        </w:rPr>
        <w:t>10%</w:t>
      </w:r>
      <w:r>
        <w:rPr>
          <w:rFonts w:ascii="Times New Roman" w:eastAsia="仿宋_GB2312" w:cs="仿宋_GB2312" w:hAnsi="Times New Roman"/>
          <w:color w:val="auto"/>
          <w:kern w:val="2"/>
          <w:sz w:val="32"/>
          <w:szCs w:val="32"/>
          <w:lang w:val="zh-CN" w:eastAsia="zh-CN" w:bidi="ar-SA"/>
          <w:highlight w:val="auto"/>
        </w:rPr>
        <w:t>的项目</w:t>
      </w:r>
      <w:r>
        <w:rPr>
          <w:rFonts w:ascii="Times New Roman" w:eastAsia="仿宋_GB2312" w:cs="仿宋_GB2312" w:hAnsi="Times New Roman" w:hint="eastAsia"/>
          <w:color w:val="auto"/>
          <w:kern w:val="2"/>
          <w:sz w:val="32"/>
          <w:szCs w:val="32"/>
          <w:lang w:val="en-US" w:eastAsia="zh-CN" w:bidi="ar-SA"/>
          <w:highlight w:val="auto"/>
        </w:rPr>
        <w:t>共计19个；</w:t>
      </w:r>
      <w:r>
        <w:rPr>
          <w:rFonts w:ascii="Times New Roman" w:eastAsia="仿宋_GB2312" w:cs="仿宋_GB2312" w:hAnsi="Times New Roman" w:hint="eastAsia"/>
          <w:color w:val="auto"/>
          <w:kern w:val="2"/>
          <w:sz w:val="32"/>
          <w:szCs w:val="32"/>
          <w:lang w:val="zh-CN" w:eastAsia="zh-CN" w:bidi="ar-SA"/>
          <w:highlight w:val="auto"/>
        </w:rPr>
        <w:t>阶段（含一次性）项目总数1</w:t>
      </w:r>
      <w:r>
        <w:rPr>
          <w:rFonts w:ascii="Times New Roman" w:eastAsia="仿宋_GB2312" w:cs="仿宋_GB2312" w:hAnsi="Times New Roman" w:hint="eastAsia"/>
          <w:color w:val="auto"/>
          <w:kern w:val="2"/>
          <w:sz w:val="32"/>
          <w:szCs w:val="32"/>
          <w:lang w:val="en-US" w:eastAsia="zh-CN" w:bidi="ar-SA"/>
          <w:highlight w:val="auto"/>
        </w:rPr>
        <w:t>7</w:t>
      </w:r>
      <w:r>
        <w:rPr>
          <w:rFonts w:ascii="Times New Roman" w:eastAsia="仿宋_GB2312" w:cs="仿宋_GB2312" w:hAnsi="Times New Roman" w:hint="eastAsia"/>
          <w:color w:val="auto"/>
          <w:kern w:val="2"/>
          <w:sz w:val="32"/>
          <w:szCs w:val="32"/>
          <w:lang w:val="zh-CN" w:eastAsia="zh-CN" w:bidi="ar-SA"/>
          <w:highlight w:val="auto"/>
        </w:rPr>
        <w:t>个，</w:t>
      </w:r>
      <w:r>
        <w:rPr>
          <w:rFonts w:ascii="Times New Roman" w:eastAsia="仿宋_GB2312" w:cs="仿宋_GB2312" w:hAnsi="Times New Roman"/>
          <w:color w:val="auto"/>
          <w:kern w:val="2"/>
          <w:sz w:val="32"/>
          <w:szCs w:val="32"/>
          <w:lang w:val="zh-CN" w:eastAsia="zh-CN" w:bidi="ar-SA"/>
          <w:highlight w:val="auto"/>
        </w:rPr>
        <w:t>涉及预算总金额</w:t>
      </w:r>
      <w:r>
        <w:rPr>
          <w:rFonts w:ascii="Times New Roman" w:eastAsia="仿宋_GB2312" w:cs="仿宋_GB2312" w:hAnsi="Times New Roman" w:hint="eastAsia"/>
          <w:color w:val="auto"/>
          <w:kern w:val="2"/>
          <w:sz w:val="32"/>
          <w:szCs w:val="32"/>
          <w:lang w:val="en-US" w:eastAsia="zh-CN" w:bidi="ar-SA"/>
          <w:highlight w:val="auto"/>
        </w:rPr>
        <w:t>4,483.81</w:t>
      </w:r>
      <w:r>
        <w:rPr>
          <w:rFonts w:ascii="Times New Roman" w:eastAsia="仿宋_GB2312" w:cs="仿宋_GB2312" w:hAnsi="Times New Roman"/>
          <w:color w:val="auto"/>
          <w:kern w:val="2"/>
          <w:sz w:val="32"/>
          <w:szCs w:val="32"/>
          <w:lang w:val="zh-CN" w:eastAsia="zh-CN" w:bidi="ar-SA"/>
          <w:highlight w:val="auto"/>
        </w:rPr>
        <w:t>万元，1</w:t>
      </w:r>
      <w:r>
        <w:rPr>
          <w:rFonts w:ascii="Times New Roman" w:eastAsia="仿宋_GB2312" w:cs="仿宋_GB2312" w:hAnsi="Times New Roman" w:hint="eastAsia"/>
          <w:color w:val="auto"/>
          <w:kern w:val="2"/>
          <w:sz w:val="32"/>
          <w:szCs w:val="32"/>
          <w:lang w:val="zh-CN" w:eastAsia="zh-CN" w:bidi="ar-SA"/>
          <w:highlight w:val="auto"/>
        </w:rPr>
        <w:t>—</w:t>
      </w:r>
      <w:r>
        <w:rPr>
          <w:rFonts w:ascii="Times New Roman" w:eastAsia="仿宋_GB2312" w:cs="仿宋_GB2312" w:hAnsi="Times New Roman"/>
          <w:color w:val="auto"/>
          <w:kern w:val="2"/>
          <w:sz w:val="32"/>
          <w:szCs w:val="32"/>
          <w:lang w:val="zh-CN" w:eastAsia="zh-CN" w:bidi="ar-SA"/>
          <w:highlight w:val="auto"/>
        </w:rPr>
        <w:t>1</w:t>
      </w:r>
      <w:r>
        <w:rPr>
          <w:rFonts w:ascii="Times New Roman" w:eastAsia="仿宋_GB2312" w:cs="仿宋_GB2312" w:hAnsi="Times New Roman"/>
          <w:color w:val="auto"/>
          <w:kern w:val="2"/>
          <w:sz w:val="32"/>
          <w:szCs w:val="32"/>
          <w:lang w:val="en-US" w:eastAsia="zh-CN" w:bidi="ar-SA"/>
          <w:highlight w:val="auto"/>
        </w:rPr>
        <w:t>2</w:t>
      </w:r>
      <w:r>
        <w:rPr>
          <w:rFonts w:ascii="Times New Roman" w:eastAsia="仿宋_GB2312" w:cs="仿宋_GB2312" w:hAnsi="Times New Roman"/>
          <w:color w:val="auto"/>
          <w:kern w:val="2"/>
          <w:sz w:val="32"/>
          <w:szCs w:val="32"/>
          <w:lang w:val="zh-CN" w:eastAsia="zh-CN" w:bidi="ar-SA"/>
          <w:highlight w:val="auto"/>
        </w:rPr>
        <w:t>月预算执行总体进度为</w:t>
      </w:r>
      <w:r>
        <w:rPr>
          <w:rFonts w:ascii="Times New Roman" w:eastAsia="仿宋_GB2312" w:cs="仿宋_GB2312" w:hAnsi="Times New Roman" w:hint="eastAsia"/>
          <w:color w:val="auto"/>
          <w:kern w:val="2"/>
          <w:sz w:val="32"/>
          <w:szCs w:val="32"/>
          <w:lang w:val="en-US" w:eastAsia="zh-CN" w:bidi="ar-SA"/>
          <w:highlight w:val="auto"/>
        </w:rPr>
        <w:t>83.08</w:t>
      </w:r>
      <w:r>
        <w:rPr>
          <w:rFonts w:ascii="Times New Roman" w:eastAsia="仿宋_GB2312" w:cs="仿宋_GB2312" w:hAnsi="Times New Roman"/>
          <w:color w:val="auto"/>
          <w:kern w:val="2"/>
          <w:sz w:val="32"/>
          <w:szCs w:val="32"/>
          <w:lang w:val="zh-CN" w:eastAsia="zh-CN" w:bidi="ar-SA"/>
          <w:highlight w:val="auto"/>
        </w:rPr>
        <w:t>%，其中：预算结余率大于</w:t>
      </w:r>
      <w:r>
        <w:rPr>
          <w:rFonts w:ascii="Times New Roman" w:eastAsia="仿宋_GB2312" w:cs="仿宋_GB2312" w:hAnsi="Times New Roman"/>
          <w:color w:val="auto"/>
          <w:kern w:val="2"/>
          <w:sz w:val="32"/>
          <w:szCs w:val="32"/>
          <w:lang w:val="en-US" w:eastAsia="zh-CN" w:bidi="ar-SA"/>
          <w:highlight w:val="auto"/>
        </w:rPr>
        <w:t>10%</w:t>
      </w:r>
      <w:r>
        <w:rPr>
          <w:rFonts w:ascii="Times New Roman" w:eastAsia="仿宋_GB2312" w:cs="仿宋_GB2312" w:hAnsi="Times New Roman"/>
          <w:color w:val="auto"/>
          <w:kern w:val="2"/>
          <w:sz w:val="32"/>
          <w:szCs w:val="32"/>
          <w:lang w:val="zh-CN" w:eastAsia="zh-CN" w:bidi="ar-SA"/>
          <w:highlight w:val="auto"/>
        </w:rPr>
        <w:t>的项目共计</w:t>
      </w:r>
      <w:r>
        <w:rPr>
          <w:rFonts w:ascii="Times New Roman" w:eastAsia="仿宋_GB2312" w:cs="仿宋_GB2312" w:hAnsi="Times New Roman" w:hint="eastAsia"/>
          <w:color w:val="auto"/>
          <w:kern w:val="2"/>
          <w:sz w:val="32"/>
          <w:szCs w:val="32"/>
          <w:lang w:val="en-US" w:eastAsia="zh-CN" w:bidi="ar-SA"/>
          <w:highlight w:val="auto"/>
        </w:rPr>
        <w:t>3</w:t>
      </w:r>
      <w:r>
        <w:rPr>
          <w:rFonts w:ascii="Times New Roman" w:eastAsia="仿宋_GB2312" w:cs="仿宋_GB2312" w:hAnsi="Times New Roman"/>
          <w:color w:val="auto"/>
          <w:kern w:val="2"/>
          <w:sz w:val="32"/>
          <w:szCs w:val="32"/>
          <w:lang w:val="zh-CN" w:eastAsia="zh-CN" w:bidi="ar-SA"/>
          <w:highlight w:val="auto"/>
        </w:rPr>
        <w:t>个</w:t>
      </w:r>
      <w:r>
        <w:rPr>
          <w:rFonts w:ascii="Times New Roman" w:eastAsia="仿宋_GB2312" w:cs="仿宋_GB2312" w:hAnsi="Times New Roman" w:hint="eastAsia"/>
          <w:color w:val="auto"/>
          <w:kern w:val="2"/>
          <w:sz w:val="32"/>
          <w:szCs w:val="32"/>
          <w:lang w:val="zh-CN" w:eastAsia="zh-CN" w:bidi="ar-SA"/>
          <w:highlight w:val="auto"/>
        </w:rPr>
        <w:t>。</w:t>
      </w:r>
    </w:p>
    <w:p>
      <w:pPr>
        <w:spacing w:line="600" w:lineRule="exact"/>
        <w:ind w:firstLineChars="200" w:firstLine="640"/>
        <w:jc w:val="both"/>
        <w:rPr>
          <w:rFonts w:ascii="Times New Roman" w:eastAsia="仿宋_GB2312" w:cs="仿宋_GB2312" w:hAnsi="Times New Roman" w:hint="eastAsia"/>
          <w:color w:val="auto"/>
          <w:kern w:val="2"/>
          <w:sz w:val="32"/>
          <w:szCs w:val="32"/>
          <w:lang w:val="zh-CN"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3.</w:t>
      </w:r>
      <w:r>
        <w:rPr>
          <w:rFonts w:ascii="Times New Roman" w:eastAsia="仿宋_GB2312" w:cs="仿宋_GB2312" w:hAnsi="Times New Roman" w:hint="eastAsia"/>
          <w:b/>
          <w:bCs/>
          <w:color w:val="auto"/>
          <w:kern w:val="2"/>
          <w:sz w:val="32"/>
          <w:szCs w:val="32"/>
          <w:lang w:val="zh-CN" w:eastAsia="zh-CN" w:bidi="ar-SA"/>
          <w:highlight w:val="auto"/>
        </w:rPr>
        <w:t>目标实现。</w:t>
      </w:r>
      <w:r>
        <w:rPr>
          <w:rFonts w:ascii="Times New Roman" w:eastAsia="仿宋_GB2312" w:cs="仿宋_GB2312" w:hAnsi="Times New Roman" w:hint="eastAsia"/>
          <w:color w:val="auto"/>
          <w:kern w:val="2"/>
          <w:sz w:val="32"/>
          <w:szCs w:val="32"/>
          <w:lang w:val="zh-CN" w:eastAsia="zh-CN" w:bidi="ar-SA"/>
          <w:highlight w:val="auto"/>
        </w:rPr>
        <w:t>（1）202</w:t>
      </w:r>
      <w:r>
        <w:rPr>
          <w:rFonts w:ascii="Times New Roman" w:eastAsia="仿宋_GB2312" w:cs="仿宋_GB2312" w:hAnsi="Times New Roman" w:hint="eastAsia"/>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zh-CN" w:eastAsia="zh-CN" w:bidi="ar-SA"/>
          <w:highlight w:val="auto"/>
        </w:rPr>
        <w:t>年</w:t>
      </w:r>
      <w:r>
        <w:rPr>
          <w:rFonts w:ascii="Times New Roman" w:eastAsia="仿宋_GB2312" w:cs="仿宋_GB2312" w:hAnsi="Times New Roman" w:hint="eastAsia"/>
          <w:color w:val="auto"/>
          <w:kern w:val="2"/>
          <w:sz w:val="32"/>
          <w:szCs w:val="32"/>
          <w:lang w:val="en-US" w:eastAsia="zh-CN" w:bidi="ar-SA"/>
          <w:highlight w:val="auto"/>
        </w:rPr>
        <w:t>55</w:t>
      </w:r>
      <w:r>
        <w:rPr>
          <w:rFonts w:ascii="Times New Roman" w:eastAsia="仿宋_GB2312" w:cs="仿宋_GB2312" w:hAnsi="Times New Roman" w:hint="eastAsia"/>
          <w:color w:val="auto"/>
          <w:kern w:val="2"/>
          <w:sz w:val="32"/>
          <w:szCs w:val="32"/>
          <w:lang w:val="zh-CN" w:eastAsia="zh-CN" w:bidi="ar-SA"/>
          <w:highlight w:val="auto"/>
        </w:rPr>
        <w:t>个部门预算项目完成年初目标的有5</w:t>
      </w:r>
      <w:r>
        <w:rPr>
          <w:rFonts w:ascii="Times New Roman" w:eastAsia="仿宋_GB2312" w:cs="仿宋_GB2312" w:hAnsi="Times New Roman" w:hint="eastAsia"/>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zh-CN" w:eastAsia="zh-CN" w:bidi="ar-SA"/>
          <w:highlight w:val="auto"/>
        </w:rPr>
        <w:t>个，均按照年初目标设定的目标执行。</w:t>
      </w:r>
    </w:p>
    <w:p>
      <w:pPr>
        <w:spacing w:line="600" w:lineRule="exact"/>
        <w:ind w:firstLineChars="200" w:firstLine="640"/>
        <w:jc w:val="both"/>
        <w:rPr>
          <w:rFonts w:ascii="Times New Roman" w:eastAsia="仿宋_GB2312" w:cs="仿宋_GB2312" w:hAnsi="Times New Roman" w:hint="eastAsia"/>
          <w:color w:val="auto"/>
          <w:kern w:val="2"/>
          <w:sz w:val="32"/>
          <w:szCs w:val="32"/>
          <w:lang w:val="zh-CN" w:eastAsia="zh-CN" w:bidi="ar-SA"/>
          <w:highlight w:val="auto"/>
        </w:rPr>
      </w:pPr>
      <w:r>
        <w:rPr>
          <w:rFonts w:ascii="Times New Roman" w:eastAsia="仿宋_GB2312" w:cs="仿宋_GB2312" w:hAnsi="Times New Roman" w:hint="eastAsia"/>
          <w:color w:val="auto"/>
          <w:kern w:val="2"/>
          <w:sz w:val="32"/>
          <w:szCs w:val="32"/>
          <w:lang w:val="zh-CN" w:eastAsia="zh-CN" w:bidi="ar-SA"/>
          <w:highlight w:val="auto"/>
        </w:rPr>
        <w:t>（2）202</w:t>
      </w:r>
      <w:r>
        <w:rPr>
          <w:rFonts w:ascii="Times New Roman" w:eastAsia="仿宋_GB2312" w:cs="仿宋_GB2312" w:hAnsi="Times New Roman" w:hint="eastAsia"/>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zh-CN" w:eastAsia="zh-CN" w:bidi="ar-SA"/>
          <w:highlight w:val="auto"/>
        </w:rPr>
        <w:t>年</w:t>
      </w:r>
      <w:r>
        <w:rPr>
          <w:rFonts w:ascii="Times New Roman" w:eastAsia="仿宋_GB2312" w:cs="仿宋_GB2312" w:hAnsi="Times New Roman" w:hint="eastAsia"/>
          <w:color w:val="auto"/>
          <w:kern w:val="2"/>
          <w:sz w:val="32"/>
          <w:szCs w:val="32"/>
          <w:lang w:val="en-US" w:eastAsia="zh-CN" w:bidi="ar-SA"/>
          <w:highlight w:val="auto"/>
        </w:rPr>
        <w:t>55</w:t>
      </w:r>
      <w:r>
        <w:rPr>
          <w:rFonts w:ascii="Times New Roman" w:eastAsia="仿宋_GB2312" w:cs="仿宋_GB2312" w:hAnsi="Times New Roman" w:hint="eastAsia"/>
          <w:color w:val="auto"/>
          <w:kern w:val="2"/>
          <w:sz w:val="32"/>
          <w:szCs w:val="32"/>
          <w:lang w:val="zh-CN" w:eastAsia="zh-CN" w:bidi="ar-SA"/>
          <w:highlight w:val="auto"/>
        </w:rPr>
        <w:t>个部门预算项目中</w:t>
      </w:r>
      <w:r>
        <w:rPr>
          <w:rFonts w:ascii="Times New Roman" w:eastAsia="仿宋_GB2312" w:cs="仿宋_GB2312" w:hAnsi="Times New Roman" w:hint="eastAsia"/>
          <w:color w:val="auto"/>
          <w:kern w:val="2"/>
          <w:sz w:val="32"/>
          <w:szCs w:val="32"/>
          <w:lang w:val="en-US" w:eastAsia="zh-CN" w:bidi="ar-SA"/>
          <w:highlight w:val="auto"/>
        </w:rPr>
        <w:t>无</w:t>
      </w:r>
      <w:r>
        <w:rPr>
          <w:rFonts w:ascii="Times New Roman" w:eastAsia="仿宋_GB2312" w:cs="仿宋_GB2312" w:hAnsi="Times New Roman" w:hint="eastAsia"/>
          <w:color w:val="auto"/>
          <w:kern w:val="2"/>
          <w:sz w:val="32"/>
          <w:szCs w:val="32"/>
          <w:lang w:val="zh-CN" w:eastAsia="zh-CN" w:bidi="ar-SA"/>
          <w:highlight w:val="auto"/>
        </w:rPr>
        <w:t>项目存在预算编制不准确、预算执行不符合实际等问题，导致执目标偏离。</w:t>
      </w:r>
    </w:p>
    <w:p>
      <w:pPr>
        <w:spacing w:line="600" w:lineRule="exact"/>
        <w:ind w:firstLineChars="200" w:firstLine="640"/>
        <w:jc w:val="both"/>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zh-CN"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3</w:t>
      </w:r>
      <w:r>
        <w:rPr>
          <w:rFonts w:ascii="Times New Roman" w:eastAsia="仿宋_GB2312" w:cs="仿宋_GB2312" w:hAnsi="Times New Roman" w:hint="eastAsia"/>
          <w:color w:val="auto"/>
          <w:kern w:val="2"/>
          <w:sz w:val="32"/>
          <w:szCs w:val="32"/>
          <w:lang w:val="zh-CN" w:eastAsia="zh-CN" w:bidi="ar-SA"/>
          <w:highlight w:val="auto"/>
        </w:rPr>
        <w:t>）整体目标完成情况。</w:t>
      </w:r>
      <w:r>
        <w:rPr>
          <w:rFonts w:ascii="Times New Roman" w:eastAsia="仿宋_GB2312" w:cs="仿宋_GB2312" w:hAnsi="Times New Roman" w:hint="eastAsia"/>
          <w:color w:val="auto"/>
          <w:kern w:val="2"/>
          <w:sz w:val="32"/>
          <w:szCs w:val="32"/>
          <w:lang w:val="en-US" w:eastAsia="zh-CN" w:bidi="ar-SA"/>
          <w:highlight w:val="auto"/>
        </w:rPr>
        <w:t>聚力抓好“九件大事”，</w:t>
      </w:r>
      <w:r>
        <w:rPr>
          <w:rFonts w:ascii="Times New Roman" w:eastAsia="仿宋_GB2312" w:cs="仿宋_GB2312" w:hAnsi="Times New Roman" w:hint="eastAsia"/>
          <w:b/>
          <w:bCs/>
          <w:color w:val="auto"/>
          <w:kern w:val="2"/>
          <w:sz w:val="32"/>
          <w:szCs w:val="32"/>
          <w:lang w:val="en-US" w:eastAsia="zh-CN" w:bidi="ar-SA"/>
          <w:highlight w:val="auto"/>
        </w:rPr>
        <w:t>一是</w:t>
      </w:r>
      <w:r>
        <w:rPr>
          <w:rFonts w:ascii="Times New Roman" w:eastAsia="仿宋_GB2312" w:cs="仿宋_GB2312" w:hAnsi="Times New Roman" w:hint="eastAsia"/>
          <w:color w:val="auto"/>
          <w:kern w:val="2"/>
          <w:sz w:val="32"/>
          <w:szCs w:val="32"/>
          <w:lang w:val="en-US" w:eastAsia="zh-CN" w:bidi="ar-SA"/>
          <w:highlight w:val="auto"/>
        </w:rPr>
        <w:t>破冰决胜寺庙深化整治；</w:t>
      </w:r>
      <w:r>
        <w:rPr>
          <w:rFonts w:ascii="Times New Roman" w:eastAsia="仿宋_GB2312" w:cs="仿宋_GB2312" w:hAnsi="Times New Roman" w:hint="eastAsia"/>
          <w:b/>
          <w:bCs/>
          <w:color w:val="auto"/>
          <w:kern w:val="2"/>
          <w:sz w:val="32"/>
          <w:szCs w:val="32"/>
          <w:lang w:val="en-US" w:eastAsia="zh-CN" w:bidi="ar-SA"/>
          <w:highlight w:val="auto"/>
        </w:rPr>
        <w:t>二是</w:t>
      </w:r>
      <w:r>
        <w:rPr>
          <w:rFonts w:ascii="Times New Roman" w:eastAsia="仿宋_GB2312" w:cs="仿宋_GB2312" w:hAnsi="Times New Roman" w:hint="eastAsia"/>
          <w:color w:val="auto"/>
          <w:kern w:val="2"/>
          <w:sz w:val="32"/>
          <w:szCs w:val="32"/>
          <w:lang w:val="en-US" w:eastAsia="zh-CN" w:bidi="ar-SA"/>
          <w:highlight w:val="auto"/>
        </w:rPr>
        <w:t>稳妥化处XXX债务纠纷；</w:t>
      </w:r>
      <w:r>
        <w:rPr>
          <w:rFonts w:ascii="Times New Roman" w:eastAsia="仿宋_GB2312" w:cs="仿宋_GB2312" w:hAnsi="Times New Roman" w:hint="eastAsia"/>
          <w:b/>
          <w:bCs/>
          <w:color w:val="auto"/>
          <w:kern w:val="2"/>
          <w:sz w:val="32"/>
          <w:szCs w:val="32"/>
          <w:lang w:val="en-US" w:eastAsia="zh-CN" w:bidi="ar-SA"/>
          <w:highlight w:val="auto"/>
        </w:rPr>
        <w:t>三是</w:t>
      </w:r>
      <w:r>
        <w:rPr>
          <w:rFonts w:ascii="Times New Roman" w:eastAsia="仿宋_GB2312" w:cs="仿宋_GB2312" w:hAnsi="Times New Roman" w:hint="eastAsia"/>
          <w:color w:val="auto"/>
          <w:kern w:val="2"/>
          <w:sz w:val="32"/>
          <w:szCs w:val="32"/>
          <w:lang w:val="en-US" w:eastAsia="zh-CN" w:bidi="ar-SA"/>
          <w:highlight w:val="auto"/>
        </w:rPr>
        <w:t>纵深推进“XX.XX”专项行动；</w:t>
      </w:r>
      <w:r>
        <w:rPr>
          <w:rFonts w:ascii="Times New Roman" w:eastAsia="仿宋_GB2312" w:cs="仿宋_GB2312" w:hAnsi="Times New Roman" w:hint="eastAsia"/>
          <w:b/>
          <w:bCs/>
          <w:color w:val="auto"/>
          <w:kern w:val="2"/>
          <w:sz w:val="32"/>
          <w:szCs w:val="32"/>
          <w:lang w:val="en-US" w:eastAsia="zh-CN" w:bidi="ar-SA"/>
          <w:highlight w:val="auto"/>
        </w:rPr>
        <w:t>四是</w:t>
      </w:r>
      <w:r>
        <w:rPr>
          <w:rFonts w:ascii="Times New Roman" w:eastAsia="仿宋_GB2312" w:cs="仿宋_GB2312" w:hAnsi="Times New Roman" w:hint="eastAsia"/>
          <w:color w:val="auto"/>
          <w:kern w:val="2"/>
          <w:sz w:val="32"/>
          <w:szCs w:val="32"/>
          <w:lang w:val="en-US" w:eastAsia="zh-CN" w:bidi="ar-SA"/>
          <w:highlight w:val="auto"/>
        </w:rPr>
        <w:t>聚力落实省委“六条措施”；</w:t>
      </w:r>
      <w:r>
        <w:rPr>
          <w:rFonts w:ascii="Times New Roman" w:eastAsia="仿宋_GB2312" w:cs="仿宋_GB2312" w:hAnsi="Times New Roman" w:hint="eastAsia"/>
          <w:b/>
          <w:bCs/>
          <w:color w:val="auto"/>
          <w:kern w:val="2"/>
          <w:sz w:val="32"/>
          <w:szCs w:val="32"/>
          <w:lang w:val="en-US" w:eastAsia="zh-CN" w:bidi="ar-SA"/>
          <w:highlight w:val="auto"/>
        </w:rPr>
        <w:t>五是</w:t>
      </w:r>
      <w:r>
        <w:rPr>
          <w:rFonts w:ascii="Times New Roman" w:eastAsia="仿宋_GB2312" w:cs="仿宋_GB2312" w:hAnsi="Times New Roman" w:hint="eastAsia"/>
          <w:color w:val="auto"/>
          <w:kern w:val="2"/>
          <w:sz w:val="32"/>
          <w:szCs w:val="32"/>
          <w:lang w:val="en-US" w:eastAsia="zh-CN" w:bidi="ar-SA"/>
          <w:highlight w:val="auto"/>
        </w:rPr>
        <w:t>全力拱卫成都世运安保；</w:t>
      </w:r>
      <w:r>
        <w:rPr>
          <w:rFonts w:ascii="Times New Roman" w:eastAsia="仿宋_GB2312" w:cs="仿宋_GB2312" w:hAnsi="Times New Roman" w:hint="eastAsia"/>
          <w:b/>
          <w:bCs/>
          <w:color w:val="auto"/>
          <w:kern w:val="2"/>
          <w:sz w:val="32"/>
          <w:szCs w:val="32"/>
          <w:lang w:val="en-US" w:eastAsia="zh-CN" w:bidi="ar-SA"/>
          <w:highlight w:val="auto"/>
        </w:rPr>
        <w:t>六是</w:t>
      </w:r>
      <w:r>
        <w:rPr>
          <w:rFonts w:ascii="Times New Roman" w:eastAsia="仿宋_GB2312" w:cs="仿宋_GB2312" w:hAnsi="Times New Roman" w:hint="eastAsia"/>
          <w:color w:val="auto"/>
          <w:kern w:val="2"/>
          <w:sz w:val="32"/>
          <w:szCs w:val="32"/>
          <w:lang w:val="en-US" w:eastAsia="zh-CN" w:bidi="ar-SA"/>
          <w:highlight w:val="auto"/>
        </w:rPr>
        <w:t>深化实施“微网实格”社会治理；</w:t>
      </w:r>
      <w:r>
        <w:rPr>
          <w:rFonts w:ascii="Times New Roman" w:eastAsia="仿宋_GB2312" w:cs="仿宋_GB2312" w:hAnsi="Times New Roman" w:hint="eastAsia"/>
          <w:b/>
          <w:bCs/>
          <w:color w:val="auto"/>
          <w:kern w:val="2"/>
          <w:sz w:val="32"/>
          <w:szCs w:val="32"/>
          <w:lang w:val="en-US" w:eastAsia="zh-CN" w:bidi="ar-SA"/>
          <w:highlight w:val="auto"/>
        </w:rPr>
        <w:t>七是</w:t>
      </w:r>
      <w:r>
        <w:rPr>
          <w:rFonts w:ascii="Times New Roman" w:eastAsia="仿宋_GB2312" w:cs="仿宋_GB2312" w:hAnsi="Times New Roman" w:hint="eastAsia"/>
          <w:color w:val="auto"/>
          <w:kern w:val="2"/>
          <w:sz w:val="32"/>
          <w:szCs w:val="32"/>
          <w:lang w:val="en-US" w:eastAsia="zh-CN" w:bidi="ar-SA"/>
          <w:highlight w:val="auto"/>
        </w:rPr>
        <w:t>率先完成命案积案攻坚目标；</w:t>
      </w:r>
      <w:r>
        <w:rPr>
          <w:rFonts w:ascii="Times New Roman" w:eastAsia="仿宋_GB2312" w:cs="仿宋_GB2312" w:hAnsi="Times New Roman" w:hint="eastAsia"/>
          <w:b/>
          <w:bCs/>
          <w:color w:val="auto"/>
          <w:kern w:val="2"/>
          <w:sz w:val="32"/>
          <w:szCs w:val="32"/>
          <w:lang w:val="en-US" w:eastAsia="zh-CN" w:bidi="ar-SA"/>
          <w:highlight w:val="auto"/>
        </w:rPr>
        <w:t>八是</w:t>
      </w:r>
      <w:r>
        <w:rPr>
          <w:rFonts w:ascii="Times New Roman" w:eastAsia="仿宋_GB2312" w:cs="仿宋_GB2312" w:hAnsi="Times New Roman" w:hint="eastAsia"/>
          <w:color w:val="auto"/>
          <w:kern w:val="2"/>
          <w:sz w:val="32"/>
          <w:szCs w:val="32"/>
          <w:lang w:val="en-US" w:eastAsia="zh-CN" w:bidi="ar-SA"/>
          <w:highlight w:val="auto"/>
        </w:rPr>
        <w:t>创新打造“文旅警务”范式；</w:t>
      </w:r>
      <w:r>
        <w:rPr>
          <w:rFonts w:ascii="Times New Roman" w:eastAsia="仿宋_GB2312" w:cs="仿宋_GB2312" w:hAnsi="Times New Roman" w:hint="eastAsia"/>
          <w:b/>
          <w:bCs/>
          <w:color w:val="auto"/>
          <w:kern w:val="2"/>
          <w:sz w:val="32"/>
          <w:szCs w:val="32"/>
          <w:lang w:val="en-US" w:eastAsia="zh-CN" w:bidi="ar-SA"/>
          <w:highlight w:val="auto"/>
        </w:rPr>
        <w:t>九是</w:t>
      </w:r>
      <w:r>
        <w:rPr>
          <w:rFonts w:ascii="Times New Roman" w:eastAsia="仿宋_GB2312" w:cs="仿宋_GB2312" w:hAnsi="Times New Roman" w:hint="eastAsia"/>
          <w:color w:val="auto"/>
          <w:kern w:val="2"/>
          <w:sz w:val="32"/>
          <w:szCs w:val="32"/>
          <w:lang w:val="en-US" w:eastAsia="zh-CN" w:bidi="ar-SA"/>
          <w:highlight w:val="auto"/>
        </w:rPr>
        <w:t>大力锻造阿坝高原铁军。</w:t>
      </w:r>
    </w:p>
    <w:p>
      <w:pPr>
        <w:spacing w:line="600" w:lineRule="exact"/>
        <w:ind w:firstLineChars="200" w:firstLine="640"/>
        <w:jc w:val="both"/>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（4）重点领域绩效分析。</w:t>
      </w:r>
    </w:p>
    <w:p>
      <w:pPr>
        <w:keepNext w:val="0"/>
        <w:keepLines w:val="0"/>
        <w:pageBreakBefore w:val="0"/>
        <w:widowControl w:val="0"/>
        <w:kinsoku/>
        <w:wordWrap w:val="0"/>
        <w:overflowPunct/>
        <w:topLinePunct w:val="0"/>
        <w:autoSpaceDE/>
        <w:autoSpaceDN/>
        <w:bidi w:val="0"/>
        <w:adjustRightInd/>
        <w:snapToGrid/>
        <w:spacing w:line="600" w:lineRule="exact"/>
        <w:ind w:firstLineChars="200" w:firstLine="640"/>
        <w:jc w:val="both"/>
        <w:textAlignment w:val="auto"/>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1.2025年55个部门预算项目中有政府采购项目28个，包含：51320021T000000061166-机动车号牌及材料费、51320022T000000346817-微户政系统运营服务外包项目、51320023T000007991736-移动警务通服务项目、51320024T000010527535-阿坝州公安局提升改造项目、51320024T000010548737-道路交通综合智能监控系统运维费、51320025T000012174554-新一代公安信息网网络租赁项目、51320025T000012227133-公安交通管理综合应用平台社会化服务系统、51320025T000012521243-警犬犬粮及药品采购项目（2025））、51320025T000012525040-特警训练被装采购（2025）、51320025T000012565738-物证鉴定所检验耗材采购（2025）、51320025T000012566466-车辆大修（2025）、51320025T000012566980-购买社会服务（2025）、51320025T000012597837-测速卡口补点建设项目、51320025T000012597843-交管大数据指挥中心业务技术用房窗帘设计安装采购项目、51320025T000012597848-交管大数据指挥中心业务技术用房办公家具采购项目、51320025T000012597854-交管大数据指挥中心业务技术用房厨房及用餐区设施设备采购项目、51320025T000012597857-交管大数据指挥中心业务技术用房健身设施设备采购项目、51320025T000012603555-车管所车驾管设备及备勤房更换热水器采购项目、51320025T000012615739-96110反诈预警劝阻专线及AI人工智能预警系统运营升级服务、51320025T000012644879-支队机关物业管理服务项目（2024年11月5日至2025年8月4日）、51320025T000012644969-车管所物业管理（2024年10月至2025年6月）、51320025T000012680709-支队机关物业管理服务项目、51320025T000012680731-车管所物业管理服务项目、51320025T000012787476-交警网络运行维护项目、51320025T000012808437-物证鉴定所2025年仪器维护保养费（2025）、51320025T000012810016-特警基地基础设施维修改造项目（2025）、51320025T000013925208-阿坝州公安局2025年视觉计算边缘节点算力扩容、51320025T000014060465-储备警用被装采购项目。</w:t>
      </w:r>
    </w:p>
    <w:p>
      <w:pPr>
        <w:spacing w:line="600" w:lineRule="exact"/>
        <w:ind w:firstLineChars="200" w:firstLine="640"/>
        <w:jc w:val="both"/>
        <w:rPr>
          <w:rFonts w:ascii="Times New Roman" w:eastAsia="仿宋_GB2312" w:cs="仿宋_GB2312" w:hAnsi="Times New Roman"/>
          <w:color w:val="auto"/>
          <w:kern w:val="2"/>
          <w:sz w:val="32"/>
          <w:szCs w:val="32"/>
          <w:lang w:val="en-US" w:eastAsia="zh-CN" w:bidi="ar-SA"/>
          <w:highlight w:val="auto"/>
        </w:rPr>
      </w:pPr>
      <w:r>
        <w:rPr>
          <w:rFonts w:ascii="Times New Roman" w:eastAsia="楷体_GB2312" w:cs="Times New Roman" w:hAnsi="Times New Roman" w:hint="eastAsia"/>
          <w:b/>
          <w:bCs/>
          <w:color w:val="000000"/>
          <w:kern w:val="0"/>
          <w:sz w:val="32"/>
          <w:szCs w:val="32"/>
          <w:shd w:val="clear" w:color="auto" w:fill="FFFFFF"/>
          <w:lang w:val="zh-CN" w:eastAsia="zh-CN"/>
        </w:rPr>
        <w:t>（三）绩效结果应用情况。</w:t>
      </w:r>
      <w:r>
        <w:rPr>
          <w:rFonts w:ascii="Times New Roman" w:eastAsia="仿宋_GB2312" w:cs="仿宋_GB2312" w:hAnsi="Times New Roman" w:hint="eastAsia"/>
          <w:color w:val="auto"/>
          <w:kern w:val="2"/>
          <w:sz w:val="32"/>
          <w:szCs w:val="32"/>
          <w:lang w:val="zh-CN" w:eastAsia="zh-CN" w:bidi="ar-SA"/>
          <w:highlight w:val="auto"/>
        </w:rPr>
        <w:t>1.202</w:t>
      </w:r>
      <w:r>
        <w:rPr>
          <w:rFonts w:ascii="Times New Roman" w:eastAsia="仿宋_GB2312" w:cs="仿宋_GB2312" w:hAnsi="Times New Roman" w:hint="eastAsia"/>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zh-CN" w:eastAsia="zh-CN" w:bidi="ar-SA"/>
          <w:highlight w:val="auto"/>
        </w:rPr>
        <w:t>年度，人大监督、审计监督、财会监督等在我单位均未发现评价指标体系涉及的履职效果、预算管理、财务管理、资产管理、采购管理、项目绩效等方面的问题。巡视巡察</w:t>
      </w:r>
      <w:r>
        <w:rPr>
          <w:rFonts w:ascii="Times New Roman" w:eastAsia="仿宋_GB2312" w:cs="仿宋_GB2312" w:hAnsi="Times New Roman" w:hint="eastAsia"/>
          <w:color w:val="auto"/>
          <w:kern w:val="2"/>
          <w:sz w:val="32"/>
          <w:szCs w:val="32"/>
          <w:lang w:val="en-US" w:eastAsia="zh-CN" w:bidi="ar-SA"/>
          <w:highlight w:val="auto"/>
        </w:rPr>
        <w:t>中发现我部门在资产管理方面存在账实不符情况，现已聘请第三方公司进行盘点。</w:t>
      </w:r>
    </w:p>
    <w:p>
      <w:pPr>
        <w:spacing w:line="600" w:lineRule="exact"/>
        <w:ind w:firstLineChars="200" w:firstLine="640"/>
        <w:jc w:val="both"/>
        <w:rPr>
          <w:rFonts w:ascii="Times New Roman" w:eastAsia="仿宋_GB2312" w:cs="仿宋_GB2312" w:hAnsi="Times New Roman" w:hint="eastAsia"/>
          <w:color w:val="auto"/>
          <w:kern w:val="2"/>
          <w:sz w:val="32"/>
          <w:szCs w:val="32"/>
          <w:lang w:val="zh-CN" w:eastAsia="zh-CN" w:bidi="ar-SA"/>
          <w:highlight w:val="auto"/>
        </w:rPr>
      </w:pPr>
      <w:r>
        <w:rPr>
          <w:rFonts w:ascii="Times New Roman" w:eastAsia="仿宋_GB2312" w:cs="仿宋_GB2312" w:hAnsi="Times New Roman" w:hint="eastAsia"/>
          <w:color w:val="auto"/>
          <w:kern w:val="2"/>
          <w:sz w:val="32"/>
          <w:szCs w:val="32"/>
          <w:lang w:val="zh-CN" w:eastAsia="zh-CN" w:bidi="ar-SA"/>
          <w:highlight w:val="auto"/>
        </w:rPr>
        <w:t>2.202</w:t>
      </w:r>
      <w:r>
        <w:rPr>
          <w:rFonts w:ascii="Times New Roman" w:eastAsia="仿宋_GB2312" w:cs="仿宋_GB2312" w:hAnsi="Times New Roman" w:hint="eastAsia"/>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zh-CN" w:eastAsia="zh-CN" w:bidi="ar-SA"/>
          <w:highlight w:val="auto"/>
        </w:rPr>
        <w:t>年，我部门对各项目绩效完成情况进行了自评，自评结果为优的有53个，202</w:t>
      </w:r>
      <w:r>
        <w:rPr>
          <w:rFonts w:ascii="Times New Roman" w:eastAsia="仿宋_GB2312" w:cs="仿宋_GB2312" w:hAnsi="Times New Roman" w:hint="eastAsia"/>
          <w:color w:val="auto"/>
          <w:kern w:val="2"/>
          <w:sz w:val="32"/>
          <w:szCs w:val="32"/>
          <w:lang w:val="en-US" w:eastAsia="zh-CN" w:bidi="ar-SA"/>
          <w:highlight w:val="auto"/>
        </w:rPr>
        <w:t>6</w:t>
      </w:r>
      <w:r>
        <w:rPr>
          <w:rFonts w:ascii="Times New Roman" w:eastAsia="仿宋_GB2312" w:cs="仿宋_GB2312" w:hAnsi="Times New Roman" w:hint="eastAsia"/>
          <w:color w:val="auto"/>
          <w:kern w:val="2"/>
          <w:sz w:val="32"/>
          <w:szCs w:val="32"/>
          <w:lang w:val="zh-CN" w:eastAsia="zh-CN" w:bidi="ar-SA"/>
          <w:highlight w:val="auto"/>
        </w:rPr>
        <w:t>年预算项目适当进行倾斜；自评结果为良及以下的有7个，202</w:t>
      </w:r>
      <w:r>
        <w:rPr>
          <w:rFonts w:ascii="Times New Roman" w:eastAsia="仿宋_GB2312" w:cs="仿宋_GB2312" w:hAnsi="Times New Roman" w:hint="eastAsia"/>
          <w:color w:val="auto"/>
          <w:kern w:val="2"/>
          <w:sz w:val="32"/>
          <w:szCs w:val="32"/>
          <w:lang w:val="en-US" w:eastAsia="zh-CN" w:bidi="ar-SA"/>
          <w:highlight w:val="auto"/>
        </w:rPr>
        <w:t>6</w:t>
      </w:r>
      <w:r>
        <w:rPr>
          <w:rFonts w:ascii="Times New Roman" w:eastAsia="仿宋_GB2312" w:cs="仿宋_GB2312" w:hAnsi="Times New Roman" w:hint="eastAsia"/>
          <w:color w:val="auto"/>
          <w:kern w:val="2"/>
          <w:sz w:val="32"/>
          <w:szCs w:val="32"/>
          <w:lang w:val="zh-CN" w:eastAsia="zh-CN" w:bidi="ar-SA"/>
          <w:highlight w:val="auto"/>
        </w:rPr>
        <w:t>年预算项目进行了压减；从而有效推进项目绩效工资。</w:t>
      </w:r>
    </w:p>
    <w:p>
      <w:pPr>
        <w:spacing w:line="600" w:lineRule="exact"/>
        <w:ind w:firstLineChars="200" w:firstLine="640"/>
        <w:jc w:val="both"/>
        <w:rPr>
          <w:b/>
          <w:szCs w:val="32"/>
        </w:rPr>
      </w:pPr>
      <w:r>
        <w:rPr>
          <w:rFonts w:ascii="Times New Roman" w:eastAsia="仿宋_GB2312" w:cs="仿宋_GB2312" w:hAnsi="Times New Roman" w:hint="eastAsia"/>
          <w:color w:val="auto"/>
          <w:kern w:val="2"/>
          <w:sz w:val="32"/>
          <w:szCs w:val="32"/>
          <w:lang w:val="zh-CN" w:eastAsia="zh-CN" w:bidi="ar-SA"/>
          <w:highlight w:val="auto"/>
        </w:rPr>
        <w:t>3.202</w:t>
      </w:r>
      <w:r>
        <w:rPr>
          <w:rFonts w:ascii="Times New Roman" w:eastAsia="仿宋_GB2312" w:cs="仿宋_GB2312" w:hAnsi="Times New Roman" w:hint="eastAsia"/>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zh-CN" w:eastAsia="zh-CN" w:bidi="ar-SA"/>
          <w:highlight w:val="auto"/>
        </w:rPr>
        <w:t>年，我部门绩效监控报告、绩效自评报告均在门户网站进行了公开，接收</w:t>
      </w:r>
      <w:r>
        <w:rPr>
          <w:rFonts w:ascii="Times New Roman" w:eastAsia="仿宋_GB2312" w:cs="仿宋_GB2312" w:hAnsi="Times New Roman"/>
          <w:color w:val="auto"/>
          <w:kern w:val="2"/>
          <w:sz w:val="32"/>
          <w:szCs w:val="32"/>
          <w:lang w:val="zh-CN" w:eastAsia="zh-CN" w:bidi="ar-SA"/>
        </w:rPr>
        <w:t>广大干部群众</w:t>
      </w:r>
      <w:r>
        <w:rPr>
          <w:rFonts w:ascii="Times New Roman" w:eastAsia="仿宋_GB2312" w:cs="仿宋_GB2312" w:hAnsi="Times New Roman" w:hint="eastAsia"/>
          <w:color w:val="auto"/>
          <w:kern w:val="2"/>
          <w:sz w:val="32"/>
          <w:szCs w:val="32"/>
          <w:lang w:val="zh-CN" w:eastAsia="zh-CN" w:bidi="ar-SA"/>
          <w:highlight w:val="auto"/>
        </w:rPr>
        <w:t>的监督，确保我部门绩效监督、自评工作在阳光下运行。</w:t>
      </w:r>
    </w:p>
    <w:p>
      <w:pPr>
        <w:pageBreakBefore w:val="0"/>
        <w:widowControl/>
        <w:kinsoku/>
        <w:overflowPunct/>
        <w:topLinePunct w:val="0"/>
        <w:autoSpaceDE/>
        <w:autoSpaceDN/>
        <w:bidi w:val="0"/>
        <w:adjustRightInd w:val="0"/>
        <w:snapToGrid w:val="0"/>
        <w:spacing w:line="578" w:lineRule="exact"/>
        <w:ind w:firstLineChars="200" w:firstLine="640"/>
        <w:contextualSpacing/>
        <w:jc w:val="both"/>
        <w:rPr>
          <w:rFonts w:ascii="Times New Roman" w:eastAsia="黑体" w:cs="Times New Roman" w:hAnsi="Times New Roman"/>
          <w:color w:val="000000"/>
          <w:kern w:val="0"/>
          <w:sz w:val="32"/>
          <w:szCs w:val="32"/>
          <w:shd w:val="clear" w:color="auto" w:fill="FFFFFF"/>
          <w:lang w:val="zh-CN"/>
        </w:rPr>
      </w:pPr>
      <w:r>
        <w:rPr>
          <w:rFonts w:ascii="Times New Roman" w:eastAsia="黑体" w:cs="Times New Roman" w:hAnsi="Times New Roman"/>
          <w:color w:val="000000"/>
          <w:kern w:val="0"/>
          <w:sz w:val="32"/>
          <w:szCs w:val="32"/>
          <w:shd w:val="clear" w:color="auto" w:fill="FFFFFF"/>
          <w:lang w:val="zh-CN"/>
        </w:rPr>
        <w:t>四、评价结论及建议</w:t>
      </w:r>
    </w:p>
    <w:p>
      <w:pPr>
        <w:spacing w:line="600" w:lineRule="exact"/>
        <w:ind w:firstLineChars="200" w:firstLine="640"/>
        <w:jc w:val="both"/>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楷体_GB2312" w:cs="Times New Roman" w:hAnsi="Times New Roman" w:hint="eastAsia"/>
          <w:b/>
          <w:bCs/>
          <w:color w:val="000000"/>
          <w:kern w:val="0"/>
          <w:sz w:val="32"/>
          <w:szCs w:val="32"/>
          <w:shd w:val="clear" w:color="auto" w:fill="FFFFFF"/>
          <w:lang w:val="zh-CN" w:eastAsia="zh-CN"/>
        </w:rPr>
        <w:t>（一）评价结论。</w:t>
      </w:r>
      <w:r>
        <w:rPr>
          <w:rFonts w:ascii="Times New Roman" w:eastAsia="仿宋_GB2312" w:cs="仿宋_GB2312" w:hAnsi="Times New Roman" w:hint="eastAsia"/>
          <w:color w:val="auto"/>
          <w:kern w:val="2"/>
          <w:sz w:val="32"/>
          <w:szCs w:val="32"/>
          <w:lang w:val="en-US" w:eastAsia="zh-CN" w:bidi="ar-SA"/>
          <w:highlight w:val="auto"/>
        </w:rPr>
        <w:t>按照2025年度《部门预算绩效评价指标体系》，绩效评价总分100分，我局得分87.9分，基本完成了年度预算绩效管理目标，扣分项主要涉及执行进度、问题整改、自评质量。总体看，我单位预算编制及执行决算较为准确，支出管理较为规范，财务管理制度较完善，部门整体绩效较好。</w:t>
      </w:r>
    </w:p>
    <w:p>
      <w:pPr>
        <w:spacing w:line="600" w:lineRule="exact"/>
        <w:ind w:firstLineChars="200" w:firstLine="640"/>
        <w:jc w:val="both"/>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楷体_GB2312" w:cs="Times New Roman" w:hAnsi="Times New Roman" w:hint="eastAsia"/>
          <w:b/>
          <w:bCs/>
          <w:color w:val="000000"/>
          <w:kern w:val="0"/>
          <w:sz w:val="32"/>
          <w:szCs w:val="32"/>
          <w:shd w:val="clear" w:color="auto" w:fill="FFFFFF"/>
          <w:lang w:val="zh-CN" w:eastAsia="zh-CN"/>
        </w:rPr>
        <w:t>（二）存在问题。</w:t>
      </w:r>
      <w:r>
        <w:rPr>
          <w:rFonts w:ascii="Times New Roman" w:eastAsia="仿宋_GB2312" w:cs="仿宋_GB2312" w:hAnsi="Times New Roman" w:hint="eastAsia"/>
          <w:b/>
          <w:bCs/>
          <w:color w:val="auto"/>
          <w:kern w:val="2"/>
          <w:sz w:val="32"/>
          <w:szCs w:val="32"/>
          <w:lang w:val="en-US" w:eastAsia="zh-CN" w:bidi="ar-SA"/>
          <w:highlight w:val="auto"/>
        </w:rPr>
        <w:t>一是</w:t>
      </w:r>
      <w:r>
        <w:rPr>
          <w:rFonts w:ascii="Times New Roman" w:eastAsia="仿宋_GB2312" w:cs="仿宋_GB2312" w:hAnsi="Times New Roman" w:hint="eastAsia"/>
          <w:color w:val="auto"/>
          <w:kern w:val="2"/>
          <w:sz w:val="32"/>
          <w:szCs w:val="32"/>
          <w:lang w:val="en-US" w:eastAsia="zh-CN" w:bidi="ar-SA"/>
          <w:highlight w:val="auto"/>
        </w:rPr>
        <w:t>预算执行进度仍需提高。在2025年采取了一系列加快预算执行进度的措施，预算执行情况有所改善，但由于设备采购和政府采购程序较为繁杂等原因，预算实际执行进度距预算执行目标进度的要求还是有一定距离，预算执行还需要提高。</w:t>
      </w:r>
      <w:r>
        <w:rPr>
          <w:rFonts w:ascii="Times New Roman" w:eastAsia="仿宋_GB2312" w:cs="仿宋_GB2312" w:hAnsi="Times New Roman" w:hint="eastAsia"/>
          <w:b/>
          <w:bCs/>
          <w:color w:val="auto"/>
          <w:kern w:val="2"/>
          <w:sz w:val="32"/>
          <w:szCs w:val="32"/>
          <w:lang w:val="en-US" w:eastAsia="zh-CN" w:bidi="ar-SA"/>
          <w:highlight w:val="auto"/>
        </w:rPr>
        <w:t>二是</w:t>
      </w:r>
      <w:r>
        <w:rPr>
          <w:rFonts w:ascii="Times New Roman" w:eastAsia="仿宋_GB2312" w:cs="仿宋_GB2312" w:hAnsi="Times New Roman" w:hint="eastAsia"/>
          <w:color w:val="auto"/>
          <w:kern w:val="2"/>
          <w:sz w:val="32"/>
          <w:szCs w:val="32"/>
          <w:lang w:val="en-US" w:eastAsia="zh-CN" w:bidi="ar-SA"/>
          <w:highlight w:val="auto"/>
        </w:rPr>
        <w:t>部分预算项目绩效目标编制不完善。在编制绩效目标时，未根据自身情况考虑周到，造成该项目绩效目标完成存在一定困难。</w:t>
      </w:r>
      <w:r>
        <w:rPr>
          <w:rFonts w:ascii="Times New Roman" w:eastAsia="仿宋_GB2312" w:cs="仿宋_GB2312" w:hAnsi="Times New Roman" w:hint="eastAsia"/>
          <w:b/>
          <w:bCs/>
          <w:color w:val="auto"/>
          <w:kern w:val="2"/>
          <w:sz w:val="32"/>
          <w:szCs w:val="32"/>
          <w:lang w:val="en-US" w:eastAsia="zh-CN" w:bidi="ar-SA"/>
          <w:highlight w:val="auto"/>
        </w:rPr>
        <w:t>三是</w:t>
      </w:r>
      <w:r>
        <w:rPr>
          <w:rFonts w:ascii="Times New Roman" w:eastAsia="仿宋_GB2312" w:cs="仿宋_GB2312" w:hAnsi="Times New Roman" w:hint="eastAsia"/>
          <w:color w:val="auto"/>
          <w:kern w:val="2"/>
          <w:sz w:val="32"/>
          <w:szCs w:val="32"/>
          <w:lang w:val="zh-CN" w:eastAsia="zh-CN" w:bidi="ar-SA"/>
          <w:highlight w:val="auto"/>
        </w:rPr>
        <w:t>巡视巡察</w:t>
      </w:r>
      <w:r>
        <w:rPr>
          <w:rFonts w:ascii="Times New Roman" w:eastAsia="仿宋_GB2312" w:cs="仿宋_GB2312" w:hAnsi="Times New Roman" w:hint="eastAsia"/>
          <w:color w:val="auto"/>
          <w:kern w:val="2"/>
          <w:sz w:val="32"/>
          <w:szCs w:val="32"/>
          <w:lang w:val="en-US" w:eastAsia="zh-CN" w:bidi="ar-SA"/>
          <w:highlight w:val="auto"/>
        </w:rPr>
        <w:t>中发现我部门在资产管理方面存在账实不符情况，现已聘请第三方公司进行盘点。</w:t>
      </w:r>
    </w:p>
    <w:p>
      <w:pPr>
        <w:spacing w:line="600" w:lineRule="exact"/>
        <w:ind w:firstLineChars="200" w:firstLine="640"/>
        <w:jc w:val="both"/>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楷体_GB2312" w:cs="Times New Roman" w:hAnsi="Times New Roman" w:hint="eastAsia"/>
          <w:b/>
          <w:bCs/>
          <w:color w:val="000000"/>
          <w:kern w:val="0"/>
          <w:sz w:val="32"/>
          <w:szCs w:val="32"/>
          <w:shd w:val="clear" w:color="auto" w:fill="FFFFFF"/>
          <w:lang w:val="zh-CN" w:eastAsia="zh-CN"/>
        </w:rPr>
        <w:t>（三）改进建议。</w:t>
      </w:r>
      <w:r>
        <w:rPr>
          <w:rFonts w:ascii="Times New Roman" w:eastAsia="仿宋_GB2312" w:cs="仿宋_GB2312" w:hAnsi="Times New Roman" w:hint="eastAsia"/>
          <w:color w:val="auto"/>
          <w:kern w:val="2"/>
          <w:sz w:val="32"/>
          <w:szCs w:val="32"/>
          <w:lang w:val="en-US" w:eastAsia="zh-CN" w:bidi="ar-SA"/>
          <w:highlight w:val="auto"/>
        </w:rPr>
        <w:t>1.进一步提高预算编制和执行能力。</w:t>
      </w:r>
      <w:r>
        <w:rPr>
          <w:rFonts w:ascii="Times New Roman" w:eastAsia="仿宋_GB2312" w:cs="仿宋_GB2312" w:hAnsi="Times New Roman" w:hint="eastAsia"/>
          <w:b/>
          <w:bCs/>
          <w:color w:val="auto"/>
          <w:kern w:val="2"/>
          <w:sz w:val="32"/>
          <w:szCs w:val="32"/>
          <w:lang w:val="en-US" w:eastAsia="zh-CN" w:bidi="ar-SA"/>
          <w:highlight w:val="auto"/>
        </w:rPr>
        <w:t>一是</w:t>
      </w:r>
      <w:r>
        <w:rPr>
          <w:rFonts w:ascii="Times New Roman" w:eastAsia="仿宋_GB2312" w:cs="仿宋_GB2312" w:hAnsi="Times New Roman" w:hint="eastAsia"/>
          <w:color w:val="auto"/>
          <w:kern w:val="2"/>
          <w:sz w:val="32"/>
          <w:szCs w:val="32"/>
          <w:lang w:val="en-US" w:eastAsia="zh-CN" w:bidi="ar-SA"/>
          <w:highlight w:val="auto"/>
        </w:rPr>
        <w:t>确定编制标准，增强预算编制的科学性；</w:t>
      </w:r>
      <w:r>
        <w:rPr>
          <w:rFonts w:ascii="Times New Roman" w:eastAsia="仿宋_GB2312" w:cs="仿宋_GB2312" w:hAnsi="Times New Roman" w:hint="eastAsia"/>
          <w:b/>
          <w:bCs/>
          <w:color w:val="auto"/>
          <w:kern w:val="2"/>
          <w:sz w:val="32"/>
          <w:szCs w:val="32"/>
          <w:lang w:val="en-US" w:eastAsia="zh-CN" w:bidi="ar-SA"/>
          <w:highlight w:val="auto"/>
        </w:rPr>
        <w:t>二是</w:t>
      </w:r>
      <w:r>
        <w:rPr>
          <w:rFonts w:ascii="Times New Roman" w:eastAsia="仿宋_GB2312" w:cs="仿宋_GB2312" w:hAnsi="Times New Roman" w:hint="eastAsia"/>
          <w:color w:val="auto"/>
          <w:kern w:val="2"/>
          <w:sz w:val="32"/>
          <w:szCs w:val="32"/>
          <w:lang w:val="en-US" w:eastAsia="zh-CN" w:bidi="ar-SA"/>
          <w:highlight w:val="auto"/>
        </w:rPr>
        <w:t>完善预算编制与执行制衡机制，提高预算编制的约束力；</w:t>
      </w:r>
      <w:r>
        <w:rPr>
          <w:rFonts w:ascii="Times New Roman" w:eastAsia="仿宋_GB2312" w:cs="仿宋_GB2312" w:hAnsi="Times New Roman" w:hint="eastAsia"/>
          <w:b/>
          <w:bCs/>
          <w:color w:val="auto"/>
          <w:kern w:val="2"/>
          <w:sz w:val="32"/>
          <w:szCs w:val="32"/>
          <w:lang w:val="en-US" w:eastAsia="zh-CN" w:bidi="ar-SA"/>
          <w:highlight w:val="auto"/>
        </w:rPr>
        <w:t>三是</w:t>
      </w:r>
      <w:r>
        <w:rPr>
          <w:rFonts w:ascii="Times New Roman" w:eastAsia="仿宋_GB2312" w:cs="仿宋_GB2312" w:hAnsi="Times New Roman" w:hint="eastAsia"/>
          <w:color w:val="auto"/>
          <w:kern w:val="2"/>
          <w:sz w:val="32"/>
          <w:szCs w:val="32"/>
          <w:lang w:val="en-US" w:eastAsia="zh-CN" w:bidi="ar-SA"/>
          <w:highlight w:val="auto"/>
        </w:rPr>
        <w:t>做好部门预算执行与日常业务工作的深度结合，对存量资金进行调整，盘活存量资金。</w:t>
      </w:r>
    </w:p>
    <w:p>
      <w:pPr>
        <w:spacing w:line="600" w:lineRule="exact"/>
        <w:ind w:firstLineChars="200" w:firstLine="640"/>
        <w:jc w:val="both"/>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2.进一步强化预算绩效管理能力。</w:t>
      </w:r>
      <w:r>
        <w:rPr>
          <w:rFonts w:ascii="Times New Roman" w:eastAsia="仿宋_GB2312" w:cs="仿宋_GB2312" w:hAnsi="Times New Roman" w:hint="eastAsia"/>
          <w:b/>
          <w:bCs/>
          <w:color w:val="auto"/>
          <w:kern w:val="2"/>
          <w:sz w:val="32"/>
          <w:szCs w:val="32"/>
          <w:lang w:val="en-US" w:eastAsia="zh-CN" w:bidi="ar-SA"/>
          <w:highlight w:val="auto"/>
        </w:rPr>
        <w:t>一是</w:t>
      </w:r>
      <w:r>
        <w:rPr>
          <w:rFonts w:ascii="Times New Roman" w:eastAsia="仿宋_GB2312" w:cs="仿宋_GB2312" w:hAnsi="Times New Roman" w:hint="eastAsia"/>
          <w:color w:val="auto"/>
          <w:kern w:val="2"/>
          <w:sz w:val="32"/>
          <w:szCs w:val="32"/>
          <w:lang w:val="en-US" w:eastAsia="zh-CN" w:bidi="ar-SA"/>
          <w:highlight w:val="auto"/>
        </w:rPr>
        <w:t>加强部门预算编制与执行的有机结合，切实提高预算的年初到位率，规范预算追加。</w:t>
      </w:r>
      <w:r>
        <w:rPr>
          <w:rFonts w:ascii="Times New Roman" w:eastAsia="仿宋_GB2312" w:cs="仿宋_GB2312" w:hAnsi="Times New Roman" w:hint="eastAsia"/>
          <w:b/>
          <w:bCs/>
          <w:color w:val="auto"/>
          <w:kern w:val="2"/>
          <w:sz w:val="32"/>
          <w:szCs w:val="32"/>
          <w:lang w:val="en-US" w:eastAsia="zh-CN" w:bidi="ar-SA"/>
          <w:highlight w:val="auto"/>
        </w:rPr>
        <w:t>二是</w:t>
      </w:r>
      <w:r>
        <w:rPr>
          <w:rFonts w:ascii="Times New Roman" w:eastAsia="仿宋_GB2312" w:cs="仿宋_GB2312" w:hAnsi="Times New Roman" w:hint="eastAsia"/>
          <w:color w:val="auto"/>
          <w:kern w:val="2"/>
          <w:sz w:val="32"/>
          <w:szCs w:val="32"/>
          <w:lang w:val="en-US" w:eastAsia="zh-CN" w:bidi="ar-SA"/>
          <w:highlight w:val="auto"/>
        </w:rPr>
        <w:t>强化资金拨付、管理和使用，严格按预算批复项目使用资金，严格实现预算调整报批，维护预算的严肃性、强化预算的约束力、提高预算执行效果。</w:t>
      </w:r>
    </w:p>
    <w:p>
      <w:pPr>
        <w:spacing w:line="600" w:lineRule="exact"/>
        <w:ind w:firstLineChars="200" w:firstLine="640"/>
        <w:jc w:val="both"/>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3.进一步加强队伍能力建设。强化财务队伍管理，细化财务负责人、会计、出纳、资产等岗位的职责；加强对财务人员业务培训，积极参与财政局组织开展的培训，不断更新和提升财务人员专业知识和技能。</w:t>
      </w:r>
    </w:p>
    <w:p>
      <w:pPr>
        <w:spacing w:line="600" w:lineRule="exact"/>
        <w:jc w:val="both"/>
        <w:rPr>
          <w:rFonts w:eastAsia="黑体"/>
        </w:rPr>
      </w:pPr>
      <w:r>
        <w:rPr>
          <w:rFonts w:ascii="Times New Roman" w:eastAsia="仿宋_GB2312" w:cs="仿宋_GB2312" w:hAnsi="Times New Roman" w:hint="eastAsia"/>
          <w:color w:val="auto"/>
          <w:kern w:val="2"/>
          <w:sz w:val="32"/>
          <w:szCs w:val="32"/>
          <w:lang w:val="en-US" w:eastAsia="zh-CN" w:bidi="ar-SA"/>
          <w:highlight w:val="auto"/>
        </w:rPr>
        <w:br w:type="page"/>
      </w:r>
      <w:r>
        <w:rPr>
          <w:rFonts w:eastAsia="黑体"/>
          <w:sz w:val="32"/>
          <w:szCs w:val="32"/>
        </w:rPr>
        <w:t>附表</w:t>
      </w:r>
      <w:r>
        <w:rPr>
          <w:rFonts w:eastAsia="黑体" w:hint="eastAsia"/>
          <w:sz w:val="32"/>
          <w:szCs w:val="32"/>
        </w:rPr>
        <w:t>1</w:t>
      </w:r>
    </w:p>
    <w:p>
      <w:pPr>
        <w:pageBreakBefore w:val="0"/>
        <w:widowControl/>
        <w:kinsoku/>
        <w:overflowPunct/>
        <w:topLinePunct w:val="0"/>
        <w:autoSpaceDE/>
        <w:autoSpaceDN/>
        <w:bidi w:val="0"/>
        <w:spacing w:line="600" w:lineRule="exact"/>
        <w:ind w:firstLineChars="200" w:firstLine="880"/>
        <w:jc w:val="center"/>
        <w:textAlignment w:val="center"/>
        <w:rPr>
          <w:rFonts w:eastAsia="方正小标宋简体"/>
          <w:color w:val="000000"/>
          <w:kern w:val="0"/>
          <w:sz w:val="44"/>
          <w:szCs w:val="44"/>
        </w:rPr>
      </w:pPr>
      <w:r>
        <w:rPr>
          <w:rFonts w:eastAsia="方正小标宋简体" w:hint="eastAsia"/>
          <w:color w:val="000000"/>
          <w:kern w:val="0"/>
          <w:sz w:val="44"/>
          <w:szCs w:val="44"/>
        </w:rPr>
        <w:t>部门预算绩效自评打分表</w:t>
      </w:r>
    </w:p>
    <w:tbl>
      <w:tblPr>
        <w:jc w:val="center"/>
        <w:tblW w:w="10912"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097"/>
        <w:gridCol w:w="1201"/>
        <w:gridCol w:w="1929"/>
        <w:gridCol w:w="717"/>
        <w:gridCol w:w="4760"/>
        <w:gridCol w:w="730"/>
        <w:gridCol w:w="478"/>
      </w:tblGrid>
      <w:tr>
        <w:trPr>
          <w:trHeight w:val="23"/>
        </w:trPr>
        <w:tc>
          <w:tcPr>
            <w:tcW w:w="4944"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kinsoku/>
              <w:overflowPunct/>
              <w:topLinePunct w:val="0"/>
              <w:autoSpaceDE/>
              <w:autoSpaceDN/>
              <w:bidi w:val="0"/>
              <w:spacing w:line="240" w:lineRule="exact"/>
              <w:ind w:firstLineChars="200" w:firstLine="480"/>
              <w:jc w:val="center"/>
              <w:textAlignment w:val="center"/>
              <w:rPr>
                <w:rFonts w:ascii="黑体" w:eastAsia="黑体" w:cs="黑体"/>
                <w:color w:val="000000"/>
                <w:sz w:val="24"/>
              </w:rPr>
            </w:pPr>
            <w:r>
              <w:rPr>
                <w:rFonts w:ascii="黑体" w:eastAsia="黑体" w:cs="黑体" w:hint="eastAsia"/>
                <w:color w:val="000000"/>
                <w:kern w:val="0"/>
                <w:sz w:val="24"/>
              </w:rPr>
              <w:t>绩效评价指标指标分值</w:t>
            </w:r>
          </w:p>
        </w:tc>
        <w:tc>
          <w:tcPr>
            <w:tcW w:w="476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kinsoku/>
              <w:overflowPunct/>
              <w:topLinePunct w:val="0"/>
              <w:autoSpaceDE/>
              <w:autoSpaceDN/>
              <w:bidi w:val="0"/>
              <w:spacing w:line="240" w:lineRule="exact"/>
              <w:ind w:firstLineChars="200" w:firstLine="480"/>
              <w:jc w:val="center"/>
              <w:textAlignment w:val="center"/>
              <w:rPr>
                <w:rFonts w:ascii="黑体" w:eastAsia="黑体" w:cs="黑体"/>
                <w:color w:val="000000"/>
                <w:sz w:val="24"/>
              </w:rPr>
            </w:pPr>
            <w:r>
              <w:rPr>
                <w:rFonts w:ascii="黑体" w:eastAsia="黑体" w:cs="黑体" w:hint="eastAsia"/>
                <w:color w:val="000000"/>
                <w:kern w:val="0"/>
                <w:sz w:val="24"/>
              </w:rPr>
              <w:t>指标解释</w:t>
            </w:r>
          </w:p>
        </w:tc>
        <w:tc>
          <w:tcPr>
            <w:tcW w:w="730" w:type="dxa"/>
            <w:vMerge w:val="restart"/>
            <w:tcBorders>
              <w:top w:val="single" w:sz="4" w:space="0" w:color="000000"/>
              <w:left w:val="single" w:sz="4" w:space="0" w:color="000000"/>
              <w:right w:val="single" w:sz="4" w:space="0" w:color="000000"/>
            </w:tcBorders>
            <w:shd w:val="clear" w:color="auto" w:fill="auto"/>
            <w:noWrap/>
            <w:vAlign w:val="center"/>
          </w:tcPr>
          <w:p>
            <w:pPr>
              <w:pageBreakBefore w:val="0"/>
              <w:widowControl/>
              <w:kinsoku/>
              <w:overflowPunct/>
              <w:topLinePunct w:val="0"/>
              <w:autoSpaceDE/>
              <w:autoSpaceDN/>
              <w:bidi w:val="0"/>
              <w:spacing w:line="240" w:lineRule="exact"/>
              <w:jc w:val="both"/>
              <w:textAlignment w:val="center"/>
              <w:rPr>
                <w:rFonts w:ascii="黑体" w:eastAsia="黑体" w:cs="黑体"/>
                <w:color w:val="000000"/>
                <w:kern w:val="0"/>
                <w:sz w:val="24"/>
              </w:rPr>
            </w:pPr>
            <w:r>
              <w:rPr>
                <w:rFonts w:ascii="黑体" w:eastAsia="黑体" w:cs="黑体" w:hint="eastAsia"/>
                <w:color w:val="000000"/>
                <w:kern w:val="0"/>
                <w:sz w:val="24"/>
              </w:rPr>
              <w:t>自评得分</w:t>
            </w:r>
          </w:p>
        </w:tc>
        <w:tc>
          <w:tcPr>
            <w:tcW w:w="478" w:type="dxa"/>
            <w:vMerge w:val="restart"/>
            <w:tcBorders>
              <w:top w:val="single" w:sz="4" w:space="0" w:color="000000"/>
              <w:left w:val="single" w:sz="4" w:space="0" w:color="000000"/>
              <w:right w:val="single" w:sz="4" w:space="0" w:color="000000"/>
            </w:tcBorders>
            <w:shd w:val="clear" w:color="auto" w:fill="auto"/>
            <w:noWrap/>
            <w:vAlign w:val="center"/>
          </w:tcPr>
          <w:p>
            <w:pPr>
              <w:pageBreakBefore w:val="0"/>
              <w:widowControl/>
              <w:kinsoku/>
              <w:overflowPunct/>
              <w:topLinePunct w:val="0"/>
              <w:autoSpaceDE/>
              <w:autoSpaceDN/>
              <w:bidi w:val="0"/>
              <w:spacing w:line="240" w:lineRule="exact"/>
              <w:ind w:firstLineChars="200" w:firstLine="480"/>
              <w:jc w:val="center"/>
              <w:textAlignment w:val="center"/>
              <w:rPr>
                <w:rFonts w:ascii="黑体" w:eastAsia="黑体" w:cs="黑体"/>
                <w:color w:val="000000"/>
                <w:kern w:val="0"/>
                <w:sz w:val="24"/>
              </w:rPr>
            </w:pPr>
            <w:r>
              <w:rPr>
                <w:rFonts w:ascii="黑体" w:eastAsia="黑体" w:cs="黑体" w:hint="eastAsia"/>
                <w:color w:val="000000"/>
                <w:kern w:val="0"/>
                <w:sz w:val="24"/>
              </w:rPr>
              <w:t>备注</w:t>
            </w:r>
          </w:p>
        </w:tc>
      </w:tr>
      <w:tr>
        <w:trPr>
          <w:trHeight w:val="23"/>
        </w:trPr>
        <w:tc>
          <w:tcPr>
            <w:tcW w:w="1097" w:type="dxa"/>
            <w:tcBorders>
              <w:top w:val="single" w:sz="4" w:space="0" w:color="000000"/>
              <w:left w:val="single" w:sz="4" w:space="0" w:color="000000"/>
              <w:bottom w:val="single" w:sz="4" w:space="0" w:color="00000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黑体" w:eastAsia="黑体" w:cs="黑体"/>
                <w:color w:val="000000"/>
                <w:sz w:val="24"/>
              </w:rPr>
            </w:pPr>
            <w:r>
              <w:rPr>
                <w:rFonts w:ascii="黑体" w:eastAsia="黑体" w:cs="黑体" w:hint="eastAsia"/>
                <w:color w:val="000000"/>
                <w:kern w:val="0"/>
                <w:sz w:val="24"/>
              </w:rPr>
              <w:t>一级指标</w:t>
            </w:r>
          </w:p>
        </w:tc>
        <w:tc>
          <w:tcPr>
            <w:tcW w:w="12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黑体" w:eastAsia="黑体" w:cs="黑体"/>
                <w:color w:val="000000"/>
                <w:sz w:val="24"/>
              </w:rPr>
            </w:pPr>
            <w:r>
              <w:rPr>
                <w:rFonts w:ascii="黑体" w:eastAsia="黑体" w:cs="黑体" w:hint="eastAsia"/>
                <w:color w:val="000000"/>
                <w:kern w:val="0"/>
                <w:sz w:val="24"/>
              </w:rPr>
              <w:t>二级指标</w:t>
            </w: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黑体" w:eastAsia="黑体" w:cs="黑体"/>
                <w:color w:val="000000"/>
                <w:sz w:val="24"/>
              </w:rPr>
            </w:pPr>
            <w:r>
              <w:rPr>
                <w:rFonts w:ascii="黑体" w:eastAsia="黑体" w:cs="黑体" w:hint="eastAsia"/>
                <w:color w:val="000000"/>
                <w:kern w:val="0"/>
                <w:sz w:val="24"/>
              </w:rPr>
              <w:t>三级指标</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黑体" w:eastAsia="黑体" w:cs="黑体"/>
                <w:color w:val="000000"/>
                <w:sz w:val="24"/>
              </w:rPr>
            </w:pPr>
            <w:r>
              <w:rPr>
                <w:rFonts w:ascii="黑体" w:eastAsia="黑体" w:cs="黑体" w:hint="eastAsia"/>
                <w:color w:val="000000"/>
                <w:kern w:val="0"/>
                <w:sz w:val="24"/>
              </w:rPr>
              <w:t>指标</w:t>
              <w:br/>
              <w:t>分值</w:t>
            </w:r>
          </w:p>
        </w:tc>
        <w:tc>
          <w:tcPr>
            <w:tcW w:w="476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730" w:type="dxa"/>
            <w:vMerge/>
            <w:tcBorders>
              <w:left w:val="single" w:sz="4" w:space="0" w:color="000000"/>
              <w:bottom w:val="single" w:sz="4" w:space="0" w:color="000000"/>
              <w:right w:val="single" w:sz="4" w:space="0" w:color="000000"/>
            </w:tcBorders>
            <w:shd w:val="clear" w:color="auto" w:fill="auto"/>
            <w:noWrap/>
            <w:vAlign w:val="center"/>
          </w:tcPr>
          <w:p/>
        </w:tc>
        <w:tc>
          <w:tcPr>
            <w:tcW w:w="478" w:type="dxa"/>
            <w:vMerge/>
            <w:tcBorders>
              <w:left w:val="single" w:sz="4" w:space="0" w:color="000000"/>
              <w:bottom w:val="single" w:sz="4" w:space="0" w:color="000000"/>
              <w:right w:val="single" w:sz="4" w:space="0" w:color="000000"/>
            </w:tcBorders>
            <w:shd w:val="clear" w:color="auto" w:fill="auto"/>
            <w:noWrap/>
            <w:vAlign w:val="center"/>
          </w:tcPr>
          <w:p/>
        </w:tc>
      </w:tr>
      <w:tr>
        <w:trPr>
          <w:trHeight w:val="23"/>
        </w:trPr>
        <w:tc>
          <w:tcPr>
            <w:tcW w:w="1097" w:type="dxa"/>
            <w:vMerge w:val="restart"/>
            <w:tcBorders>
              <w:top w:val="single" w:sz="4" w:space="0" w:color="000000"/>
              <w:left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b/>
                <w:color w:val="000000"/>
                <w:sz w:val="24"/>
              </w:rPr>
            </w:pPr>
            <w:r>
              <w:rPr>
                <w:rFonts w:ascii="宋体" w:eastAsia="宋体" w:cs="宋体" w:hint="eastAsia"/>
                <w:b/>
                <w:color w:val="000000"/>
                <w:kern w:val="0"/>
                <w:sz w:val="24"/>
              </w:rPr>
              <w:t>总体绩效（65分）</w:t>
            </w:r>
          </w:p>
        </w:tc>
        <w:tc>
          <w:tcPr>
            <w:tcW w:w="12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b/>
                <w:color w:val="000000"/>
                <w:sz w:val="24"/>
              </w:rPr>
            </w:pPr>
            <w:r>
              <w:rPr>
                <w:rFonts w:ascii="宋体" w:eastAsia="宋体" w:cs="宋体" w:hint="eastAsia"/>
                <w:b/>
                <w:color w:val="000000"/>
                <w:kern w:val="0"/>
                <w:sz w:val="24"/>
              </w:rPr>
              <w:t>履职效能</w:t>
              <w:br/>
              <w:t>（15分）</w:t>
            </w: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XX履职效果</w:t>
            </w:r>
          </w:p>
        </w:tc>
        <w:tc>
          <w:tcPr>
            <w:tcW w:w="717" w:type="dxa"/>
            <w:tcBorders>
              <w:top w:val="nil"/>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15</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部门整体绩效目标中选定3-5个核心职能目标，反映该项职能目标完成效果情况</w:t>
            </w:r>
          </w:p>
        </w:tc>
        <w:tc>
          <w:tcPr>
            <w:tcW w:w="7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lang w:val="en-US" w:eastAsia="zh-CN"/>
              </w:rPr>
            </w:pPr>
            <w:r>
              <w:rPr>
                <w:rFonts w:ascii="宋体" w:eastAsia="宋体" w:cs="宋体" w:hint="eastAsia"/>
                <w:color w:val="000000"/>
                <w:kern w:val="0"/>
                <w:sz w:val="24"/>
                <w:lang w:val="en-US" w:eastAsia="zh-CN"/>
              </w:rPr>
              <w:t>15</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kinsoku/>
              <w:overflowPunct/>
              <w:topLinePunct w:val="0"/>
              <w:autoSpaceDE/>
              <w:autoSpaceDN/>
              <w:bidi w:val="0"/>
              <w:spacing w:line="240" w:lineRule="exact"/>
              <w:ind w:firstLineChars="200" w:firstLine="480"/>
              <w:jc w:val="left"/>
              <w:textAlignment w:val="center"/>
              <w:rPr>
                <w:rFonts w:ascii="宋体" w:eastAsia="宋体" w:cs="宋体"/>
                <w:color w:val="000000"/>
                <w:kern w:val="0"/>
                <w:sz w:val="24"/>
              </w:rPr>
            </w:pPr>
          </w:p>
        </w:tc>
      </w:tr>
      <w:tr>
        <w:trPr>
          <w:trHeight w:val="23"/>
        </w:trPr>
        <w:tc>
          <w:tcPr>
            <w:tcW w:w="1097" w:type="dxa"/>
            <w:vMerge/>
            <w:tcBorders>
              <w:left w:val="single" w:sz="4" w:space="0" w:color="000000"/>
              <w:right w:val="single" w:sz="4" w:space="0" w:color="000000"/>
            </w:tcBorders>
            <w:shd w:val="clear" w:color="auto" w:fill="auto"/>
            <w:noWrap/>
            <w:vAlign w:val="center"/>
          </w:tcPr>
          <w:p/>
        </w:tc>
        <w:tc>
          <w:tcPr>
            <w:tcW w:w="1201" w:type="dxa"/>
            <w:vMerge w:val="restart"/>
            <w:tcBorders>
              <w:top w:val="single" w:sz="4" w:space="0" w:color="000000"/>
              <w:left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b/>
                <w:color w:val="000000"/>
                <w:sz w:val="24"/>
              </w:rPr>
            </w:pPr>
            <w:r>
              <w:rPr>
                <w:rFonts w:ascii="宋体" w:eastAsia="宋体" w:cs="宋体" w:hint="eastAsia"/>
                <w:b/>
                <w:color w:val="000000"/>
                <w:kern w:val="0"/>
                <w:sz w:val="24"/>
              </w:rPr>
              <w:t>预算管理</w:t>
              <w:br/>
              <w:t>（25分）</w:t>
            </w: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预算编制质量</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8</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部门是否严格按要求编制年初部门预算，年初预算编制的科学性和准确性</w:t>
            </w:r>
          </w:p>
        </w:tc>
        <w:tc>
          <w:tcPr>
            <w:tcW w:w="7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lang w:val="en-US" w:eastAsia="zh-CN"/>
              </w:rPr>
            </w:pPr>
            <w:r>
              <w:rPr>
                <w:rFonts w:ascii="宋体" w:eastAsia="宋体" w:cs="宋体" w:hint="eastAsia"/>
                <w:color w:val="000000"/>
                <w:kern w:val="0"/>
                <w:sz w:val="24"/>
                <w:lang w:val="en-US" w:eastAsia="zh-CN"/>
              </w:rPr>
              <w:t>7.76</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kinsoku/>
              <w:overflowPunct/>
              <w:topLinePunct w:val="0"/>
              <w:autoSpaceDE/>
              <w:autoSpaceDN/>
              <w:bidi w:val="0"/>
              <w:spacing w:line="240" w:lineRule="exact"/>
              <w:ind w:firstLineChars="200" w:firstLine="480"/>
              <w:jc w:val="left"/>
              <w:textAlignment w:val="center"/>
              <w:rPr>
                <w:rFonts w:ascii="宋体" w:eastAsia="宋体" w:cs="宋体"/>
                <w:color w:val="000000"/>
                <w:kern w:val="0"/>
                <w:sz w:val="24"/>
              </w:rPr>
            </w:pPr>
          </w:p>
        </w:tc>
      </w:tr>
      <w:tr>
        <w:trPr>
          <w:trHeight w:val="23"/>
        </w:trPr>
        <w:tc>
          <w:tcPr>
            <w:tcW w:w="1097" w:type="dxa"/>
            <w:vMerge/>
            <w:tcBorders>
              <w:left w:val="single" w:sz="4" w:space="0" w:color="000000"/>
              <w:right w:val="single" w:sz="4" w:space="0" w:color="000000"/>
            </w:tcBorders>
            <w:shd w:val="clear" w:color="auto" w:fill="auto"/>
            <w:noWrap/>
            <w:vAlign w:val="center"/>
          </w:tcPr>
          <w:p/>
        </w:tc>
        <w:tc>
          <w:tcPr>
            <w:tcW w:w="1201" w:type="dxa"/>
            <w:vMerge/>
            <w:tcBorders>
              <w:left w:val="single" w:sz="4" w:space="0" w:color="000000"/>
              <w:right w:val="single" w:sz="4" w:space="0" w:color="000000"/>
            </w:tcBorders>
            <w:shd w:val="clear" w:color="auto" w:fill="auto"/>
            <w:noWrap/>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单位收入统筹</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4</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部门统筹自有收入努力程度</w:t>
            </w:r>
          </w:p>
        </w:tc>
        <w:tc>
          <w:tcPr>
            <w:tcW w:w="7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lang w:val="en-US" w:eastAsia="zh-CN"/>
              </w:rPr>
            </w:pPr>
            <w:r>
              <w:rPr>
                <w:rFonts w:ascii="宋体" w:eastAsia="宋体" w:cs="宋体" w:hint="eastAsia"/>
                <w:color w:val="000000"/>
                <w:kern w:val="0"/>
                <w:sz w:val="24"/>
                <w:lang w:val="en-US" w:eastAsia="zh-CN"/>
              </w:rPr>
              <w:t>3.06</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kinsoku/>
              <w:overflowPunct/>
              <w:topLinePunct w:val="0"/>
              <w:autoSpaceDE/>
              <w:autoSpaceDN/>
              <w:bidi w:val="0"/>
              <w:spacing w:line="240" w:lineRule="exact"/>
              <w:ind w:firstLineChars="200" w:firstLine="480"/>
              <w:jc w:val="left"/>
              <w:textAlignment w:val="center"/>
              <w:rPr>
                <w:rFonts w:ascii="宋体" w:eastAsia="宋体" w:cs="宋体"/>
                <w:color w:val="000000"/>
                <w:kern w:val="0"/>
                <w:sz w:val="24"/>
              </w:rPr>
            </w:pPr>
          </w:p>
        </w:tc>
      </w:tr>
      <w:tr>
        <w:trPr>
          <w:trHeight w:val="23"/>
        </w:trPr>
        <w:tc>
          <w:tcPr>
            <w:tcW w:w="1097" w:type="dxa"/>
            <w:vMerge/>
            <w:tcBorders>
              <w:left w:val="single" w:sz="4" w:space="0" w:color="000000"/>
              <w:right w:val="single" w:sz="4" w:space="0" w:color="000000"/>
            </w:tcBorders>
            <w:shd w:val="clear" w:color="auto" w:fill="auto"/>
            <w:noWrap/>
            <w:vAlign w:val="center"/>
          </w:tcPr>
          <w:p/>
        </w:tc>
        <w:tc>
          <w:tcPr>
            <w:tcW w:w="1201" w:type="dxa"/>
            <w:vMerge/>
            <w:tcBorders>
              <w:left w:val="single" w:sz="4" w:space="0" w:color="000000"/>
              <w:right w:val="single" w:sz="4" w:space="0" w:color="000000"/>
            </w:tcBorders>
            <w:shd w:val="clear" w:color="auto" w:fill="auto"/>
            <w:noWrap/>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支出执行管理</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6</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部门1至6月、1至10月预算执行情况</w:t>
            </w:r>
          </w:p>
        </w:tc>
        <w:tc>
          <w:tcPr>
            <w:tcW w:w="7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lang w:val="en-US" w:eastAsia="zh-CN"/>
              </w:rPr>
            </w:pPr>
            <w:r>
              <w:rPr>
                <w:rFonts w:ascii="宋体" w:eastAsia="宋体" w:cs="宋体" w:hint="eastAsia"/>
                <w:color w:val="000000"/>
                <w:kern w:val="0"/>
                <w:sz w:val="24"/>
                <w:lang w:val="en-US" w:eastAsia="zh-CN"/>
              </w:rPr>
              <w:t>5.29</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kinsoku/>
              <w:overflowPunct/>
              <w:topLinePunct w:val="0"/>
              <w:autoSpaceDE/>
              <w:autoSpaceDN/>
              <w:bidi w:val="0"/>
              <w:spacing w:line="240" w:lineRule="exact"/>
              <w:ind w:firstLineChars="200" w:firstLine="480"/>
              <w:jc w:val="left"/>
              <w:textAlignment w:val="center"/>
              <w:rPr>
                <w:rFonts w:ascii="宋体" w:eastAsia="宋体" w:cs="宋体"/>
                <w:color w:val="000000"/>
                <w:kern w:val="0"/>
                <w:sz w:val="24"/>
              </w:rPr>
            </w:pPr>
          </w:p>
        </w:tc>
      </w:tr>
      <w:tr>
        <w:trPr>
          <w:trHeight w:val="23"/>
        </w:trPr>
        <w:tc>
          <w:tcPr>
            <w:tcW w:w="1097" w:type="dxa"/>
            <w:vMerge/>
            <w:tcBorders>
              <w:left w:val="single" w:sz="4" w:space="0" w:color="000000"/>
              <w:right w:val="single" w:sz="4" w:space="0" w:color="000000"/>
            </w:tcBorders>
            <w:shd w:val="clear" w:color="auto" w:fill="auto"/>
            <w:noWrap/>
            <w:vAlign w:val="center"/>
          </w:tcPr>
          <w:p/>
        </w:tc>
        <w:tc>
          <w:tcPr>
            <w:tcW w:w="1201" w:type="dxa"/>
            <w:vMerge/>
            <w:tcBorders>
              <w:left w:val="single" w:sz="4" w:space="0" w:color="000000"/>
              <w:right w:val="single" w:sz="4" w:space="0" w:color="000000"/>
            </w:tcBorders>
            <w:shd w:val="clear" w:color="auto" w:fill="auto"/>
            <w:noWrap/>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预算年终结余</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2</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部门整体年终预算结余情况</w:t>
            </w:r>
          </w:p>
        </w:tc>
        <w:tc>
          <w:tcPr>
            <w:tcW w:w="7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lang w:val="en-US" w:eastAsia="zh-CN"/>
              </w:rPr>
            </w:pPr>
            <w:r>
              <w:rPr>
                <w:rFonts w:ascii="宋体" w:eastAsia="宋体" w:cs="宋体" w:hint="eastAsia"/>
                <w:color w:val="000000"/>
                <w:kern w:val="0"/>
                <w:sz w:val="24"/>
                <w:lang w:val="en-US" w:eastAsia="zh-CN"/>
              </w:rPr>
              <w:t>1.54</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kinsoku/>
              <w:overflowPunct/>
              <w:topLinePunct w:val="0"/>
              <w:autoSpaceDE/>
              <w:autoSpaceDN/>
              <w:bidi w:val="0"/>
              <w:spacing w:line="240" w:lineRule="exact"/>
              <w:ind w:firstLineChars="200" w:firstLine="480"/>
              <w:jc w:val="left"/>
              <w:textAlignment w:val="center"/>
              <w:rPr>
                <w:rFonts w:ascii="宋体" w:eastAsia="宋体" w:cs="宋体"/>
                <w:color w:val="000000"/>
                <w:kern w:val="0"/>
                <w:sz w:val="24"/>
              </w:rPr>
            </w:pPr>
          </w:p>
        </w:tc>
      </w:tr>
      <w:tr>
        <w:trPr>
          <w:trHeight w:val="743"/>
        </w:trPr>
        <w:tc>
          <w:tcPr>
            <w:tcW w:w="1097" w:type="dxa"/>
            <w:vMerge/>
            <w:tcBorders>
              <w:left w:val="single" w:sz="4" w:space="0" w:color="000000"/>
              <w:right w:val="single" w:sz="4" w:space="0" w:color="000000"/>
            </w:tcBorders>
            <w:shd w:val="clear" w:color="auto" w:fill="auto"/>
            <w:noWrap/>
            <w:vAlign w:val="center"/>
          </w:tcPr>
          <w:p/>
        </w:tc>
        <w:tc>
          <w:tcPr>
            <w:tcW w:w="1201" w:type="dxa"/>
            <w:vMerge/>
            <w:tcBorders>
              <w:left w:val="single" w:sz="4" w:space="0" w:color="000000"/>
              <w:right w:val="single" w:sz="4" w:space="0" w:color="000000"/>
            </w:tcBorders>
            <w:shd w:val="clear" w:color="auto" w:fill="auto"/>
            <w:noWrap/>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rPr>
            </w:pPr>
            <w:r>
              <w:rPr>
                <w:rFonts w:ascii="宋体" w:eastAsia="宋体" w:cs="宋体" w:hint="eastAsia"/>
                <w:color w:val="000000"/>
                <w:kern w:val="0"/>
                <w:sz w:val="24"/>
              </w:rPr>
              <w:t>严控一般性支出</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rPr>
            </w:pPr>
            <w:r>
              <w:rPr>
                <w:rFonts w:ascii="宋体" w:eastAsia="宋体" w:cs="宋体" w:hint="eastAsia"/>
                <w:color w:val="000000"/>
                <w:kern w:val="0"/>
                <w:sz w:val="24"/>
              </w:rPr>
              <w:t>5</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rPr>
            </w:pPr>
            <w:r>
              <w:rPr>
                <w:rFonts w:ascii="宋体" w:eastAsia="宋体" w:cs="宋体" w:hint="eastAsia"/>
                <w:color w:val="000000"/>
                <w:kern w:val="0"/>
                <w:sz w:val="24"/>
              </w:rPr>
              <w:t>部门严控“三公”经费、会议、培训、差旅、办节办展、办公设备购置、信息化建设和运维、课题经费、竞赛活动、规划编制一般性支出情况</w:t>
            </w:r>
          </w:p>
        </w:tc>
        <w:tc>
          <w:tcPr>
            <w:tcW w:w="7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2</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kinsoku/>
              <w:overflowPunct/>
              <w:topLinePunct w:val="0"/>
              <w:autoSpaceDE/>
              <w:autoSpaceDN/>
              <w:bidi w:val="0"/>
              <w:spacing w:line="240" w:lineRule="exact"/>
              <w:ind w:firstLineChars="200" w:firstLine="480"/>
              <w:jc w:val="left"/>
              <w:textAlignment w:val="center"/>
              <w:rPr>
                <w:rFonts w:ascii="宋体" w:eastAsia="宋体" w:cs="宋体"/>
                <w:color w:val="000000"/>
                <w:kern w:val="0"/>
                <w:sz w:val="24"/>
              </w:rPr>
            </w:pPr>
          </w:p>
        </w:tc>
      </w:tr>
      <w:tr>
        <w:trPr>
          <w:trHeight w:val="23"/>
        </w:trPr>
        <w:tc>
          <w:tcPr>
            <w:tcW w:w="1097" w:type="dxa"/>
            <w:vMerge/>
            <w:tcBorders>
              <w:left w:val="single" w:sz="4" w:space="0" w:color="000000"/>
              <w:right w:val="single" w:sz="4" w:space="0" w:color="000000"/>
            </w:tcBorders>
            <w:shd w:val="clear" w:color="auto" w:fill="auto"/>
            <w:noWrap/>
            <w:vAlign w:val="center"/>
          </w:tcPr>
          <w:p/>
        </w:tc>
        <w:tc>
          <w:tcPr>
            <w:tcW w:w="1201"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b/>
                <w:color w:val="000000"/>
                <w:sz w:val="24"/>
              </w:rPr>
            </w:pPr>
            <w:r>
              <w:rPr>
                <w:rFonts w:ascii="宋体" w:eastAsia="宋体" w:cs="宋体" w:hint="eastAsia"/>
                <w:b/>
                <w:color w:val="000000"/>
                <w:kern w:val="0"/>
                <w:sz w:val="24"/>
              </w:rPr>
              <w:t>财务管理</w:t>
              <w:br/>
              <w:t>（10分）</w:t>
            </w: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财务管理制度</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4</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部门财务管理制度建立情况</w:t>
            </w:r>
          </w:p>
        </w:tc>
        <w:tc>
          <w:tcPr>
            <w:tcW w:w="7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2</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kinsoku/>
              <w:overflowPunct/>
              <w:topLinePunct w:val="0"/>
              <w:autoSpaceDE/>
              <w:autoSpaceDN/>
              <w:bidi w:val="0"/>
              <w:spacing w:line="240" w:lineRule="exact"/>
              <w:ind w:firstLineChars="200" w:firstLine="480"/>
              <w:jc w:val="left"/>
              <w:textAlignment w:val="center"/>
              <w:rPr>
                <w:rFonts w:ascii="宋体" w:eastAsia="宋体" w:cs="宋体"/>
                <w:color w:val="000000"/>
                <w:kern w:val="0"/>
                <w:sz w:val="24"/>
              </w:rPr>
            </w:pPr>
          </w:p>
        </w:tc>
      </w:tr>
      <w:tr>
        <w:trPr>
          <w:trHeight w:val="23"/>
        </w:trPr>
        <w:tc>
          <w:tcPr>
            <w:tcW w:w="1097" w:type="dxa"/>
            <w:vMerge/>
            <w:tcBorders>
              <w:left w:val="single" w:sz="4" w:space="0" w:color="000000"/>
              <w:right w:val="single" w:sz="4" w:space="0" w:color="000000"/>
            </w:tcBorders>
            <w:shd w:val="clear" w:color="auto" w:fill="auto"/>
            <w:noWrap/>
            <w:vAlign w:val="center"/>
          </w:tcPr>
          <w:p/>
        </w:tc>
        <w:tc>
          <w:tcPr>
            <w:tcW w:w="1201"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财务岗位设置</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2</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部门财务岗位设置是否符合相关财务管理制度要求</w:t>
            </w:r>
          </w:p>
        </w:tc>
        <w:tc>
          <w:tcPr>
            <w:tcW w:w="7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lang w:val="en-US" w:eastAsia="zh-CN"/>
              </w:rPr>
            </w:pPr>
            <w:r>
              <w:rPr>
                <w:rFonts w:ascii="宋体" w:eastAsia="宋体" w:cs="宋体" w:hint="eastAsia"/>
                <w:color w:val="000000"/>
                <w:kern w:val="0"/>
                <w:sz w:val="24"/>
                <w:lang w:val="en-US" w:eastAsia="zh-CN"/>
              </w:rPr>
              <w:t>2</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kinsoku/>
              <w:overflowPunct/>
              <w:topLinePunct w:val="0"/>
              <w:autoSpaceDE/>
              <w:autoSpaceDN/>
              <w:bidi w:val="0"/>
              <w:spacing w:line="240" w:lineRule="exact"/>
              <w:ind w:firstLineChars="200" w:firstLine="480"/>
              <w:jc w:val="left"/>
              <w:textAlignment w:val="center"/>
              <w:rPr>
                <w:rFonts w:ascii="宋体" w:eastAsia="宋体" w:cs="宋体"/>
                <w:color w:val="000000"/>
                <w:kern w:val="0"/>
                <w:sz w:val="24"/>
              </w:rPr>
            </w:pPr>
          </w:p>
        </w:tc>
      </w:tr>
      <w:tr>
        <w:trPr>
          <w:trHeight w:val="23"/>
        </w:trPr>
        <w:tc>
          <w:tcPr>
            <w:tcW w:w="1097" w:type="dxa"/>
            <w:vMerge/>
            <w:tcBorders>
              <w:left w:val="single" w:sz="4" w:space="0" w:color="000000"/>
              <w:right w:val="single" w:sz="4" w:space="0" w:color="000000"/>
            </w:tcBorders>
            <w:shd w:val="clear" w:color="auto" w:fill="auto"/>
            <w:noWrap/>
            <w:vAlign w:val="center"/>
          </w:tcPr>
          <w:p/>
        </w:tc>
        <w:tc>
          <w:tcPr>
            <w:tcW w:w="1201"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资金使用规范</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4</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部门资金使用是否符合相关财务管理制度规定</w:t>
            </w:r>
          </w:p>
        </w:tc>
        <w:tc>
          <w:tcPr>
            <w:tcW w:w="7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kinsoku/>
              <w:overflowPunct/>
              <w:topLinePunct w:val="0"/>
              <w:autoSpaceDE/>
              <w:autoSpaceDN/>
              <w:bidi w:val="0"/>
              <w:spacing w:line="240" w:lineRule="exact"/>
              <w:ind w:firstLineChars="200" w:firstLine="480"/>
              <w:jc w:val="left"/>
              <w:textAlignment w:val="center"/>
              <w:rPr>
                <w:rFonts w:ascii="宋体" w:eastAsia="宋体" w:cs="宋体"/>
                <w:color w:val="000000"/>
                <w:kern w:val="0"/>
                <w:sz w:val="24"/>
              </w:rPr>
            </w:pPr>
          </w:p>
        </w:tc>
      </w:tr>
      <w:tr>
        <w:trPr>
          <w:trHeight w:val="23"/>
        </w:trPr>
        <w:tc>
          <w:tcPr>
            <w:tcW w:w="1097" w:type="dxa"/>
            <w:vMerge/>
            <w:tcBorders>
              <w:left w:val="single" w:sz="4" w:space="0" w:color="000000"/>
              <w:right w:val="single" w:sz="4" w:space="0" w:color="000000"/>
            </w:tcBorders>
            <w:shd w:val="clear" w:color="auto" w:fill="auto"/>
            <w:noWrap/>
            <w:vAlign w:val="center"/>
          </w:tcPr>
          <w:p/>
        </w:tc>
        <w:tc>
          <w:tcPr>
            <w:tcW w:w="1201"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b/>
                <w:color w:val="000000"/>
                <w:sz w:val="24"/>
              </w:rPr>
            </w:pPr>
            <w:r>
              <w:rPr>
                <w:rFonts w:ascii="宋体" w:eastAsia="宋体" w:cs="宋体" w:hint="eastAsia"/>
                <w:b/>
                <w:color w:val="000000"/>
                <w:kern w:val="0"/>
                <w:sz w:val="24"/>
              </w:rPr>
              <w:t>资产管理</w:t>
              <w:br/>
              <w:t>（9分）</w:t>
            </w: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人均资产变化率</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3</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部门人均资产变化情况</w:t>
            </w:r>
          </w:p>
        </w:tc>
        <w:tc>
          <w:tcPr>
            <w:tcW w:w="7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3</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kinsoku/>
              <w:overflowPunct/>
              <w:topLinePunct w:val="0"/>
              <w:autoSpaceDE/>
              <w:autoSpaceDN/>
              <w:bidi w:val="0"/>
              <w:spacing w:line="240" w:lineRule="exact"/>
              <w:ind w:firstLineChars="200" w:firstLine="480"/>
              <w:jc w:val="left"/>
              <w:textAlignment w:val="center"/>
              <w:rPr>
                <w:rFonts w:ascii="宋体" w:eastAsia="宋体" w:cs="宋体"/>
                <w:color w:val="000000"/>
                <w:kern w:val="0"/>
                <w:sz w:val="24"/>
              </w:rPr>
            </w:pPr>
          </w:p>
        </w:tc>
      </w:tr>
      <w:tr>
        <w:trPr>
          <w:trHeight w:val="23"/>
        </w:trPr>
        <w:tc>
          <w:tcPr>
            <w:tcW w:w="1097" w:type="dxa"/>
            <w:vMerge/>
            <w:tcBorders>
              <w:left w:val="single" w:sz="4" w:space="0" w:color="000000"/>
              <w:right w:val="single" w:sz="4" w:space="0" w:color="000000"/>
            </w:tcBorders>
            <w:shd w:val="clear" w:color="auto" w:fill="auto"/>
            <w:noWrap/>
            <w:vAlign w:val="center"/>
          </w:tcPr>
          <w:p/>
        </w:tc>
        <w:tc>
          <w:tcPr>
            <w:tcW w:w="1201"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资产利用率</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3</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部门资产超最低使用年限情况</w:t>
            </w:r>
          </w:p>
        </w:tc>
        <w:tc>
          <w:tcPr>
            <w:tcW w:w="7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lang w:val="en-US" w:eastAsia="zh-CN"/>
              </w:rPr>
            </w:pPr>
            <w:r>
              <w:rPr>
                <w:rFonts w:ascii="宋体" w:eastAsia="宋体" w:cs="宋体" w:hint="eastAsia"/>
                <w:color w:val="000000"/>
                <w:kern w:val="0"/>
                <w:sz w:val="24"/>
                <w:lang w:val="en-US" w:eastAsia="zh-CN"/>
              </w:rPr>
              <w:t>0.6</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kinsoku/>
              <w:overflowPunct/>
              <w:topLinePunct w:val="0"/>
              <w:autoSpaceDE/>
              <w:autoSpaceDN/>
              <w:bidi w:val="0"/>
              <w:spacing w:line="240" w:lineRule="exact"/>
              <w:ind w:firstLineChars="200" w:firstLine="480"/>
              <w:jc w:val="left"/>
              <w:textAlignment w:val="center"/>
              <w:rPr>
                <w:rFonts w:ascii="宋体" w:eastAsia="宋体" w:cs="宋体"/>
                <w:color w:val="000000"/>
                <w:kern w:val="0"/>
                <w:sz w:val="24"/>
              </w:rPr>
            </w:pPr>
          </w:p>
        </w:tc>
      </w:tr>
      <w:tr>
        <w:trPr>
          <w:trHeight w:val="23"/>
        </w:trPr>
        <w:tc>
          <w:tcPr>
            <w:tcW w:w="1097" w:type="dxa"/>
            <w:vMerge/>
            <w:tcBorders>
              <w:left w:val="single" w:sz="4" w:space="0" w:color="000000"/>
              <w:right w:val="single" w:sz="4" w:space="0" w:color="000000"/>
            </w:tcBorders>
            <w:shd w:val="clear" w:color="auto" w:fill="auto"/>
            <w:noWrap/>
            <w:vAlign w:val="center"/>
          </w:tcPr>
          <w:p/>
        </w:tc>
        <w:tc>
          <w:tcPr>
            <w:tcW w:w="12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b/>
                <w:color w:val="000000"/>
                <w:sz w:val="24"/>
              </w:rPr>
            </w:pPr>
            <w:r>
              <w:rPr>
                <w:rFonts w:ascii="宋体" w:eastAsia="宋体" w:cs="宋体" w:hint="eastAsia"/>
                <w:b/>
                <w:color w:val="000000"/>
                <w:kern w:val="0"/>
                <w:sz w:val="24"/>
              </w:rPr>
              <w:t>资产管理</w:t>
              <w:br/>
              <w:t>（9分）</w:t>
            </w: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资产盘活率</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3</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部门闲置一年以上的资产盘活情况</w:t>
            </w:r>
          </w:p>
        </w:tc>
        <w:tc>
          <w:tcPr>
            <w:tcW w:w="7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3</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kinsoku/>
              <w:overflowPunct/>
              <w:topLinePunct w:val="0"/>
              <w:autoSpaceDE/>
              <w:autoSpaceDN/>
              <w:bidi w:val="0"/>
              <w:spacing w:line="240" w:lineRule="exact"/>
              <w:ind w:firstLineChars="200" w:firstLine="480"/>
              <w:jc w:val="left"/>
              <w:textAlignment w:val="center"/>
              <w:rPr>
                <w:rFonts w:ascii="宋体" w:eastAsia="宋体" w:cs="宋体"/>
                <w:color w:val="000000"/>
                <w:kern w:val="0"/>
                <w:sz w:val="24"/>
              </w:rPr>
            </w:pPr>
          </w:p>
        </w:tc>
      </w:tr>
      <w:tr>
        <w:trPr>
          <w:trHeight w:val="23"/>
        </w:trPr>
        <w:tc>
          <w:tcPr>
            <w:tcW w:w="1097" w:type="dxa"/>
            <w:vMerge/>
            <w:tcBorders>
              <w:left w:val="single" w:sz="4" w:space="0" w:color="000000"/>
              <w:right w:val="single" w:sz="4" w:space="0" w:color="000000"/>
            </w:tcBorders>
            <w:shd w:val="clear" w:color="auto" w:fill="auto"/>
            <w:noWrap/>
            <w:vAlign w:val="center"/>
          </w:tcPr>
          <w:p/>
        </w:tc>
        <w:tc>
          <w:tcPr>
            <w:tcW w:w="1201"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b/>
                <w:color w:val="000000"/>
                <w:sz w:val="24"/>
              </w:rPr>
            </w:pPr>
            <w:r>
              <w:rPr>
                <w:rFonts w:ascii="宋体" w:eastAsia="宋体" w:cs="宋体" w:hint="eastAsia"/>
                <w:b/>
                <w:color w:val="000000"/>
                <w:kern w:val="0"/>
                <w:sz w:val="24"/>
              </w:rPr>
              <w:t>采购管理</w:t>
              <w:br/>
              <w:t>（6分）</w:t>
            </w: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支持中小企业发展</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3</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部门是否严格执行政府采购促进中小企业发展相关管理办法</w:t>
            </w:r>
          </w:p>
        </w:tc>
        <w:tc>
          <w:tcPr>
            <w:tcW w:w="7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3</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kinsoku/>
              <w:overflowPunct/>
              <w:topLinePunct w:val="0"/>
              <w:autoSpaceDE/>
              <w:autoSpaceDN/>
              <w:bidi w:val="0"/>
              <w:spacing w:line="240" w:lineRule="exact"/>
              <w:ind w:firstLineChars="200" w:firstLine="480"/>
              <w:jc w:val="left"/>
              <w:textAlignment w:val="center"/>
              <w:rPr>
                <w:rFonts w:ascii="宋体" w:eastAsia="宋体" w:cs="宋体"/>
                <w:color w:val="000000"/>
                <w:kern w:val="0"/>
                <w:sz w:val="24"/>
              </w:rPr>
            </w:pPr>
          </w:p>
        </w:tc>
      </w:tr>
      <w:tr>
        <w:trPr>
          <w:trHeight w:val="176"/>
        </w:trPr>
        <w:tc>
          <w:tcPr>
            <w:tcW w:w="1097" w:type="dxa"/>
            <w:vMerge/>
            <w:tcBorders>
              <w:left w:val="single" w:sz="4" w:space="0" w:color="000000"/>
              <w:bottom w:val="single" w:sz="4" w:space="0" w:color="000000"/>
              <w:right w:val="single" w:sz="4" w:space="0" w:color="000000"/>
            </w:tcBorders>
            <w:shd w:val="clear" w:color="auto" w:fill="auto"/>
            <w:noWrap/>
            <w:vAlign w:val="center"/>
          </w:tcPr>
          <w:p/>
        </w:tc>
        <w:tc>
          <w:tcPr>
            <w:tcW w:w="1201"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采购执行率</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3</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部门政府采购项目资金支付比例情况</w:t>
            </w:r>
          </w:p>
        </w:tc>
        <w:tc>
          <w:tcPr>
            <w:tcW w:w="7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lang w:val="en-US" w:eastAsia="zh-CN"/>
              </w:rPr>
            </w:pPr>
            <w:r>
              <w:rPr>
                <w:rFonts w:ascii="宋体" w:eastAsia="宋体" w:cs="宋体" w:hint="eastAsia"/>
                <w:color w:val="000000"/>
                <w:kern w:val="0"/>
                <w:sz w:val="24"/>
                <w:lang w:val="en-US" w:eastAsia="zh-CN"/>
              </w:rPr>
              <w:t>3</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kinsoku/>
              <w:overflowPunct/>
              <w:topLinePunct w:val="0"/>
              <w:autoSpaceDE/>
              <w:autoSpaceDN/>
              <w:bidi w:val="0"/>
              <w:spacing w:line="240" w:lineRule="exact"/>
              <w:ind w:firstLineChars="200" w:firstLine="480"/>
              <w:jc w:val="left"/>
              <w:textAlignment w:val="center"/>
              <w:rPr>
                <w:rFonts w:ascii="宋体" w:eastAsia="宋体" w:cs="宋体"/>
                <w:color w:val="000000"/>
                <w:kern w:val="0"/>
                <w:sz w:val="24"/>
              </w:rPr>
            </w:pPr>
          </w:p>
        </w:tc>
      </w:tr>
      <w:tr>
        <w:trPr>
          <w:trHeight w:val="23"/>
        </w:trPr>
        <w:tc>
          <w:tcPr>
            <w:tcW w:w="109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b/>
                <w:color w:val="000000"/>
                <w:sz w:val="24"/>
              </w:rPr>
            </w:pPr>
            <w:r>
              <w:rPr>
                <w:rFonts w:ascii="宋体" w:eastAsia="宋体" w:cs="宋体" w:hint="eastAsia"/>
                <w:b/>
                <w:color w:val="000000"/>
                <w:kern w:val="0"/>
                <w:sz w:val="24"/>
              </w:rPr>
              <w:t>项目绩效（35分）</w:t>
            </w:r>
          </w:p>
        </w:tc>
        <w:tc>
          <w:tcPr>
            <w:tcW w:w="1201" w:type="dxa"/>
            <w:vMerge w:val="restart"/>
            <w:tcBorders>
              <w:top w:val="single" w:sz="4" w:space="0" w:color="000000"/>
              <w:left w:val="single" w:sz="4" w:space="0" w:color="000000"/>
              <w:bottom w:val="nil"/>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b/>
                <w:color w:val="000000"/>
                <w:sz w:val="24"/>
              </w:rPr>
            </w:pPr>
            <w:r>
              <w:rPr>
                <w:rFonts w:ascii="宋体" w:eastAsia="宋体" w:cs="宋体" w:hint="eastAsia"/>
                <w:b/>
                <w:color w:val="000000"/>
                <w:kern w:val="0"/>
                <w:sz w:val="24"/>
              </w:rPr>
              <w:t>项目决策</w:t>
              <w:br/>
              <w:t>（12分）</w:t>
            </w: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决策程序</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4</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部门预算项目设立是否按规定履行评估论证、申报程序</w:t>
            </w:r>
          </w:p>
        </w:tc>
        <w:tc>
          <w:tcPr>
            <w:tcW w:w="7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kinsoku/>
              <w:overflowPunct/>
              <w:topLinePunct w:val="0"/>
              <w:autoSpaceDE/>
              <w:autoSpaceDN/>
              <w:bidi w:val="0"/>
              <w:spacing w:line="240" w:lineRule="exact"/>
              <w:ind w:firstLineChars="200" w:firstLine="480"/>
              <w:jc w:val="left"/>
              <w:textAlignment w:val="center"/>
              <w:rPr>
                <w:rFonts w:ascii="宋体" w:eastAsia="宋体" w:cs="宋体"/>
                <w:color w:val="000000"/>
                <w:kern w:val="0"/>
                <w:sz w:val="24"/>
              </w:rPr>
            </w:pPr>
          </w:p>
        </w:tc>
      </w:tr>
      <w:tr>
        <w:trPr>
          <w:trHeight w:val="23"/>
        </w:trPr>
        <w:tc>
          <w:tcPr>
            <w:tcW w:w="109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01" w:type="dxa"/>
            <w:vMerge/>
            <w:tcBorders>
              <w:top w:val="single" w:sz="4" w:space="0" w:color="000000"/>
              <w:left w:val="single" w:sz="4" w:space="0" w:color="000000"/>
              <w:bottom w:val="nil"/>
              <w:right w:val="single" w:sz="4" w:space="0" w:color="000000"/>
            </w:tcBorders>
            <w:shd w:val="clear" w:color="auto" w:fill="auto"/>
            <w:noWrap/>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目标设置</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4</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部门预算项目绩效目标与计划期内的任务量、预算安排的资金量匹配情况，绩效目标设置是否科学合理、规范完整、量化细化、预算匹配</w:t>
            </w:r>
          </w:p>
        </w:tc>
        <w:tc>
          <w:tcPr>
            <w:tcW w:w="7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kinsoku/>
              <w:overflowPunct/>
              <w:topLinePunct w:val="0"/>
              <w:autoSpaceDE/>
              <w:autoSpaceDN/>
              <w:bidi w:val="0"/>
              <w:spacing w:line="240" w:lineRule="exact"/>
              <w:ind w:firstLineChars="200" w:firstLine="480"/>
              <w:jc w:val="left"/>
              <w:textAlignment w:val="center"/>
              <w:rPr>
                <w:rFonts w:ascii="宋体" w:eastAsia="宋体" w:cs="宋体"/>
                <w:color w:val="000000"/>
                <w:kern w:val="0"/>
                <w:sz w:val="24"/>
              </w:rPr>
            </w:pPr>
          </w:p>
        </w:tc>
      </w:tr>
      <w:tr>
        <w:trPr>
          <w:trHeight w:val="23"/>
        </w:trPr>
        <w:tc>
          <w:tcPr>
            <w:tcW w:w="109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01" w:type="dxa"/>
            <w:vMerge/>
            <w:tcBorders>
              <w:top w:val="single" w:sz="4" w:space="0" w:color="000000"/>
              <w:left w:val="single" w:sz="4" w:space="0" w:color="000000"/>
              <w:bottom w:val="nil"/>
              <w:right w:val="single" w:sz="4" w:space="0" w:color="000000"/>
            </w:tcBorders>
            <w:shd w:val="clear" w:color="auto" w:fill="auto"/>
            <w:noWrap/>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项目入库</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4</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部门预算项目是否在规定时间完成项目入库</w:t>
            </w:r>
          </w:p>
        </w:tc>
        <w:tc>
          <w:tcPr>
            <w:tcW w:w="7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kinsoku/>
              <w:overflowPunct/>
              <w:topLinePunct w:val="0"/>
              <w:autoSpaceDE/>
              <w:autoSpaceDN/>
              <w:bidi w:val="0"/>
              <w:spacing w:line="240" w:lineRule="exact"/>
              <w:ind w:firstLineChars="200" w:firstLine="480"/>
              <w:jc w:val="left"/>
              <w:textAlignment w:val="center"/>
              <w:rPr>
                <w:rFonts w:ascii="宋体" w:eastAsia="宋体" w:cs="宋体"/>
                <w:color w:val="000000"/>
                <w:kern w:val="0"/>
                <w:sz w:val="24"/>
              </w:rPr>
            </w:pPr>
          </w:p>
        </w:tc>
      </w:tr>
      <w:tr>
        <w:trPr>
          <w:trHeight w:val="23"/>
        </w:trPr>
        <w:tc>
          <w:tcPr>
            <w:tcW w:w="109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01" w:type="dxa"/>
            <w:vMerge w:val="restart"/>
            <w:tcBorders>
              <w:top w:val="single" w:sz="4" w:space="0" w:color="000000"/>
              <w:left w:val="single" w:sz="4" w:space="0" w:color="000000"/>
              <w:bottom w:val="nil"/>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b/>
                <w:color w:val="000000"/>
                <w:sz w:val="24"/>
              </w:rPr>
            </w:pPr>
            <w:r>
              <w:rPr>
                <w:rFonts w:ascii="宋体" w:eastAsia="宋体" w:cs="宋体" w:hint="eastAsia"/>
                <w:b/>
                <w:color w:val="000000"/>
                <w:kern w:val="0"/>
                <w:sz w:val="24"/>
              </w:rPr>
              <w:t>项目执行</w:t>
              <w:br/>
              <w:t>（12分）</w:t>
            </w: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执行同向</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4</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部门预算项目实际列支内容是否与绩效目标设置方向相符</w:t>
            </w:r>
          </w:p>
        </w:tc>
        <w:tc>
          <w:tcPr>
            <w:tcW w:w="7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kinsoku/>
              <w:overflowPunct/>
              <w:topLinePunct w:val="0"/>
              <w:autoSpaceDE/>
              <w:autoSpaceDN/>
              <w:bidi w:val="0"/>
              <w:spacing w:line="240" w:lineRule="exact"/>
              <w:ind w:firstLineChars="200" w:firstLine="480"/>
              <w:jc w:val="left"/>
              <w:textAlignment w:val="center"/>
              <w:rPr>
                <w:rFonts w:ascii="宋体" w:eastAsia="宋体" w:cs="宋体"/>
                <w:color w:val="000000"/>
                <w:kern w:val="0"/>
                <w:sz w:val="24"/>
              </w:rPr>
            </w:pPr>
          </w:p>
        </w:tc>
      </w:tr>
      <w:tr>
        <w:trPr>
          <w:trHeight w:val="23"/>
        </w:trPr>
        <w:tc>
          <w:tcPr>
            <w:tcW w:w="109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01" w:type="dxa"/>
            <w:vMerge/>
            <w:tcBorders>
              <w:top w:val="single" w:sz="4" w:space="0" w:color="000000"/>
              <w:left w:val="single" w:sz="4" w:space="0" w:color="000000"/>
              <w:bottom w:val="nil"/>
              <w:right w:val="single" w:sz="4" w:space="0" w:color="000000"/>
            </w:tcBorders>
            <w:shd w:val="clear" w:color="auto" w:fill="auto"/>
            <w:noWrap/>
            <w:vAlign w:val="center"/>
          </w:tcPr>
          <w:p/>
        </w:tc>
        <w:tc>
          <w:tcPr>
            <w:tcW w:w="1929" w:type="dxa"/>
            <w:tcBorders>
              <w:top w:val="single" w:sz="4" w:space="0" w:color="000000"/>
              <w:left w:val="single" w:sz="4" w:space="0" w:color="000000"/>
              <w:bottom w:val="nil"/>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项目调整</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4</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部门预算项目是否采取对应调整措施</w:t>
            </w:r>
          </w:p>
        </w:tc>
        <w:tc>
          <w:tcPr>
            <w:tcW w:w="7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kinsoku/>
              <w:overflowPunct/>
              <w:topLinePunct w:val="0"/>
              <w:autoSpaceDE/>
              <w:autoSpaceDN/>
              <w:bidi w:val="0"/>
              <w:spacing w:line="240" w:lineRule="exact"/>
              <w:ind w:firstLineChars="200" w:firstLine="480"/>
              <w:jc w:val="left"/>
              <w:textAlignment w:val="center"/>
              <w:rPr>
                <w:rFonts w:ascii="宋体" w:eastAsia="宋体" w:cs="宋体"/>
                <w:color w:val="000000"/>
                <w:kern w:val="0"/>
                <w:sz w:val="24"/>
              </w:rPr>
            </w:pPr>
          </w:p>
        </w:tc>
      </w:tr>
      <w:tr>
        <w:trPr>
          <w:trHeight w:val="23"/>
        </w:trPr>
        <w:tc>
          <w:tcPr>
            <w:tcW w:w="109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01" w:type="dxa"/>
            <w:vMerge/>
            <w:tcBorders>
              <w:top w:val="single" w:sz="4" w:space="0" w:color="000000"/>
              <w:left w:val="single" w:sz="4" w:space="0" w:color="000000"/>
              <w:bottom w:val="nil"/>
              <w:right w:val="single" w:sz="4" w:space="0" w:color="000000"/>
            </w:tcBorders>
            <w:shd w:val="clear" w:color="auto" w:fill="auto"/>
            <w:noWrap/>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执行结果</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4</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部门预算项目预算执行情况</w:t>
            </w:r>
          </w:p>
        </w:tc>
        <w:tc>
          <w:tcPr>
            <w:tcW w:w="7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lang w:val="en-US" w:eastAsia="zh-CN"/>
              </w:rPr>
            </w:pPr>
            <w:r>
              <w:rPr>
                <w:rFonts w:ascii="宋体" w:eastAsia="宋体" w:cs="宋体" w:hint="eastAsia"/>
                <w:color w:val="000000"/>
                <w:kern w:val="0"/>
                <w:sz w:val="24"/>
                <w:lang w:val="en-US" w:eastAsia="zh-CN"/>
              </w:rPr>
              <w:t>2.65</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kinsoku/>
              <w:overflowPunct/>
              <w:topLinePunct w:val="0"/>
              <w:autoSpaceDE/>
              <w:autoSpaceDN/>
              <w:bidi w:val="0"/>
              <w:spacing w:line="240" w:lineRule="exact"/>
              <w:ind w:firstLineChars="200" w:firstLine="480"/>
              <w:jc w:val="left"/>
              <w:textAlignment w:val="center"/>
              <w:rPr>
                <w:rFonts w:ascii="宋体" w:eastAsia="宋体" w:cs="宋体"/>
                <w:color w:val="000000"/>
                <w:kern w:val="0"/>
                <w:sz w:val="24"/>
              </w:rPr>
            </w:pPr>
          </w:p>
        </w:tc>
      </w:tr>
      <w:tr>
        <w:trPr>
          <w:trHeight w:val="23"/>
        </w:trPr>
        <w:tc>
          <w:tcPr>
            <w:tcW w:w="109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01"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b/>
                <w:color w:val="000000"/>
                <w:sz w:val="24"/>
              </w:rPr>
            </w:pPr>
            <w:r>
              <w:rPr>
                <w:rFonts w:ascii="宋体" w:eastAsia="宋体" w:cs="宋体" w:hint="eastAsia"/>
                <w:b/>
                <w:color w:val="000000"/>
                <w:kern w:val="0"/>
                <w:sz w:val="24"/>
              </w:rPr>
              <w:t>目标实现</w:t>
              <w:br/>
              <w:t>（11分）</w:t>
            </w: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目标完成</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4</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部门预算项目绩效目标数量指标完成情况</w:t>
            </w:r>
          </w:p>
        </w:tc>
        <w:tc>
          <w:tcPr>
            <w:tcW w:w="7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kinsoku/>
              <w:overflowPunct/>
              <w:topLinePunct w:val="0"/>
              <w:autoSpaceDE/>
              <w:autoSpaceDN/>
              <w:bidi w:val="0"/>
              <w:spacing w:line="240" w:lineRule="exact"/>
              <w:ind w:firstLineChars="200" w:firstLine="480"/>
              <w:jc w:val="left"/>
              <w:textAlignment w:val="center"/>
              <w:rPr>
                <w:rFonts w:ascii="宋体" w:eastAsia="宋体" w:cs="宋体"/>
                <w:color w:val="000000"/>
                <w:kern w:val="0"/>
                <w:sz w:val="24"/>
              </w:rPr>
            </w:pPr>
          </w:p>
        </w:tc>
      </w:tr>
      <w:tr>
        <w:trPr>
          <w:trHeight w:val="23"/>
        </w:trPr>
        <w:tc>
          <w:tcPr>
            <w:tcW w:w="109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01"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目标偏离</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4</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部门预算项目绩效目标数量指标实现程度与预期目标的偏离情况</w:t>
            </w:r>
          </w:p>
        </w:tc>
        <w:tc>
          <w:tcPr>
            <w:tcW w:w="7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kinsoku/>
              <w:overflowPunct/>
              <w:topLinePunct w:val="0"/>
              <w:autoSpaceDE/>
              <w:autoSpaceDN/>
              <w:bidi w:val="0"/>
              <w:spacing w:line="240" w:lineRule="exact"/>
              <w:ind w:firstLineChars="200" w:firstLine="480"/>
              <w:jc w:val="left"/>
              <w:textAlignment w:val="center"/>
              <w:rPr>
                <w:rFonts w:ascii="宋体" w:eastAsia="宋体" w:cs="宋体"/>
                <w:color w:val="000000"/>
                <w:kern w:val="0"/>
                <w:sz w:val="24"/>
              </w:rPr>
            </w:pPr>
          </w:p>
        </w:tc>
      </w:tr>
      <w:tr>
        <w:trPr>
          <w:trHeight w:val="23"/>
        </w:trPr>
        <w:tc>
          <w:tcPr>
            <w:tcW w:w="109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01"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实现效果</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3</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部门预算项目绩效目标效益指标实施效果</w:t>
            </w:r>
          </w:p>
        </w:tc>
        <w:tc>
          <w:tcPr>
            <w:tcW w:w="7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3</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kinsoku/>
              <w:overflowPunct/>
              <w:topLinePunct w:val="0"/>
              <w:autoSpaceDE/>
              <w:autoSpaceDN/>
              <w:bidi w:val="0"/>
              <w:spacing w:line="240" w:lineRule="exact"/>
              <w:ind w:firstLineChars="200" w:firstLine="480"/>
              <w:jc w:val="left"/>
              <w:textAlignment w:val="center"/>
              <w:rPr>
                <w:rFonts w:ascii="宋体" w:eastAsia="宋体" w:cs="宋体"/>
                <w:color w:val="000000"/>
                <w:kern w:val="0"/>
                <w:sz w:val="24"/>
              </w:rPr>
            </w:pPr>
          </w:p>
        </w:tc>
      </w:tr>
      <w:tr>
        <w:trPr>
          <w:trHeight w:val="23"/>
        </w:trPr>
        <w:tc>
          <w:tcPr>
            <w:tcW w:w="10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b/>
                <w:color w:val="000000"/>
                <w:sz w:val="24"/>
              </w:rPr>
            </w:pPr>
            <w:r>
              <w:rPr>
                <w:rFonts w:ascii="宋体" w:eastAsia="宋体" w:cs="宋体" w:hint="eastAsia"/>
                <w:b/>
                <w:color w:val="000000"/>
                <w:kern w:val="0"/>
                <w:sz w:val="24"/>
              </w:rPr>
              <w:t>扣分项</w:t>
              <w:br/>
              <w:t>（10分）</w:t>
            </w:r>
          </w:p>
        </w:tc>
        <w:tc>
          <w:tcPr>
            <w:tcW w:w="313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被评价部门配合度</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sz w:val="24"/>
              </w:rPr>
            </w:pPr>
            <w:r>
              <w:rPr>
                <w:rFonts w:ascii="宋体" w:eastAsia="宋体" w:cs="宋体" w:hint="eastAsia"/>
                <w:color w:val="000000"/>
                <w:kern w:val="0"/>
                <w:sz w:val="24"/>
              </w:rPr>
              <w:t>被评价对象工作配合情况</w:t>
            </w:r>
          </w:p>
        </w:tc>
        <w:tc>
          <w:tcPr>
            <w:tcW w:w="7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lang w:val="en-US" w:eastAsia="zh-CN"/>
              </w:rPr>
            </w:pP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kinsoku/>
              <w:overflowPunct/>
              <w:topLinePunct w:val="0"/>
              <w:autoSpaceDE/>
              <w:autoSpaceDN/>
              <w:bidi w:val="0"/>
              <w:spacing w:line="240" w:lineRule="exact"/>
              <w:ind w:firstLineChars="200" w:firstLine="480"/>
              <w:jc w:val="left"/>
              <w:textAlignment w:val="center"/>
              <w:rPr>
                <w:rFonts w:ascii="宋体" w:eastAsia="宋体" w:cs="宋体"/>
                <w:color w:val="000000"/>
                <w:kern w:val="0"/>
                <w:sz w:val="24"/>
              </w:rPr>
            </w:pPr>
          </w:p>
        </w:tc>
      </w:tr>
    </w:tbl>
    <w:p>
      <w:pPr>
        <w:pStyle w:val="28"/>
        <w:keepNext/>
        <w:keepLines/>
        <w:pageBreakBefore w:val="0"/>
        <w:widowControl w:val="0"/>
        <w:kinsoku/>
        <w:overflowPunct/>
        <w:topLinePunct w:val="0"/>
        <w:autoSpaceDE/>
        <w:autoSpaceDN/>
        <w:bidi w:val="0"/>
        <w:spacing w:line="20" w:lineRule="exact"/>
        <w:ind w:firstLineChars="200" w:firstLine="480"/>
      </w:pPr>
    </w:p>
    <w:p>
      <w:pPr>
        <w:pageBreakBefore w:val="0"/>
        <w:widowControl w:val="0"/>
        <w:kinsoku/>
        <w:overflowPunct/>
        <w:topLinePunct w:val="0"/>
        <w:autoSpaceDE/>
        <w:autoSpaceDN/>
        <w:bidi w:val="0"/>
        <w:spacing w:line="20" w:lineRule="exact"/>
        <w:ind w:firstLineChars="200" w:firstLine="420"/>
        <w:rPr>
          <w:rFonts w:eastAsia="黑体"/>
        </w:rPr>
      </w:pPr>
      <w:r>
        <w:rPr>
          <w:rFonts w:eastAsia="黑体"/>
        </w:rPr>
        <w:br w:type="page"/>
      </w:r>
    </w:p>
    <w:p>
      <w:pPr>
        <w:pageBreakBefore w:val="0"/>
        <w:widowControl w:val="0"/>
        <w:kinsoku/>
        <w:overflowPunct/>
        <w:topLinePunct w:val="0"/>
        <w:autoSpaceDE/>
        <w:autoSpaceDN/>
        <w:bidi w:val="0"/>
        <w:spacing w:line="578" w:lineRule="exact"/>
        <w:ind w:firstLineChars="200" w:firstLine="420"/>
        <w:jc w:val="left"/>
        <w:rPr>
          <w:rFonts w:eastAsia="黑体"/>
        </w:rPr>
      </w:pPr>
      <w:r>
        <w:rPr>
          <w:rFonts w:eastAsia="黑体"/>
        </w:rPr>
        <w:t>附表</w:t>
      </w:r>
      <w:r>
        <w:rPr>
          <w:rFonts w:eastAsia="黑体" w:hint="eastAsia"/>
        </w:rPr>
        <w:t>2</w:t>
      </w:r>
    </w:p>
    <w:p>
      <w:pPr>
        <w:pageBreakBefore w:val="0"/>
        <w:widowControl/>
        <w:kinsoku/>
        <w:overflowPunct/>
        <w:topLinePunct w:val="0"/>
        <w:autoSpaceDE/>
        <w:autoSpaceDN/>
        <w:bidi w:val="0"/>
        <w:spacing w:line="578" w:lineRule="exact"/>
        <w:jc w:val="both"/>
        <w:textAlignment w:val="center"/>
        <w:rPr>
          <w:rFonts w:eastAsia="方正小标宋简体"/>
          <w:color w:val="000000"/>
          <w:kern w:val="0"/>
          <w:sz w:val="44"/>
          <w:szCs w:val="44"/>
        </w:rPr>
      </w:pPr>
      <w:r>
        <w:rPr>
          <w:rFonts w:eastAsia="方正小标宋简体"/>
          <w:color w:val="000000"/>
          <w:kern w:val="0"/>
          <w:sz w:val="44"/>
          <w:szCs w:val="44"/>
        </w:rPr>
        <w:t>部门整体</w:t>
      </w:r>
      <w:r>
        <w:rPr>
          <w:rFonts w:eastAsia="方正小标宋简体" w:hint="eastAsia"/>
          <w:color w:val="000000"/>
          <w:kern w:val="0"/>
          <w:sz w:val="44"/>
          <w:szCs w:val="44"/>
        </w:rPr>
        <w:t>支出</w:t>
      </w:r>
      <w:r>
        <w:rPr>
          <w:rFonts w:eastAsia="方正小标宋简体"/>
          <w:color w:val="000000"/>
          <w:kern w:val="0"/>
          <w:sz w:val="44"/>
          <w:szCs w:val="44"/>
        </w:rPr>
        <w:t>绩效目标完成情况自评表</w:t>
      </w:r>
    </w:p>
    <w:tbl>
      <w:tblPr>
        <w:jc w:val="center"/>
        <w:tblW w:w="9658"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331"/>
        <w:gridCol w:w="593"/>
        <w:gridCol w:w="972"/>
        <w:gridCol w:w="1282"/>
        <w:gridCol w:w="722"/>
        <w:gridCol w:w="791"/>
        <w:gridCol w:w="1037"/>
        <w:gridCol w:w="1036"/>
        <w:gridCol w:w="1145"/>
        <w:gridCol w:w="1749"/>
      </w:tblGrid>
      <w:tr>
        <w:trPr>
          <w:trHeight w:val="465"/>
        </w:trPr>
        <w:tc>
          <w:tcPr>
            <w:tcW w:w="1896" w:type="dxa"/>
            <w:gridSpan w:val="3"/>
            <w:tcBorders>
              <w:top w:val="single" w:sz="4" w:space="0" w:color="000000"/>
              <w:left w:val="single" w:sz="4" w:space="0" w:color="000000"/>
              <w:bottom w:val="single" w:sz="4" w:space="0" w:color="auto"/>
              <w:right w:val="single" w:sz="4" w:space="0" w:color="000000"/>
            </w:tcBorders>
            <w:noWrap/>
            <w:vAlign w:val="center"/>
          </w:tcPr>
          <w:p>
            <w:pPr>
              <w:pageBreakBefore w:val="0"/>
              <w:widowControl w:val="0"/>
              <w:kinsoku/>
              <w:overflowPunct/>
              <w:topLinePunct w:val="0"/>
              <w:autoSpaceDE/>
              <w:autoSpaceDN/>
              <w:bidi w:val="0"/>
              <w:ind w:firstLineChars="200" w:firstLine="480"/>
              <w:rPr>
                <w:rFonts w:ascii="宋体" w:eastAsia="宋体" w:cs="宋体"/>
                <w:color w:val="000000"/>
                <w:kern w:val="0"/>
                <w:sz w:val="24"/>
              </w:rPr>
            </w:pPr>
            <w:r>
              <w:rPr>
                <w:rFonts w:eastAsia="黑体"/>
                <w:sz w:val="24"/>
              </w:rPr>
              <w:br w:type="page"/>
            </w:r>
            <w:r>
              <w:rPr>
                <w:rFonts w:ascii="宋体" w:eastAsia="宋体" w:cs="宋体" w:hint="eastAsia"/>
                <w:color w:val="000000"/>
                <w:kern w:val="0"/>
                <w:sz w:val="24"/>
              </w:rPr>
              <w:t>部门名称</w:t>
            </w:r>
          </w:p>
        </w:tc>
        <w:tc>
          <w:tcPr>
            <w:tcW w:w="7762" w:type="dxa"/>
            <w:gridSpan w:val="7"/>
            <w:tcBorders>
              <w:top w:val="single" w:sz="4" w:space="0" w:color="000000"/>
              <w:left w:val="single" w:sz="4" w:space="0" w:color="000000"/>
              <w:bottom w:val="single" w:sz="4" w:space="0" w:color="000000"/>
              <w:right w:val="single" w:sz="4" w:space="0" w:color="000000"/>
            </w:tcBorders>
            <w:noWrap/>
            <w:vAlign w:val="center"/>
          </w:tcPr>
          <w:p>
            <w:pPr>
              <w:pageBreakBefore w:val="0"/>
              <w:widowControl/>
              <w:kinsoku/>
              <w:overflowPunct/>
              <w:topLinePunct w:val="0"/>
              <w:autoSpaceDE/>
              <w:autoSpaceDN/>
              <w:bidi w:val="0"/>
              <w:spacing w:line="240" w:lineRule="exact"/>
              <w:ind w:firstLineChars="200" w:firstLine="480"/>
              <w:jc w:val="center"/>
              <w:textAlignment w:val="center"/>
              <w:rPr>
                <w:rFonts w:ascii="宋体" w:eastAsia="宋体" w:cs="宋体" w:hint="eastAsia"/>
                <w:color w:val="000000"/>
                <w:kern w:val="0"/>
                <w:sz w:val="24"/>
                <w:lang w:eastAsia="zh-CN"/>
              </w:rPr>
            </w:pPr>
            <w:r>
              <w:rPr>
                <w:rFonts w:ascii="宋体" w:eastAsia="宋体" w:cs="宋体" w:hint="eastAsia"/>
                <w:color w:val="000000"/>
                <w:kern w:val="0"/>
                <w:sz w:val="24"/>
              </w:rPr>
              <w:t>阿坝州</w:t>
            </w:r>
            <w:r>
              <w:rPr>
                <w:rFonts w:ascii="宋体" w:eastAsia="宋体" w:cs="宋体" w:hint="eastAsia"/>
                <w:color w:val="000000"/>
                <w:kern w:val="0"/>
                <w:sz w:val="24"/>
                <w:lang w:eastAsia="zh-CN"/>
              </w:rPr>
              <w:t>公安局</w:t>
            </w:r>
          </w:p>
        </w:tc>
      </w:tr>
      <w:tr>
        <w:trPr>
          <w:trHeight w:val="239"/>
        </w:trPr>
        <w:tc>
          <w:tcPr>
            <w:tcW w:w="1896" w:type="dxa"/>
            <w:gridSpan w:val="3"/>
            <w:tcBorders>
              <w:top w:val="single" w:sz="4" w:space="0" w:color="auto"/>
              <w:left w:val="single" w:sz="4" w:space="0" w:color="auto"/>
              <w:bottom w:val="single" w:sz="4" w:space="0" w:color="auto"/>
              <w:right w:val="single" w:sz="4" w:space="0" w:color="auto"/>
            </w:tcBorders>
            <w:noWrap/>
            <w:vAlign w:val="center"/>
          </w:tcPr>
          <w:p>
            <w:pPr>
              <w:pageBreakBefore w:val="0"/>
              <w:widowControl/>
              <w:kinsoku/>
              <w:overflowPunct/>
              <w:topLinePunct w:val="0"/>
              <w:autoSpaceDE/>
              <w:autoSpaceDN/>
              <w:bidi w:val="0"/>
              <w:spacing w:line="240" w:lineRule="exact"/>
              <w:ind w:firstLineChars="200" w:firstLine="480"/>
              <w:jc w:val="center"/>
              <w:textAlignment w:val="center"/>
              <w:rPr>
                <w:rFonts w:ascii="宋体" w:eastAsia="宋体" w:cs="宋体"/>
                <w:color w:val="000000"/>
                <w:kern w:val="0"/>
                <w:sz w:val="24"/>
              </w:rPr>
            </w:pPr>
            <w:r>
              <w:rPr>
                <w:rFonts w:ascii="宋体" w:eastAsia="宋体" w:cs="宋体" w:hint="eastAsia"/>
                <w:color w:val="000000"/>
                <w:kern w:val="0"/>
                <w:sz w:val="24"/>
              </w:rPr>
              <w:t>年度部门整体预算</w:t>
            </w:r>
          </w:p>
        </w:tc>
        <w:tc>
          <w:tcPr>
            <w:tcW w:w="2004" w:type="dxa"/>
            <w:gridSpan w:val="2"/>
            <w:tcBorders>
              <w:top w:val="single" w:sz="4" w:space="0" w:color="000000"/>
              <w:left w:val="single" w:sz="4" w:space="0" w:color="auto"/>
              <w:bottom w:val="single" w:sz="4" w:space="0" w:color="000000"/>
              <w:right w:val="single" w:sz="4" w:space="0" w:color="auto"/>
            </w:tcBorders>
            <w:noWrap/>
            <w:vAlign w:val="center"/>
          </w:tcPr>
          <w:p>
            <w:pPr>
              <w:pageBreakBefore w:val="0"/>
              <w:widowControl/>
              <w:kinsoku/>
              <w:overflowPunct/>
              <w:topLinePunct w:val="0"/>
              <w:autoSpaceDE/>
              <w:autoSpaceDN/>
              <w:bidi w:val="0"/>
              <w:spacing w:line="240" w:lineRule="exact"/>
              <w:ind w:firstLineChars="200" w:firstLine="480"/>
              <w:jc w:val="center"/>
              <w:textAlignment w:val="center"/>
              <w:rPr>
                <w:rFonts w:ascii="宋体" w:eastAsia="宋体" w:cs="宋体"/>
                <w:color w:val="000000"/>
                <w:kern w:val="0"/>
                <w:sz w:val="24"/>
              </w:rPr>
            </w:pPr>
            <w:r>
              <w:rPr>
                <w:rFonts w:ascii="宋体" w:eastAsia="宋体" w:cs="宋体" w:hint="eastAsia"/>
                <w:color w:val="000000"/>
                <w:kern w:val="0"/>
                <w:sz w:val="24"/>
              </w:rPr>
              <w:t>资金总额</w:t>
            </w:r>
          </w:p>
        </w:tc>
        <w:tc>
          <w:tcPr>
            <w:tcW w:w="1828" w:type="dxa"/>
            <w:gridSpan w:val="2"/>
            <w:tcBorders>
              <w:top w:val="single" w:sz="4" w:space="0" w:color="auto"/>
              <w:left w:val="single" w:sz="4" w:space="0" w:color="auto"/>
              <w:bottom w:val="single" w:sz="4" w:space="0" w:color="auto"/>
              <w:right w:val="single" w:sz="4" w:space="0" w:color="auto"/>
            </w:tcBorders>
            <w:noWrap/>
            <w:vAlign w:val="center"/>
          </w:tcPr>
          <w:p>
            <w:pPr>
              <w:pageBreakBefore w:val="0"/>
              <w:widowControl/>
              <w:kinsoku/>
              <w:overflowPunct/>
              <w:topLinePunct w:val="0"/>
              <w:autoSpaceDE/>
              <w:autoSpaceDN/>
              <w:bidi w:val="0"/>
              <w:spacing w:line="240" w:lineRule="exact"/>
              <w:ind w:firstLineChars="200" w:firstLine="480"/>
              <w:jc w:val="center"/>
              <w:textAlignment w:val="center"/>
              <w:rPr>
                <w:rFonts w:ascii="宋体" w:eastAsia="宋体" w:cs="宋体"/>
                <w:color w:val="000000"/>
                <w:kern w:val="0"/>
                <w:sz w:val="24"/>
              </w:rPr>
            </w:pPr>
            <w:r>
              <w:rPr>
                <w:rFonts w:ascii="宋体" w:eastAsia="宋体" w:cs="宋体" w:hint="eastAsia"/>
                <w:color w:val="000000"/>
                <w:kern w:val="0"/>
                <w:sz w:val="24"/>
              </w:rPr>
              <w:t>财政拨款</w:t>
            </w:r>
          </w:p>
        </w:tc>
        <w:tc>
          <w:tcPr>
            <w:tcW w:w="3930" w:type="dxa"/>
            <w:gridSpan w:val="3"/>
            <w:tcBorders>
              <w:top w:val="single" w:sz="4" w:space="0" w:color="auto"/>
              <w:left w:val="single" w:sz="4" w:space="0" w:color="auto"/>
              <w:bottom w:val="single" w:sz="4" w:space="0" w:color="auto"/>
              <w:right w:val="single" w:sz="4" w:space="0" w:color="auto"/>
            </w:tcBorders>
            <w:noWrap/>
            <w:vAlign w:val="center"/>
          </w:tcPr>
          <w:p>
            <w:pPr>
              <w:pageBreakBefore w:val="0"/>
              <w:widowControl/>
              <w:kinsoku/>
              <w:overflowPunct/>
              <w:topLinePunct w:val="0"/>
              <w:autoSpaceDE/>
              <w:autoSpaceDN/>
              <w:bidi w:val="0"/>
              <w:spacing w:line="240" w:lineRule="exact"/>
              <w:ind w:firstLineChars="200" w:firstLine="480"/>
              <w:jc w:val="center"/>
              <w:textAlignment w:val="center"/>
              <w:rPr>
                <w:rFonts w:ascii="宋体" w:eastAsia="宋体" w:cs="宋体"/>
                <w:color w:val="000000"/>
                <w:kern w:val="0"/>
                <w:sz w:val="24"/>
              </w:rPr>
            </w:pPr>
            <w:r>
              <w:rPr>
                <w:rFonts w:ascii="宋体" w:eastAsia="宋体" w:cs="宋体" w:hint="eastAsia"/>
                <w:color w:val="000000"/>
                <w:kern w:val="0"/>
                <w:sz w:val="24"/>
              </w:rPr>
              <w:t>其他资金</w:t>
            </w:r>
          </w:p>
        </w:tc>
      </w:tr>
      <w:tr>
        <w:trPr>
          <w:trHeight w:val="239"/>
        </w:trPr>
        <w:tc>
          <w:tcPr>
            <w:tcW w:w="1896" w:type="dxa"/>
            <w:gridSpan w:val="3"/>
            <w:tcBorders>
              <w:top w:val="single" w:sz="4" w:space="0" w:color="auto"/>
              <w:left w:val="single" w:sz="4" w:space="0" w:color="auto"/>
              <w:bottom w:val="single" w:sz="4" w:space="0" w:color="auto"/>
              <w:right w:val="single" w:sz="4" w:space="0" w:color="auto"/>
            </w:tcBorders>
            <w:noWrap/>
            <w:vAlign w:val="center"/>
          </w:tcPr>
          <w:p>
            <w:pPr>
              <w:pageBreakBefore w:val="0"/>
              <w:widowControl/>
              <w:kinsoku/>
              <w:overflowPunct/>
              <w:topLinePunct w:val="0"/>
              <w:autoSpaceDE/>
              <w:autoSpaceDN/>
              <w:bidi w:val="0"/>
              <w:spacing w:line="240" w:lineRule="exact"/>
              <w:ind w:firstLineChars="200" w:firstLine="480"/>
              <w:jc w:val="center"/>
              <w:textAlignment w:val="center"/>
              <w:rPr>
                <w:rFonts w:ascii="宋体" w:eastAsia="宋体" w:cs="宋体"/>
                <w:color w:val="000000"/>
                <w:kern w:val="0"/>
                <w:sz w:val="24"/>
              </w:rPr>
            </w:pPr>
            <w:r>
              <w:rPr>
                <w:rFonts w:ascii="宋体" w:eastAsia="宋体" w:cs="宋体" w:hint="eastAsia"/>
                <w:color w:val="000000"/>
                <w:kern w:val="0"/>
                <w:sz w:val="24"/>
              </w:rPr>
              <w:t>收入预算</w:t>
            </w:r>
          </w:p>
        </w:tc>
        <w:tc>
          <w:tcPr>
            <w:tcW w:w="2004" w:type="dxa"/>
            <w:gridSpan w:val="2"/>
            <w:tcBorders>
              <w:top w:val="single" w:sz="4" w:space="0" w:color="000000"/>
              <w:left w:val="single" w:sz="4" w:space="0" w:color="auto"/>
              <w:bottom w:val="single" w:sz="4" w:space="0" w:color="000000"/>
              <w:right w:val="single" w:sz="4" w:space="0" w:color="auto"/>
            </w:tcBorders>
            <w:noWrap/>
            <w:vAlign w:val="center"/>
          </w:tcPr>
          <w:p>
            <w:pPr>
              <w:keepNext w:val="0"/>
              <w:keepLines w:val="0"/>
              <w:widowControl/>
              <w:suppressLineNumbers w:val="0"/>
              <w:jc w:val="right"/>
              <w:textAlignment w:val="center"/>
              <w:rPr>
                <w:rFonts w:ascii="宋体" w:eastAsia="宋体" w:cs="宋体"/>
                <w:color w:val="000000"/>
                <w:kern w:val="0"/>
                <w:sz w:val="24"/>
              </w:rPr>
            </w:pPr>
            <w:r>
              <w:rPr>
                <w:rFonts w:ascii="宋体" w:eastAsia="宋体" w:cs="宋体" w:hint="eastAsia"/>
                <w:i w:val="0"/>
                <w:iCs w:val="0"/>
                <w:color w:val="000000"/>
                <w:kern w:val="0"/>
                <w:sz w:val="22"/>
                <w:szCs w:val="22"/>
                <w:u w:val="none"/>
                <w:lang w:val="en-US" w:eastAsia="zh-CN"/>
              </w:rPr>
              <w:t>277,119,941.82</w:t>
            </w:r>
          </w:p>
        </w:tc>
        <w:tc>
          <w:tcPr>
            <w:tcW w:w="1828"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right"/>
              <w:textAlignment w:val="center"/>
              <w:rPr>
                <w:rFonts w:ascii="宋体" w:eastAsia="宋体" w:cs="宋体"/>
                <w:color w:val="000000"/>
                <w:kern w:val="0"/>
                <w:sz w:val="24"/>
              </w:rPr>
            </w:pPr>
            <w:r>
              <w:rPr>
                <w:rFonts w:ascii="宋体" w:eastAsia="宋体" w:cs="宋体" w:hint="eastAsia"/>
                <w:i w:val="0"/>
                <w:iCs w:val="0"/>
                <w:color w:val="000000"/>
                <w:kern w:val="0"/>
                <w:sz w:val="22"/>
                <w:szCs w:val="22"/>
                <w:u w:val="none"/>
                <w:lang w:val="en-US" w:eastAsia="zh-CN"/>
              </w:rPr>
              <w:t>277,119,941.82</w:t>
            </w:r>
          </w:p>
        </w:tc>
        <w:tc>
          <w:tcPr>
            <w:tcW w:w="3930" w:type="dxa"/>
            <w:gridSpan w:val="3"/>
            <w:tcBorders>
              <w:top w:val="single" w:sz="4" w:space="0" w:color="auto"/>
              <w:left w:val="single" w:sz="4" w:space="0" w:color="auto"/>
              <w:bottom w:val="single" w:sz="4" w:space="0" w:color="auto"/>
              <w:right w:val="single" w:sz="4" w:space="0" w:color="auto"/>
            </w:tcBorders>
            <w:noWrap/>
            <w:vAlign w:val="center"/>
          </w:tcPr>
          <w:p>
            <w:pPr>
              <w:pageBreakBefore w:val="0"/>
              <w:widowControl/>
              <w:kinsoku/>
              <w:overflowPunct/>
              <w:topLinePunct w:val="0"/>
              <w:autoSpaceDE/>
              <w:autoSpaceDN/>
              <w:bidi w:val="0"/>
              <w:spacing w:line="240" w:lineRule="exact"/>
              <w:ind w:firstLineChars="200" w:firstLine="480"/>
              <w:jc w:val="center"/>
              <w:textAlignment w:val="center"/>
              <w:rPr>
                <w:rFonts w:ascii="宋体" w:eastAsia="宋体" w:cs="宋体"/>
                <w:color w:val="000000"/>
                <w:kern w:val="0"/>
                <w:sz w:val="24"/>
              </w:rPr>
            </w:pPr>
          </w:p>
        </w:tc>
      </w:tr>
      <w:tr>
        <w:trPr>
          <w:trHeight w:val="296"/>
        </w:trPr>
        <w:tc>
          <w:tcPr>
            <w:tcW w:w="1896" w:type="dxa"/>
            <w:gridSpan w:val="3"/>
            <w:tcBorders>
              <w:top w:val="single" w:sz="4" w:space="0" w:color="auto"/>
              <w:left w:val="single" w:sz="4" w:space="0" w:color="auto"/>
              <w:bottom w:val="single" w:sz="4" w:space="0" w:color="auto"/>
              <w:right w:val="single" w:sz="4" w:space="0" w:color="auto"/>
            </w:tcBorders>
            <w:noWrap/>
            <w:vAlign w:val="center"/>
          </w:tcPr>
          <w:p>
            <w:pPr>
              <w:pageBreakBefore w:val="0"/>
              <w:widowControl/>
              <w:kinsoku/>
              <w:overflowPunct/>
              <w:topLinePunct w:val="0"/>
              <w:autoSpaceDE/>
              <w:autoSpaceDN/>
              <w:bidi w:val="0"/>
              <w:spacing w:line="240" w:lineRule="exact"/>
              <w:ind w:firstLineChars="200" w:firstLine="480"/>
              <w:jc w:val="center"/>
              <w:textAlignment w:val="center"/>
              <w:rPr>
                <w:rFonts w:ascii="宋体" w:eastAsia="宋体" w:cs="宋体"/>
                <w:color w:val="000000"/>
                <w:kern w:val="0"/>
                <w:sz w:val="24"/>
              </w:rPr>
            </w:pPr>
            <w:r>
              <w:rPr>
                <w:rFonts w:ascii="宋体" w:eastAsia="宋体" w:cs="宋体" w:hint="eastAsia"/>
                <w:color w:val="000000"/>
                <w:kern w:val="0"/>
                <w:sz w:val="24"/>
              </w:rPr>
              <w:t>支出预算</w:t>
            </w:r>
          </w:p>
        </w:tc>
        <w:tc>
          <w:tcPr>
            <w:tcW w:w="2004" w:type="dxa"/>
            <w:gridSpan w:val="2"/>
            <w:tcBorders>
              <w:top w:val="single" w:sz="4" w:space="0" w:color="000000"/>
              <w:left w:val="single" w:sz="4" w:space="0" w:color="auto"/>
              <w:bottom w:val="single" w:sz="4" w:space="0" w:color="000000"/>
              <w:right w:val="single" w:sz="4" w:space="0" w:color="000000"/>
            </w:tcBorders>
            <w:noWrap/>
            <w:vAlign w:val="center"/>
          </w:tcPr>
          <w:p>
            <w:pPr>
              <w:keepNext w:val="0"/>
              <w:keepLines w:val="0"/>
              <w:widowControl/>
              <w:suppressLineNumbers w:val="0"/>
              <w:jc w:val="right"/>
              <w:textAlignment w:val="center"/>
              <w:rPr>
                <w:rFonts w:ascii="宋体" w:eastAsia="宋体" w:cs="宋体"/>
                <w:color w:val="000000"/>
                <w:kern w:val="0"/>
                <w:sz w:val="24"/>
              </w:rPr>
            </w:pPr>
            <w:r>
              <w:rPr>
                <w:rFonts w:ascii="宋体" w:eastAsia="宋体" w:cs="宋体" w:hint="eastAsia"/>
                <w:i w:val="0"/>
                <w:iCs w:val="0"/>
                <w:color w:val="000000"/>
                <w:kern w:val="0"/>
                <w:sz w:val="22"/>
                <w:szCs w:val="22"/>
                <w:u w:val="none"/>
                <w:lang w:val="en-US" w:eastAsia="zh-CN"/>
              </w:rPr>
              <w:t>277,119,941.82</w:t>
            </w:r>
          </w:p>
        </w:tc>
        <w:tc>
          <w:tcPr>
            <w:tcW w:w="1828" w:type="dxa"/>
            <w:gridSpan w:val="2"/>
            <w:tcBorders>
              <w:top w:val="single" w:sz="4" w:space="0" w:color="auto"/>
              <w:left w:val="single" w:sz="4" w:space="0" w:color="000000"/>
              <w:bottom w:val="single" w:sz="4" w:space="0" w:color="000000"/>
              <w:right w:val="single" w:sz="4" w:space="0" w:color="000000"/>
            </w:tcBorders>
            <w:noWrap/>
            <w:vAlign w:val="center"/>
          </w:tcPr>
          <w:p>
            <w:pPr>
              <w:keepNext w:val="0"/>
              <w:keepLines w:val="0"/>
              <w:widowControl/>
              <w:suppressLineNumbers w:val="0"/>
              <w:jc w:val="right"/>
              <w:textAlignment w:val="center"/>
              <w:rPr>
                <w:rFonts w:ascii="宋体" w:eastAsia="宋体" w:cs="宋体"/>
                <w:color w:val="000000"/>
                <w:kern w:val="0"/>
                <w:sz w:val="24"/>
              </w:rPr>
            </w:pPr>
            <w:r>
              <w:rPr>
                <w:rFonts w:ascii="宋体" w:eastAsia="宋体" w:cs="宋体" w:hint="eastAsia"/>
                <w:i w:val="0"/>
                <w:iCs w:val="0"/>
                <w:color w:val="000000"/>
                <w:kern w:val="0"/>
                <w:sz w:val="22"/>
                <w:szCs w:val="22"/>
                <w:u w:val="none"/>
                <w:lang w:val="en-US" w:eastAsia="zh-CN"/>
              </w:rPr>
              <w:t>277,119,941.82</w:t>
            </w:r>
          </w:p>
        </w:tc>
        <w:tc>
          <w:tcPr>
            <w:tcW w:w="3930" w:type="dxa"/>
            <w:gridSpan w:val="3"/>
            <w:tcBorders>
              <w:top w:val="single" w:sz="4" w:space="0" w:color="auto"/>
              <w:left w:val="single" w:sz="4" w:space="0" w:color="000000"/>
              <w:bottom w:val="single" w:sz="4" w:space="0" w:color="000000"/>
              <w:right w:val="single" w:sz="4" w:space="0" w:color="000000"/>
            </w:tcBorders>
            <w:noWrap/>
            <w:vAlign w:val="center"/>
          </w:tcPr>
          <w:p>
            <w:pPr>
              <w:pageBreakBefore w:val="0"/>
              <w:widowControl/>
              <w:kinsoku/>
              <w:overflowPunct/>
              <w:topLinePunct w:val="0"/>
              <w:autoSpaceDE/>
              <w:autoSpaceDN/>
              <w:bidi w:val="0"/>
              <w:spacing w:line="240" w:lineRule="exact"/>
              <w:ind w:firstLineChars="200" w:firstLine="480"/>
              <w:jc w:val="center"/>
              <w:textAlignment w:val="center"/>
              <w:rPr>
                <w:rFonts w:ascii="宋体" w:eastAsia="宋体" w:cs="宋体"/>
                <w:color w:val="000000"/>
                <w:kern w:val="0"/>
                <w:sz w:val="24"/>
              </w:rPr>
            </w:pPr>
          </w:p>
        </w:tc>
      </w:tr>
      <w:tr>
        <w:trPr>
          <w:trHeight w:val="296"/>
        </w:trPr>
        <w:tc>
          <w:tcPr>
            <w:tcW w:w="1896" w:type="dxa"/>
            <w:gridSpan w:val="3"/>
            <w:tcBorders>
              <w:top w:val="single" w:sz="4" w:space="0" w:color="auto"/>
              <w:left w:val="single" w:sz="4" w:space="0" w:color="000000"/>
              <w:bottom w:val="single" w:sz="4" w:space="0" w:color="000000"/>
              <w:right w:val="single" w:sz="4" w:space="0" w:color="000000"/>
            </w:tcBorders>
            <w:noWrap/>
            <w:vAlign w:val="center"/>
          </w:tcPr>
          <w:p>
            <w:pPr>
              <w:pageBreakBefore w:val="0"/>
              <w:widowControl/>
              <w:kinsoku/>
              <w:overflowPunct/>
              <w:topLinePunct w:val="0"/>
              <w:autoSpaceDE/>
              <w:autoSpaceDN/>
              <w:bidi w:val="0"/>
              <w:spacing w:line="240" w:lineRule="exact"/>
              <w:ind w:firstLineChars="200" w:firstLine="480"/>
              <w:jc w:val="center"/>
              <w:textAlignment w:val="center"/>
              <w:rPr>
                <w:rFonts w:ascii="宋体" w:eastAsia="宋体" w:cs="宋体"/>
                <w:color w:val="000000"/>
                <w:kern w:val="0"/>
                <w:sz w:val="24"/>
              </w:rPr>
            </w:pPr>
            <w:r>
              <w:rPr>
                <w:rFonts w:ascii="宋体" w:eastAsia="宋体" w:cs="宋体" w:hint="eastAsia"/>
                <w:color w:val="000000"/>
                <w:kern w:val="0"/>
                <w:sz w:val="24"/>
              </w:rPr>
              <w:t>年度总体目标</w:t>
            </w:r>
          </w:p>
        </w:tc>
        <w:tc>
          <w:tcPr>
            <w:tcW w:w="7762" w:type="dxa"/>
            <w:gridSpan w:val="7"/>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hint="eastAsia"/>
                <w:color w:val="000000"/>
                <w:kern w:val="0"/>
                <w:sz w:val="24"/>
              </w:rPr>
            </w:pPr>
            <w:r>
              <w:rPr>
                <w:rFonts w:ascii="宋体" w:eastAsia="宋体" w:cs="宋体" w:hint="eastAsia"/>
                <w:color w:val="000000"/>
                <w:kern w:val="0"/>
                <w:sz w:val="24"/>
              </w:rPr>
              <w:t>任务1：保障人员工资足额发放、社保足额缴纳：保障2025年度人员经费18,981.23万元，有效保障州公安局2025年846名民（辅）警、工勤及事业人员的基本工资、目标绩效等，保障民警生活开支，提高民警工作积极性。任务2：保障公安工作顺利运转、促进社会稳定：保障2025年日常公用经费3,034.44万元，实现州公安局运转顺利，提高办公条件水平，有效促进办公效率的提升。任务3:保障2025年度项目支出：一是保障常年性项目运行，如公安业务费、车辆大修、特警取暖费等，促进公安局日常工作正常开展；二是完成各警种相关项目，如特警大型演练、禁毒业务费等，发挥各警种专业技能，提升公安破案及打击犯罪能力；三是加强民警业务能力，通过公安业务培训费等，有效应对突发事件，提升应急处突能力。</w:t>
            </w:r>
          </w:p>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rPr>
            </w:pPr>
            <w:r>
              <w:rPr>
                <w:rFonts w:ascii="宋体" w:eastAsia="宋体" w:cs="宋体" w:hint="eastAsia"/>
                <w:color w:val="000000"/>
                <w:kern w:val="0"/>
                <w:sz w:val="24"/>
              </w:rPr>
              <w:t>任务4：提升公路安全防控能力：通过实施道路交通管理业务经费、测速卡口补点建设项目等项目，结合道路交通管理工作，适时开展危化车辆、道路事故预防；酒驾、毒驾、涉牌涉证；农村道路及危化品、客车、旅游车等重点车辆专项整治行动，进一步规范全州车辆管理工作，确保全州道路交通安全畅通有序，预防和控制道路交通事故，减少人民群众生命财产损失，深入推进执法规范化建设，不断提高执法水平和执法公信力，提升人民群众对交管工作满意度。</w:t>
            </w:r>
          </w:p>
        </w:tc>
      </w:tr>
      <w:tr>
        <w:trPr>
          <w:trHeight w:val="296"/>
        </w:trPr>
        <w:tc>
          <w:tcPr>
            <w:tcW w:w="331" w:type="dxa"/>
            <w:vMerge w:val="restar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rPr>
            </w:pPr>
            <w:r>
              <w:rPr>
                <w:rFonts w:ascii="宋体" w:eastAsia="宋体" w:cs="宋体" w:hint="eastAsia"/>
                <w:color w:val="000000"/>
                <w:kern w:val="0"/>
                <w:sz w:val="24"/>
              </w:rPr>
              <w:t>管理效率</w:t>
            </w:r>
          </w:p>
        </w:tc>
        <w:tc>
          <w:tcPr>
            <w:tcW w:w="593" w:type="dxa"/>
            <w:vMerge w:val="restar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rPr>
            </w:pPr>
            <w:r>
              <w:rPr>
                <w:rFonts w:ascii="宋体" w:eastAsia="宋体" w:cs="宋体" w:hint="eastAsia"/>
                <w:color w:val="000000"/>
                <w:kern w:val="0"/>
                <w:sz w:val="24"/>
              </w:rPr>
              <w:t>一级指标</w:t>
            </w:r>
          </w:p>
        </w:tc>
        <w:tc>
          <w:tcPr>
            <w:tcW w:w="972" w:type="dxa"/>
            <w:vMerge w:val="restar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rPr>
            </w:pPr>
            <w:r>
              <w:rPr>
                <w:rFonts w:ascii="宋体" w:eastAsia="宋体" w:cs="宋体" w:hint="eastAsia"/>
                <w:color w:val="000000"/>
                <w:kern w:val="0"/>
                <w:sz w:val="24"/>
              </w:rPr>
              <w:t>二级指标</w:t>
            </w:r>
          </w:p>
        </w:tc>
        <w:tc>
          <w:tcPr>
            <w:tcW w:w="1282" w:type="dxa"/>
            <w:vMerge w:val="restar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rPr>
            </w:pPr>
            <w:r>
              <w:rPr>
                <w:rFonts w:ascii="宋体" w:eastAsia="宋体" w:cs="宋体" w:hint="eastAsia"/>
                <w:color w:val="000000"/>
                <w:kern w:val="0"/>
                <w:sz w:val="24"/>
              </w:rPr>
              <w:t>三级指标</w:t>
            </w:r>
          </w:p>
        </w:tc>
        <w:tc>
          <w:tcPr>
            <w:tcW w:w="722" w:type="dxa"/>
            <w:vMerge w:val="restar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rPr>
            </w:pPr>
            <w:r>
              <w:rPr>
                <w:rFonts w:ascii="宋体" w:eastAsia="宋体" w:cs="宋体" w:hint="eastAsia"/>
                <w:color w:val="000000"/>
                <w:kern w:val="0"/>
                <w:sz w:val="24"/>
              </w:rPr>
              <w:t>指标值</w:t>
            </w:r>
          </w:p>
        </w:tc>
        <w:tc>
          <w:tcPr>
            <w:tcW w:w="4009" w:type="dxa"/>
            <w:gridSpan w:val="4"/>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rPr>
            </w:pPr>
            <w:r>
              <w:rPr>
                <w:rFonts w:ascii="宋体" w:eastAsia="宋体" w:cs="宋体" w:hint="eastAsia"/>
                <w:color w:val="000000"/>
                <w:kern w:val="0"/>
                <w:sz w:val="24"/>
              </w:rPr>
              <w:t>指标设置参考值</w:t>
            </w:r>
          </w:p>
        </w:tc>
        <w:tc>
          <w:tcPr>
            <w:tcW w:w="1749" w:type="dxa"/>
            <w:vMerge w:val="restart"/>
            <w:tcBorders>
              <w:top w:val="single" w:sz="4" w:space="0" w:color="000000"/>
              <w:left w:val="single" w:sz="4" w:space="0" w:color="000000"/>
              <w:right w:val="single" w:sz="4" w:space="0" w:color="000000"/>
            </w:tcBorders>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rPr>
            </w:pPr>
            <w:r>
              <w:rPr>
                <w:rFonts w:ascii="宋体" w:eastAsia="宋体" w:cs="宋体" w:hint="eastAsia"/>
                <w:color w:val="000000"/>
                <w:kern w:val="0"/>
                <w:sz w:val="24"/>
              </w:rPr>
              <w:t>指标实际完成值</w:t>
            </w:r>
          </w:p>
        </w:tc>
      </w:tr>
      <w:tr>
        <w:trPr>
          <w:trHeight w:val="296"/>
        </w:trPr>
        <w:tc>
          <w:tcPr>
            <w:tcW w:w="331" w:type="dxa"/>
            <w:vMerge/>
            <w:tcBorders>
              <w:top w:val="single" w:sz="4" w:space="0" w:color="000000"/>
              <w:left w:val="single" w:sz="4" w:space="0" w:color="000000"/>
              <w:bottom w:val="single" w:sz="4" w:space="0" w:color="000000"/>
              <w:right w:val="single" w:sz="4" w:space="0" w:color="000000"/>
            </w:tcBorders>
            <w:noWrap/>
            <w:vAlign w:val="center"/>
          </w:tcPr>
          <w:p/>
        </w:tc>
        <w:tc>
          <w:tcPr>
            <w:tcW w:w="593" w:type="dxa"/>
            <w:vMerge/>
            <w:tcBorders>
              <w:top w:val="single" w:sz="4" w:space="0" w:color="000000"/>
              <w:left w:val="single" w:sz="4" w:space="0" w:color="000000"/>
              <w:bottom w:val="single" w:sz="4" w:space="0" w:color="000000"/>
              <w:right w:val="single" w:sz="4" w:space="0" w:color="000000"/>
            </w:tcBorders>
            <w:noWrap/>
            <w:vAlign w:val="center"/>
          </w:tcPr>
          <w:p/>
        </w:tc>
        <w:tc>
          <w:tcPr>
            <w:tcW w:w="972" w:type="dxa"/>
            <w:vMerge/>
            <w:tcBorders>
              <w:top w:val="single" w:sz="4" w:space="0" w:color="000000"/>
              <w:left w:val="single" w:sz="4" w:space="0" w:color="000000"/>
              <w:bottom w:val="single" w:sz="4" w:space="0" w:color="000000"/>
              <w:right w:val="single" w:sz="4" w:space="0" w:color="000000"/>
            </w:tcBorders>
            <w:noWrap/>
            <w:vAlign w:val="center"/>
          </w:tcPr>
          <w:p/>
        </w:tc>
        <w:tc>
          <w:tcPr>
            <w:tcW w:w="1282" w:type="dxa"/>
            <w:vMerge/>
            <w:tcBorders>
              <w:top w:val="single" w:sz="4" w:space="0" w:color="000000"/>
              <w:left w:val="single" w:sz="4" w:space="0" w:color="000000"/>
              <w:bottom w:val="single" w:sz="4" w:space="0" w:color="000000"/>
              <w:right w:val="single" w:sz="4" w:space="0" w:color="000000"/>
            </w:tcBorders>
            <w:noWrap/>
            <w:vAlign w:val="center"/>
          </w:tcPr>
          <w:p/>
        </w:tc>
        <w:tc>
          <w:tcPr>
            <w:tcW w:w="722" w:type="dxa"/>
            <w:vMerge/>
            <w:tcBorders>
              <w:top w:val="single" w:sz="4" w:space="0" w:color="000000"/>
              <w:left w:val="single" w:sz="4" w:space="0" w:color="000000"/>
              <w:bottom w:val="single" w:sz="4" w:space="0" w:color="000000"/>
              <w:right w:val="single" w:sz="4" w:space="0" w:color="000000"/>
            </w:tcBorders>
            <w:noWrap/>
            <w:vAlign w:val="center"/>
          </w:tcPr>
          <w:p/>
        </w:tc>
        <w:tc>
          <w:tcPr>
            <w:tcW w:w="791" w:type="dxa"/>
            <w:tcBorders>
              <w:top w:val="single" w:sz="4" w:space="0" w:color="000000"/>
              <w:left w:val="single" w:sz="4" w:space="0" w:color="000000"/>
              <w:right w:val="single" w:sz="4" w:space="0" w:color="000000"/>
            </w:tcBorders>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rPr>
            </w:pPr>
            <w:r>
              <w:rPr>
                <w:rFonts w:ascii="宋体" w:eastAsia="宋体" w:cs="宋体" w:hint="eastAsia"/>
                <w:color w:val="000000"/>
                <w:kern w:val="0"/>
                <w:sz w:val="24"/>
              </w:rPr>
              <w:t>三年</w:t>
            </w:r>
          </w:p>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rPr>
            </w:pPr>
            <w:r>
              <w:rPr>
                <w:rFonts w:ascii="宋体" w:eastAsia="宋体" w:cs="宋体" w:hint="eastAsia"/>
                <w:color w:val="000000"/>
                <w:kern w:val="0"/>
                <w:sz w:val="24"/>
              </w:rPr>
              <w:t>均值</w:t>
            </w:r>
          </w:p>
        </w:tc>
        <w:tc>
          <w:tcPr>
            <w:tcW w:w="1037"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rPr>
            </w:pPr>
            <w:r>
              <w:rPr>
                <w:rFonts w:ascii="宋体" w:eastAsia="宋体" w:cs="宋体" w:hint="eastAsia"/>
                <w:color w:val="000000"/>
                <w:kern w:val="0"/>
                <w:sz w:val="24"/>
              </w:rPr>
              <w:t>202</w:t>
            </w:r>
            <w:r>
              <w:rPr>
                <w:rFonts w:ascii="宋体" w:eastAsia="宋体" w:cs="宋体" w:hint="eastAsia"/>
                <w:color w:val="000000"/>
                <w:kern w:val="0"/>
                <w:sz w:val="24"/>
                <w:lang w:val="en-US" w:eastAsia="zh-CN"/>
              </w:rPr>
              <w:t>2</w:t>
            </w:r>
            <w:r>
              <w:rPr>
                <w:rFonts w:ascii="宋体" w:eastAsia="宋体" w:cs="宋体"/>
                <w:color w:val="000000"/>
                <w:kern w:val="0"/>
                <w:sz w:val="24"/>
              </w:rPr>
              <w:t>年</w:t>
            </w:r>
          </w:p>
        </w:tc>
        <w:tc>
          <w:tcPr>
            <w:tcW w:w="1036"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rPr>
            </w:pPr>
            <w:r>
              <w:rPr>
                <w:rFonts w:ascii="宋体" w:eastAsia="宋体" w:cs="宋体" w:hint="eastAsia"/>
                <w:color w:val="000000"/>
                <w:kern w:val="0"/>
                <w:sz w:val="24"/>
              </w:rPr>
              <w:t>202</w:t>
            </w:r>
            <w:r>
              <w:rPr>
                <w:rFonts w:ascii="宋体" w:eastAsia="宋体" w:cs="宋体" w:hint="eastAsia"/>
                <w:color w:val="000000"/>
                <w:kern w:val="0"/>
                <w:sz w:val="24"/>
                <w:lang w:val="en-US" w:eastAsia="zh-CN"/>
              </w:rPr>
              <w:t>3</w:t>
            </w:r>
            <w:r>
              <w:rPr>
                <w:rFonts w:ascii="宋体" w:eastAsia="宋体" w:cs="宋体"/>
                <w:color w:val="000000"/>
                <w:kern w:val="0"/>
                <w:sz w:val="24"/>
              </w:rPr>
              <w:t>年</w:t>
            </w:r>
          </w:p>
        </w:tc>
        <w:tc>
          <w:tcPr>
            <w:tcW w:w="1145"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rPr>
            </w:pPr>
            <w:r>
              <w:rPr>
                <w:rFonts w:ascii="宋体" w:eastAsia="宋体" w:cs="宋体" w:hint="eastAsia"/>
                <w:color w:val="000000"/>
                <w:kern w:val="0"/>
                <w:sz w:val="24"/>
              </w:rPr>
              <w:t>202</w:t>
            </w:r>
            <w:r>
              <w:rPr>
                <w:rFonts w:ascii="宋体" w:eastAsia="宋体" w:cs="宋体" w:hint="eastAsia"/>
                <w:color w:val="000000"/>
                <w:kern w:val="0"/>
                <w:sz w:val="24"/>
                <w:lang w:val="en-US" w:eastAsia="zh-CN"/>
              </w:rPr>
              <w:t>4</w:t>
            </w:r>
            <w:r>
              <w:rPr>
                <w:rFonts w:ascii="宋体" w:eastAsia="宋体" w:cs="宋体"/>
                <w:color w:val="000000"/>
                <w:kern w:val="0"/>
                <w:sz w:val="24"/>
              </w:rPr>
              <w:t>年</w:t>
            </w:r>
          </w:p>
        </w:tc>
        <w:tc>
          <w:tcPr>
            <w:tcW w:w="1749" w:type="dxa"/>
            <w:vMerge/>
            <w:tcBorders>
              <w:left w:val="single" w:sz="4" w:space="0" w:color="000000"/>
              <w:right w:val="single" w:sz="4" w:space="0" w:color="000000"/>
            </w:tcBorders>
            <w:noWrap/>
            <w:vAlign w:val="center"/>
          </w:tcPr>
          <w:p/>
        </w:tc>
      </w:tr>
      <w:tr>
        <w:trPr>
          <w:trHeight w:val="90"/>
        </w:trPr>
        <w:tc>
          <w:tcPr>
            <w:tcW w:w="331" w:type="dxa"/>
            <w:vMerge/>
            <w:tcBorders>
              <w:top w:val="single" w:sz="4" w:space="0" w:color="000000"/>
              <w:left w:val="single" w:sz="4" w:space="0" w:color="000000"/>
              <w:bottom w:val="single" w:sz="4" w:space="0" w:color="000000"/>
              <w:right w:val="single" w:sz="4" w:space="0" w:color="000000"/>
            </w:tcBorders>
            <w:noWrap/>
            <w:vAlign w:val="center"/>
          </w:tcPr>
          <w:p/>
        </w:tc>
        <w:tc>
          <w:tcPr>
            <w:tcW w:w="593" w:type="dxa"/>
            <w:vMerge w:val="restar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rPr>
            </w:pPr>
            <w:r>
              <w:rPr>
                <w:rFonts w:ascii="宋体" w:eastAsia="宋体" w:cs="宋体" w:hint="eastAsia"/>
                <w:color w:val="000000"/>
                <w:kern w:val="0"/>
                <w:sz w:val="24"/>
              </w:rPr>
              <w:t>成本指标</w:t>
            </w:r>
          </w:p>
        </w:tc>
        <w:tc>
          <w:tcPr>
            <w:tcW w:w="972" w:type="dxa"/>
            <w:vMerge w:val="restar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rPr>
            </w:pPr>
            <w:r>
              <w:rPr>
                <w:rFonts w:ascii="宋体" w:eastAsia="宋体" w:cs="宋体" w:hint="eastAsia"/>
                <w:color w:val="000000"/>
                <w:kern w:val="0"/>
                <w:sz w:val="24"/>
              </w:rPr>
              <w:t>预算管理</w:t>
            </w:r>
          </w:p>
        </w:tc>
        <w:tc>
          <w:tcPr>
            <w:tcW w:w="128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rPr>
            </w:pPr>
            <w:r>
              <w:rPr>
                <w:rFonts w:ascii="宋体" w:eastAsia="宋体" w:cs="宋体" w:hint="eastAsia"/>
                <w:color w:val="000000"/>
                <w:kern w:val="0"/>
                <w:sz w:val="24"/>
              </w:rPr>
              <w:t>财政拨款</w:t>
            </w:r>
            <w:r>
              <w:rPr>
                <w:rFonts w:ascii="宋体" w:eastAsia="宋体" w:cs="宋体"/>
                <w:color w:val="000000"/>
                <w:kern w:val="0"/>
                <w:sz w:val="24"/>
              </w:rPr>
              <w:t>预算编制偏离度</w:t>
            </w:r>
          </w:p>
        </w:tc>
        <w:tc>
          <w:tcPr>
            <w:tcW w:w="72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rPr>
            </w:pPr>
            <w:r>
              <w:rPr>
                <w:rFonts w:ascii="宋体" w:eastAsia="宋体" w:cs="宋体" w:hint="eastAsia"/>
                <w:color w:val="000000"/>
                <w:kern w:val="0"/>
                <w:sz w:val="24"/>
              </w:rPr>
              <w:t>≤</w:t>
            </w:r>
            <w:r>
              <w:rPr>
                <w:rFonts w:ascii="宋体" w:eastAsia="宋体" w:cs="宋体" w:hint="eastAsia"/>
                <w:color w:val="000000"/>
                <w:kern w:val="0"/>
                <w:sz w:val="24"/>
                <w:lang w:val="en-US" w:eastAsia="zh-CN"/>
              </w:rPr>
              <w:t>5</w:t>
            </w:r>
            <w:r>
              <w:rPr>
                <w:rFonts w:ascii="宋体" w:eastAsia="宋体" w:cs="宋体" w:hint="eastAsia"/>
                <w:color w:val="000000"/>
                <w:kern w:val="0"/>
                <w:sz w:val="24"/>
              </w:rPr>
              <w:t>%</w:t>
            </w:r>
          </w:p>
        </w:tc>
        <w:tc>
          <w:tcPr>
            <w:tcW w:w="79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right"/>
              <w:textAlignment w:val="center"/>
              <w:rPr>
                <w:rFonts w:ascii="宋体" w:eastAsia="宋体" w:cs="宋体"/>
                <w:color w:val="000000"/>
                <w:kern w:val="0"/>
                <w:sz w:val="24"/>
              </w:rPr>
            </w:pPr>
            <w:r>
              <w:rPr>
                <w:rFonts w:ascii="宋体" w:eastAsia="宋体" w:cs="宋体" w:hint="eastAsia"/>
                <w:i w:val="0"/>
                <w:iCs w:val="0"/>
                <w:color w:val="000000"/>
                <w:kern w:val="0"/>
                <w:sz w:val="22"/>
                <w:szCs w:val="22"/>
                <w:u w:val="none"/>
                <w:lang w:val="en-US" w:eastAsia="zh-CN"/>
              </w:rPr>
              <w:t>6.08%</w:t>
            </w:r>
          </w:p>
        </w:tc>
        <w:tc>
          <w:tcPr>
            <w:tcW w:w="1037"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right"/>
              <w:textAlignment w:val="center"/>
              <w:rPr>
                <w:rFonts w:ascii="宋体" w:eastAsia="宋体" w:cs="宋体"/>
                <w:color w:val="000000"/>
                <w:kern w:val="0"/>
                <w:sz w:val="24"/>
              </w:rPr>
            </w:pPr>
            <w:r>
              <w:rPr>
                <w:rFonts w:ascii="宋体" w:eastAsia="宋体" w:cs="宋体" w:hint="eastAsia"/>
                <w:i w:val="0"/>
                <w:iCs w:val="0"/>
                <w:color w:val="000000"/>
                <w:kern w:val="0"/>
                <w:sz w:val="22"/>
                <w:szCs w:val="22"/>
                <w:u w:val="none"/>
                <w:lang w:val="en-US" w:eastAsia="zh-CN"/>
              </w:rPr>
              <w:t>14%</w:t>
            </w:r>
          </w:p>
        </w:tc>
        <w:tc>
          <w:tcPr>
            <w:tcW w:w="1036"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right"/>
              <w:textAlignment w:val="center"/>
              <w:rPr>
                <w:rFonts w:ascii="宋体" w:eastAsia="宋体" w:cs="宋体"/>
                <w:color w:val="000000"/>
                <w:kern w:val="0"/>
                <w:sz w:val="24"/>
              </w:rPr>
            </w:pPr>
            <w:r>
              <w:rPr>
                <w:rFonts w:ascii="宋体" w:eastAsia="宋体" w:cs="宋体" w:hint="eastAsia"/>
                <w:i w:val="0"/>
                <w:iCs w:val="0"/>
                <w:color w:val="000000"/>
                <w:kern w:val="0"/>
                <w:sz w:val="22"/>
                <w:szCs w:val="22"/>
                <w:u w:val="none"/>
                <w:lang w:val="en-US" w:eastAsia="zh-CN"/>
              </w:rPr>
              <w:t>4%</w:t>
            </w:r>
          </w:p>
        </w:tc>
        <w:tc>
          <w:tcPr>
            <w:tcW w:w="1145"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right"/>
              <w:textAlignment w:val="center"/>
              <w:rPr>
                <w:rFonts w:ascii="宋体" w:eastAsia="宋体" w:cs="宋体"/>
                <w:color w:val="000000"/>
                <w:kern w:val="0"/>
                <w:sz w:val="24"/>
              </w:rPr>
            </w:pPr>
            <w:r>
              <w:rPr>
                <w:rFonts w:ascii="宋体" w:eastAsia="宋体" w:cs="宋体" w:hint="eastAsia"/>
                <w:i w:val="0"/>
                <w:iCs w:val="0"/>
                <w:color w:val="000000"/>
                <w:kern w:val="0"/>
                <w:sz w:val="22"/>
                <w:szCs w:val="22"/>
                <w:u w:val="none"/>
                <w:lang w:val="en-US" w:eastAsia="zh-CN"/>
              </w:rPr>
              <w:t>0.25%</w:t>
            </w:r>
          </w:p>
        </w:tc>
        <w:tc>
          <w:tcPr>
            <w:tcW w:w="1749"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lang w:val="en-US" w:eastAsia="zh-CN"/>
              </w:rPr>
            </w:pPr>
            <w:r>
              <w:rPr>
                <w:rFonts w:ascii="宋体" w:eastAsia="宋体" w:cs="宋体" w:hint="eastAsia"/>
                <w:color w:val="000000"/>
                <w:kern w:val="0"/>
                <w:sz w:val="24"/>
                <w:lang w:val="en-US" w:eastAsia="zh-CN"/>
              </w:rPr>
              <w:t>6%</w:t>
            </w:r>
          </w:p>
        </w:tc>
      </w:tr>
      <w:tr>
        <w:trPr>
          <w:trHeight w:val="90"/>
        </w:trPr>
        <w:tc>
          <w:tcPr>
            <w:tcW w:w="331" w:type="dxa"/>
            <w:vMerge/>
            <w:tcBorders>
              <w:top w:val="single" w:sz="4" w:space="0" w:color="000000"/>
              <w:left w:val="single" w:sz="4" w:space="0" w:color="000000"/>
              <w:bottom w:val="single" w:sz="4" w:space="0" w:color="000000"/>
              <w:right w:val="single" w:sz="4" w:space="0" w:color="000000"/>
            </w:tcBorders>
            <w:noWrap/>
            <w:vAlign w:val="center"/>
          </w:tcPr>
          <w:p/>
        </w:tc>
        <w:tc>
          <w:tcPr>
            <w:tcW w:w="593" w:type="dxa"/>
            <w:vMerge/>
            <w:tcBorders>
              <w:top w:val="single" w:sz="4" w:space="0" w:color="000000"/>
              <w:left w:val="single" w:sz="4" w:space="0" w:color="000000"/>
              <w:bottom w:val="single" w:sz="4" w:space="0" w:color="000000"/>
              <w:right w:val="single" w:sz="4" w:space="0" w:color="000000"/>
            </w:tcBorders>
            <w:noWrap/>
            <w:vAlign w:val="center"/>
          </w:tcPr>
          <w:p/>
        </w:tc>
        <w:tc>
          <w:tcPr>
            <w:tcW w:w="972" w:type="dxa"/>
            <w:vMerge/>
            <w:tcBorders>
              <w:top w:val="single" w:sz="4" w:space="0" w:color="000000"/>
              <w:left w:val="single" w:sz="4" w:space="0" w:color="000000"/>
              <w:bottom w:val="single" w:sz="4" w:space="0" w:color="000000"/>
              <w:right w:val="single" w:sz="4" w:space="0" w:color="000000"/>
            </w:tcBorders>
            <w:noWrap/>
            <w:vAlign w:val="center"/>
          </w:tcPr>
          <w:p/>
        </w:tc>
        <w:tc>
          <w:tcPr>
            <w:tcW w:w="128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rPr>
            </w:pPr>
            <w:r>
              <w:rPr>
                <w:rFonts w:ascii="宋体" w:eastAsia="宋体" w:cs="宋体" w:hint="eastAsia"/>
                <w:color w:val="000000"/>
                <w:kern w:val="0"/>
                <w:sz w:val="24"/>
              </w:rPr>
              <w:t>预算年终结余</w:t>
            </w:r>
            <w:r>
              <w:rPr>
                <w:rFonts w:ascii="宋体" w:eastAsia="宋体" w:cs="宋体"/>
                <w:color w:val="000000"/>
                <w:kern w:val="0"/>
                <w:sz w:val="24"/>
              </w:rPr>
              <w:t>率</w:t>
            </w:r>
          </w:p>
        </w:tc>
        <w:tc>
          <w:tcPr>
            <w:tcW w:w="72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rPr>
            </w:pPr>
            <w:r>
              <w:rPr>
                <w:rFonts w:ascii="宋体" w:eastAsia="宋体" w:cs="宋体" w:hint="eastAsia"/>
                <w:color w:val="000000"/>
                <w:kern w:val="0"/>
                <w:sz w:val="24"/>
              </w:rPr>
              <w:t>≤</w:t>
            </w:r>
            <w:r>
              <w:rPr>
                <w:rFonts w:ascii="宋体" w:eastAsia="宋体" w:cs="宋体" w:hint="eastAsia"/>
                <w:color w:val="000000"/>
                <w:kern w:val="0"/>
                <w:sz w:val="24"/>
                <w:lang w:val="en-US" w:eastAsia="zh-CN"/>
              </w:rPr>
              <w:t>6</w:t>
            </w:r>
            <w:r>
              <w:rPr>
                <w:rFonts w:ascii="宋体" w:eastAsia="宋体" w:cs="宋体" w:hint="eastAsia"/>
                <w:color w:val="000000"/>
                <w:kern w:val="0"/>
                <w:sz w:val="24"/>
              </w:rPr>
              <w:t>%</w:t>
            </w:r>
          </w:p>
        </w:tc>
        <w:tc>
          <w:tcPr>
            <w:tcW w:w="79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right"/>
              <w:textAlignment w:val="center"/>
              <w:rPr>
                <w:rFonts w:ascii="宋体" w:eastAsia="宋体" w:cs="宋体"/>
                <w:color w:val="000000"/>
                <w:kern w:val="0"/>
                <w:sz w:val="24"/>
              </w:rPr>
            </w:pPr>
            <w:r>
              <w:rPr>
                <w:rFonts w:ascii="宋体" w:eastAsia="宋体" w:cs="宋体" w:hint="eastAsia"/>
                <w:i w:val="0"/>
                <w:iCs w:val="0"/>
                <w:color w:val="000000"/>
                <w:kern w:val="0"/>
                <w:sz w:val="22"/>
                <w:szCs w:val="22"/>
                <w:u w:val="none"/>
                <w:lang w:val="en-US" w:eastAsia="zh-CN"/>
              </w:rPr>
              <w:t>6.5%</w:t>
            </w:r>
          </w:p>
        </w:tc>
        <w:tc>
          <w:tcPr>
            <w:tcW w:w="1037"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right"/>
              <w:textAlignment w:val="center"/>
              <w:rPr>
                <w:rFonts w:ascii="宋体" w:eastAsia="宋体" w:cs="宋体"/>
                <w:color w:val="000000"/>
                <w:kern w:val="0"/>
                <w:sz w:val="24"/>
              </w:rPr>
            </w:pPr>
            <w:r>
              <w:rPr>
                <w:rFonts w:ascii="宋体" w:eastAsia="宋体" w:cs="宋体" w:hint="eastAsia"/>
                <w:i w:val="0"/>
                <w:iCs w:val="0"/>
                <w:color w:val="000000"/>
                <w:kern w:val="0"/>
                <w:sz w:val="22"/>
                <w:szCs w:val="22"/>
                <w:u w:val="none"/>
                <w:lang w:val="en-US" w:eastAsia="zh-CN"/>
              </w:rPr>
              <w:t>8.6%</w:t>
            </w:r>
          </w:p>
        </w:tc>
        <w:tc>
          <w:tcPr>
            <w:tcW w:w="1036"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right"/>
              <w:textAlignment w:val="center"/>
              <w:rPr>
                <w:rFonts w:ascii="宋体" w:eastAsia="宋体" w:cs="宋体"/>
                <w:color w:val="000000"/>
                <w:kern w:val="0"/>
                <w:sz w:val="24"/>
              </w:rPr>
            </w:pPr>
            <w:r>
              <w:rPr>
                <w:rFonts w:ascii="宋体" w:eastAsia="宋体" w:cs="宋体" w:hint="eastAsia"/>
                <w:i w:val="0"/>
                <w:iCs w:val="0"/>
                <w:color w:val="000000"/>
                <w:kern w:val="0"/>
                <w:sz w:val="22"/>
                <w:szCs w:val="22"/>
                <w:u w:val="none"/>
                <w:lang w:val="en-US" w:eastAsia="zh-CN"/>
              </w:rPr>
              <w:t>6.9%</w:t>
            </w:r>
          </w:p>
        </w:tc>
        <w:tc>
          <w:tcPr>
            <w:tcW w:w="1145"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right"/>
              <w:textAlignment w:val="center"/>
              <w:rPr>
                <w:rFonts w:ascii="宋体" w:eastAsia="宋体" w:cs="宋体"/>
                <w:color w:val="000000"/>
                <w:kern w:val="0"/>
                <w:sz w:val="24"/>
              </w:rPr>
            </w:pPr>
            <w:r>
              <w:rPr>
                <w:rFonts w:ascii="宋体" w:eastAsia="宋体" w:cs="宋体" w:hint="eastAsia"/>
                <w:i w:val="0"/>
                <w:iCs w:val="0"/>
                <w:color w:val="000000"/>
                <w:kern w:val="0"/>
                <w:sz w:val="22"/>
                <w:szCs w:val="22"/>
                <w:u w:val="none"/>
                <w:lang w:val="en-US" w:eastAsia="zh-CN"/>
              </w:rPr>
              <w:t>4%</w:t>
            </w:r>
          </w:p>
        </w:tc>
        <w:tc>
          <w:tcPr>
            <w:tcW w:w="1749"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lang w:val="en-US" w:eastAsia="zh-CN"/>
              </w:rPr>
            </w:pPr>
            <w:r>
              <w:rPr>
                <w:rFonts w:ascii="宋体" w:eastAsia="宋体" w:cs="宋体" w:hint="eastAsia"/>
                <w:color w:val="000000"/>
                <w:kern w:val="0"/>
                <w:sz w:val="24"/>
                <w:lang w:val="en-US" w:eastAsia="zh-CN"/>
              </w:rPr>
              <w:t>23%</w:t>
            </w:r>
          </w:p>
        </w:tc>
      </w:tr>
      <w:tr>
        <w:trPr>
          <w:trHeight w:val="90"/>
        </w:trPr>
        <w:tc>
          <w:tcPr>
            <w:tcW w:w="331" w:type="dxa"/>
            <w:vMerge/>
            <w:tcBorders>
              <w:top w:val="single" w:sz="4" w:space="0" w:color="000000"/>
              <w:left w:val="single" w:sz="4" w:space="0" w:color="000000"/>
              <w:bottom w:val="single" w:sz="4" w:space="0" w:color="000000"/>
              <w:right w:val="single" w:sz="4" w:space="0" w:color="000000"/>
            </w:tcBorders>
            <w:noWrap/>
            <w:vAlign w:val="center"/>
          </w:tcPr>
          <w:p/>
        </w:tc>
        <w:tc>
          <w:tcPr>
            <w:tcW w:w="593" w:type="dxa"/>
            <w:vMerge/>
            <w:tcBorders>
              <w:top w:val="single" w:sz="4" w:space="0" w:color="000000"/>
              <w:left w:val="single" w:sz="4" w:space="0" w:color="000000"/>
              <w:bottom w:val="single" w:sz="4" w:space="0" w:color="000000"/>
              <w:right w:val="single" w:sz="4" w:space="0" w:color="000000"/>
            </w:tcBorders>
            <w:noWrap/>
            <w:vAlign w:val="center"/>
          </w:tcPr>
          <w:p/>
        </w:tc>
        <w:tc>
          <w:tcPr>
            <w:tcW w:w="972" w:type="dxa"/>
            <w:vMerge/>
            <w:tcBorders>
              <w:top w:val="single" w:sz="4" w:space="0" w:color="000000"/>
              <w:left w:val="single" w:sz="4" w:space="0" w:color="000000"/>
              <w:bottom w:val="single" w:sz="4" w:space="0" w:color="000000"/>
              <w:right w:val="single" w:sz="4" w:space="0" w:color="000000"/>
            </w:tcBorders>
            <w:noWrap/>
            <w:vAlign w:val="center"/>
          </w:tcPr>
          <w:p/>
        </w:tc>
        <w:tc>
          <w:tcPr>
            <w:tcW w:w="128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rPr>
            </w:pPr>
            <w:r>
              <w:rPr>
                <w:rFonts w:ascii="宋体" w:eastAsia="宋体" w:cs="宋体" w:hint="eastAsia"/>
                <w:color w:val="000000"/>
                <w:kern w:val="0"/>
                <w:sz w:val="24"/>
              </w:rPr>
              <w:t>一般性支出</w:t>
            </w:r>
            <w:r>
              <w:rPr>
                <w:rFonts w:ascii="宋体" w:eastAsia="宋体" w:cs="宋体"/>
                <w:color w:val="000000"/>
                <w:kern w:val="0"/>
                <w:sz w:val="24"/>
              </w:rPr>
              <w:t>金额</w:t>
            </w:r>
          </w:p>
        </w:tc>
        <w:tc>
          <w:tcPr>
            <w:tcW w:w="72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rPr>
            </w:pPr>
            <w:r>
              <w:rPr>
                <w:rFonts w:ascii="宋体" w:eastAsia="宋体" w:cs="宋体" w:hint="eastAsia"/>
                <w:color w:val="000000"/>
                <w:kern w:val="0"/>
                <w:sz w:val="24"/>
              </w:rPr>
              <w:t>≤</w:t>
            </w:r>
            <w:r>
              <w:rPr>
                <w:rFonts w:ascii="宋体" w:eastAsia="宋体" w:cs="宋体" w:hint="eastAsia"/>
                <w:color w:val="000000"/>
                <w:kern w:val="0"/>
                <w:sz w:val="24"/>
                <w:lang w:val="en-US" w:eastAsia="zh-CN"/>
              </w:rPr>
              <w:t>2,345.00万</w:t>
            </w:r>
            <w:r>
              <w:rPr>
                <w:rFonts w:ascii="宋体" w:eastAsia="宋体" w:cs="宋体"/>
                <w:color w:val="000000"/>
                <w:kern w:val="0"/>
                <w:sz w:val="24"/>
              </w:rPr>
              <w:t>元</w:t>
            </w:r>
          </w:p>
        </w:tc>
        <w:tc>
          <w:tcPr>
            <w:tcW w:w="4009" w:type="dxa"/>
            <w:gridSpan w:val="4"/>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rPr>
            </w:pPr>
            <w:r>
              <w:rPr>
                <w:rFonts w:ascii="宋体" w:eastAsia="宋体" w:cs="宋体" w:hint="eastAsia"/>
                <w:color w:val="000000"/>
                <w:kern w:val="0"/>
                <w:sz w:val="24"/>
              </w:rPr>
              <w:t>x</w:t>
            </w:r>
            <w:r>
              <w:rPr>
                <w:rFonts w:ascii="宋体" w:eastAsia="宋体" w:cs="宋体"/>
                <w:color w:val="000000"/>
                <w:kern w:val="0"/>
                <w:sz w:val="24"/>
              </w:rPr>
              <w:t>为上年一般性支出金额</w:t>
            </w:r>
          </w:p>
        </w:tc>
        <w:tc>
          <w:tcPr>
            <w:tcW w:w="1749"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lang w:val="en-US" w:eastAsia="zh-CN"/>
              </w:rPr>
            </w:pPr>
            <w:r>
              <w:rPr>
                <w:rFonts w:ascii="宋体" w:eastAsia="宋体" w:cs="宋体" w:hint="eastAsia"/>
                <w:color w:val="000000"/>
                <w:kern w:val="0"/>
                <w:sz w:val="24"/>
                <w:lang w:val="en-US" w:eastAsia="zh-CN"/>
              </w:rPr>
              <w:t>2,181.55</w:t>
            </w:r>
          </w:p>
        </w:tc>
      </w:tr>
      <w:tr>
        <w:trPr>
          <w:trHeight w:val="90"/>
        </w:trPr>
        <w:tc>
          <w:tcPr>
            <w:tcW w:w="331" w:type="dxa"/>
            <w:vMerge/>
            <w:tcBorders>
              <w:top w:val="single" w:sz="4" w:space="0" w:color="000000"/>
              <w:left w:val="single" w:sz="4" w:space="0" w:color="000000"/>
              <w:bottom w:val="single" w:sz="4" w:space="0" w:color="000000"/>
              <w:right w:val="single" w:sz="4" w:space="0" w:color="000000"/>
            </w:tcBorders>
            <w:noWrap/>
            <w:vAlign w:val="center"/>
          </w:tcPr>
          <w:p/>
        </w:tc>
        <w:tc>
          <w:tcPr>
            <w:tcW w:w="593" w:type="dxa"/>
            <w:vMerge/>
            <w:tcBorders>
              <w:top w:val="single" w:sz="4" w:space="0" w:color="000000"/>
              <w:left w:val="single" w:sz="4" w:space="0" w:color="000000"/>
              <w:bottom w:val="single" w:sz="4" w:space="0" w:color="000000"/>
              <w:right w:val="single" w:sz="4" w:space="0" w:color="000000"/>
            </w:tcBorders>
            <w:noWrap/>
            <w:vAlign w:val="center"/>
          </w:tcPr>
          <w:p/>
        </w:tc>
        <w:tc>
          <w:tcPr>
            <w:tcW w:w="97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rPr>
            </w:pPr>
            <w:r>
              <w:rPr>
                <w:rFonts w:ascii="宋体" w:eastAsia="宋体" w:cs="宋体" w:hint="eastAsia"/>
                <w:color w:val="000000"/>
                <w:kern w:val="0"/>
                <w:sz w:val="24"/>
              </w:rPr>
              <w:t>财务管理</w:t>
            </w:r>
          </w:p>
        </w:tc>
        <w:tc>
          <w:tcPr>
            <w:tcW w:w="128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rPr>
            </w:pPr>
            <w:r>
              <w:rPr>
                <w:rFonts w:ascii="宋体" w:eastAsia="宋体" w:cs="宋体" w:hint="eastAsia"/>
                <w:color w:val="000000"/>
                <w:kern w:val="0"/>
                <w:sz w:val="24"/>
              </w:rPr>
              <w:t>财务管理规范</w:t>
            </w:r>
          </w:p>
        </w:tc>
        <w:tc>
          <w:tcPr>
            <w:tcW w:w="72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rPr>
            </w:pPr>
            <w:r>
              <w:rPr>
                <w:rFonts w:ascii="宋体" w:eastAsia="宋体" w:cs="宋体"/>
                <w:color w:val="000000"/>
                <w:kern w:val="0"/>
                <w:sz w:val="24"/>
              </w:rPr>
              <w:t>优</w:t>
            </w:r>
          </w:p>
        </w:tc>
        <w:tc>
          <w:tcPr>
            <w:tcW w:w="4009" w:type="dxa"/>
            <w:gridSpan w:val="4"/>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rPr>
            </w:pPr>
            <w:r>
              <w:rPr>
                <w:rFonts w:ascii="宋体" w:eastAsia="宋体" w:cs="宋体" w:hint="eastAsia"/>
                <w:color w:val="000000"/>
                <w:kern w:val="0"/>
                <w:sz w:val="24"/>
              </w:rPr>
              <w:t>x</w:t>
            </w:r>
            <w:r>
              <w:rPr>
                <w:rFonts w:ascii="宋体" w:eastAsia="宋体" w:cs="宋体"/>
                <w:color w:val="000000"/>
                <w:kern w:val="0"/>
                <w:sz w:val="24"/>
              </w:rPr>
              <w:t>为“优”“良”“中”或“差”</w:t>
            </w:r>
          </w:p>
        </w:tc>
        <w:tc>
          <w:tcPr>
            <w:tcW w:w="1749"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rPr>
            </w:pPr>
            <w:r>
              <w:rPr>
                <w:rFonts w:ascii="宋体" w:eastAsia="宋体" w:cs="宋体"/>
                <w:color w:val="000000"/>
                <w:kern w:val="0"/>
                <w:sz w:val="24"/>
              </w:rPr>
              <w:t>优</w:t>
            </w:r>
          </w:p>
        </w:tc>
      </w:tr>
      <w:tr>
        <w:trPr>
          <w:trHeight w:val="90"/>
        </w:trPr>
        <w:tc>
          <w:tcPr>
            <w:tcW w:w="331" w:type="dxa"/>
            <w:vMerge/>
            <w:tcBorders>
              <w:top w:val="single" w:sz="4" w:space="0" w:color="000000"/>
              <w:left w:val="single" w:sz="4" w:space="0" w:color="000000"/>
              <w:bottom w:val="single" w:sz="4" w:space="0" w:color="000000"/>
              <w:right w:val="single" w:sz="4" w:space="0" w:color="000000"/>
            </w:tcBorders>
            <w:noWrap/>
            <w:vAlign w:val="center"/>
          </w:tcPr>
          <w:p/>
        </w:tc>
        <w:tc>
          <w:tcPr>
            <w:tcW w:w="593" w:type="dxa"/>
            <w:vMerge/>
            <w:tcBorders>
              <w:top w:val="single" w:sz="4" w:space="0" w:color="000000"/>
              <w:left w:val="single" w:sz="4" w:space="0" w:color="000000"/>
              <w:bottom w:val="single" w:sz="4" w:space="0" w:color="000000"/>
              <w:right w:val="single" w:sz="4" w:space="0" w:color="000000"/>
            </w:tcBorders>
            <w:noWrap/>
            <w:vAlign w:val="center"/>
          </w:tcPr>
          <w:p/>
        </w:tc>
        <w:tc>
          <w:tcPr>
            <w:tcW w:w="97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rPr>
            </w:pPr>
            <w:r>
              <w:rPr>
                <w:rFonts w:ascii="宋体" w:eastAsia="宋体" w:cs="宋体" w:hint="eastAsia"/>
                <w:color w:val="000000"/>
                <w:kern w:val="0"/>
                <w:sz w:val="24"/>
              </w:rPr>
              <w:t>采购管理</w:t>
            </w:r>
          </w:p>
        </w:tc>
        <w:tc>
          <w:tcPr>
            <w:tcW w:w="128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rPr>
            </w:pPr>
            <w:r>
              <w:rPr>
                <w:rFonts w:ascii="宋体" w:eastAsia="宋体" w:cs="宋体" w:hint="eastAsia"/>
                <w:color w:val="000000"/>
                <w:kern w:val="0"/>
                <w:sz w:val="24"/>
              </w:rPr>
              <w:t>采购执行率</w:t>
            </w:r>
          </w:p>
        </w:tc>
        <w:tc>
          <w:tcPr>
            <w:tcW w:w="72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rPr>
            </w:pPr>
            <w:r>
              <w:rPr>
                <w:rFonts w:ascii="宋体" w:eastAsia="宋体" w:cs="宋体" w:hint="eastAsia"/>
                <w:color w:val="000000"/>
                <w:kern w:val="0"/>
                <w:sz w:val="24"/>
              </w:rPr>
              <w:t>≥</w:t>
            </w:r>
            <w:r>
              <w:rPr>
                <w:rFonts w:ascii="宋体" w:eastAsia="宋体" w:cs="宋体" w:hint="eastAsia"/>
                <w:color w:val="000000"/>
                <w:kern w:val="0"/>
                <w:sz w:val="24"/>
                <w:lang w:val="en-US" w:eastAsia="zh-CN"/>
              </w:rPr>
              <w:t>7</w:t>
            </w:r>
            <w:r>
              <w:rPr>
                <w:rFonts w:ascii="宋体" w:eastAsia="宋体" w:cs="宋体" w:hint="eastAsia"/>
                <w:color w:val="000000"/>
                <w:kern w:val="0"/>
                <w:sz w:val="24"/>
              </w:rPr>
              <w:t>%</w:t>
            </w:r>
          </w:p>
        </w:tc>
        <w:tc>
          <w:tcPr>
            <w:tcW w:w="79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right"/>
              <w:textAlignment w:val="center"/>
              <w:rPr>
                <w:rFonts w:ascii="宋体" w:eastAsia="宋体" w:cs="宋体"/>
                <w:color w:val="000000"/>
                <w:kern w:val="0"/>
                <w:sz w:val="24"/>
              </w:rPr>
            </w:pPr>
            <w:r>
              <w:rPr>
                <w:rFonts w:ascii="宋体" w:eastAsia="宋体" w:cs="宋体" w:hint="eastAsia"/>
                <w:i w:val="0"/>
                <w:iCs w:val="0"/>
                <w:color w:val="000000"/>
                <w:kern w:val="0"/>
                <w:sz w:val="22"/>
                <w:szCs w:val="22"/>
                <w:u w:val="none"/>
                <w:lang w:val="en-US" w:eastAsia="zh-CN"/>
              </w:rPr>
              <w:t>6.87%</w:t>
            </w:r>
          </w:p>
        </w:tc>
        <w:tc>
          <w:tcPr>
            <w:tcW w:w="1037"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right"/>
              <w:textAlignment w:val="center"/>
              <w:rPr>
                <w:rFonts w:ascii="宋体" w:eastAsia="宋体" w:cs="宋体"/>
                <w:color w:val="000000"/>
                <w:kern w:val="0"/>
                <w:sz w:val="24"/>
              </w:rPr>
            </w:pPr>
            <w:r>
              <w:rPr>
                <w:rFonts w:ascii="宋体" w:eastAsia="宋体" w:cs="宋体" w:hint="eastAsia"/>
                <w:i w:val="0"/>
                <w:iCs w:val="0"/>
                <w:color w:val="000000"/>
                <w:kern w:val="0"/>
                <w:sz w:val="22"/>
                <w:szCs w:val="22"/>
                <w:u w:val="none"/>
                <w:lang w:val="en-US" w:eastAsia="zh-CN"/>
              </w:rPr>
              <w:t>6%</w:t>
            </w:r>
          </w:p>
        </w:tc>
        <w:tc>
          <w:tcPr>
            <w:tcW w:w="1036"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right"/>
              <w:textAlignment w:val="center"/>
              <w:rPr>
                <w:rFonts w:ascii="宋体" w:eastAsia="宋体" w:cs="宋体"/>
                <w:color w:val="000000"/>
                <w:kern w:val="0"/>
                <w:sz w:val="24"/>
              </w:rPr>
            </w:pPr>
            <w:r>
              <w:rPr>
                <w:rFonts w:ascii="宋体" w:eastAsia="宋体" w:cs="宋体" w:hint="eastAsia"/>
                <w:i w:val="0"/>
                <w:iCs w:val="0"/>
                <w:color w:val="000000"/>
                <w:kern w:val="0"/>
                <w:sz w:val="22"/>
                <w:szCs w:val="22"/>
                <w:u w:val="none"/>
                <w:lang w:val="en-US" w:eastAsia="zh-CN"/>
              </w:rPr>
              <w:t>5.6%</w:t>
            </w:r>
          </w:p>
        </w:tc>
        <w:tc>
          <w:tcPr>
            <w:tcW w:w="1145"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right"/>
              <w:textAlignment w:val="center"/>
              <w:rPr>
                <w:rFonts w:ascii="宋体" w:eastAsia="宋体" w:cs="宋体"/>
                <w:color w:val="000000"/>
                <w:kern w:val="0"/>
                <w:sz w:val="24"/>
              </w:rPr>
            </w:pPr>
            <w:r>
              <w:rPr>
                <w:rFonts w:ascii="宋体" w:eastAsia="宋体" w:cs="宋体" w:hint="eastAsia"/>
                <w:i w:val="0"/>
                <w:iCs w:val="0"/>
                <w:color w:val="000000"/>
                <w:kern w:val="0"/>
                <w:sz w:val="22"/>
                <w:szCs w:val="22"/>
                <w:u w:val="none"/>
                <w:lang w:val="en-US" w:eastAsia="zh-CN"/>
              </w:rPr>
              <w:t>9%</w:t>
            </w:r>
          </w:p>
        </w:tc>
        <w:tc>
          <w:tcPr>
            <w:tcW w:w="1749"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lang w:val="en-US" w:eastAsia="zh-CN"/>
              </w:rPr>
            </w:pPr>
            <w:r>
              <w:rPr>
                <w:rFonts w:ascii="宋体" w:eastAsia="宋体" w:cs="宋体" w:hint="eastAsia"/>
                <w:color w:val="000000"/>
                <w:kern w:val="0"/>
                <w:sz w:val="24"/>
                <w:lang w:val="en-US" w:eastAsia="zh-CN"/>
              </w:rPr>
              <w:t>10%</w:t>
            </w:r>
          </w:p>
        </w:tc>
      </w:tr>
      <w:tr>
        <w:trPr>
          <w:trHeight w:val="468"/>
        </w:trPr>
        <w:tc>
          <w:tcPr>
            <w:tcW w:w="331" w:type="dxa"/>
            <w:vMerge w:val="restar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rPr>
            </w:pPr>
            <w:r>
              <w:rPr>
                <w:rFonts w:ascii="宋体" w:eastAsia="宋体" w:cs="宋体" w:hint="eastAsia"/>
                <w:color w:val="000000"/>
                <w:kern w:val="0"/>
                <w:sz w:val="24"/>
              </w:rPr>
              <w:t>履职效能</w:t>
            </w:r>
          </w:p>
        </w:tc>
        <w:tc>
          <w:tcPr>
            <w:tcW w:w="593"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rPr>
            </w:pPr>
            <w:r>
              <w:rPr>
                <w:rFonts w:ascii="宋体" w:eastAsia="宋体" w:cs="宋体" w:hint="eastAsia"/>
                <w:color w:val="000000"/>
                <w:kern w:val="0"/>
                <w:sz w:val="24"/>
              </w:rPr>
              <w:t>一级指标</w:t>
            </w:r>
          </w:p>
        </w:tc>
        <w:tc>
          <w:tcPr>
            <w:tcW w:w="97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rPr>
            </w:pPr>
            <w:r>
              <w:rPr>
                <w:rFonts w:ascii="宋体" w:eastAsia="宋体" w:cs="宋体" w:hint="eastAsia"/>
                <w:color w:val="000000"/>
                <w:kern w:val="0"/>
                <w:sz w:val="24"/>
              </w:rPr>
              <w:t>二级指标</w:t>
            </w:r>
          </w:p>
        </w:tc>
        <w:tc>
          <w:tcPr>
            <w:tcW w:w="128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rPr>
            </w:pPr>
            <w:r>
              <w:rPr>
                <w:rFonts w:ascii="宋体" w:eastAsia="宋体" w:cs="宋体" w:hint="eastAsia"/>
                <w:color w:val="000000"/>
                <w:kern w:val="0"/>
                <w:sz w:val="24"/>
              </w:rPr>
              <w:t>三级指标</w:t>
            </w:r>
          </w:p>
        </w:tc>
        <w:tc>
          <w:tcPr>
            <w:tcW w:w="4731" w:type="dxa"/>
            <w:gridSpan w:val="5"/>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rPr>
            </w:pPr>
            <w:r>
              <w:rPr>
                <w:rFonts w:ascii="宋体" w:eastAsia="宋体" w:cs="宋体" w:hint="eastAsia"/>
                <w:color w:val="000000"/>
                <w:kern w:val="0"/>
                <w:sz w:val="24"/>
              </w:rPr>
              <w:t>指标值（包含数字及文字描述）</w:t>
            </w:r>
          </w:p>
        </w:tc>
        <w:tc>
          <w:tcPr>
            <w:tcW w:w="1749"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kinsoku/>
              <w:wordWrap/>
              <w:overflowPunct/>
              <w:topLinePunct w:val="0"/>
              <w:autoSpaceDE/>
              <w:autoSpaceDN/>
              <w:bidi w:val="0"/>
              <w:adjustRightInd/>
              <w:snapToGrid/>
              <w:spacing w:line="240" w:lineRule="exact"/>
              <w:ind w:firstLine="0"/>
              <w:jc w:val="left"/>
              <w:textAlignment w:val="center"/>
              <w:rPr>
                <w:rFonts w:ascii="宋体" w:eastAsia="宋体" w:cs="宋体"/>
                <w:color w:val="000000"/>
                <w:kern w:val="0"/>
                <w:sz w:val="24"/>
              </w:rPr>
            </w:pPr>
          </w:p>
        </w:tc>
      </w:tr>
      <w:tr>
        <w:trPr>
          <w:trHeight w:val="296"/>
        </w:trPr>
        <w:tc>
          <w:tcPr>
            <w:tcW w:w="331" w:type="dxa"/>
            <w:vMerge/>
            <w:tcBorders>
              <w:top w:val="single" w:sz="4" w:space="0" w:color="000000"/>
              <w:left w:val="single" w:sz="4" w:space="0" w:color="000000"/>
              <w:bottom w:val="single" w:sz="4" w:space="0" w:color="000000"/>
              <w:right w:val="single" w:sz="4" w:space="0" w:color="000000"/>
            </w:tcBorders>
            <w:noWrap/>
            <w:vAlign w:val="center"/>
          </w:tcPr>
          <w:p/>
        </w:tc>
        <w:tc>
          <w:tcPr>
            <w:tcW w:w="593"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left"/>
              <w:textAlignment w:val="center"/>
              <w:rPr>
                <w:rFonts w:ascii="宋体" w:eastAsia="宋体" w:cs="宋体"/>
                <w:color w:val="000000"/>
                <w:kern w:val="0"/>
                <w:sz w:val="24"/>
              </w:rPr>
            </w:pPr>
            <w:r>
              <w:rPr>
                <w:rFonts w:ascii="宋体" w:eastAsia="宋体" w:cs="宋体" w:hint="eastAsia"/>
                <w:i w:val="0"/>
                <w:iCs w:val="0"/>
                <w:color w:val="000000"/>
                <w:kern w:val="0"/>
                <w:sz w:val="22"/>
                <w:szCs w:val="22"/>
                <w:u w:val="none"/>
                <w:lang w:val="en-US" w:eastAsia="zh-CN"/>
              </w:rPr>
              <w:t>效益指标</w:t>
            </w:r>
          </w:p>
        </w:tc>
        <w:tc>
          <w:tcPr>
            <w:tcW w:w="97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left"/>
              <w:textAlignment w:val="center"/>
              <w:rPr>
                <w:rFonts w:ascii="宋体" w:eastAsia="宋体" w:cs="宋体"/>
                <w:color w:val="000000"/>
                <w:kern w:val="0"/>
                <w:sz w:val="24"/>
              </w:rPr>
            </w:pPr>
            <w:r>
              <w:rPr>
                <w:rFonts w:ascii="宋体" w:eastAsia="宋体" w:cs="宋体" w:hint="eastAsia"/>
                <w:i w:val="0"/>
                <w:iCs w:val="0"/>
                <w:color w:val="000000"/>
                <w:kern w:val="0"/>
                <w:sz w:val="22"/>
                <w:szCs w:val="22"/>
                <w:u w:val="none"/>
                <w:lang w:val="en-US" w:eastAsia="zh-CN"/>
              </w:rPr>
              <w:t>社会效益指标</w:t>
            </w:r>
          </w:p>
        </w:tc>
        <w:tc>
          <w:tcPr>
            <w:tcW w:w="128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left"/>
              <w:textAlignment w:val="center"/>
              <w:rPr>
                <w:rFonts w:ascii="宋体" w:eastAsia="宋体" w:cs="宋体"/>
                <w:color w:val="000000"/>
                <w:kern w:val="0"/>
                <w:sz w:val="24"/>
              </w:rPr>
            </w:pPr>
            <w:r>
              <w:rPr>
                <w:rFonts w:ascii="宋体" w:eastAsia="宋体" w:cs="宋体" w:hint="eastAsia"/>
                <w:i w:val="0"/>
                <w:iCs w:val="0"/>
                <w:color w:val="000000"/>
                <w:kern w:val="0"/>
                <w:sz w:val="22"/>
                <w:szCs w:val="22"/>
                <w:u w:val="none"/>
                <w:lang w:val="en-US" w:eastAsia="zh-CN"/>
              </w:rPr>
              <w:t>保障社会安定</w:t>
            </w:r>
          </w:p>
        </w:tc>
        <w:tc>
          <w:tcPr>
            <w:tcW w:w="4731" w:type="dxa"/>
            <w:gridSpan w:val="5"/>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left"/>
              <w:textAlignment w:val="center"/>
              <w:rPr>
                <w:rFonts w:ascii="宋体" w:eastAsia="宋体" w:cs="宋体"/>
                <w:color w:val="000000"/>
                <w:kern w:val="0"/>
                <w:sz w:val="24"/>
              </w:rPr>
            </w:pPr>
            <w:r>
              <w:rPr>
                <w:rFonts w:ascii="宋体" w:eastAsia="宋体" w:cs="宋体" w:hint="eastAsia"/>
                <w:i w:val="0"/>
                <w:iCs w:val="0"/>
                <w:color w:val="000000"/>
                <w:kern w:val="0"/>
                <w:sz w:val="22"/>
                <w:szCs w:val="22"/>
                <w:u w:val="none"/>
                <w:lang w:val="en-US" w:eastAsia="zh-CN"/>
              </w:rPr>
              <w:t>有效保障</w:t>
            </w:r>
          </w:p>
        </w:tc>
        <w:tc>
          <w:tcPr>
            <w:tcW w:w="174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color w:val="000000"/>
                <w:kern w:val="0"/>
                <w:sz w:val="24"/>
                <w:szCs w:val="24"/>
                <w:lang w:val="en-US" w:eastAsia="zh-CN" w:bidi="ar-SA"/>
              </w:rPr>
            </w:pPr>
            <w:r>
              <w:rPr>
                <w:rFonts w:ascii="宋体" w:eastAsia="宋体" w:cs="宋体" w:hint="eastAsia"/>
                <w:i w:val="0"/>
                <w:iCs w:val="0"/>
                <w:color w:val="000000"/>
                <w:kern w:val="0"/>
                <w:sz w:val="22"/>
                <w:szCs w:val="22"/>
                <w:u w:val="none"/>
                <w:lang w:val="en-US" w:eastAsia="zh-CN"/>
              </w:rPr>
              <w:t>有效保障</w:t>
            </w:r>
          </w:p>
        </w:tc>
      </w:tr>
      <w:tr>
        <w:trPr>
          <w:trHeight w:val="296"/>
        </w:trPr>
        <w:tc>
          <w:tcPr>
            <w:tcW w:w="331" w:type="dxa"/>
            <w:vMerge/>
            <w:tcBorders>
              <w:top w:val="single" w:sz="4" w:space="0" w:color="000000"/>
              <w:left w:val="single" w:sz="4" w:space="0" w:color="000000"/>
              <w:bottom w:val="single" w:sz="4" w:space="0" w:color="000000"/>
              <w:right w:val="single" w:sz="4" w:space="0" w:color="000000"/>
            </w:tcBorders>
            <w:noWrap/>
            <w:vAlign w:val="center"/>
          </w:tcPr>
          <w:p/>
        </w:tc>
        <w:tc>
          <w:tcPr>
            <w:tcW w:w="593"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left"/>
              <w:textAlignment w:val="center"/>
              <w:rPr>
                <w:rFonts w:ascii="宋体" w:eastAsia="宋体" w:cs="宋体"/>
                <w:color w:val="000000"/>
                <w:kern w:val="0"/>
                <w:sz w:val="24"/>
              </w:rPr>
            </w:pPr>
            <w:r>
              <w:rPr>
                <w:rFonts w:ascii="宋体" w:eastAsia="宋体" w:cs="宋体" w:hint="eastAsia"/>
                <w:i w:val="0"/>
                <w:iCs w:val="0"/>
                <w:color w:val="000000"/>
                <w:kern w:val="0"/>
                <w:sz w:val="22"/>
                <w:szCs w:val="22"/>
                <w:u w:val="none"/>
                <w:lang w:val="en-US" w:eastAsia="zh-CN"/>
              </w:rPr>
              <w:t>效益指标</w:t>
            </w:r>
          </w:p>
        </w:tc>
        <w:tc>
          <w:tcPr>
            <w:tcW w:w="97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left"/>
              <w:textAlignment w:val="center"/>
              <w:rPr>
                <w:rFonts w:ascii="宋体" w:eastAsia="宋体" w:cs="宋体"/>
                <w:color w:val="000000"/>
                <w:kern w:val="0"/>
                <w:sz w:val="24"/>
              </w:rPr>
            </w:pPr>
            <w:r>
              <w:rPr>
                <w:rFonts w:ascii="宋体" w:eastAsia="宋体" w:cs="宋体" w:hint="eastAsia"/>
                <w:i w:val="0"/>
                <w:iCs w:val="0"/>
                <w:color w:val="000000"/>
                <w:kern w:val="0"/>
                <w:sz w:val="22"/>
                <w:szCs w:val="22"/>
                <w:u w:val="none"/>
                <w:lang w:val="en-US" w:eastAsia="zh-CN"/>
              </w:rPr>
              <w:t>社会效益指标</w:t>
            </w:r>
          </w:p>
        </w:tc>
        <w:tc>
          <w:tcPr>
            <w:tcW w:w="128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left"/>
              <w:textAlignment w:val="center"/>
              <w:rPr>
                <w:rFonts w:ascii="宋体" w:eastAsia="宋体" w:cs="宋体"/>
                <w:color w:val="000000"/>
                <w:kern w:val="0"/>
                <w:sz w:val="24"/>
              </w:rPr>
            </w:pPr>
            <w:r>
              <w:rPr>
                <w:rFonts w:ascii="宋体" w:eastAsia="宋体" w:cs="宋体" w:hint="eastAsia"/>
                <w:i w:val="0"/>
                <w:iCs w:val="0"/>
                <w:color w:val="000000"/>
                <w:kern w:val="0"/>
                <w:sz w:val="22"/>
                <w:szCs w:val="22"/>
                <w:u w:val="none"/>
                <w:lang w:val="en-US" w:eastAsia="zh-CN"/>
              </w:rPr>
              <w:t>交通参与者处理交管业务便捷度</w:t>
            </w:r>
          </w:p>
        </w:tc>
        <w:tc>
          <w:tcPr>
            <w:tcW w:w="4731" w:type="dxa"/>
            <w:gridSpan w:val="5"/>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left"/>
              <w:textAlignment w:val="center"/>
              <w:rPr>
                <w:rFonts w:ascii="宋体" w:eastAsia="宋体" w:cs="宋体"/>
                <w:color w:val="000000"/>
                <w:kern w:val="0"/>
                <w:sz w:val="24"/>
              </w:rPr>
            </w:pPr>
            <w:r>
              <w:rPr>
                <w:rFonts w:ascii="宋体" w:eastAsia="宋体" w:cs="宋体" w:hint="eastAsia"/>
                <w:i w:val="0"/>
                <w:iCs w:val="0"/>
                <w:color w:val="000000"/>
                <w:kern w:val="0"/>
                <w:sz w:val="22"/>
                <w:szCs w:val="22"/>
                <w:u w:val="none"/>
                <w:lang w:val="en-US" w:eastAsia="zh-CN"/>
              </w:rPr>
              <w:t>有效提升</w:t>
            </w:r>
          </w:p>
        </w:tc>
        <w:tc>
          <w:tcPr>
            <w:tcW w:w="174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color w:val="000000"/>
                <w:kern w:val="0"/>
                <w:sz w:val="24"/>
                <w:szCs w:val="24"/>
                <w:lang w:val="en-US" w:eastAsia="zh-CN" w:bidi="ar-SA"/>
              </w:rPr>
            </w:pPr>
            <w:r>
              <w:rPr>
                <w:rFonts w:ascii="宋体" w:eastAsia="宋体" w:cs="宋体" w:hint="eastAsia"/>
                <w:i w:val="0"/>
                <w:iCs w:val="0"/>
                <w:color w:val="000000"/>
                <w:kern w:val="0"/>
                <w:sz w:val="22"/>
                <w:szCs w:val="22"/>
                <w:u w:val="none"/>
                <w:lang w:val="en-US" w:eastAsia="zh-CN"/>
              </w:rPr>
              <w:t>有效提升</w:t>
            </w:r>
          </w:p>
        </w:tc>
      </w:tr>
      <w:tr>
        <w:trPr>
          <w:trHeight w:val="296"/>
        </w:trPr>
        <w:tc>
          <w:tcPr>
            <w:tcW w:w="331" w:type="dxa"/>
            <w:vMerge/>
            <w:tcBorders>
              <w:top w:val="single" w:sz="4" w:space="0" w:color="000000"/>
              <w:left w:val="single" w:sz="4" w:space="0" w:color="000000"/>
              <w:bottom w:val="single" w:sz="4" w:space="0" w:color="000000"/>
              <w:right w:val="single" w:sz="4" w:space="0" w:color="000000"/>
            </w:tcBorders>
            <w:noWrap/>
            <w:vAlign w:val="center"/>
          </w:tcPr>
          <w:p/>
        </w:tc>
        <w:tc>
          <w:tcPr>
            <w:tcW w:w="593"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left"/>
              <w:textAlignment w:val="center"/>
              <w:rPr>
                <w:rFonts w:ascii="宋体" w:eastAsia="宋体" w:cs="宋体"/>
                <w:color w:val="000000"/>
                <w:kern w:val="0"/>
                <w:sz w:val="24"/>
              </w:rPr>
            </w:pPr>
            <w:r>
              <w:rPr>
                <w:rFonts w:ascii="宋体" w:eastAsia="宋体" w:cs="宋体" w:hint="eastAsia"/>
                <w:i w:val="0"/>
                <w:iCs w:val="0"/>
                <w:color w:val="000000"/>
                <w:kern w:val="0"/>
                <w:sz w:val="22"/>
                <w:szCs w:val="22"/>
                <w:u w:val="none"/>
                <w:lang w:val="en-US" w:eastAsia="zh-CN"/>
              </w:rPr>
              <w:t>效益指标</w:t>
            </w:r>
          </w:p>
        </w:tc>
        <w:tc>
          <w:tcPr>
            <w:tcW w:w="97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left"/>
              <w:textAlignment w:val="center"/>
              <w:rPr>
                <w:rFonts w:ascii="宋体" w:eastAsia="宋体" w:cs="宋体"/>
                <w:color w:val="000000"/>
                <w:kern w:val="0"/>
                <w:sz w:val="24"/>
              </w:rPr>
            </w:pPr>
            <w:r>
              <w:rPr>
                <w:rFonts w:ascii="宋体" w:eastAsia="宋体" w:cs="宋体" w:hint="eastAsia"/>
                <w:i w:val="0"/>
                <w:iCs w:val="0"/>
                <w:color w:val="000000"/>
                <w:kern w:val="0"/>
                <w:sz w:val="22"/>
                <w:szCs w:val="22"/>
                <w:u w:val="none"/>
                <w:lang w:val="en-US" w:eastAsia="zh-CN"/>
              </w:rPr>
              <w:t>社会效益指标</w:t>
            </w:r>
          </w:p>
        </w:tc>
        <w:tc>
          <w:tcPr>
            <w:tcW w:w="128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left"/>
              <w:textAlignment w:val="center"/>
              <w:rPr>
                <w:rFonts w:ascii="宋体" w:eastAsia="宋体" w:cs="宋体"/>
                <w:color w:val="000000"/>
                <w:kern w:val="0"/>
                <w:sz w:val="24"/>
              </w:rPr>
            </w:pPr>
            <w:r>
              <w:rPr>
                <w:rFonts w:ascii="宋体" w:eastAsia="宋体" w:cs="宋体" w:hint="eastAsia"/>
                <w:i w:val="0"/>
                <w:iCs w:val="0"/>
                <w:color w:val="000000"/>
                <w:kern w:val="0"/>
                <w:sz w:val="22"/>
                <w:szCs w:val="22"/>
                <w:u w:val="none"/>
                <w:lang w:val="en-US" w:eastAsia="zh-CN"/>
              </w:rPr>
              <w:t>提高执法工作效率</w:t>
            </w:r>
          </w:p>
        </w:tc>
        <w:tc>
          <w:tcPr>
            <w:tcW w:w="4731" w:type="dxa"/>
            <w:gridSpan w:val="5"/>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left"/>
              <w:textAlignment w:val="center"/>
              <w:rPr>
                <w:rFonts w:ascii="宋体" w:eastAsia="宋体" w:cs="宋体"/>
                <w:color w:val="000000"/>
                <w:kern w:val="0"/>
                <w:sz w:val="24"/>
              </w:rPr>
            </w:pPr>
            <w:r>
              <w:rPr>
                <w:rFonts w:ascii="宋体" w:eastAsia="宋体" w:cs="宋体" w:hint="eastAsia"/>
                <w:i w:val="0"/>
                <w:iCs w:val="0"/>
                <w:color w:val="000000"/>
                <w:kern w:val="0"/>
                <w:sz w:val="22"/>
                <w:szCs w:val="22"/>
                <w:u w:val="none"/>
                <w:lang w:val="en-US" w:eastAsia="zh-CN"/>
              </w:rPr>
              <w:t>有效提升</w:t>
            </w:r>
          </w:p>
        </w:tc>
        <w:tc>
          <w:tcPr>
            <w:tcW w:w="174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color w:val="000000"/>
                <w:kern w:val="0"/>
                <w:sz w:val="24"/>
                <w:szCs w:val="24"/>
                <w:lang w:val="en-US" w:eastAsia="zh-CN" w:bidi="ar-SA"/>
              </w:rPr>
            </w:pPr>
            <w:r>
              <w:rPr>
                <w:rFonts w:ascii="宋体" w:eastAsia="宋体" w:cs="宋体" w:hint="eastAsia"/>
                <w:i w:val="0"/>
                <w:iCs w:val="0"/>
                <w:color w:val="000000"/>
                <w:kern w:val="0"/>
                <w:sz w:val="22"/>
                <w:szCs w:val="22"/>
                <w:u w:val="none"/>
                <w:lang w:val="en-US" w:eastAsia="zh-CN"/>
              </w:rPr>
              <w:t>有效提升</w:t>
            </w:r>
          </w:p>
        </w:tc>
      </w:tr>
      <w:tr>
        <w:trPr>
          <w:trHeight w:val="296"/>
        </w:trPr>
        <w:tc>
          <w:tcPr>
            <w:tcW w:w="331" w:type="dxa"/>
            <w:vMerge/>
            <w:tcBorders>
              <w:top w:val="single" w:sz="4" w:space="0" w:color="000000"/>
              <w:left w:val="single" w:sz="4" w:space="0" w:color="000000"/>
              <w:bottom w:val="single" w:sz="4" w:space="0" w:color="000000"/>
              <w:right w:val="single" w:sz="4" w:space="0" w:color="000000"/>
            </w:tcBorders>
            <w:noWrap/>
            <w:vAlign w:val="center"/>
          </w:tcPr>
          <w:p/>
        </w:tc>
        <w:tc>
          <w:tcPr>
            <w:tcW w:w="593"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left"/>
              <w:textAlignment w:val="center"/>
              <w:rPr>
                <w:rFonts w:ascii="宋体" w:eastAsia="宋体" w:cs="宋体"/>
                <w:color w:val="000000"/>
                <w:kern w:val="0"/>
                <w:sz w:val="24"/>
              </w:rPr>
            </w:pPr>
            <w:r>
              <w:rPr>
                <w:rFonts w:ascii="宋体" w:eastAsia="宋体" w:cs="宋体" w:hint="eastAsia"/>
                <w:i w:val="0"/>
                <w:iCs w:val="0"/>
                <w:color w:val="000000"/>
                <w:kern w:val="0"/>
                <w:sz w:val="22"/>
                <w:szCs w:val="22"/>
                <w:u w:val="none"/>
                <w:lang w:val="en-US" w:eastAsia="zh-CN"/>
              </w:rPr>
              <w:t>产出指标</w:t>
            </w:r>
          </w:p>
        </w:tc>
        <w:tc>
          <w:tcPr>
            <w:tcW w:w="97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left"/>
              <w:textAlignment w:val="center"/>
              <w:rPr>
                <w:rFonts w:ascii="宋体" w:eastAsia="宋体" w:cs="宋体"/>
                <w:color w:val="000000"/>
                <w:kern w:val="0"/>
                <w:sz w:val="24"/>
              </w:rPr>
            </w:pPr>
            <w:r>
              <w:rPr>
                <w:rFonts w:ascii="宋体" w:eastAsia="宋体" w:cs="宋体" w:hint="eastAsia"/>
                <w:i w:val="0"/>
                <w:iCs w:val="0"/>
                <w:color w:val="000000"/>
                <w:kern w:val="0"/>
                <w:sz w:val="22"/>
                <w:szCs w:val="22"/>
                <w:u w:val="none"/>
                <w:lang w:val="en-US" w:eastAsia="zh-CN"/>
              </w:rPr>
              <w:t>时效指标</w:t>
            </w:r>
          </w:p>
        </w:tc>
        <w:tc>
          <w:tcPr>
            <w:tcW w:w="128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left"/>
              <w:textAlignment w:val="center"/>
              <w:rPr>
                <w:rFonts w:ascii="宋体" w:eastAsia="宋体" w:cs="宋体"/>
                <w:color w:val="000000"/>
                <w:kern w:val="0"/>
                <w:sz w:val="24"/>
              </w:rPr>
            </w:pPr>
            <w:r>
              <w:rPr>
                <w:rFonts w:ascii="宋体" w:eastAsia="宋体" w:cs="宋体" w:hint="eastAsia"/>
                <w:i w:val="0"/>
                <w:iCs w:val="0"/>
                <w:color w:val="000000"/>
                <w:kern w:val="0"/>
                <w:sz w:val="22"/>
                <w:szCs w:val="22"/>
                <w:u w:val="none"/>
                <w:lang w:val="en-US" w:eastAsia="zh-CN"/>
              </w:rPr>
              <w:t>案件处理及时率</w:t>
            </w:r>
          </w:p>
        </w:tc>
        <w:tc>
          <w:tcPr>
            <w:tcW w:w="4731" w:type="dxa"/>
            <w:gridSpan w:val="5"/>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left"/>
              <w:textAlignment w:val="center"/>
              <w:rPr>
                <w:rFonts w:ascii="宋体" w:eastAsia="宋体" w:cs="宋体"/>
                <w:color w:val="000000"/>
                <w:kern w:val="0"/>
                <w:sz w:val="24"/>
              </w:rPr>
            </w:pPr>
            <w:r>
              <w:rPr>
                <w:rFonts w:ascii="宋体" w:eastAsia="宋体" w:cs="宋体" w:hint="eastAsia"/>
                <w:i w:val="0"/>
                <w:iCs w:val="0"/>
                <w:color w:val="000000"/>
                <w:kern w:val="0"/>
                <w:sz w:val="22"/>
                <w:szCs w:val="22"/>
                <w:u w:val="none"/>
                <w:lang w:val="en-US" w:eastAsia="zh-CN"/>
              </w:rPr>
              <w:t>≥98%</w:t>
            </w:r>
          </w:p>
        </w:tc>
        <w:tc>
          <w:tcPr>
            <w:tcW w:w="174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color w:val="000000"/>
                <w:kern w:val="0"/>
                <w:sz w:val="24"/>
                <w:szCs w:val="24"/>
                <w:lang w:val="en-US" w:eastAsia="zh-CN" w:bidi="ar-SA"/>
              </w:rPr>
            </w:pPr>
            <w:r>
              <w:rPr>
                <w:rFonts w:ascii="宋体" w:eastAsia="宋体" w:cs="宋体" w:hint="eastAsia"/>
                <w:i w:val="0"/>
                <w:iCs w:val="0"/>
                <w:color w:val="000000"/>
                <w:kern w:val="0"/>
                <w:sz w:val="22"/>
                <w:szCs w:val="22"/>
                <w:u w:val="none"/>
                <w:lang w:val="en-US" w:eastAsia="zh-CN"/>
              </w:rPr>
              <w:t>98%</w:t>
            </w:r>
          </w:p>
        </w:tc>
      </w:tr>
      <w:tr>
        <w:trPr>
          <w:trHeight w:val="296"/>
        </w:trPr>
        <w:tc>
          <w:tcPr>
            <w:tcW w:w="331" w:type="dxa"/>
            <w:vMerge/>
            <w:tcBorders>
              <w:top w:val="single" w:sz="4" w:space="0" w:color="000000"/>
              <w:left w:val="single" w:sz="4" w:space="0" w:color="000000"/>
              <w:bottom w:val="single" w:sz="4" w:space="0" w:color="000000"/>
              <w:right w:val="single" w:sz="4" w:space="0" w:color="000000"/>
            </w:tcBorders>
            <w:noWrap/>
            <w:vAlign w:val="center"/>
          </w:tcPr>
          <w:p/>
        </w:tc>
        <w:tc>
          <w:tcPr>
            <w:tcW w:w="593"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left"/>
              <w:textAlignment w:val="center"/>
              <w:rPr>
                <w:rFonts w:ascii="宋体" w:eastAsia="宋体" w:cs="宋体"/>
                <w:color w:val="000000"/>
                <w:kern w:val="0"/>
                <w:sz w:val="24"/>
              </w:rPr>
            </w:pPr>
            <w:r>
              <w:rPr>
                <w:rFonts w:ascii="宋体" w:eastAsia="宋体" w:cs="宋体" w:hint="eastAsia"/>
                <w:i w:val="0"/>
                <w:iCs w:val="0"/>
                <w:color w:val="000000"/>
                <w:kern w:val="0"/>
                <w:sz w:val="22"/>
                <w:szCs w:val="22"/>
                <w:u w:val="none"/>
                <w:lang w:val="en-US" w:eastAsia="zh-CN"/>
              </w:rPr>
              <w:t>产出指标</w:t>
            </w:r>
          </w:p>
        </w:tc>
        <w:tc>
          <w:tcPr>
            <w:tcW w:w="97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left"/>
              <w:textAlignment w:val="center"/>
              <w:rPr>
                <w:rFonts w:ascii="宋体" w:eastAsia="宋体" w:cs="宋体"/>
                <w:color w:val="000000"/>
                <w:kern w:val="0"/>
                <w:sz w:val="24"/>
              </w:rPr>
            </w:pPr>
            <w:r>
              <w:rPr>
                <w:rFonts w:ascii="宋体" w:eastAsia="宋体" w:cs="宋体" w:hint="eastAsia"/>
                <w:i w:val="0"/>
                <w:iCs w:val="0"/>
                <w:color w:val="000000"/>
                <w:kern w:val="0"/>
                <w:sz w:val="22"/>
                <w:szCs w:val="22"/>
                <w:u w:val="none"/>
                <w:lang w:val="en-US" w:eastAsia="zh-CN"/>
              </w:rPr>
              <w:t>时效指标</w:t>
            </w:r>
          </w:p>
        </w:tc>
        <w:tc>
          <w:tcPr>
            <w:tcW w:w="128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left"/>
              <w:textAlignment w:val="center"/>
              <w:rPr>
                <w:rFonts w:ascii="宋体" w:eastAsia="宋体" w:cs="宋体"/>
                <w:color w:val="000000"/>
                <w:kern w:val="0"/>
                <w:sz w:val="24"/>
              </w:rPr>
            </w:pPr>
            <w:r>
              <w:rPr>
                <w:rFonts w:ascii="宋体" w:eastAsia="宋体" w:cs="宋体" w:hint="eastAsia"/>
                <w:i w:val="0"/>
                <w:iCs w:val="0"/>
                <w:color w:val="000000"/>
                <w:kern w:val="0"/>
                <w:sz w:val="22"/>
                <w:szCs w:val="22"/>
                <w:u w:val="none"/>
                <w:lang w:val="en-US" w:eastAsia="zh-CN"/>
              </w:rPr>
              <w:t>项目完成时限</w:t>
            </w:r>
          </w:p>
        </w:tc>
        <w:tc>
          <w:tcPr>
            <w:tcW w:w="4731" w:type="dxa"/>
            <w:gridSpan w:val="5"/>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left"/>
              <w:textAlignment w:val="center"/>
              <w:rPr>
                <w:rFonts w:ascii="宋体" w:eastAsia="宋体" w:cs="宋体"/>
                <w:color w:val="000000"/>
                <w:kern w:val="0"/>
                <w:sz w:val="24"/>
              </w:rPr>
            </w:pPr>
            <w:r>
              <w:rPr>
                <w:rFonts w:ascii="宋体" w:eastAsia="宋体" w:cs="宋体" w:hint="eastAsia"/>
                <w:i w:val="0"/>
                <w:iCs w:val="0"/>
                <w:color w:val="000000"/>
                <w:kern w:val="0"/>
                <w:sz w:val="22"/>
                <w:szCs w:val="22"/>
                <w:u w:val="none"/>
                <w:lang w:val="en-US" w:eastAsia="zh-CN"/>
              </w:rPr>
              <w:t>≤1年</w:t>
            </w:r>
          </w:p>
        </w:tc>
        <w:tc>
          <w:tcPr>
            <w:tcW w:w="174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color w:val="000000"/>
                <w:kern w:val="0"/>
                <w:sz w:val="24"/>
                <w:szCs w:val="24"/>
                <w:lang w:val="en-US" w:eastAsia="zh-CN" w:bidi="ar-SA"/>
              </w:rPr>
            </w:pPr>
            <w:r>
              <w:rPr>
                <w:rFonts w:ascii="宋体" w:eastAsia="宋体" w:cs="宋体" w:hint="eastAsia"/>
                <w:i w:val="0"/>
                <w:iCs w:val="0"/>
                <w:color w:val="000000"/>
                <w:kern w:val="0"/>
                <w:sz w:val="22"/>
                <w:szCs w:val="22"/>
                <w:u w:val="none"/>
                <w:lang w:val="en-US" w:eastAsia="zh-CN"/>
              </w:rPr>
              <w:t>1年</w:t>
            </w:r>
          </w:p>
        </w:tc>
      </w:tr>
      <w:tr>
        <w:trPr>
          <w:trHeight w:val="306"/>
        </w:trPr>
        <w:tc>
          <w:tcPr>
            <w:tcW w:w="331" w:type="dxa"/>
            <w:vMerge/>
            <w:tcBorders>
              <w:top w:val="single" w:sz="4" w:space="0" w:color="000000"/>
              <w:left w:val="single" w:sz="4" w:space="0" w:color="000000"/>
              <w:bottom w:val="single" w:sz="4" w:space="0" w:color="000000"/>
              <w:right w:val="single" w:sz="4" w:space="0" w:color="000000"/>
            </w:tcBorders>
            <w:noWrap/>
            <w:vAlign w:val="center"/>
          </w:tcPr>
          <w:p/>
        </w:tc>
        <w:tc>
          <w:tcPr>
            <w:tcW w:w="593"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left"/>
              <w:textAlignment w:val="center"/>
              <w:rPr>
                <w:rFonts w:ascii="宋体" w:eastAsia="宋体" w:cs="宋体"/>
                <w:color w:val="000000"/>
                <w:kern w:val="0"/>
                <w:sz w:val="24"/>
              </w:rPr>
            </w:pPr>
            <w:r>
              <w:rPr>
                <w:rFonts w:ascii="宋体" w:eastAsia="宋体" w:cs="宋体" w:hint="eastAsia"/>
                <w:i w:val="0"/>
                <w:iCs w:val="0"/>
                <w:color w:val="000000"/>
                <w:kern w:val="0"/>
                <w:sz w:val="22"/>
                <w:szCs w:val="22"/>
                <w:u w:val="none"/>
                <w:lang w:val="en-US" w:eastAsia="zh-CN"/>
              </w:rPr>
              <w:t>产出指标</w:t>
            </w:r>
          </w:p>
        </w:tc>
        <w:tc>
          <w:tcPr>
            <w:tcW w:w="97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left"/>
              <w:textAlignment w:val="center"/>
              <w:rPr>
                <w:rFonts w:ascii="宋体" w:eastAsia="宋体" w:cs="宋体"/>
                <w:color w:val="000000"/>
                <w:kern w:val="0"/>
                <w:sz w:val="24"/>
              </w:rPr>
            </w:pPr>
            <w:r>
              <w:rPr>
                <w:rFonts w:ascii="宋体" w:eastAsia="宋体" w:cs="宋体" w:hint="eastAsia"/>
                <w:i w:val="0"/>
                <w:iCs w:val="0"/>
                <w:color w:val="000000"/>
                <w:kern w:val="0"/>
                <w:sz w:val="22"/>
                <w:szCs w:val="22"/>
                <w:u w:val="none"/>
                <w:lang w:val="en-US" w:eastAsia="zh-CN"/>
              </w:rPr>
              <w:t>质量指标</w:t>
            </w:r>
          </w:p>
        </w:tc>
        <w:tc>
          <w:tcPr>
            <w:tcW w:w="128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left"/>
              <w:textAlignment w:val="center"/>
              <w:rPr>
                <w:rFonts w:ascii="宋体" w:eastAsia="宋体" w:cs="宋体"/>
                <w:color w:val="000000"/>
                <w:kern w:val="0"/>
                <w:sz w:val="24"/>
              </w:rPr>
            </w:pPr>
            <w:r>
              <w:rPr>
                <w:rFonts w:ascii="宋体" w:eastAsia="宋体" w:cs="宋体" w:hint="eastAsia"/>
                <w:i w:val="0"/>
                <w:iCs w:val="0"/>
                <w:color w:val="000000"/>
                <w:kern w:val="0"/>
                <w:sz w:val="22"/>
                <w:szCs w:val="22"/>
                <w:u w:val="none"/>
                <w:lang w:val="en-US" w:eastAsia="zh-CN"/>
              </w:rPr>
              <w:t>交警网络系统故障率</w:t>
            </w:r>
          </w:p>
        </w:tc>
        <w:tc>
          <w:tcPr>
            <w:tcW w:w="4731" w:type="dxa"/>
            <w:gridSpan w:val="5"/>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left"/>
              <w:textAlignment w:val="center"/>
              <w:rPr>
                <w:rFonts w:ascii="宋体" w:eastAsia="宋体" w:cs="宋体"/>
                <w:color w:val="000000"/>
                <w:kern w:val="0"/>
                <w:sz w:val="24"/>
              </w:rPr>
            </w:pPr>
            <w:r>
              <w:rPr>
                <w:rFonts w:ascii="宋体" w:eastAsia="宋体" w:cs="宋体" w:hint="eastAsia"/>
                <w:i w:val="0"/>
                <w:iCs w:val="0"/>
                <w:color w:val="000000"/>
                <w:kern w:val="0"/>
                <w:sz w:val="22"/>
                <w:szCs w:val="22"/>
                <w:u w:val="none"/>
                <w:lang w:val="en-US" w:eastAsia="zh-CN"/>
              </w:rPr>
              <w:t>≤1%</w:t>
            </w:r>
          </w:p>
        </w:tc>
        <w:tc>
          <w:tcPr>
            <w:tcW w:w="174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color w:val="000000"/>
                <w:kern w:val="0"/>
                <w:sz w:val="24"/>
                <w:szCs w:val="24"/>
                <w:lang w:val="en-US" w:eastAsia="zh-CN" w:bidi="ar-SA"/>
              </w:rPr>
            </w:pPr>
            <w:r>
              <w:rPr>
                <w:rFonts w:ascii="宋体" w:eastAsia="宋体" w:cs="宋体" w:hint="eastAsia"/>
                <w:i w:val="0"/>
                <w:iCs w:val="0"/>
                <w:color w:val="000000"/>
                <w:kern w:val="0"/>
                <w:sz w:val="22"/>
                <w:szCs w:val="22"/>
                <w:u w:val="none"/>
                <w:lang w:val="en-US" w:eastAsia="zh-CN"/>
              </w:rPr>
              <w:t>0.5%</w:t>
            </w:r>
          </w:p>
        </w:tc>
      </w:tr>
    </w:tbl>
    <w:p>
      <w:pPr>
        <w:pStyle w:val="23"/>
        <w:keepNext w:val="0"/>
        <w:keepLines w:val="0"/>
        <w:pageBreakBefore w:val="0"/>
        <w:widowControl w:val="0"/>
        <w:kinsoku/>
        <w:wordWrap/>
        <w:overflowPunct/>
        <w:topLinePunct w:val="0"/>
        <w:autoSpaceDE/>
        <w:autoSpaceDN/>
        <w:bidi w:val="0"/>
        <w:spacing w:line="560" w:lineRule="exact"/>
        <w:ind w:leftChars="0" w:left="0" w:firstLineChars="200" w:firstLine="640"/>
        <w:textAlignment w:val="auto"/>
        <w:rPr>
          <w:rFonts w:ascii="Times New Roman" w:eastAsia="仿宋_GB2312" w:cs="Times New Roman" w:hAnsi="Times New Roman" w:hint="eastAsia"/>
          <w:kern w:val="2"/>
          <w:sz w:val="32"/>
          <w:szCs w:val="32"/>
          <w:u w:val="none"/>
          <w:lang w:val="zh-CN" w:eastAsia="zh-CN"/>
        </w:rPr>
      </w:pPr>
    </w:p>
    <w:p>
      <w:pPr>
        <w:pStyle w:val="23"/>
        <w:pageBreakBefore w:val="0"/>
        <w:widowControl w:val="0"/>
        <w:kinsoku/>
        <w:overflowPunct/>
        <w:topLinePunct w:val="0"/>
        <w:autoSpaceDE/>
        <w:autoSpaceDN/>
        <w:bidi w:val="0"/>
        <w:spacing w:after="0" w:line="578" w:lineRule="exact"/>
        <w:ind w:leftChars="0" w:left="0" w:firstLineChars="200" w:firstLine="420"/>
        <w:rPr>
          <w:rFonts w:ascii="Times New Roman" w:eastAsia="黑体" w:hAnsi="Times New Roman"/>
          <w:szCs w:val="24"/>
        </w:rPr>
        <w:sectPr>
          <w:footerReference w:type="default" r:id="rId7"/>
          <w:pgSz w:w="11906" w:h="16838"/>
          <w:pgMar w:top="1440" w:right="1800" w:bottom="1440" w:left="1800" w:header="851" w:footer="992" w:gutter="0"/>
          <w:pgNumType w:start="1"/>
          <w:docGrid w:type="lines" w:linePitch="312" w:charSpace="0"/>
        </w:sectPr>
      </w:pPr>
    </w:p>
    <w:tbl>
      <w:tblPr>
        <w:jc w:val="left"/>
        <w:tblInd w:w="0" w:type="dxa"/>
        <w:tblW w:w="5000" w:type="pct"/>
        <w:tblBorders>
          <w:top w:val="none" w:sz="0" w:space="0" w:color="auto"/>
          <w:left w:val="none" w:sz="0" w:space="0" w:color="auto"/>
          <w:bottom w:val="none" w:sz="0" w:space="0" w:color="auto"/>
          <w:right w:val="none" w:sz="0" w:space="0" w:color="auto"/>
        </w:tblBorders>
        <w:shd w:val="clear" w:color="auto" w:fill="auto"/>
        <w:tblCellMar>
          <w:top w:w="0" w:type="dxa"/>
          <w:left w:w="108" w:type="dxa"/>
          <w:bottom w:w="0" w:type="dxa"/>
          <w:right w:w="108" w:type="dxa"/>
        </w:tblCellMar>
      </w:tblPr>
      <w:tblGrid>
        <w:gridCol w:w="953"/>
        <w:gridCol w:w="1628"/>
        <w:gridCol w:w="1012"/>
        <w:gridCol w:w="1575"/>
        <w:gridCol w:w="917"/>
        <w:gridCol w:w="987"/>
        <w:gridCol w:w="920"/>
        <w:gridCol w:w="1474"/>
        <w:gridCol w:w="652"/>
        <w:gridCol w:w="849"/>
        <w:gridCol w:w="3093"/>
      </w:tblGrid>
      <w:tr>
        <w:trPr>
          <w:trHeight w:val="90"/>
        </w:trPr>
        <w:tc>
          <w:tcPr>
            <w:tcW w:w="5000" w:type="pct"/>
            <w:gridSpan w:val="11"/>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黑体" w:eastAsia="黑体" w:cs="黑体"/>
                <w:b/>
                <w:bCs/>
                <w:i w:val="0"/>
                <w:iCs w:val="0"/>
                <w:color w:val="000000"/>
                <w:sz w:val="30"/>
                <w:szCs w:val="30"/>
                <w:u w:val="none"/>
              </w:rPr>
            </w:pPr>
            <w:r>
              <w:rPr>
                <w:rFonts w:ascii="黑体" w:eastAsia="黑体" w:cs="黑体" w:hint="eastAsia"/>
                <w:b/>
                <w:bCs/>
                <w:i w:val="0"/>
                <w:iCs w:val="0"/>
                <w:color w:val="000000"/>
                <w:kern w:val="0"/>
                <w:sz w:val="30"/>
                <w:szCs w:val="30"/>
                <w:u w:val="none"/>
                <w:lang w:val="en-US" w:eastAsia="zh-CN"/>
              </w:rPr>
              <w:t>部门预算项目支出绩效自评表（2025年度）</w:t>
            </w:r>
          </w:p>
        </w:tc>
      </w:tr>
      <w:tr>
        <w:trPr>
          <w:trHeight w:val="286"/>
        </w:trPr>
        <w:tc>
          <w:tcPr>
            <w:tcW w:w="918"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081"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51320022T000000346817-微户政系统运营服务外包项目</w:t>
            </w:r>
          </w:p>
        </w:tc>
      </w:tr>
      <w:tr>
        <w:trPr>
          <w:trHeight w:val="695"/>
        </w:trPr>
        <w:tc>
          <w:tcPr>
            <w:tcW w:w="918"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1924"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州公安局部门</w:t>
            </w:r>
          </w:p>
        </w:tc>
        <w:tc>
          <w:tcPr>
            <w:tcW w:w="523" w:type="pct"/>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i w:val="0"/>
                <w:iCs w:val="0"/>
                <w:color w:val="000000"/>
                <w:sz w:val="18"/>
                <w:szCs w:val="18"/>
                <w:u w:val="none"/>
              </w:rPr>
            </w:pPr>
            <w:r>
              <w:rPr>
                <w:rFonts w:ascii="黑体" w:eastAsia="黑体" w:cs="黑体" w:hint="eastAsia"/>
                <w:i w:val="0"/>
                <w:iCs w:val="0"/>
                <w:color w:val="000000"/>
                <w:kern w:val="0"/>
                <w:sz w:val="18"/>
                <w:szCs w:val="18"/>
                <w:u w:val="none"/>
                <w:lang w:val="en-US" w:eastAsia="zh-CN"/>
              </w:rPr>
              <w:t>实施单位 （盖章）</w:t>
            </w:r>
          </w:p>
        </w:tc>
        <w:tc>
          <w:tcPr>
            <w:tcW w:w="1633"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w:t>
            </w:r>
          </w:p>
        </w:tc>
      </w:tr>
      <w:tr>
        <w:trPr>
          <w:trHeight w:val="286"/>
        </w:trPr>
        <w:tc>
          <w:tcPr>
            <w:tcW w:w="33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57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1924"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2156"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年度目标完成情况</w:t>
            </w:r>
          </w:p>
        </w:tc>
      </w:tr>
      <w:tr>
        <w:trPr>
          <w:trHeight w:val="980"/>
        </w:trPr>
        <w:tc>
          <w:tcPr>
            <w:tcW w:w="33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7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924"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 xml:space="preserve">实现户籍业务全流程办理“足不出户”；居住证办理、居住登记信息回执业务及门楼牌地址信息变更回执提供“足不出户”服务；实现户籍办理、居住证办理“只进一扇门”、“最多跑一次”，提高管理服务效能。      </w:t>
            </w:r>
          </w:p>
        </w:tc>
        <w:tc>
          <w:tcPr>
            <w:tcW w:w="2156"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 xml:space="preserve">实现户籍业务全流程办理“足不出户”；居住证办理、居住登记信息回执业务及门楼牌地址信息变更回执提供“足不出户”服务；实现户籍办理、居住证办理“只进一扇门”、“最多跑一次”，提高管理服务效能。      </w:t>
            </w:r>
          </w:p>
        </w:tc>
      </w:tr>
      <w:tr>
        <w:trPr>
          <w:trHeight w:val="693"/>
        </w:trPr>
        <w:tc>
          <w:tcPr>
            <w:tcW w:w="33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081"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通过购买服务达到运维执行和保障作用，基于微信公众号，为群众提供可办理的户政业务事项，满足群众事前事中事后的全流程服务体验的需要，提供统一实名实人认证服务来进行可信实名制验证；提供EMS快递服务、支付服务等基础服务来实现群众办理户籍业务的”“一次不跑”和“足不出户”。</w:t>
            </w:r>
          </w:p>
        </w:tc>
      </w:tr>
      <w:tr>
        <w:trPr>
          <w:trHeight w:val="361"/>
        </w:trPr>
        <w:tc>
          <w:tcPr>
            <w:tcW w:w="33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5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5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003"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2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0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346"/>
        </w:trPr>
        <w:tc>
          <w:tcPr>
            <w:tcW w:w="33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34.50</w:t>
            </w:r>
          </w:p>
        </w:tc>
        <w:tc>
          <w:tcPr>
            <w:tcW w:w="1003"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34.50</w:t>
            </w:r>
          </w:p>
        </w:tc>
        <w:tc>
          <w:tcPr>
            <w:tcW w:w="52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9.85</w:t>
            </w:r>
          </w:p>
        </w:tc>
        <w:tc>
          <w:tcPr>
            <w:tcW w:w="109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iCs/>
                <w:color w:val="000000"/>
                <w:sz w:val="18"/>
                <w:szCs w:val="18"/>
                <w:u w:val="none"/>
              </w:rPr>
            </w:pPr>
            <w:r>
              <w:rPr>
                <w:rFonts w:ascii="黑体" w:eastAsia="黑体" w:cs="黑体" w:hint="eastAsia"/>
                <w:i/>
                <w:iCs/>
                <w:color w:val="000000"/>
                <w:kern w:val="0"/>
                <w:sz w:val="18"/>
                <w:szCs w:val="18"/>
                <w:u w:val="none"/>
                <w:lang w:val="en-US" w:eastAsia="zh-CN"/>
              </w:rPr>
              <w:t>该项目为2024年结转项目，年中调整预算，年底结余0.5万元由财政收回。</w:t>
            </w:r>
          </w:p>
        </w:tc>
      </w:tr>
      <w:tr>
        <w:trPr>
          <w:trHeight w:val="391"/>
        </w:trPr>
        <w:tc>
          <w:tcPr>
            <w:tcW w:w="33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34.50</w:t>
            </w:r>
          </w:p>
        </w:tc>
        <w:tc>
          <w:tcPr>
            <w:tcW w:w="1003"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34.50</w:t>
            </w:r>
          </w:p>
        </w:tc>
        <w:tc>
          <w:tcPr>
            <w:tcW w:w="52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07"/>
        </w:trPr>
        <w:tc>
          <w:tcPr>
            <w:tcW w:w="33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003"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2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1"/>
        </w:trPr>
        <w:tc>
          <w:tcPr>
            <w:tcW w:w="33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003"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2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39"/>
        </w:trPr>
        <w:tc>
          <w:tcPr>
            <w:tcW w:w="33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5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1003"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2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2"/>
        </w:trPr>
        <w:tc>
          <w:tcPr>
            <w:tcW w:w="33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5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5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3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3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2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0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rPr>
          <w:trHeight w:val="339"/>
        </w:trPr>
        <w:tc>
          <w:tcPr>
            <w:tcW w:w="33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7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5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系统维护数量</w:t>
            </w:r>
          </w:p>
        </w:tc>
        <w:tc>
          <w:tcPr>
            <w:tcW w:w="3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3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套</w:t>
            </w:r>
          </w:p>
        </w:tc>
        <w:tc>
          <w:tcPr>
            <w:tcW w:w="52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1</w:t>
            </w:r>
          </w:p>
        </w:tc>
        <w:tc>
          <w:tcPr>
            <w:tcW w:w="2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0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33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7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5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保障系统正常运行</w:t>
            </w:r>
          </w:p>
        </w:tc>
        <w:tc>
          <w:tcPr>
            <w:tcW w:w="3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有效保障</w:t>
            </w:r>
          </w:p>
        </w:tc>
        <w:tc>
          <w:tcPr>
            <w:tcW w:w="3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宋体" w:eastAsia="宋体" w:cs="宋体" w:hint="eastAsia"/>
                <w:i w:val="0"/>
                <w:iCs w:val="0"/>
                <w:color w:val="000000"/>
                <w:sz w:val="18"/>
                <w:szCs w:val="18"/>
                <w:u w:val="none"/>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有效保障</w:t>
            </w:r>
          </w:p>
        </w:tc>
        <w:tc>
          <w:tcPr>
            <w:tcW w:w="2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10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33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7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5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系统运营服务年限</w:t>
            </w:r>
          </w:p>
        </w:tc>
        <w:tc>
          <w:tcPr>
            <w:tcW w:w="3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3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w:t>
            </w:r>
          </w:p>
        </w:tc>
        <w:tc>
          <w:tcPr>
            <w:tcW w:w="52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1</w:t>
            </w:r>
          </w:p>
        </w:tc>
        <w:tc>
          <w:tcPr>
            <w:tcW w:w="2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0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33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5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提高管理服务效能</w:t>
            </w:r>
          </w:p>
        </w:tc>
        <w:tc>
          <w:tcPr>
            <w:tcW w:w="3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有效提升</w:t>
            </w:r>
          </w:p>
        </w:tc>
        <w:tc>
          <w:tcPr>
            <w:tcW w:w="3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宋体" w:eastAsia="宋体" w:cs="宋体" w:hint="eastAsia"/>
                <w:i w:val="0"/>
                <w:iCs w:val="0"/>
                <w:color w:val="000000"/>
                <w:sz w:val="18"/>
                <w:szCs w:val="18"/>
                <w:u w:val="none"/>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有效提升</w:t>
            </w:r>
          </w:p>
        </w:tc>
        <w:tc>
          <w:tcPr>
            <w:tcW w:w="2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17</w:t>
            </w:r>
          </w:p>
        </w:tc>
        <w:tc>
          <w:tcPr>
            <w:tcW w:w="10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452"/>
        </w:trPr>
        <w:tc>
          <w:tcPr>
            <w:tcW w:w="33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7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5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办事群众满意度</w:t>
            </w:r>
          </w:p>
        </w:tc>
        <w:tc>
          <w:tcPr>
            <w:tcW w:w="3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99</w:t>
            </w:r>
          </w:p>
        </w:tc>
        <w:tc>
          <w:tcPr>
            <w:tcW w:w="3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2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99</w:t>
            </w:r>
          </w:p>
        </w:tc>
        <w:tc>
          <w:tcPr>
            <w:tcW w:w="2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w:t>
            </w:r>
          </w:p>
        </w:tc>
        <w:tc>
          <w:tcPr>
            <w:tcW w:w="10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33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7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5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办案民警满意度</w:t>
            </w:r>
          </w:p>
        </w:tc>
        <w:tc>
          <w:tcPr>
            <w:tcW w:w="3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3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2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98</w:t>
            </w:r>
          </w:p>
        </w:tc>
        <w:tc>
          <w:tcPr>
            <w:tcW w:w="2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w:t>
            </w:r>
          </w:p>
        </w:tc>
        <w:tc>
          <w:tcPr>
            <w:tcW w:w="10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33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5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W w:w="3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3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2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100</w:t>
            </w:r>
          </w:p>
        </w:tc>
        <w:tc>
          <w:tcPr>
            <w:tcW w:w="2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10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286"/>
        </w:trPr>
        <w:tc>
          <w:tcPr>
            <w:tcW w:w="3366"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88.85</w:t>
            </w:r>
          </w:p>
        </w:tc>
        <w:tc>
          <w:tcPr>
            <w:tcW w:w="10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603"/>
        </w:trPr>
        <w:tc>
          <w:tcPr>
            <w:tcW w:w="918"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081"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该项目的实施实现了维护一套系统在一年内有效运行并有效提升管理服务效能目的，办事群众满意度达99%，办案民警满意度达98%，综合自评得分88.85分。</w:t>
            </w:r>
          </w:p>
        </w:tc>
      </w:tr>
      <w:tr>
        <w:trPr>
          <w:trHeight w:val="400"/>
        </w:trPr>
        <w:tc>
          <w:tcPr>
            <w:tcW w:w="918"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081"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在有效提升管理服务效能方面还需大力提升。</w:t>
            </w:r>
          </w:p>
        </w:tc>
      </w:tr>
      <w:tr>
        <w:trPr>
          <w:trHeight w:val="219"/>
        </w:trPr>
        <w:tc>
          <w:tcPr>
            <w:tcW w:w="918"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081"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通过大数据赋能等手段，加强系统作用。</w:t>
            </w:r>
          </w:p>
        </w:tc>
      </w:tr>
      <w:tr>
        <w:trPr>
          <w:trHeight w:val="286"/>
        </w:trPr>
        <w:tc>
          <w:tcPr>
            <w:tcW w:w="918"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项目负责人：王晶</w:t>
            </w:r>
          </w:p>
        </w:tc>
        <w:tc>
          <w:tcPr>
            <w:tcW w:w="4081"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财务负责人：娜斯基</w:t>
            </w:r>
          </w:p>
        </w:tc>
      </w:tr>
    </w:tbl>
    <w:p>
      <w:pPr>
        <w:pageBreakBefore w:val="0"/>
        <w:widowControl w:val="0"/>
        <w:kinsoku/>
        <w:overflowPunct/>
        <w:topLinePunct w:val="0"/>
        <w:autoSpaceDE/>
        <w:autoSpaceDN/>
        <w:bidi w:val="0"/>
        <w:ind w:firstLineChars="200" w:firstLine="420"/>
        <w:rPr>
          <w:rFonts w:eastAsia="黑体"/>
        </w:rPr>
      </w:pPr>
      <w:r>
        <w:rPr>
          <w:rFonts w:eastAsia="黑体"/>
        </w:rPr>
        <w:br w:type="page"/>
      </w:r>
    </w:p>
    <w:tbl>
      <w:tblPr>
        <w:jc w:val="left"/>
        <w:tblInd w:w="0" w:type="dxa"/>
        <w:tblW w:w="4999" w:type="pct"/>
        <w:tblBorders>
          <w:top w:val="none" w:sz="0" w:space="0" w:color="auto"/>
          <w:left w:val="none" w:sz="0" w:space="0" w:color="auto"/>
          <w:bottom w:val="none" w:sz="0" w:space="0" w:color="auto"/>
          <w:right w:val="none" w:sz="0" w:space="0" w:color="auto"/>
        </w:tblBorders>
        <w:shd w:val="clear" w:color="auto" w:fill="auto"/>
        <w:tblCellMar>
          <w:top w:w="0" w:type="dxa"/>
          <w:left w:w="108" w:type="dxa"/>
          <w:bottom w:w="0" w:type="dxa"/>
          <w:right w:w="108" w:type="dxa"/>
        </w:tblCellMar>
      </w:tblPr>
      <w:tblGrid>
        <w:gridCol w:w="647"/>
        <w:gridCol w:w="1948"/>
        <w:gridCol w:w="1684"/>
        <w:gridCol w:w="2148"/>
        <w:gridCol w:w="495"/>
        <w:gridCol w:w="1589"/>
        <w:gridCol w:w="498"/>
        <w:gridCol w:w="1035"/>
        <w:gridCol w:w="478"/>
        <w:gridCol w:w="430"/>
        <w:gridCol w:w="3104"/>
      </w:tblGrid>
      <w:tr>
        <w:trPr>
          <w:trHeight w:val="286"/>
        </w:trPr>
        <w:tc>
          <w:tcPr>
            <w:tcW w:w="92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076"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51320022T000005474874-新春慰问金</w:t>
            </w:r>
          </w:p>
        </w:tc>
      </w:tr>
      <w:tr>
        <w:trPr>
          <w:trHeight w:val="512"/>
        </w:trPr>
        <w:tc>
          <w:tcPr>
            <w:tcW w:w="92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州公安局部门</w:t>
            </w:r>
          </w:p>
        </w:tc>
        <w:tc>
          <w:tcPr>
            <w:tcW w:w="368" w:type="pct"/>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ascii="黑体" w:eastAsia="黑体" w:cs="黑体"/>
                <w:i w:val="0"/>
                <w:iCs w:val="0"/>
                <w:color w:val="000000"/>
                <w:sz w:val="18"/>
                <w:szCs w:val="18"/>
                <w:u w:val="none"/>
              </w:rPr>
            </w:pPr>
            <w:r>
              <w:rPr>
                <w:rFonts w:ascii="黑体" w:eastAsia="黑体" w:cs="黑体" w:hint="eastAsia"/>
                <w:i w:val="0"/>
                <w:iCs w:val="0"/>
                <w:color w:val="000000"/>
                <w:kern w:val="0"/>
                <w:sz w:val="18"/>
                <w:szCs w:val="18"/>
                <w:u w:val="none"/>
                <w:lang w:val="en-US" w:eastAsia="zh-CN"/>
              </w:rPr>
              <w:t>实施单位 （盖章）</w:t>
            </w:r>
          </w:p>
        </w:tc>
        <w:tc>
          <w:tcPr>
            <w:tcW w:w="142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w:t>
            </w:r>
          </w:p>
        </w:tc>
      </w:tr>
      <w:tr>
        <w:trPr>
          <w:trHeight w:val="286"/>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9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795"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年度目标完成情况</w:t>
            </w:r>
          </w:p>
        </w:tc>
      </w:tr>
      <w:tr>
        <w:trPr>
          <w:trHeight w:val="708"/>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通过春节期间走访、慰问离退休老干部、劳模、基层一下民警等人员，让他们感受到州公安局对他们的关心关爱，进一步提升幸福指数。</w:t>
            </w:r>
          </w:p>
        </w:tc>
        <w:tc>
          <w:tcPr>
            <w:tcW w:w="1795"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通过慰问13县市基层民辅警职工，让他们感受到州公安局对他们的关心关爱，进一步提升幸福指数。</w:t>
            </w:r>
          </w:p>
        </w:tc>
      </w:tr>
      <w:tr>
        <w:trPr>
          <w:trHeight w:val="693"/>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076"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通过慰问13县市基层民辅警职工，让他们感受到州公安局对他们的关心关爱，进一步提升幸福指数。</w:t>
            </w:r>
          </w:p>
        </w:tc>
      </w:tr>
      <w:tr>
        <w:trPr>
          <w:trHeight w:val="361"/>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34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2.81</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2.81</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7</w:t>
            </w:r>
          </w:p>
        </w:tc>
        <w:tc>
          <w:tcPr>
            <w:tcW w:w="110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ascii="黑体" w:eastAsia="黑体" w:cs="黑体" w:hint="eastAsia"/>
                <w:i/>
                <w:iCs/>
                <w:color w:val="000000"/>
                <w:sz w:val="18"/>
                <w:szCs w:val="18"/>
                <w:u w:val="none"/>
              </w:rPr>
            </w:pPr>
            <w:r>
              <w:rPr>
                <w:rFonts w:ascii="黑体" w:eastAsia="黑体" w:cs="黑体" w:hint="eastAsia"/>
                <w:i/>
                <w:iCs/>
                <w:color w:val="000000"/>
                <w:kern w:val="0"/>
                <w:sz w:val="18"/>
                <w:szCs w:val="18"/>
                <w:u w:val="none"/>
                <w:lang w:val="en-US" w:eastAsia="zh-CN"/>
              </w:rPr>
              <w:t>年中财政局追加专项资金，年底财政收回2.19万元。</w:t>
            </w:r>
          </w:p>
        </w:tc>
      </w:tr>
      <w:tr>
        <w:trPr>
          <w:trHeight w:val="391"/>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2.81</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2.81</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07"/>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1"/>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20" w:lineRule="exact"/>
              <w:jc w:val="center"/>
              <w:rPr>
                <w:rFonts w:ascii="微软雅黑" w:eastAsia="微软雅黑" w:cs="微软雅黑" w:hint="eastAsia"/>
                <w:i/>
                <w:iCs/>
                <w:color w:val="000000"/>
                <w:sz w:val="16"/>
                <w:szCs w:val="16"/>
                <w:u w:val="none"/>
              </w:rPr>
            </w:pP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20" w:lineRule="exact"/>
              <w:jc w:val="center"/>
              <w:rPr>
                <w:rFonts w:ascii="微软雅黑" w:eastAsia="微软雅黑" w:cs="微软雅黑" w:hint="eastAsia"/>
                <w:i/>
                <w:iCs/>
                <w:color w:val="000000"/>
                <w:sz w:val="16"/>
                <w:szCs w:val="16"/>
                <w:u w:val="none"/>
              </w:rPr>
            </w:pP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20" w:lineRule="exact"/>
              <w:jc w:val="center"/>
              <w:rPr>
                <w:rFonts w:ascii="微软雅黑" w:eastAsia="微软雅黑" w:cs="微软雅黑" w:hint="eastAsia"/>
                <w:i/>
                <w:iCs/>
                <w:color w:val="000000"/>
                <w:sz w:val="16"/>
                <w:szCs w:val="16"/>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20" w:lineRule="exact"/>
              <w:jc w:val="center"/>
              <w:rPr>
                <w:rFonts w:ascii="微软雅黑" w:eastAsia="微软雅黑" w:cs="微软雅黑" w:hint="eastAsia"/>
                <w:i/>
                <w:iCs/>
                <w:color w:val="000000"/>
                <w:sz w:val="16"/>
                <w:szCs w:val="16"/>
                <w:u w:val="none"/>
              </w:rPr>
            </w:pP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2"/>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慰问人数</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50</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人</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50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2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被慰问人员走访率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98</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2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慰问完成时间</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2025年12月底</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20" w:lineRule="exact"/>
              <w:jc w:val="center"/>
              <w:rPr>
                <w:rFonts w:ascii="宋体" w:eastAsia="宋体" w:cs="宋体" w:hint="eastAsia"/>
                <w:i w:val="0"/>
                <w:iCs w:val="0"/>
                <w:color w:val="000000"/>
                <w:sz w:val="18"/>
                <w:szCs w:val="18"/>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2025年6月</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2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经济效益指标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提升社会经济效益</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有效提升</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20" w:lineRule="exact"/>
              <w:jc w:val="center"/>
              <w:rPr>
                <w:rFonts w:ascii="宋体" w:eastAsia="宋体" w:cs="宋体" w:hint="eastAsia"/>
                <w:i w:val="0"/>
                <w:iCs w:val="0"/>
                <w:color w:val="000000"/>
                <w:sz w:val="18"/>
                <w:szCs w:val="18"/>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有效提升</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20" w:lineRule="exact"/>
              <w:jc w:val="center"/>
              <w:rPr>
                <w:rFonts w:ascii="微软雅黑" w:eastAsia="微软雅黑" w:cs="微软雅黑" w:hint="eastAsia"/>
                <w:i/>
                <w:iCs/>
                <w:color w:val="000000"/>
                <w:sz w:val="16"/>
                <w:szCs w:val="16"/>
                <w:u w:val="none"/>
              </w:rPr>
            </w:pPr>
          </w:p>
        </w:tc>
      </w:tr>
      <w:tr>
        <w:trPr>
          <w:trHeight w:val="452"/>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提升公安民警幸福指数</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有效提升民警幸福指数</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20" w:lineRule="exact"/>
              <w:jc w:val="center"/>
              <w:rPr>
                <w:rFonts w:ascii="宋体" w:eastAsia="宋体" w:cs="宋体" w:hint="eastAsia"/>
                <w:i w:val="0"/>
                <w:iCs w:val="0"/>
                <w:color w:val="000000"/>
                <w:sz w:val="18"/>
                <w:szCs w:val="18"/>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有效提升民警幸福指数</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2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被慰问人员满意度</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98</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2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成本完成控制率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100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17</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20" w:lineRule="exact"/>
              <w:jc w:val="center"/>
              <w:rPr>
                <w:rFonts w:ascii="微软雅黑" w:eastAsia="微软雅黑" w:cs="微软雅黑" w:hint="eastAsia"/>
                <w:i/>
                <w:iCs/>
                <w:color w:val="000000"/>
                <w:sz w:val="16"/>
                <w:szCs w:val="16"/>
                <w:u w:val="none"/>
              </w:rPr>
            </w:pPr>
          </w:p>
        </w:tc>
      </w:tr>
      <w:tr>
        <w:trPr>
          <w:trHeight w:val="286"/>
        </w:trPr>
        <w:tc>
          <w:tcPr>
            <w:tcW w:w="3572"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85</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20" w:lineRule="exact"/>
              <w:rPr>
                <w:rFonts w:ascii="宋体" w:eastAsia="宋体" w:cs="宋体" w:hint="eastAsia"/>
                <w:i w:val="0"/>
                <w:iCs w:val="0"/>
                <w:color w:val="000000"/>
                <w:sz w:val="18"/>
                <w:szCs w:val="18"/>
                <w:u w:val="none"/>
              </w:rPr>
            </w:pPr>
          </w:p>
        </w:tc>
      </w:tr>
      <w:tr>
        <w:trPr>
          <w:trHeight w:val="603"/>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通过慰问13县市基层民辅警职工，让他们感受到州公安局对他们的关心关爱，进一步提升幸福指数，综合自评得分85分。</w:t>
            </w:r>
          </w:p>
        </w:tc>
      </w:tr>
      <w:tr>
        <w:trPr>
          <w:trHeight w:val="572"/>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慰问人数只达到了最低指标值，民警幸福指数还需提高。</w:t>
            </w:r>
          </w:p>
        </w:tc>
      </w:tr>
      <w:tr>
        <w:trPr>
          <w:trHeight w:val="633"/>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充分利用相关资金，慰问更多需要慰问的民辅警职工，并通过多种方式提高民警幸福指数。</w:t>
            </w:r>
          </w:p>
        </w:tc>
      </w:tr>
      <w:tr>
        <w:trPr>
          <w:trHeight w:val="286"/>
        </w:trPr>
        <w:tc>
          <w:tcPr>
            <w:tcW w:w="2462"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项目负责人：何捷苇</w:t>
            </w:r>
          </w:p>
        </w:tc>
        <w:tc>
          <w:tcPr>
            <w:tcW w:w="2537"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财务负责人：娜斯基</w:t>
            </w:r>
          </w:p>
        </w:tc>
      </w:tr>
    </w:tbl>
    <w:p>
      <w:pPr>
        <w:pStyle w:val="28"/>
        <w:keepNext/>
        <w:keepLines/>
        <w:pageBreakBefore w:val="0"/>
        <w:widowControl w:val="0"/>
        <w:kinsoku/>
        <w:overflowPunct/>
        <w:topLinePunct w:val="0"/>
        <w:autoSpaceDE/>
        <w:autoSpaceDN/>
        <w:bidi w:val="0"/>
        <w:spacing w:before="0" w:after="0" w:line="578" w:lineRule="exact"/>
        <w:ind w:firstLineChars="200" w:firstLine="480"/>
      </w:pPr>
    </w:p>
    <w:p>
      <w:pPr>
        <w:pStyle w:val="23"/>
        <w:keepNext w:val="0"/>
        <w:keepLines w:val="0"/>
        <w:pageBreakBefore w:val="0"/>
        <w:widowControl w:val="0"/>
        <w:kinsoku/>
        <w:wordWrap/>
        <w:overflowPunct/>
        <w:topLinePunct w:val="0"/>
        <w:autoSpaceDE/>
        <w:autoSpaceDN/>
        <w:bidi w:val="0"/>
        <w:spacing w:line="560" w:lineRule="exact"/>
        <w:textAlignment w:val="auto"/>
        <w:rPr>
          <w:rFonts w:ascii="Times New Roman" w:cs="Times New Roman" w:hAnsi="Times New Roman" w:hint="eastAsia"/>
          <w:sz w:val="32"/>
          <w:szCs w:val="32"/>
          <w:lang w:val="zh-CN" w:eastAsia="zh-CN"/>
          <w:highlight w:val="yellow"/>
        </w:rPr>
        <w:sectPr>
          <w:pgSz w:w="16838" w:h="11906" w:orient="landscape"/>
          <w:pgMar w:top="1800" w:right="1440" w:bottom="1800" w:left="1440" w:header="851" w:footer="992" w:gutter="0"/>
          <w:pgNumType/>
          <w:docGrid w:type="lines" w:linePitch="312" w:charSpace="0"/>
        </w:sectPr>
      </w:pPr>
      <w:r>
        <w:rPr>
          <w:rFonts w:ascii="Times New Roman" w:cs="Times New Roman" w:hAnsi="Times New Roman" w:hint="eastAsia"/>
          <w:sz w:val="32"/>
          <w:szCs w:val="32"/>
          <w:lang w:val="zh-CN" w:eastAsia="zh-CN"/>
          <w:highlight w:val="yellow"/>
        </w:rPr>
        <w:t>（</w:t>
      </w:r>
      <w:r>
        <w:rPr>
          <w:rFonts w:ascii="Times New Roman" w:cs="Times New Roman" w:hAnsi="Times New Roman" w:hint="eastAsia"/>
          <w:sz w:val="32"/>
          <w:szCs w:val="32"/>
          <w:lang w:val="en-US" w:eastAsia="zh-CN"/>
          <w:highlight w:val="yellow"/>
        </w:rPr>
        <w:t>其余部门预算项目支出绩效自评表见各下属预算单位决算公开</w:t>
      </w:r>
      <w:r>
        <w:rPr>
          <w:rFonts w:ascii="Times New Roman" w:cs="Times New Roman" w:hAnsi="Times New Roman" w:hint="eastAsia"/>
          <w:sz w:val="32"/>
          <w:szCs w:val="32"/>
          <w:lang w:val="zh-CN" w:eastAsia="zh-CN"/>
          <w:highlight w:val="yellow"/>
        </w:rPr>
        <w:t>）</w:t>
      </w:r>
    </w:p>
    <w:p>
      <w:pPr>
        <w:rPr>
          <w:rFonts w:ascii="Times New Roman" w:eastAsia="黑体" w:cs="黑体" w:hAnsi="Times New Roman" w:hint="eastAsia"/>
          <w:color w:val="auto"/>
          <w:sz w:val="32"/>
          <w:szCs w:val="32"/>
          <w:lang w:val="en-US" w:eastAsia="zh-CN"/>
          <w:highlight w:val="auto"/>
        </w:rPr>
      </w:pPr>
      <w:r>
        <w:rPr>
          <w:rFonts w:ascii="Times New Roman" w:eastAsia="黑体" w:cs="黑体" w:hAnsi="Times New Roman" w:hint="eastAsia"/>
          <w:color w:val="auto"/>
          <w:kern w:val="0"/>
          <w:sz w:val="32"/>
          <w:szCs w:val="32"/>
          <w:shd w:val="clear" w:color="auto" w:fill="FFFFFF"/>
          <w:lang w:val="zh-CN"/>
          <w:highlight w:val="auto"/>
        </w:rPr>
        <w:t>附件</w:t>
      </w:r>
      <w:r>
        <w:rPr>
          <w:rFonts w:ascii="Times New Roman" w:eastAsia="黑体" w:cs="黑体" w:hAnsi="Times New Roman" w:hint="eastAsia"/>
          <w:color w:val="auto"/>
          <w:kern w:val="0"/>
          <w:sz w:val="32"/>
          <w:szCs w:val="32"/>
          <w:shd w:val="clear" w:color="auto" w:fill="FFFFFF"/>
          <w:lang w:val="en-US" w:eastAsia="zh-CN"/>
          <w:highlight w:val="auto"/>
        </w:rPr>
        <w:t>2</w:t>
      </w:r>
    </w:p>
    <w:p>
      <w:pPr>
        <w:pStyle w:val="36"/>
        <w:keepNext w:val="0"/>
        <w:keepLines w:val="0"/>
        <w:pageBreakBefore w:val="0"/>
        <w:widowControl w:val="0"/>
        <w:kinsoku/>
        <w:wordWrap/>
        <w:overflowPunct/>
        <w:topLinePunct w:val="0"/>
        <w:autoSpaceDE/>
        <w:autoSpaceDN/>
        <w:bidi w:val="0"/>
        <w:spacing w:line="578" w:lineRule="exact"/>
        <w:ind w:left="0"/>
        <w:jc w:val="center"/>
        <w:textAlignment w:val="auto"/>
        <w:rPr>
          <w:rFonts w:ascii="Times New Roman" w:eastAsia="方正小标宋简体" w:cs="方正小标宋简体" w:hAnsi="Times New Roman" w:hint="eastAsia"/>
          <w:color w:val="auto"/>
          <w:kern w:val="2"/>
          <w:sz w:val="44"/>
          <w:szCs w:val="44"/>
          <w:lang w:val="en-US" w:eastAsia="zh-CN"/>
          <w:highlight w:val="auto"/>
        </w:rPr>
      </w:pPr>
    </w:p>
    <w:p>
      <w:pPr>
        <w:pStyle w:val="36"/>
        <w:keepNext w:val="0"/>
        <w:keepLines w:val="0"/>
        <w:pageBreakBefore w:val="0"/>
        <w:widowControl w:val="0"/>
        <w:kinsoku/>
        <w:wordWrap/>
        <w:overflowPunct/>
        <w:topLinePunct w:val="0"/>
        <w:autoSpaceDE/>
        <w:autoSpaceDN/>
        <w:bidi w:val="0"/>
        <w:spacing w:line="578" w:lineRule="exact"/>
        <w:ind w:left="0"/>
        <w:jc w:val="center"/>
        <w:textAlignment w:val="auto"/>
        <w:rPr>
          <w:rFonts w:ascii="Times New Roman" w:eastAsia="方正小标宋简体" w:cs="Times New Roman" w:hAnsi="Times New Roman"/>
          <w:color w:val="auto"/>
          <w:kern w:val="2"/>
          <w:sz w:val="44"/>
          <w:szCs w:val="44"/>
          <w:lang w:val="en-US" w:eastAsia="zh-CN"/>
          <w:highlight w:val="auto"/>
        </w:rPr>
      </w:pPr>
      <w:r>
        <w:rPr>
          <w:rFonts w:ascii="Times New Roman" w:eastAsia="方正小标宋简体" w:cs="Times New Roman" w:hAnsi="Times New Roman"/>
          <w:color w:val="auto"/>
          <w:kern w:val="2"/>
          <w:sz w:val="44"/>
          <w:szCs w:val="44"/>
          <w:lang w:val="en-US" w:eastAsia="zh-CN"/>
          <w:highlight w:val="auto"/>
        </w:rPr>
        <w:t>2024年省级财政林业草原专项资金</w:t>
      </w:r>
    </w:p>
    <w:p>
      <w:pPr>
        <w:pStyle w:val="36"/>
        <w:keepNext w:val="0"/>
        <w:keepLines w:val="0"/>
        <w:pageBreakBefore w:val="0"/>
        <w:widowControl w:val="0"/>
        <w:kinsoku/>
        <w:wordWrap/>
        <w:overflowPunct/>
        <w:topLinePunct w:val="0"/>
        <w:autoSpaceDE/>
        <w:autoSpaceDN/>
        <w:bidi w:val="0"/>
        <w:spacing w:line="578" w:lineRule="exact"/>
        <w:ind w:left="0"/>
        <w:jc w:val="center"/>
        <w:textAlignment w:val="auto"/>
        <w:rPr>
          <w:rFonts w:ascii="Times New Roman" w:eastAsia="方正小标宋简体" w:cs="Times New Roman" w:hAnsi="Times New Roman"/>
          <w:color w:val="auto"/>
          <w:kern w:val="2"/>
          <w:sz w:val="44"/>
          <w:szCs w:val="44"/>
          <w:lang w:val="en-US" w:eastAsia="zh-CN"/>
          <w:highlight w:val="auto"/>
        </w:rPr>
      </w:pPr>
      <w:r>
        <w:rPr>
          <w:rFonts w:ascii="Times New Roman" w:eastAsia="方正小标宋简体" w:cs="Times New Roman" w:hAnsi="Times New Roman"/>
          <w:color w:val="auto"/>
          <w:kern w:val="2"/>
          <w:sz w:val="44"/>
          <w:szCs w:val="44"/>
          <w:lang w:val="en-US" w:eastAsia="zh-CN"/>
          <w:highlight w:val="auto"/>
        </w:rPr>
        <w:t>专项预算绩效自评报告</w:t>
      </w:r>
    </w:p>
    <w:p>
      <w:pPr>
        <w:pStyle w:val="36"/>
        <w:keepNext w:val="0"/>
        <w:keepLines w:val="0"/>
        <w:pageBreakBefore w:val="0"/>
        <w:widowControl w:val="0"/>
        <w:kinsoku/>
        <w:wordWrap/>
        <w:overflowPunct/>
        <w:topLinePunct w:val="0"/>
        <w:autoSpaceDE/>
        <w:autoSpaceDN/>
        <w:bidi w:val="0"/>
        <w:spacing w:line="578" w:lineRule="exact"/>
        <w:ind w:left="0" w:firstLine="640"/>
        <w:jc w:val="center"/>
        <w:textAlignment w:val="auto"/>
        <w:rPr>
          <w:rFonts w:ascii="Times New Roman" w:cs="Times New Roman" w:hAnsi="Times New Roman"/>
          <w:color w:val="auto"/>
          <w:kern w:val="2"/>
          <w:sz w:val="32"/>
          <w:szCs w:val="32"/>
          <w:highlight w:val="auto"/>
        </w:rPr>
      </w:pPr>
    </w:p>
    <w:p>
      <w:pPr>
        <w:keepNext w:val="0"/>
        <w:keepLines w:val="0"/>
        <w:pageBreakBefore w:val="0"/>
        <w:widowControl w:val="0"/>
        <w:kinsoku/>
        <w:wordWrap/>
        <w:overflowPunct/>
        <w:topLinePunct w:val="0"/>
        <w:autoSpaceDE/>
        <w:autoSpaceDN/>
        <w:bidi w:val="0"/>
        <w:adjustRightInd w:val="0"/>
        <w:snapToGrid w:val="0"/>
        <w:spacing w:line="578" w:lineRule="exact"/>
        <w:ind w:firstLineChars="200" w:firstLine="640"/>
        <w:textAlignment w:val="auto"/>
        <w:rPr>
          <w:rFonts w:ascii="Times New Roman" w:eastAsia="黑体" w:cs="Times New Roman" w:hAnsi="Times New Roman"/>
          <w:sz w:val="32"/>
          <w:szCs w:val="32"/>
          <w:lang w:val="zh-CN" w:eastAsia="zh-CN"/>
          <w:highlight w:val="auto"/>
        </w:rPr>
      </w:pPr>
      <w:r>
        <w:rPr>
          <w:rFonts w:ascii="Times New Roman" w:eastAsia="黑体" w:cs="Times New Roman" w:hAnsi="Times New Roman"/>
          <w:sz w:val="32"/>
          <w:szCs w:val="32"/>
          <w:lang w:val="zh-CN" w:eastAsia="zh-CN"/>
          <w:highlight w:val="auto"/>
        </w:rPr>
        <w:t>一、项目概况</w:t>
      </w:r>
    </w:p>
    <w:p>
      <w:pPr>
        <w:keepNext w:val="0"/>
        <w:keepLines w:val="0"/>
        <w:pageBreakBefore w:val="0"/>
        <w:widowControl/>
        <w:kinsoku/>
        <w:wordWrap/>
        <w:overflowPunct/>
        <w:topLinePunct w:val="0"/>
        <w:autoSpaceDE/>
        <w:autoSpaceDN/>
        <w:bidi w:val="0"/>
        <w:adjustRightInd w:val="0"/>
        <w:snapToGrid w:val="0"/>
        <w:spacing w:line="578" w:lineRule="exact"/>
        <w:ind w:left="0" w:firstLineChars="200" w:firstLine="640"/>
        <w:contextualSpacing/>
        <w:jc w:val="left"/>
        <w:textAlignment w:val="auto"/>
        <w:rPr>
          <w:rFonts w:ascii="Times New Roman" w:eastAsia="仿宋_GB2312" w:cs="仿宋_GB2312" w:hAnsi="Times New Roman"/>
          <w:color w:val="auto"/>
          <w:kern w:val="2"/>
          <w:sz w:val="32"/>
          <w:szCs w:val="32"/>
          <w:lang w:val="zh-CN" w:eastAsia="zh-CN" w:bidi="ar-SA"/>
          <w:highlight w:val="auto"/>
        </w:rPr>
      </w:pPr>
      <w:r>
        <w:rPr>
          <w:rFonts w:ascii="Times New Roman" w:eastAsia="楷体_GB2312" w:cs="Times New Roman" w:hAnsi="Times New Roman"/>
          <w:b/>
          <w:color w:val="auto"/>
          <w:sz w:val="32"/>
          <w:szCs w:val="32"/>
          <w:u w:val="none"/>
          <w:lang w:val="zh-CN"/>
          <w:highlight w:val="auto"/>
        </w:rPr>
        <w:t>（一）设立背景及基本情况。</w:t>
      </w:r>
      <w:r>
        <w:rPr>
          <w:rFonts w:ascii="Times New Roman" w:eastAsia="仿宋_GB2312" w:cs="仿宋_GB2312" w:hAnsi="Times New Roman"/>
          <w:color w:val="auto"/>
          <w:kern w:val="2"/>
          <w:sz w:val="32"/>
          <w:szCs w:val="32"/>
          <w:lang w:val="en-US" w:eastAsia="zh-CN" w:bidi="ar-SA"/>
          <w:highlight w:val="auto"/>
        </w:rPr>
        <w:t>《阿坝州财政局、大熊猫国家公园阿坝管理分局关于下达2024年省级财政林业草原专项资金预算（第三批）国家公园补助资金的通知》（阿州财资环【2024】35号）下达资金</w:t>
      </w:r>
      <w:r>
        <w:rPr>
          <w:rFonts w:ascii="Times New Roman" w:eastAsia="仿宋_GB2312" w:cs="仿宋_GB2312" w:hAnsi="Times New Roman"/>
          <w:color w:val="auto"/>
          <w:kern w:val="2"/>
          <w:sz w:val="32"/>
          <w:szCs w:val="32"/>
          <w:lang w:val="zh-CN" w:eastAsia="zh-CN" w:bidi="ar-SA"/>
          <w:highlight w:val="auto"/>
        </w:rPr>
        <w:t>。</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textAlignment w:val="auto"/>
        <w:rPr>
          <w:rFonts w:ascii="Times New Roman" w:eastAsia="仿宋_GB2312" w:cs="Times New Roman" w:hAnsi="Times New Roman"/>
          <w:color w:val="auto"/>
          <w:kern w:val="0"/>
          <w:sz w:val="32"/>
          <w:szCs w:val="32"/>
          <w:u w:val="none"/>
          <w:shd w:val="clear" w:color="auto" w:fill="FFFFFF"/>
          <w:lang w:val="zh-CN" w:eastAsia="zh-CN"/>
          <w:highlight w:val="auto"/>
        </w:rPr>
      </w:pPr>
      <w:r>
        <w:rPr>
          <w:rFonts w:ascii="Times New Roman" w:eastAsia="楷体_GB2312" w:cs="Times New Roman" w:hAnsi="Times New Roman"/>
          <w:b/>
          <w:color w:val="auto"/>
          <w:sz w:val="32"/>
          <w:szCs w:val="32"/>
          <w:u w:val="none"/>
          <w:lang w:val="zh-CN"/>
          <w:highlight w:val="auto"/>
        </w:rPr>
        <w:t>（二）</w:t>
      </w:r>
      <w:r>
        <w:rPr>
          <w:rFonts w:ascii="Times New Roman" w:eastAsia="楷体_GB2312" w:cs="Times New Roman" w:hAnsi="Times New Roman"/>
          <w:b/>
          <w:color w:val="auto"/>
          <w:sz w:val="32"/>
          <w:szCs w:val="32"/>
          <w:u w:val="none"/>
          <w:lang w:val="en-US" w:eastAsia="zh-CN"/>
          <w:highlight w:val="auto"/>
        </w:rPr>
        <w:t>实施目的及支持方向。</w:t>
      </w:r>
      <w:r>
        <w:rPr>
          <w:rFonts w:ascii="Times New Roman" w:eastAsia="仿宋_GB2312" w:cs="仿宋_GB2312" w:hAnsi="Times New Roman" w:hint="eastAsia"/>
          <w:color w:val="auto"/>
          <w:kern w:val="2"/>
          <w:sz w:val="32"/>
          <w:szCs w:val="32"/>
          <w:lang w:val="en-US" w:eastAsia="zh-CN" w:bidi="ar-SA"/>
          <w:highlight w:val="auto"/>
        </w:rPr>
        <w:t>运用相关科技手段提高林业保护能力，支持对</w:t>
      </w:r>
      <w:r>
        <w:rPr>
          <w:rFonts w:ascii="Times New Roman" w:eastAsia="仿宋_GB2312" w:cs="仿宋_GB2312" w:hAnsi="Times New Roman"/>
          <w:color w:val="auto"/>
          <w:kern w:val="2"/>
          <w:sz w:val="32"/>
          <w:szCs w:val="32"/>
          <w:lang w:val="en-US" w:eastAsia="zh-CN" w:bidi="ar-SA"/>
          <w:highlight w:val="auto"/>
        </w:rPr>
        <w:t>卧龙自然保护区森林</w:t>
      </w:r>
      <w:r>
        <w:rPr>
          <w:rFonts w:ascii="Times New Roman" w:eastAsia="仿宋_GB2312" w:cs="仿宋_GB2312" w:hAnsi="Times New Roman" w:hint="eastAsia"/>
          <w:color w:val="auto"/>
          <w:kern w:val="2"/>
          <w:sz w:val="32"/>
          <w:szCs w:val="32"/>
          <w:lang w:val="en-US" w:eastAsia="zh-CN" w:bidi="ar-SA"/>
          <w:highlight w:val="auto"/>
        </w:rPr>
        <w:t>保护</w:t>
      </w:r>
      <w:r>
        <w:rPr>
          <w:rFonts w:ascii="Times New Roman" w:eastAsia="仿宋_GB2312" w:cs="仿宋_GB2312" w:hAnsi="Times New Roman"/>
          <w:color w:val="auto"/>
          <w:kern w:val="2"/>
          <w:sz w:val="32"/>
          <w:szCs w:val="32"/>
          <w:lang w:val="zh-CN" w:eastAsia="zh-CN" w:bidi="ar-SA"/>
          <w:highlight w:val="auto"/>
        </w:rPr>
        <w:t>。</w:t>
      </w:r>
    </w:p>
    <w:p>
      <w:pPr>
        <w:keepNext w:val="0"/>
        <w:keepLines w:val="0"/>
        <w:pageBreakBefore w:val="0"/>
        <w:widowControl/>
        <w:kinsoku/>
        <w:wordWrap/>
        <w:overflowPunct/>
        <w:topLinePunct w:val="0"/>
        <w:autoSpaceDE/>
        <w:autoSpaceDN/>
        <w:bidi w:val="0"/>
        <w:adjustRightInd w:val="0"/>
        <w:snapToGrid w:val="0"/>
        <w:spacing w:line="578" w:lineRule="exact"/>
        <w:ind w:left="0" w:firstLineChars="200" w:firstLine="640"/>
        <w:contextualSpacing/>
        <w:jc w:val="left"/>
        <w:textAlignment w:val="auto"/>
        <w:rPr>
          <w:rFonts w:ascii="Times New Roman" w:eastAsia="仿宋_GB2312" w:cs="仿宋_GB2312" w:hAnsi="Times New Roman"/>
          <w:color w:val="auto"/>
          <w:kern w:val="2"/>
          <w:sz w:val="32"/>
          <w:szCs w:val="32"/>
          <w:lang w:val="zh-CN" w:eastAsia="zh-CN" w:bidi="ar-SA"/>
          <w:highlight w:val="auto"/>
        </w:rPr>
      </w:pPr>
      <w:r>
        <w:rPr>
          <w:rFonts w:ascii="Times New Roman" w:eastAsia="楷体_GB2312" w:cs="Times New Roman" w:hAnsi="Times New Roman"/>
          <w:b/>
          <w:color w:val="auto"/>
          <w:sz w:val="32"/>
          <w:szCs w:val="32"/>
          <w:u w:val="none"/>
          <w:lang w:val="zh-CN" w:eastAsia="zh-CN"/>
          <w:highlight w:val="auto"/>
        </w:rPr>
        <w:t>（三）</w:t>
      </w:r>
      <w:r>
        <w:rPr>
          <w:rFonts w:ascii="Times New Roman" w:eastAsia="楷体_GB2312" w:cs="Times New Roman" w:hAnsi="Times New Roman"/>
          <w:b/>
          <w:color w:val="auto"/>
          <w:sz w:val="32"/>
          <w:szCs w:val="32"/>
          <w:u w:val="none"/>
          <w:lang w:val="en-US" w:eastAsia="zh-CN"/>
          <w:highlight w:val="auto"/>
        </w:rPr>
        <w:t>预算安排及分配管理</w:t>
      </w:r>
      <w:r>
        <w:rPr>
          <w:rFonts w:ascii="Times New Roman" w:eastAsia="楷体_GB2312" w:cs="Times New Roman" w:hAnsi="Times New Roman"/>
          <w:b/>
          <w:color w:val="auto"/>
          <w:sz w:val="32"/>
          <w:szCs w:val="32"/>
          <w:u w:val="none"/>
          <w:lang w:val="zh-CN" w:eastAsia="zh-CN"/>
          <w:highlight w:val="auto"/>
        </w:rPr>
        <w:t>。</w:t>
      </w:r>
      <w:r>
        <w:rPr>
          <w:rFonts w:ascii="Times New Roman" w:eastAsia="仿宋_GB2312" w:cs="仿宋_GB2312" w:hAnsi="Times New Roman" w:hint="eastAsia"/>
          <w:color w:val="auto"/>
          <w:kern w:val="2"/>
          <w:sz w:val="32"/>
          <w:szCs w:val="32"/>
          <w:lang w:val="en-US" w:eastAsia="zh-CN" w:bidi="ar-SA"/>
          <w:highlight w:val="auto"/>
        </w:rPr>
        <w:t>按照卧龙分局据实填报需求进行预算安排</w:t>
      </w:r>
      <w:r>
        <w:rPr>
          <w:rFonts w:ascii="Times New Roman" w:eastAsia="仿宋_GB2312" w:cs="仿宋_GB2312" w:hAnsi="Times New Roman"/>
          <w:color w:val="auto"/>
          <w:kern w:val="2"/>
          <w:sz w:val="32"/>
          <w:szCs w:val="32"/>
          <w:lang w:val="zh-CN" w:eastAsia="zh-CN" w:bidi="ar-SA"/>
          <w:highlight w:val="auto"/>
        </w:rPr>
        <w:t>。</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textAlignment w:val="auto"/>
        <w:rPr>
          <w:rFonts w:ascii="Times New Roman" w:eastAsia="楷体_GB2312" w:cs="Times New Roman" w:hAnsi="Times New Roman"/>
          <w:b/>
          <w:color w:val="auto"/>
          <w:sz w:val="32"/>
          <w:szCs w:val="32"/>
          <w:u w:val="none"/>
          <w:lang w:val="zh-CN" w:eastAsia="zh-CN"/>
          <w:highlight w:val="auto"/>
        </w:rPr>
      </w:pPr>
      <w:r>
        <w:rPr>
          <w:rFonts w:ascii="Times New Roman" w:eastAsia="楷体_GB2312" w:cs="Times New Roman" w:hAnsi="Times New Roman"/>
          <w:b/>
          <w:color w:val="auto"/>
          <w:sz w:val="32"/>
          <w:szCs w:val="32"/>
          <w:u w:val="none"/>
          <w:lang w:val="zh-CN" w:eastAsia="zh-CN"/>
          <w:highlight w:val="auto"/>
        </w:rPr>
        <w:t>（四）项目绩效目标设置。</w:t>
      </w:r>
    </w:p>
    <w:tbl>
      <w:tblPr>
        <w:jc w:val="left"/>
        <w:tblInd w:w="0" w:type="dxa"/>
        <w:tblW w:w="4997"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98"/>
        <w:gridCol w:w="1493"/>
        <w:gridCol w:w="1291"/>
        <w:gridCol w:w="1647"/>
        <w:gridCol w:w="378"/>
        <w:gridCol w:w="1220"/>
        <w:gridCol w:w="378"/>
        <w:gridCol w:w="793"/>
        <w:gridCol w:w="366"/>
        <w:gridCol w:w="331"/>
      </w:tblGrid>
      <w:tr>
        <w:trPr>
          <w:trHeight w:val="452"/>
        </w:trPr>
        <w:tc>
          <w:tcPr>
            <w:tcW w:w="296" w:type="pct"/>
            <w:vMerge w:val="restar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888"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768"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980"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25"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726"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225"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472"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18"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97"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r>
      <w:tr>
        <w:trPr>
          <w:trHeight w:val="339"/>
        </w:trPr>
        <w:tc>
          <w:tcPr>
            <w:tcW w:w="296" w:type="pct"/>
            <w:vMerge/>
            <w:tcBorders>
              <w:top w:val="single" w:sz="4" w:space="0" w:color="000000"/>
              <w:left w:val="single" w:sz="4" w:space="0" w:color="000000"/>
              <w:bottom w:val="single" w:sz="4" w:space="0" w:color="000000"/>
              <w:right w:val="single" w:sz="4" w:space="0" w:color="000000"/>
            </w:tcBorders>
            <w:noWrap/>
            <w:vAlign w:val="center"/>
          </w:tcPr>
          <w:p/>
        </w:tc>
        <w:tc>
          <w:tcPr>
            <w:tcW w:w="888" w:type="pct"/>
            <w:vMerge w:val="restar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768"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980"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购买设备数量</w:t>
            </w:r>
          </w:p>
        </w:tc>
        <w:tc>
          <w:tcPr>
            <w:tcW w:w="225"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6"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225"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套</w:t>
            </w:r>
          </w:p>
        </w:tc>
        <w:tc>
          <w:tcPr>
            <w:tcW w:w="472"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hint="eastAsia"/>
                <w:i/>
                <w:iCs/>
                <w:color w:val="000000"/>
                <w:kern w:val="0"/>
                <w:sz w:val="16"/>
                <w:szCs w:val="16"/>
                <w:u w:val="none"/>
                <w:lang w:val="en-US" w:eastAsia="zh-CN"/>
              </w:rPr>
              <w:t>1</w:t>
            </w:r>
          </w:p>
        </w:tc>
        <w:tc>
          <w:tcPr>
            <w:tcW w:w="218"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97"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r>
      <w:tr>
        <w:trPr>
          <w:trHeight w:val="339"/>
        </w:trPr>
        <w:tc>
          <w:tcPr>
            <w:tcW w:w="296" w:type="pct"/>
            <w:vMerge/>
            <w:tcBorders>
              <w:top w:val="single" w:sz="4" w:space="0" w:color="000000"/>
              <w:left w:val="single" w:sz="4" w:space="0" w:color="000000"/>
              <w:bottom w:val="single" w:sz="4" w:space="0" w:color="000000"/>
              <w:right w:val="single" w:sz="4" w:space="0" w:color="000000"/>
            </w:tcBorders>
            <w:noWrap/>
            <w:vAlign w:val="center"/>
          </w:tcPr>
          <w:p/>
        </w:tc>
        <w:tc>
          <w:tcPr>
            <w:tcW w:w="888" w:type="pct"/>
            <w:vMerge/>
            <w:tcBorders>
              <w:top w:val="single" w:sz="4" w:space="0" w:color="000000"/>
              <w:left w:val="single" w:sz="4" w:space="0" w:color="000000"/>
              <w:bottom w:val="single" w:sz="4" w:space="0" w:color="000000"/>
              <w:right w:val="single" w:sz="4" w:space="0" w:color="000000"/>
            </w:tcBorders>
            <w:noWrap/>
            <w:vAlign w:val="center"/>
          </w:tcPr>
          <w:p/>
        </w:tc>
        <w:tc>
          <w:tcPr>
            <w:tcW w:w="768"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980"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验收合格率</w:t>
            </w:r>
          </w:p>
        </w:tc>
        <w:tc>
          <w:tcPr>
            <w:tcW w:w="225"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6"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225"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72"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98</w:t>
            </w:r>
          </w:p>
        </w:tc>
        <w:tc>
          <w:tcPr>
            <w:tcW w:w="218"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97"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r>
      <w:tr>
        <w:trPr>
          <w:trHeight w:val="339"/>
        </w:trPr>
        <w:tc>
          <w:tcPr>
            <w:tcW w:w="296" w:type="pct"/>
            <w:vMerge/>
            <w:tcBorders>
              <w:top w:val="single" w:sz="4" w:space="0" w:color="000000"/>
              <w:left w:val="single" w:sz="4" w:space="0" w:color="000000"/>
              <w:bottom w:val="single" w:sz="4" w:space="0" w:color="000000"/>
              <w:right w:val="single" w:sz="4" w:space="0" w:color="000000"/>
            </w:tcBorders>
            <w:noWrap/>
            <w:vAlign w:val="center"/>
          </w:tcPr>
          <w:p/>
        </w:tc>
        <w:tc>
          <w:tcPr>
            <w:tcW w:w="888" w:type="pct"/>
            <w:vMerge/>
            <w:tcBorders>
              <w:top w:val="single" w:sz="4" w:space="0" w:color="000000"/>
              <w:left w:val="single" w:sz="4" w:space="0" w:color="000000"/>
              <w:bottom w:val="single" w:sz="4" w:space="0" w:color="000000"/>
              <w:right w:val="single" w:sz="4" w:space="0" w:color="000000"/>
            </w:tcBorders>
            <w:noWrap/>
            <w:vAlign w:val="center"/>
          </w:tcPr>
          <w:p/>
        </w:tc>
        <w:tc>
          <w:tcPr>
            <w:tcW w:w="768"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980"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验收时间</w:t>
            </w:r>
          </w:p>
        </w:tc>
        <w:tc>
          <w:tcPr>
            <w:tcW w:w="225"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726"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2025年12月底前</w:t>
            </w:r>
          </w:p>
        </w:tc>
        <w:tc>
          <w:tcPr>
            <w:tcW w:w="225" w:type="pct"/>
            <w:tcBorders>
              <w:top w:val="single" w:sz="4" w:space="0" w:color="000000"/>
              <w:left w:val="single" w:sz="4" w:space="0" w:color="000000"/>
              <w:bottom w:val="single" w:sz="4" w:space="0" w:color="000000"/>
              <w:right w:val="single" w:sz="4" w:space="0" w:color="000000"/>
            </w:tcBorders>
            <w:noWrap/>
            <w:vAlign w:val="center"/>
          </w:tcPr>
          <w:p>
            <w:pPr>
              <w:jc w:val="center"/>
              <w:rPr>
                <w:rFonts w:ascii="宋体" w:eastAsia="宋体" w:cs="宋体" w:hint="eastAsia"/>
                <w:i w:val="0"/>
                <w:iCs w:val="0"/>
                <w:color w:val="000000"/>
                <w:sz w:val="18"/>
                <w:szCs w:val="18"/>
                <w:u w:val="none"/>
              </w:rPr>
            </w:pPr>
          </w:p>
        </w:tc>
        <w:tc>
          <w:tcPr>
            <w:tcW w:w="472"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2025年12月</w:t>
            </w:r>
          </w:p>
        </w:tc>
        <w:tc>
          <w:tcPr>
            <w:tcW w:w="218"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97"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r>
      <w:tr>
        <w:trPr>
          <w:trHeight w:val="339"/>
        </w:trPr>
        <w:tc>
          <w:tcPr>
            <w:tcW w:w="296" w:type="pct"/>
            <w:vMerge/>
            <w:tcBorders>
              <w:top w:val="single" w:sz="4" w:space="0" w:color="000000"/>
              <w:left w:val="single" w:sz="4" w:space="0" w:color="000000"/>
              <w:bottom w:val="single" w:sz="4" w:space="0" w:color="000000"/>
              <w:right w:val="single" w:sz="4" w:space="0" w:color="000000"/>
            </w:tcBorders>
            <w:noWrap/>
            <w:vAlign w:val="center"/>
          </w:tcPr>
          <w:p/>
        </w:tc>
        <w:tc>
          <w:tcPr>
            <w:tcW w:w="888" w:type="pct"/>
            <w:vMerge w:val="restar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768"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980"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提升辖区稳定</w:t>
            </w:r>
          </w:p>
        </w:tc>
        <w:tc>
          <w:tcPr>
            <w:tcW w:w="225"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726"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显著提升</w:t>
            </w:r>
          </w:p>
        </w:tc>
        <w:tc>
          <w:tcPr>
            <w:tcW w:w="225" w:type="pct"/>
            <w:tcBorders>
              <w:top w:val="single" w:sz="4" w:space="0" w:color="000000"/>
              <w:left w:val="single" w:sz="4" w:space="0" w:color="000000"/>
              <w:bottom w:val="single" w:sz="4" w:space="0" w:color="000000"/>
              <w:right w:val="single" w:sz="4" w:space="0" w:color="000000"/>
            </w:tcBorders>
            <w:noWrap/>
            <w:vAlign w:val="center"/>
          </w:tcPr>
          <w:p>
            <w:pPr>
              <w:jc w:val="center"/>
              <w:rPr>
                <w:rFonts w:ascii="宋体" w:eastAsia="宋体" w:cs="宋体" w:hint="eastAsia"/>
                <w:i w:val="0"/>
                <w:iCs w:val="0"/>
                <w:color w:val="000000"/>
                <w:sz w:val="18"/>
                <w:szCs w:val="18"/>
                <w:u w:val="none"/>
              </w:rPr>
            </w:pPr>
          </w:p>
        </w:tc>
        <w:tc>
          <w:tcPr>
            <w:tcW w:w="472"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显著提升</w:t>
            </w:r>
          </w:p>
        </w:tc>
        <w:tc>
          <w:tcPr>
            <w:tcW w:w="218"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97"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r>
      <w:tr>
        <w:trPr>
          <w:trHeight w:val="339"/>
        </w:trPr>
        <w:tc>
          <w:tcPr>
            <w:tcW w:w="296" w:type="pct"/>
            <w:vMerge/>
            <w:tcBorders>
              <w:top w:val="single" w:sz="4" w:space="0" w:color="000000"/>
              <w:left w:val="single" w:sz="4" w:space="0" w:color="000000"/>
              <w:bottom w:val="single" w:sz="4" w:space="0" w:color="000000"/>
              <w:right w:val="single" w:sz="4" w:space="0" w:color="000000"/>
            </w:tcBorders>
            <w:noWrap/>
            <w:vAlign w:val="center"/>
          </w:tcPr>
          <w:p/>
        </w:tc>
        <w:tc>
          <w:tcPr>
            <w:tcW w:w="888" w:type="pct"/>
            <w:vMerge/>
            <w:tcBorders>
              <w:top w:val="single" w:sz="4" w:space="0" w:color="000000"/>
              <w:left w:val="single" w:sz="4" w:space="0" w:color="000000"/>
              <w:bottom w:val="single" w:sz="4" w:space="0" w:color="000000"/>
              <w:right w:val="single" w:sz="4" w:space="0" w:color="000000"/>
            </w:tcBorders>
            <w:noWrap/>
            <w:vAlign w:val="center"/>
          </w:tcPr>
          <w:p/>
        </w:tc>
        <w:tc>
          <w:tcPr>
            <w:tcW w:w="768"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可持续影响指标</w:t>
            </w:r>
          </w:p>
        </w:tc>
        <w:tc>
          <w:tcPr>
            <w:tcW w:w="980"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持续打击无人机非法活动</w:t>
            </w:r>
          </w:p>
        </w:tc>
        <w:tc>
          <w:tcPr>
            <w:tcW w:w="225"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726"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持续打击</w:t>
            </w:r>
          </w:p>
        </w:tc>
        <w:tc>
          <w:tcPr>
            <w:tcW w:w="225" w:type="pct"/>
            <w:tcBorders>
              <w:top w:val="single" w:sz="4" w:space="0" w:color="000000"/>
              <w:left w:val="single" w:sz="4" w:space="0" w:color="000000"/>
              <w:bottom w:val="single" w:sz="4" w:space="0" w:color="000000"/>
              <w:right w:val="single" w:sz="4" w:space="0" w:color="000000"/>
            </w:tcBorders>
            <w:noWrap/>
            <w:vAlign w:val="center"/>
          </w:tcPr>
          <w:p>
            <w:pPr>
              <w:jc w:val="center"/>
              <w:rPr>
                <w:rFonts w:ascii="宋体" w:eastAsia="宋体" w:cs="宋体" w:hint="eastAsia"/>
                <w:i w:val="0"/>
                <w:iCs w:val="0"/>
                <w:color w:val="000000"/>
                <w:sz w:val="18"/>
                <w:szCs w:val="18"/>
                <w:u w:val="none"/>
              </w:rPr>
            </w:pPr>
          </w:p>
        </w:tc>
        <w:tc>
          <w:tcPr>
            <w:tcW w:w="472"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持续打击</w:t>
            </w:r>
          </w:p>
        </w:tc>
        <w:tc>
          <w:tcPr>
            <w:tcW w:w="218"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97"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r>
      <w:tr>
        <w:trPr>
          <w:trHeight w:val="452"/>
        </w:trPr>
        <w:tc>
          <w:tcPr>
            <w:tcW w:w="296" w:type="pct"/>
            <w:vMerge/>
            <w:tcBorders>
              <w:top w:val="single" w:sz="4" w:space="0" w:color="000000"/>
              <w:left w:val="single" w:sz="4" w:space="0" w:color="000000"/>
              <w:bottom w:val="single" w:sz="4" w:space="0" w:color="000000"/>
              <w:right w:val="single" w:sz="4" w:space="0" w:color="000000"/>
            </w:tcBorders>
            <w:noWrap/>
            <w:vAlign w:val="center"/>
          </w:tcPr>
          <w:p/>
        </w:tc>
        <w:tc>
          <w:tcPr>
            <w:tcW w:w="888"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768"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980"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提升辖区群众安全感</w:t>
            </w:r>
          </w:p>
        </w:tc>
        <w:tc>
          <w:tcPr>
            <w:tcW w:w="225"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726"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显著提升</w:t>
            </w:r>
          </w:p>
        </w:tc>
        <w:tc>
          <w:tcPr>
            <w:tcW w:w="225" w:type="pct"/>
            <w:tcBorders>
              <w:top w:val="single" w:sz="4" w:space="0" w:color="000000"/>
              <w:left w:val="single" w:sz="4" w:space="0" w:color="000000"/>
              <w:bottom w:val="single" w:sz="4" w:space="0" w:color="000000"/>
              <w:right w:val="single" w:sz="4" w:space="0" w:color="000000"/>
            </w:tcBorders>
            <w:noWrap/>
            <w:vAlign w:val="center"/>
          </w:tcPr>
          <w:p>
            <w:pPr>
              <w:jc w:val="center"/>
              <w:rPr>
                <w:rFonts w:ascii="宋体" w:eastAsia="宋体" w:cs="宋体" w:hint="eastAsia"/>
                <w:i w:val="0"/>
                <w:iCs w:val="0"/>
                <w:color w:val="000000"/>
                <w:sz w:val="18"/>
                <w:szCs w:val="18"/>
                <w:u w:val="none"/>
              </w:rPr>
            </w:pPr>
          </w:p>
        </w:tc>
        <w:tc>
          <w:tcPr>
            <w:tcW w:w="472"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显著提升</w:t>
            </w:r>
          </w:p>
        </w:tc>
        <w:tc>
          <w:tcPr>
            <w:tcW w:w="218"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97"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r>
      <w:tr>
        <w:trPr>
          <w:trHeight w:val="339"/>
        </w:trPr>
        <w:tc>
          <w:tcPr>
            <w:tcW w:w="296" w:type="pct"/>
            <w:vMerge/>
            <w:tcBorders>
              <w:top w:val="single" w:sz="4" w:space="0" w:color="000000"/>
              <w:left w:val="single" w:sz="4" w:space="0" w:color="000000"/>
              <w:bottom w:val="single" w:sz="4" w:space="0" w:color="000000"/>
              <w:right w:val="single" w:sz="4" w:space="0" w:color="000000"/>
            </w:tcBorders>
            <w:noWrap/>
            <w:vAlign w:val="center"/>
          </w:tcPr>
          <w:p/>
        </w:tc>
        <w:tc>
          <w:tcPr>
            <w:tcW w:w="888"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768"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980"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设备成本金额</w:t>
            </w:r>
          </w:p>
        </w:tc>
        <w:tc>
          <w:tcPr>
            <w:tcW w:w="225"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6"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32</w:t>
            </w:r>
          </w:p>
        </w:tc>
        <w:tc>
          <w:tcPr>
            <w:tcW w:w="225"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万元</w:t>
            </w:r>
          </w:p>
        </w:tc>
        <w:tc>
          <w:tcPr>
            <w:tcW w:w="472"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19.5</w:t>
            </w:r>
          </w:p>
        </w:tc>
        <w:tc>
          <w:tcPr>
            <w:tcW w:w="218"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97"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w:t>
            </w:r>
          </w:p>
        </w:tc>
      </w:tr>
    </w:tbl>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textAlignment w:val="auto"/>
        <w:rPr>
          <w:rFonts w:ascii="Times New Roman" w:cs="Times New Roman" w:hAnsi="Times New Roman"/>
          <w:color w:val="auto"/>
          <w:kern w:val="0"/>
          <w:sz w:val="32"/>
          <w:szCs w:val="32"/>
          <w:u w:val="none"/>
          <w:shd w:val="clear" w:color="auto" w:fill="FFFFFF"/>
          <w:lang w:val="zh-CN" w:eastAsia="zh-CN"/>
          <w:highlight w:val="auto"/>
        </w:rPr>
      </w:pPr>
    </w:p>
    <w:p>
      <w:pPr>
        <w:keepNext w:val="0"/>
        <w:keepLines w:val="0"/>
        <w:pageBreakBefore w:val="0"/>
        <w:widowControl w:val="0"/>
        <w:kinsoku/>
        <w:wordWrap/>
        <w:overflowPunct/>
        <w:topLinePunct w:val="0"/>
        <w:autoSpaceDE/>
        <w:autoSpaceDN/>
        <w:bidi w:val="0"/>
        <w:adjustRightInd w:val="0"/>
        <w:snapToGrid w:val="0"/>
        <w:spacing w:line="578" w:lineRule="exact"/>
        <w:ind w:firstLineChars="200" w:firstLine="640"/>
        <w:textAlignment w:val="auto"/>
        <w:rPr>
          <w:rFonts w:ascii="Times New Roman" w:eastAsia="黑体" w:cs="Times New Roman" w:hAnsi="Times New Roman"/>
          <w:sz w:val="32"/>
          <w:szCs w:val="32"/>
          <w:lang w:val="zh-CN" w:eastAsia="zh-CN"/>
          <w:highlight w:val="auto"/>
        </w:rPr>
      </w:pPr>
      <w:r>
        <w:rPr>
          <w:rFonts w:ascii="Times New Roman" w:eastAsia="黑体" w:cs="Times New Roman" w:hAnsi="Times New Roman"/>
          <w:sz w:val="32"/>
          <w:szCs w:val="32"/>
          <w:lang w:val="zh-CN" w:eastAsia="zh-CN"/>
          <w:highlight w:val="auto"/>
        </w:rPr>
        <w:t>二、评价实施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Times New Roman" w:eastAsia="仿宋_GB2312" w:cs="仿宋_GB2312" w:hAnsi="Times New Roman"/>
          <w:color w:val="auto"/>
          <w:kern w:val="2"/>
          <w:sz w:val="32"/>
          <w:szCs w:val="32"/>
          <w:lang w:val="en-US" w:eastAsia="zh-CN" w:bidi="ar-SA"/>
          <w:highlight w:val="auto"/>
        </w:rPr>
      </w:pPr>
      <w:r>
        <w:rPr>
          <w:rFonts w:ascii="Times New Roman" w:eastAsia="楷体_GB2312" w:cs="Times New Roman" w:hAnsi="Times New Roman"/>
          <w:b/>
          <w:color w:val="auto"/>
          <w:sz w:val="32"/>
          <w:szCs w:val="32"/>
          <w:u w:val="none"/>
          <w:lang w:val="zh-CN"/>
          <w:highlight w:val="auto"/>
        </w:rPr>
        <w:t>（一）评价目的。</w:t>
      </w:r>
      <w:r>
        <w:rPr>
          <w:rFonts w:ascii="Times New Roman" w:eastAsia="仿宋_GB2312" w:cs="仿宋_GB2312" w:hAnsi="Times New Roman"/>
          <w:color w:val="auto"/>
          <w:kern w:val="2"/>
          <w:sz w:val="32"/>
          <w:szCs w:val="32"/>
          <w:lang w:val="en-US" w:eastAsia="zh-CN" w:bidi="ar-SA"/>
          <w:highlight w:val="auto"/>
        </w:rPr>
        <w:t>通过项目绩效自评要实现</w:t>
      </w:r>
      <w:r>
        <w:rPr>
          <w:rFonts w:ascii="Times New Roman" w:eastAsia="仿宋_GB2312" w:cs="仿宋_GB2312" w:hAnsi="Times New Roman" w:hint="eastAsia"/>
          <w:color w:val="auto"/>
          <w:kern w:val="2"/>
          <w:sz w:val="32"/>
          <w:szCs w:val="32"/>
          <w:lang w:val="en-US" w:eastAsia="zh-CN" w:bidi="ar-SA"/>
          <w:highlight w:val="auto"/>
        </w:rPr>
        <w:t>提高专项预算项目资金使用率、规范资金使用的目的</w:t>
      </w:r>
      <w:r>
        <w:rPr>
          <w:rFonts w:ascii="Times New Roman" w:eastAsia="仿宋_GB2312" w:cs="仿宋_GB2312" w:hAnsi="Times New Roman"/>
          <w:color w:val="auto"/>
          <w:kern w:val="2"/>
          <w:sz w:val="32"/>
          <w:szCs w:val="32"/>
          <w:lang w:val="en-US" w:eastAsia="zh-CN" w:bidi="ar-SA"/>
          <w:highlight w:val="auto"/>
        </w:rPr>
        <w:t>。</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textAlignment w:val="auto"/>
        <w:outlineLvl w:val="9"/>
        <w:rPr>
          <w:rFonts w:ascii="Times New Roman" w:eastAsia="仿宋_GB2312" w:cs="仿宋_GB2312" w:hAnsi="Times New Roman"/>
          <w:color w:val="auto"/>
          <w:kern w:val="2"/>
          <w:sz w:val="32"/>
          <w:szCs w:val="32"/>
          <w:lang w:val="en-US" w:eastAsia="zh-CN" w:bidi="ar-SA"/>
          <w:highlight w:val="auto"/>
        </w:rPr>
      </w:pPr>
      <w:r>
        <w:rPr>
          <w:rFonts w:ascii="Times New Roman" w:eastAsia="楷体_GB2312" w:cs="Times New Roman" w:hAnsi="Times New Roman"/>
          <w:b/>
          <w:color w:val="auto"/>
          <w:sz w:val="32"/>
          <w:szCs w:val="32"/>
          <w:u w:val="none"/>
          <w:lang w:val="zh-CN"/>
          <w:highlight w:val="auto"/>
        </w:rPr>
        <w:t>（二）预设问题及评价重点。</w:t>
      </w:r>
      <w:r>
        <w:rPr>
          <w:rFonts w:ascii="Times New Roman" w:eastAsia="仿宋_GB2312" w:cs="仿宋_GB2312" w:hAnsi="Times New Roman"/>
          <w:color w:val="auto"/>
          <w:kern w:val="2"/>
          <w:sz w:val="32"/>
          <w:szCs w:val="32"/>
          <w:lang w:val="en-US" w:eastAsia="zh-CN" w:bidi="ar-SA"/>
          <w:highlight w:val="auto"/>
        </w:rPr>
        <w:t>按照</w:t>
      </w:r>
      <w:r>
        <w:rPr>
          <w:rFonts w:ascii="Times New Roman" w:eastAsia="仿宋_GB2312" w:cs="仿宋_GB2312" w:hAnsi="Times New Roman" w:hint="eastAsia"/>
          <w:color w:val="auto"/>
          <w:kern w:val="2"/>
          <w:sz w:val="32"/>
          <w:szCs w:val="32"/>
          <w:lang w:val="en-US" w:eastAsia="zh-CN" w:bidi="ar-SA"/>
          <w:highlight w:val="auto"/>
        </w:rPr>
        <w:t>项目决策、管理、实施和结果；用途、程序、标准合规性；人民群众及使用民警满意度</w:t>
      </w:r>
      <w:r>
        <w:rPr>
          <w:rFonts w:ascii="Times New Roman" w:eastAsia="仿宋_GB2312" w:cs="仿宋_GB2312" w:hAnsi="Times New Roman"/>
          <w:color w:val="auto"/>
          <w:kern w:val="2"/>
          <w:sz w:val="32"/>
          <w:szCs w:val="32"/>
          <w:lang w:val="en-US" w:eastAsia="zh-CN" w:bidi="ar-SA"/>
          <w:highlight w:val="auto"/>
        </w:rPr>
        <w:t>绩效评价指标体系，对资金支出使用全过程及其实施效果进行综合评价和判断。</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textAlignment w:val="auto"/>
        <w:outlineLvl w:val="9"/>
        <w:rPr>
          <w:rFonts w:ascii="Times New Roman" w:eastAsia="仿宋_GB2312" w:cs="仿宋_GB2312" w:hAnsi="Times New Roman"/>
          <w:color w:val="auto"/>
          <w:kern w:val="2"/>
          <w:sz w:val="32"/>
          <w:szCs w:val="32"/>
          <w:lang w:val="en-US" w:eastAsia="zh-CN" w:bidi="ar-SA"/>
          <w:highlight w:val="auto"/>
        </w:rPr>
      </w:pPr>
      <w:r>
        <w:rPr>
          <w:rFonts w:ascii="Times New Roman" w:eastAsia="楷体_GB2312" w:cs="Times New Roman" w:hAnsi="Times New Roman"/>
          <w:b/>
          <w:color w:val="auto"/>
          <w:sz w:val="32"/>
          <w:szCs w:val="32"/>
          <w:u w:val="none"/>
          <w:lang w:val="zh-CN"/>
          <w:highlight w:val="auto"/>
        </w:rPr>
        <w:t>（三）评价选点。</w:t>
      </w:r>
      <w:r>
        <w:rPr>
          <w:rFonts w:ascii="Times New Roman" w:eastAsia="仿宋_GB2312" w:cs="仿宋_GB2312" w:hAnsi="Times New Roman" w:hint="eastAsia"/>
          <w:color w:val="auto"/>
          <w:kern w:val="2"/>
          <w:sz w:val="32"/>
          <w:szCs w:val="32"/>
          <w:lang w:val="en-US" w:eastAsia="zh-CN" w:bidi="ar-SA"/>
          <w:highlight w:val="auto"/>
        </w:rPr>
        <w:t>州本级及州主管部门。</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Times New Roman" w:eastAsia="仿宋_GB2312" w:cs="Times New Roman" w:hAnsi="Times New Roman" w:hint="eastAsia"/>
          <w:szCs w:val="32"/>
          <w:lang w:eastAsia="zh-CN"/>
        </w:rPr>
      </w:pPr>
      <w:r>
        <w:rPr>
          <w:rFonts w:ascii="Times New Roman" w:eastAsia="楷体_GB2312" w:cs="Times New Roman" w:hAnsi="Times New Roman"/>
          <w:b/>
          <w:color w:val="auto"/>
          <w:sz w:val="32"/>
          <w:szCs w:val="32"/>
          <w:u w:val="none"/>
          <w:lang w:val="zh-CN"/>
          <w:highlight w:val="auto"/>
        </w:rPr>
        <w:t>（四）评价方法。</w:t>
      </w:r>
      <w:r>
        <w:rPr>
          <w:rFonts w:ascii="Times New Roman" w:eastAsia="仿宋_GB2312" w:cs="仿宋_GB2312" w:hAnsi="Times New Roman"/>
          <w:color w:val="auto"/>
          <w:kern w:val="2"/>
          <w:sz w:val="32"/>
          <w:szCs w:val="32"/>
          <w:lang w:val="en-US" w:eastAsia="zh-CN" w:bidi="ar-SA"/>
          <w:highlight w:val="auto"/>
        </w:rPr>
        <w:t>采用单位自评法</w:t>
      </w:r>
      <w:r>
        <w:rPr>
          <w:rFonts w:ascii="Times New Roman" w:eastAsia="仿宋_GB2312" w:cs="仿宋_GB2312" w:hAnsi="Times New Roman" w:hint="eastAsia"/>
          <w:color w:val="auto"/>
          <w:kern w:val="2"/>
          <w:sz w:val="32"/>
          <w:szCs w:val="32"/>
          <w:lang w:val="en-US" w:eastAsia="zh-CN" w:bidi="ar-SA"/>
          <w:highlight w:val="auto"/>
        </w:rPr>
        <w:t>。</w:t>
      </w:r>
    </w:p>
    <w:p>
      <w:pPr>
        <w:spacing w:line="600" w:lineRule="exact"/>
        <w:ind w:firstLine="640"/>
        <w:rPr>
          <w:rFonts w:ascii="Times New Roman" w:eastAsia="仿宋_GB2312" w:cs="仿宋_GB2312" w:hAnsi="Times New Roman"/>
          <w:color w:val="auto"/>
          <w:kern w:val="2"/>
          <w:sz w:val="32"/>
          <w:szCs w:val="32"/>
          <w:lang w:val="en-US" w:eastAsia="zh-CN" w:bidi="ar-SA"/>
          <w:highlight w:val="auto"/>
        </w:rPr>
      </w:pPr>
      <w:r>
        <w:rPr>
          <w:rFonts w:ascii="Times New Roman" w:eastAsia="楷体_GB2312" w:cs="Times New Roman" w:hAnsi="Times New Roman"/>
          <w:b/>
          <w:color w:val="auto"/>
          <w:sz w:val="32"/>
          <w:szCs w:val="32"/>
          <w:u w:val="none"/>
          <w:lang w:val="zh-CN"/>
          <w:highlight w:val="auto"/>
        </w:rPr>
        <w:t>（五）评价组织。</w:t>
      </w:r>
      <w:r>
        <w:rPr>
          <w:rFonts w:ascii="Times New Roman" w:eastAsia="仿宋_GB2312" w:cs="仿宋_GB2312" w:hAnsi="Times New Roman"/>
          <w:color w:val="auto"/>
          <w:kern w:val="2"/>
          <w:sz w:val="32"/>
          <w:szCs w:val="32"/>
          <w:lang w:val="en-US" w:eastAsia="zh-CN" w:bidi="ar-SA"/>
          <w:highlight w:val="auto"/>
        </w:rPr>
        <w:t>评价组人员</w:t>
      </w:r>
      <w:r>
        <w:rPr>
          <w:rFonts w:ascii="Times New Roman" w:eastAsia="仿宋_GB2312" w:cs="仿宋_GB2312" w:hAnsi="Times New Roman" w:hint="eastAsia"/>
          <w:color w:val="auto"/>
          <w:kern w:val="2"/>
          <w:sz w:val="32"/>
          <w:szCs w:val="32"/>
          <w:lang w:val="en-US" w:eastAsia="zh-CN" w:bidi="ar-SA"/>
          <w:highlight w:val="auto"/>
        </w:rPr>
        <w:t>由警务保障科</w:t>
      </w:r>
      <w:r>
        <w:rPr>
          <w:rFonts w:ascii="Times New Roman" w:eastAsia="仿宋_GB2312" w:cs="仿宋_GB2312" w:hAnsi="Times New Roman"/>
          <w:color w:val="auto"/>
          <w:kern w:val="2"/>
          <w:sz w:val="32"/>
          <w:szCs w:val="32"/>
          <w:lang w:val="en-US" w:eastAsia="zh-CN" w:bidi="ar-SA"/>
          <w:highlight w:val="auto"/>
        </w:rPr>
        <w:t>构成。</w:t>
      </w:r>
    </w:p>
    <w:p>
      <w:pPr>
        <w:keepNext w:val="0"/>
        <w:keepLines w:val="0"/>
        <w:pageBreakBefore w:val="0"/>
        <w:widowControl w:val="0"/>
        <w:kinsoku/>
        <w:wordWrap/>
        <w:overflowPunct/>
        <w:topLinePunct w:val="0"/>
        <w:autoSpaceDE/>
        <w:autoSpaceDN/>
        <w:bidi w:val="0"/>
        <w:adjustRightInd w:val="0"/>
        <w:snapToGrid w:val="0"/>
        <w:spacing w:line="578" w:lineRule="exact"/>
        <w:ind w:firstLineChars="200" w:firstLine="640"/>
        <w:textAlignment w:val="auto"/>
        <w:rPr>
          <w:rFonts w:ascii="Times New Roman" w:eastAsia="黑体" w:cs="Times New Roman" w:hAnsi="Times New Roman"/>
          <w:sz w:val="32"/>
          <w:szCs w:val="32"/>
          <w:lang w:val="zh-CN" w:eastAsia="zh-CN"/>
          <w:highlight w:val="auto"/>
        </w:rPr>
      </w:pPr>
      <w:r>
        <w:rPr>
          <w:rFonts w:ascii="Times New Roman" w:eastAsia="黑体" w:cs="Times New Roman" w:hAnsi="Times New Roman"/>
          <w:sz w:val="32"/>
          <w:szCs w:val="32"/>
          <w:lang w:val="en-US" w:eastAsia="zh-CN"/>
          <w:highlight w:val="auto"/>
        </w:rPr>
        <w:t>三、绩效分析</w:t>
      </w:r>
      <w:r>
        <w:rPr>
          <w:rFonts w:ascii="Times New Roman" w:eastAsia="黑体" w:cs="Times New Roman" w:hAnsi="Times New Roman"/>
          <w:sz w:val="32"/>
          <w:szCs w:val="32"/>
          <w:lang w:val="zh-CN" w:eastAsia="zh-CN"/>
          <w:highlight w:val="auto"/>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ascii="Times New Roman" w:eastAsia="楷体_GB2312" w:cs="Times New Roman" w:hAnsi="Times New Roman"/>
          <w:b/>
          <w:color w:val="auto"/>
          <w:sz w:val="32"/>
          <w:szCs w:val="32"/>
          <w:u w:val="none"/>
          <w:lang w:val="en-US" w:eastAsia="zh-CN"/>
          <w:highlight w:val="auto"/>
        </w:rPr>
      </w:pPr>
      <w:r>
        <w:rPr>
          <w:rFonts w:ascii="Times New Roman" w:eastAsia="楷体_GB2312" w:cs="Times New Roman" w:hAnsi="Times New Roman"/>
          <w:b/>
          <w:color w:val="auto"/>
          <w:sz w:val="32"/>
          <w:szCs w:val="32"/>
          <w:u w:val="none"/>
          <w:lang w:val="zh-CN"/>
          <w:highlight w:val="auto"/>
        </w:rPr>
        <w:t>（一）</w:t>
      </w:r>
      <w:r>
        <w:rPr>
          <w:rFonts w:ascii="Times New Roman" w:eastAsia="楷体_GB2312" w:cs="Times New Roman" w:hAnsi="Times New Roman"/>
          <w:b/>
          <w:color w:val="auto"/>
          <w:sz w:val="32"/>
          <w:szCs w:val="32"/>
          <w:u w:val="none"/>
          <w:lang w:val="en-US" w:eastAsia="zh-CN"/>
          <w:highlight w:val="auto"/>
        </w:rPr>
        <w:t>通用指标</w:t>
      </w:r>
      <w:r>
        <w:rPr>
          <w:rFonts w:ascii="Times New Roman" w:eastAsia="楷体_GB2312" w:cs="Times New Roman" w:hAnsi="Times New Roman"/>
          <w:b/>
          <w:color w:val="auto"/>
          <w:sz w:val="32"/>
          <w:szCs w:val="32"/>
          <w:u w:val="none"/>
          <w:lang w:val="zh-CN"/>
          <w:highlight w:val="auto"/>
        </w:rPr>
        <w:t>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b/>
          <w:bCs/>
          <w:color w:val="auto"/>
          <w:kern w:val="2"/>
          <w:sz w:val="32"/>
          <w:szCs w:val="32"/>
          <w:lang w:val="en-US" w:eastAsia="zh-CN" w:bidi="ar-SA"/>
          <w:highlight w:val="auto"/>
        </w:rPr>
        <w:t>1.项目决策。</w:t>
      </w:r>
      <w:r>
        <w:rPr>
          <w:rFonts w:ascii="Times New Roman" w:eastAsia="仿宋_GB2312" w:cs="仿宋_GB2312" w:hAnsi="Times New Roman"/>
          <w:color w:val="auto"/>
          <w:kern w:val="2"/>
          <w:sz w:val="32"/>
          <w:szCs w:val="32"/>
          <w:lang w:val="en-US" w:eastAsia="zh-CN" w:bidi="ar-SA"/>
          <w:highlight w:val="auto"/>
        </w:rPr>
        <w:t>项目设立决策程序</w:t>
      </w:r>
      <w:r>
        <w:rPr>
          <w:rFonts w:ascii="Times New Roman" w:eastAsia="仿宋_GB2312" w:cs="仿宋_GB2312" w:hAnsi="Times New Roman" w:hint="eastAsia"/>
          <w:color w:val="auto"/>
          <w:kern w:val="2"/>
          <w:sz w:val="32"/>
          <w:szCs w:val="32"/>
          <w:lang w:val="en-US" w:eastAsia="zh-CN" w:bidi="ar-SA"/>
          <w:highlight w:val="auto"/>
        </w:rPr>
        <w:t>较</w:t>
      </w:r>
      <w:r>
        <w:rPr>
          <w:rFonts w:ascii="Times New Roman" w:eastAsia="仿宋_GB2312" w:cs="仿宋_GB2312" w:hAnsi="Times New Roman"/>
          <w:color w:val="auto"/>
          <w:kern w:val="2"/>
          <w:sz w:val="32"/>
          <w:szCs w:val="32"/>
          <w:lang w:val="en-US" w:eastAsia="zh-CN" w:bidi="ar-SA"/>
          <w:highlight w:val="auto"/>
        </w:rPr>
        <w:t>严密</w:t>
      </w:r>
      <w:r>
        <w:rPr>
          <w:rFonts w:ascii="Times New Roman" w:eastAsia="仿宋_GB2312" w:cs="仿宋_GB2312" w:hAnsi="Times New Roman" w:hint="eastAsia"/>
          <w:color w:val="auto"/>
          <w:kern w:val="2"/>
          <w:sz w:val="32"/>
          <w:szCs w:val="32"/>
          <w:lang w:val="en-US" w:eastAsia="zh-CN" w:bidi="ar-SA"/>
          <w:highlight w:val="auto"/>
        </w:rPr>
        <w:t>，但存在</w:t>
      </w:r>
      <w:r>
        <w:rPr>
          <w:rFonts w:ascii="Times New Roman" w:eastAsia="仿宋_GB2312" w:cs="仿宋_GB2312" w:hAnsi="Times New Roman"/>
          <w:color w:val="auto"/>
          <w:kern w:val="2"/>
          <w:sz w:val="32"/>
          <w:szCs w:val="32"/>
          <w:lang w:val="en-US" w:eastAsia="zh-CN" w:bidi="ar-SA"/>
          <w:highlight w:val="auto"/>
        </w:rPr>
        <w:t>调整延续等方面</w:t>
      </w:r>
      <w:r>
        <w:rPr>
          <w:rFonts w:ascii="Times New Roman" w:eastAsia="仿宋_GB2312" w:cs="仿宋_GB2312" w:hAnsi="Times New Roman" w:hint="eastAsia"/>
          <w:color w:val="auto"/>
          <w:kern w:val="2"/>
          <w:sz w:val="32"/>
          <w:szCs w:val="32"/>
          <w:lang w:val="en-US" w:eastAsia="zh-CN" w:bidi="ar-SA"/>
          <w:highlight w:val="auto"/>
        </w:rPr>
        <w:t>不太严密情况，得3分；</w:t>
      </w:r>
      <w:r>
        <w:rPr>
          <w:rFonts w:ascii="Times New Roman" w:eastAsia="仿宋_GB2312" w:cs="仿宋_GB2312" w:hAnsi="Times New Roman"/>
          <w:color w:val="auto"/>
          <w:kern w:val="2"/>
          <w:sz w:val="32"/>
          <w:szCs w:val="32"/>
          <w:lang w:val="en-US" w:eastAsia="zh-CN" w:bidi="ar-SA"/>
          <w:highlight w:val="auto"/>
        </w:rPr>
        <w:t>项目规划符合中央、州委、州政府有关决策部署安排，得1分；充分评估论证项目立项必要性、前瞻性、合理性和可行性，得3分。</w:t>
      </w:r>
      <w:r>
        <w:rPr>
          <w:rFonts w:ascii="Times New Roman" w:eastAsia="仿宋_GB2312" w:cs="仿宋_GB2312" w:hAnsi="Times New Roman" w:hint="eastAsia"/>
          <w:color w:val="auto"/>
          <w:kern w:val="2"/>
          <w:sz w:val="32"/>
          <w:szCs w:val="32"/>
          <w:lang w:val="en-US" w:eastAsia="zh-CN" w:bidi="ar-SA"/>
          <w:highlight w:val="auto"/>
        </w:rPr>
        <w:t>但</w:t>
      </w:r>
      <w:r>
        <w:rPr>
          <w:rFonts w:ascii="Times New Roman" w:eastAsia="仿宋_GB2312" w:cs="仿宋_GB2312" w:hAnsi="Times New Roman"/>
          <w:color w:val="auto"/>
          <w:kern w:val="2"/>
          <w:sz w:val="32"/>
          <w:szCs w:val="32"/>
          <w:lang w:val="en-US" w:eastAsia="zh-CN" w:bidi="ar-SA"/>
          <w:highlight w:val="auto"/>
        </w:rPr>
        <w:t>项目总体绩效目标设置合理性的偏离度＞30%，不得分</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属于政府支持范围，且符合财政事权支出责任划分规定，得1分；资金投向与项目总体规划、相关行业事业发展相匹配，得1分；聚焦重大任务、重点领域、重点环节和重点项目，体现“集中财力办大事”原则，避免“撒胡椒面”，得3分</w:t>
      </w:r>
      <w:r>
        <w:rPr>
          <w:rFonts w:ascii="Times New Roman" w:eastAsia="仿宋_GB2312" w:cs="仿宋_GB2312" w:hAnsi="Times New Roman" w:hint="eastAsia"/>
          <w:color w:val="auto"/>
          <w:kern w:val="2"/>
          <w:sz w:val="32"/>
          <w:szCs w:val="32"/>
          <w:lang w:val="en-US" w:eastAsia="zh-CN" w:bidi="ar-SA"/>
          <w:highlight w:val="auto"/>
        </w:rPr>
        <w:t>。</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b/>
          <w:bCs/>
          <w:color w:val="auto"/>
          <w:kern w:val="2"/>
          <w:sz w:val="32"/>
          <w:szCs w:val="32"/>
          <w:lang w:val="en-US" w:eastAsia="zh-CN" w:bidi="ar-SA"/>
          <w:highlight w:val="auto"/>
        </w:rPr>
        <w:t>2.项目管理。</w:t>
      </w:r>
      <w:r>
        <w:rPr>
          <w:rFonts w:ascii="Times New Roman" w:eastAsia="仿宋_GB2312" w:cs="仿宋_GB2312" w:hAnsi="Times New Roman"/>
          <w:color w:val="auto"/>
          <w:kern w:val="2"/>
          <w:sz w:val="32"/>
          <w:szCs w:val="32"/>
          <w:lang w:val="en-US" w:eastAsia="zh-CN" w:bidi="ar-SA"/>
          <w:highlight w:val="auto"/>
        </w:rPr>
        <w:t>资金管理办法等管理制度体系健全完善，不存在管理制度缺失、管理办法过期情况，得2分</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项目法：建设项目储备库，得2分</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明确项目申报审核程序，按规定程序履行项目审批，得2分</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资金分配是否严格按管理办法执行，决策程序是否符合管理要求，及时高效，得</w:t>
      </w:r>
      <w:r>
        <w:rPr>
          <w:rFonts w:ascii="Times New Roman" w:eastAsia="仿宋_GB2312" w:cs="仿宋_GB2312" w:hAnsi="Times New Roman" w:hint="eastAsia"/>
          <w:color w:val="auto"/>
          <w:kern w:val="2"/>
          <w:sz w:val="32"/>
          <w:szCs w:val="32"/>
          <w:lang w:val="en-US" w:eastAsia="zh-CN" w:bidi="ar-SA"/>
          <w:highlight w:val="auto"/>
        </w:rPr>
        <w:t>2</w:t>
      </w:r>
      <w:r>
        <w:rPr>
          <w:rFonts w:ascii="Times New Roman" w:eastAsia="仿宋_GB2312" w:cs="仿宋_GB2312" w:hAnsi="Times New Roman"/>
          <w:color w:val="auto"/>
          <w:kern w:val="2"/>
          <w:sz w:val="32"/>
          <w:szCs w:val="32"/>
          <w:lang w:val="en-US" w:eastAsia="zh-CN" w:bidi="ar-SA"/>
          <w:highlight w:val="auto"/>
        </w:rPr>
        <w:t>分</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项目按中州要求全面完成绩效目标（含事前评估）、绩效评价、以前年度问题整改等预算绩效管理工作，得</w:t>
      </w:r>
      <w:r>
        <w:rPr>
          <w:rFonts w:ascii="Times New Roman" w:eastAsia="仿宋_GB2312" w:cs="仿宋_GB2312" w:hAnsi="Times New Roman" w:hint="eastAsia"/>
          <w:color w:val="auto"/>
          <w:kern w:val="2"/>
          <w:sz w:val="32"/>
          <w:szCs w:val="32"/>
          <w:lang w:val="en-US" w:eastAsia="zh-CN" w:bidi="ar-SA"/>
          <w:highlight w:val="auto"/>
        </w:rPr>
        <w:t>3</w:t>
      </w:r>
      <w:r>
        <w:rPr>
          <w:rFonts w:ascii="Times New Roman" w:eastAsia="仿宋_GB2312" w:cs="仿宋_GB2312" w:hAnsi="Times New Roman"/>
          <w:color w:val="auto"/>
          <w:kern w:val="2"/>
          <w:sz w:val="32"/>
          <w:szCs w:val="32"/>
          <w:lang w:val="en-US" w:eastAsia="zh-CN" w:bidi="ar-SA"/>
          <w:highlight w:val="auto"/>
        </w:rPr>
        <w:t>分</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州级部门对市县主管部门预算绩效管理要求到位，存在对市县资金分配和项目管理指导力度不够的情况，对市县开展评价、监督、指导等工作，得</w:t>
      </w:r>
      <w:r>
        <w:rPr>
          <w:rFonts w:ascii="Times New Roman" w:eastAsia="仿宋_GB2312" w:cs="仿宋_GB2312" w:hAnsi="Times New Roman" w:hint="eastAsia"/>
          <w:color w:val="auto"/>
          <w:kern w:val="2"/>
          <w:sz w:val="32"/>
          <w:szCs w:val="32"/>
          <w:lang w:val="en-US" w:eastAsia="zh-CN" w:bidi="ar-SA"/>
          <w:highlight w:val="auto"/>
        </w:rPr>
        <w:t>1</w:t>
      </w:r>
      <w:r>
        <w:rPr>
          <w:rFonts w:ascii="Times New Roman" w:eastAsia="仿宋_GB2312" w:cs="仿宋_GB2312" w:hAnsi="Times New Roman"/>
          <w:color w:val="auto"/>
          <w:kern w:val="2"/>
          <w:sz w:val="32"/>
          <w:szCs w:val="32"/>
          <w:lang w:val="en-US" w:eastAsia="zh-CN" w:bidi="ar-SA"/>
          <w:highlight w:val="auto"/>
        </w:rPr>
        <w:t>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b/>
          <w:bCs/>
          <w:color w:val="auto"/>
          <w:kern w:val="2"/>
          <w:sz w:val="32"/>
          <w:szCs w:val="32"/>
          <w:lang w:val="en-US" w:eastAsia="zh-CN" w:bidi="ar-SA"/>
          <w:highlight w:val="auto"/>
        </w:rPr>
        <w:t>3.项目实施。</w:t>
      </w:r>
      <w:r>
        <w:rPr>
          <w:rFonts w:ascii="Times New Roman" w:eastAsia="仿宋_GB2312" w:cs="仿宋_GB2312" w:hAnsi="Times New Roman"/>
          <w:color w:val="auto"/>
          <w:kern w:val="2"/>
          <w:sz w:val="32"/>
          <w:szCs w:val="32"/>
          <w:lang w:val="en-US" w:eastAsia="zh-CN" w:bidi="ar-SA"/>
          <w:highlight w:val="auto"/>
        </w:rPr>
        <w:t>财政资金拨付率100%</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单位资金使用率</w:t>
      </w:r>
      <w:r>
        <w:rPr>
          <w:rFonts w:ascii="Times New Roman" w:eastAsia="仿宋_GB2312" w:cs="仿宋_GB2312" w:hAnsi="Times New Roman" w:hint="eastAsia"/>
          <w:color w:val="auto"/>
          <w:kern w:val="2"/>
          <w:sz w:val="32"/>
          <w:szCs w:val="32"/>
          <w:lang w:val="en-US" w:eastAsia="zh-CN" w:bidi="ar-SA"/>
          <w:highlight w:val="auto"/>
        </w:rPr>
        <w:t>50%，</w:t>
      </w:r>
      <w:r>
        <w:rPr>
          <w:rFonts w:ascii="Times New Roman" w:eastAsia="仿宋_GB2312" w:cs="仿宋_GB2312" w:hAnsi="Times New Roman"/>
          <w:color w:val="auto"/>
          <w:kern w:val="2"/>
          <w:sz w:val="32"/>
          <w:szCs w:val="32"/>
          <w:lang w:val="en-US" w:eastAsia="zh-CN" w:bidi="ar-SA"/>
          <w:highlight w:val="auto"/>
        </w:rPr>
        <w:t>该项指标得分</w:t>
      </w:r>
      <w:r>
        <w:rPr>
          <w:rFonts w:ascii="Times New Roman" w:eastAsia="仿宋_GB2312" w:cs="仿宋_GB2312" w:hAnsi="Times New Roman" w:hint="eastAsia"/>
          <w:color w:val="auto"/>
          <w:kern w:val="2"/>
          <w:sz w:val="32"/>
          <w:szCs w:val="32"/>
          <w:lang w:val="en-US" w:eastAsia="zh-CN" w:bidi="ar-SA"/>
          <w:highlight w:val="auto"/>
        </w:rPr>
        <w:t>3.5分</w:t>
      </w:r>
      <w:r>
        <w:rPr>
          <w:rFonts w:ascii="Times New Roman" w:eastAsia="仿宋_GB2312" w:cs="仿宋_GB2312" w:hAnsi="Times New Roman"/>
          <w:color w:val="auto"/>
          <w:kern w:val="2"/>
          <w:sz w:val="32"/>
          <w:szCs w:val="32"/>
          <w:lang w:val="en-US" w:eastAsia="zh-CN" w:bidi="ar-SA"/>
          <w:highlight w:val="auto"/>
        </w:rPr>
        <w:t>。项目资金使用、拨付符合国家财经法规、财务管理制度及有关专项资金管理制度办法规定和审批程序，</w:t>
      </w:r>
      <w:r>
        <w:rPr>
          <w:rFonts w:ascii="Times New Roman" w:eastAsia="仿宋_GB2312" w:cs="仿宋_GB2312" w:hAnsi="Times New Roman" w:hint="eastAsia"/>
          <w:color w:val="auto"/>
          <w:kern w:val="2"/>
          <w:sz w:val="32"/>
          <w:szCs w:val="32"/>
          <w:lang w:val="en-US" w:eastAsia="zh-CN" w:bidi="ar-SA"/>
          <w:highlight w:val="auto"/>
        </w:rPr>
        <w:t>未</w:t>
      </w:r>
      <w:r>
        <w:rPr>
          <w:rFonts w:ascii="Times New Roman" w:eastAsia="仿宋_GB2312" w:cs="仿宋_GB2312" w:hAnsi="Times New Roman"/>
          <w:color w:val="auto"/>
          <w:kern w:val="2"/>
          <w:sz w:val="32"/>
          <w:szCs w:val="32"/>
          <w:lang w:val="en-US" w:eastAsia="zh-CN" w:bidi="ar-SA"/>
          <w:highlight w:val="auto"/>
        </w:rPr>
        <w:t>存在超范围、超标准、超进度使用专项资金，</w:t>
      </w:r>
      <w:r>
        <w:rPr>
          <w:rFonts w:ascii="Times New Roman" w:eastAsia="仿宋_GB2312" w:cs="仿宋_GB2312" w:hAnsi="Times New Roman" w:hint="eastAsia"/>
          <w:color w:val="auto"/>
          <w:kern w:val="2"/>
          <w:sz w:val="32"/>
          <w:szCs w:val="32"/>
          <w:lang w:val="en-US" w:eastAsia="zh-CN" w:bidi="ar-SA"/>
          <w:highlight w:val="auto"/>
        </w:rPr>
        <w:t>未</w:t>
      </w:r>
      <w:r>
        <w:rPr>
          <w:rFonts w:ascii="Times New Roman" w:eastAsia="仿宋_GB2312" w:cs="仿宋_GB2312" w:hAnsi="Times New Roman"/>
          <w:color w:val="auto"/>
          <w:kern w:val="2"/>
          <w:sz w:val="32"/>
          <w:szCs w:val="32"/>
          <w:lang w:val="en-US" w:eastAsia="zh-CN" w:bidi="ar-SA"/>
          <w:highlight w:val="auto"/>
        </w:rPr>
        <w:t>存在资金损失浪费、截留、挤占、挪用、虚列支出等情况，项目实施遵守相关法律法规，</w:t>
      </w:r>
      <w:r>
        <w:rPr>
          <w:rFonts w:ascii="Times New Roman" w:eastAsia="仿宋_GB2312" w:cs="仿宋_GB2312" w:hAnsi="Times New Roman" w:hint="eastAsia"/>
          <w:color w:val="auto"/>
          <w:kern w:val="2"/>
          <w:sz w:val="32"/>
          <w:szCs w:val="32"/>
          <w:lang w:val="en-US" w:eastAsia="zh-CN" w:bidi="ar-SA"/>
          <w:highlight w:val="auto"/>
        </w:rPr>
        <w:t>得分2分</w:t>
      </w:r>
      <w:r>
        <w:rPr>
          <w:rFonts w:ascii="Times New Roman" w:eastAsia="仿宋_GB2312" w:cs="仿宋_GB2312" w:hAnsi="Times New Roman"/>
          <w:color w:val="auto"/>
          <w:kern w:val="2"/>
          <w:sz w:val="32"/>
          <w:szCs w:val="32"/>
          <w:lang w:val="en-US" w:eastAsia="zh-CN" w:bidi="ar-SA"/>
          <w:highlight w:val="auto"/>
        </w:rPr>
        <w:t>。</w:t>
      </w:r>
    </w:p>
    <w:p>
      <w:pPr>
        <w:spacing w:line="600" w:lineRule="exact"/>
        <w:ind w:firstLine="640"/>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b/>
          <w:bCs/>
          <w:color w:val="auto"/>
          <w:kern w:val="2"/>
          <w:sz w:val="32"/>
          <w:szCs w:val="32"/>
          <w:lang w:val="en-US" w:eastAsia="zh-CN" w:bidi="ar-SA"/>
          <w:highlight w:val="auto"/>
        </w:rPr>
        <w:t>4.项目结果。</w:t>
      </w:r>
      <w:r>
        <w:rPr>
          <w:rFonts w:ascii="Times New Roman" w:eastAsia="仿宋_GB2312" w:cs="仿宋_GB2312" w:hAnsi="Times New Roman"/>
          <w:color w:val="auto"/>
          <w:kern w:val="2"/>
          <w:sz w:val="32"/>
          <w:szCs w:val="32"/>
          <w:lang w:val="en-US" w:eastAsia="zh-CN" w:bidi="ar-SA"/>
          <w:highlight w:val="auto"/>
        </w:rPr>
        <w:t>项目完成预期目标，实施结果与</w:t>
      </w:r>
      <w:r>
        <w:rPr>
          <w:rFonts w:ascii="Times New Roman" w:eastAsia="仿宋_GB2312" w:cs="仿宋_GB2312" w:hAnsi="Times New Roman" w:hint="eastAsia"/>
          <w:color w:val="auto"/>
          <w:kern w:val="2"/>
          <w:sz w:val="32"/>
          <w:szCs w:val="32"/>
          <w:lang w:val="en-US" w:eastAsia="zh-CN" w:bidi="ar-SA"/>
          <w:highlight w:val="auto"/>
        </w:rPr>
        <w:t>部分</w:t>
      </w:r>
      <w:r>
        <w:rPr>
          <w:rFonts w:ascii="Times New Roman" w:eastAsia="仿宋_GB2312" w:cs="仿宋_GB2312" w:hAnsi="Times New Roman"/>
          <w:color w:val="auto"/>
          <w:kern w:val="2"/>
          <w:sz w:val="32"/>
          <w:szCs w:val="32"/>
          <w:lang w:val="en-US" w:eastAsia="zh-CN" w:bidi="ar-SA"/>
          <w:highlight w:val="auto"/>
        </w:rPr>
        <w:t>绩效目标相匹配，</w:t>
      </w:r>
      <w:r>
        <w:rPr>
          <w:rFonts w:ascii="Times New Roman" w:eastAsia="仿宋_GB2312" w:cs="仿宋_GB2312" w:hAnsi="Times New Roman" w:hint="eastAsia"/>
          <w:color w:val="auto"/>
          <w:kern w:val="2"/>
          <w:sz w:val="32"/>
          <w:szCs w:val="32"/>
          <w:lang w:val="en-US" w:eastAsia="zh-CN" w:bidi="ar-SA"/>
          <w:highlight w:val="auto"/>
        </w:rPr>
        <w:t>得分5分；</w:t>
      </w:r>
      <w:r>
        <w:rPr>
          <w:rFonts w:ascii="Times New Roman" w:eastAsia="仿宋_GB2312" w:cs="仿宋_GB2312" w:hAnsi="Times New Roman"/>
          <w:color w:val="auto"/>
          <w:kern w:val="2"/>
          <w:sz w:val="32"/>
          <w:szCs w:val="32"/>
          <w:lang w:val="en-US" w:eastAsia="zh-CN" w:bidi="ar-SA"/>
          <w:highlight w:val="auto"/>
        </w:rPr>
        <w:t>项目实际完成时间</w:t>
      </w:r>
      <w:r>
        <w:rPr>
          <w:rFonts w:ascii="Times New Roman" w:eastAsia="仿宋_GB2312" w:cs="仿宋_GB2312" w:hAnsi="Times New Roman" w:hint="eastAsia"/>
          <w:color w:val="auto"/>
          <w:kern w:val="2"/>
          <w:sz w:val="32"/>
          <w:szCs w:val="32"/>
          <w:lang w:val="en-US" w:eastAsia="zh-CN" w:bidi="ar-SA"/>
          <w:highlight w:val="auto"/>
        </w:rPr>
        <w:t>2025年12月份，计划时间相同，得分2.5分。</w:t>
      </w:r>
    </w:p>
    <w:p>
      <w:pPr>
        <w:keepNext w:val="0"/>
        <w:keepLines w:val="0"/>
        <w:pageBreakBefore w:val="0"/>
        <w:widowControl/>
        <w:kinsoku/>
        <w:wordWrap/>
        <w:overflowPunct/>
        <w:topLinePunct w:val="0"/>
        <w:autoSpaceDE/>
        <w:autoSpaceDN/>
        <w:bidi w:val="0"/>
        <w:adjustRightInd w:val="0"/>
        <w:snapToGrid w:val="0"/>
        <w:spacing w:line="578" w:lineRule="exact"/>
        <w:ind w:left="0" w:firstLineChars="200" w:firstLine="640"/>
        <w:contextualSpacing/>
        <w:jc w:val="left"/>
        <w:textAlignment w:val="auto"/>
        <w:rPr>
          <w:rFonts w:ascii="Times New Roman" w:eastAsia="楷体_GB2312" w:cs="Times New Roman" w:hAnsi="Times New Roman"/>
          <w:b/>
          <w:color w:val="auto"/>
          <w:sz w:val="32"/>
          <w:szCs w:val="32"/>
          <w:u w:val="none"/>
          <w:lang w:val="zh-CN" w:eastAsia="zh-CN"/>
          <w:highlight w:val="auto"/>
        </w:rPr>
      </w:pPr>
      <w:r>
        <w:rPr>
          <w:rFonts w:ascii="Times New Roman" w:eastAsia="楷体_GB2312" w:cs="Times New Roman" w:hAnsi="Times New Roman"/>
          <w:b/>
          <w:color w:val="auto"/>
          <w:sz w:val="32"/>
          <w:szCs w:val="32"/>
          <w:u w:val="none"/>
          <w:lang w:val="zh-CN" w:eastAsia="zh-CN"/>
          <w:highlight w:val="auto"/>
        </w:rPr>
        <w:t>（二）</w:t>
      </w:r>
      <w:r>
        <w:rPr>
          <w:rFonts w:ascii="Times New Roman" w:eastAsia="楷体_GB2312" w:cs="Times New Roman" w:hAnsi="Times New Roman"/>
          <w:b/>
          <w:color w:val="auto"/>
          <w:sz w:val="32"/>
          <w:szCs w:val="32"/>
          <w:u w:val="none"/>
          <w:lang w:val="en-US" w:eastAsia="zh-CN"/>
          <w:highlight w:val="auto"/>
        </w:rPr>
        <w:t>专用指标</w:t>
      </w:r>
      <w:r>
        <w:rPr>
          <w:rFonts w:ascii="Times New Roman" w:eastAsia="楷体_GB2312" w:cs="Times New Roman" w:hAnsi="Times New Roman"/>
          <w:b/>
          <w:color w:val="auto"/>
          <w:sz w:val="32"/>
          <w:szCs w:val="32"/>
          <w:u w:val="none"/>
          <w:lang w:val="zh-CN" w:eastAsia="zh-CN"/>
          <w:highlight w:val="auto"/>
        </w:rPr>
        <w:t>绩效分析。</w:t>
      </w:r>
    </w:p>
    <w:p>
      <w:pPr>
        <w:keepNext w:val="0"/>
        <w:keepLines w:val="0"/>
        <w:pageBreakBefore w:val="0"/>
        <w:widowControl w:val="0"/>
        <w:kinsoku/>
        <w:wordWrap/>
        <w:overflowPunct/>
        <w:topLinePunct w:val="0"/>
        <w:autoSpaceDE/>
        <w:autoSpaceDN/>
        <w:bidi w:val="0"/>
        <w:adjustRightInd/>
        <w:snapToGrid/>
        <w:spacing w:line="578" w:lineRule="exact"/>
        <w:ind w:left="0" w:firstLineChars="200" w:firstLine="640"/>
        <w:textAlignment w:val="auto"/>
        <w:outlineLvl w:val="9"/>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该项目专用指标为</w:t>
      </w:r>
      <w:r>
        <w:rPr>
          <w:rFonts w:ascii="Times New Roman" w:eastAsia="仿宋_GB2312" w:cs="仿宋_GB2312" w:hAnsi="Times New Roman"/>
          <w:b/>
          <w:bCs/>
          <w:color w:val="auto"/>
          <w:kern w:val="2"/>
          <w:sz w:val="32"/>
          <w:szCs w:val="32"/>
          <w:lang w:val="zh-CN" w:eastAsia="zh-CN" w:bidi="ar-SA"/>
          <w:highlight w:val="auto"/>
        </w:rPr>
        <w:t>行政运转</w:t>
      </w:r>
      <w:r>
        <w:rPr>
          <w:rFonts w:ascii="Times New Roman" w:eastAsia="仿宋_GB2312" w:cs="仿宋_GB2312" w:hAnsi="Times New Roman"/>
          <w:b/>
          <w:bCs/>
          <w:color w:val="auto"/>
          <w:kern w:val="2"/>
          <w:sz w:val="32"/>
          <w:szCs w:val="32"/>
          <w:lang w:val="en-US" w:eastAsia="zh-CN" w:bidi="ar-SA"/>
          <w:highlight w:val="auto"/>
        </w:rPr>
        <w:t>类</w:t>
      </w:r>
      <w:r>
        <w:rPr>
          <w:rFonts w:ascii="Times New Roman" w:eastAsia="仿宋_GB2312" w:cs="仿宋_GB2312" w:hAnsi="Times New Roman"/>
          <w:b/>
          <w:bCs/>
          <w:color w:val="auto"/>
          <w:kern w:val="2"/>
          <w:sz w:val="32"/>
          <w:szCs w:val="32"/>
          <w:lang w:val="zh-CN"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该项目实施</w:t>
      </w:r>
      <w:r>
        <w:rPr>
          <w:rFonts w:ascii="Times New Roman" w:eastAsia="仿宋_GB2312" w:cs="仿宋_GB2312" w:hAnsi="Times New Roman"/>
          <w:color w:val="auto"/>
          <w:kern w:val="2"/>
          <w:sz w:val="32"/>
          <w:szCs w:val="32"/>
          <w:lang w:val="zh-CN" w:eastAsia="zh-CN" w:bidi="ar-SA"/>
          <w:highlight w:val="auto"/>
        </w:rPr>
        <w:t>按规定用途、适用范围进行本</w:t>
      </w:r>
      <w:r>
        <w:rPr>
          <w:rFonts w:ascii="Times New Roman" w:eastAsia="仿宋_GB2312" w:cs="仿宋_GB2312" w:hAnsi="Times New Roman" w:hint="eastAsia"/>
          <w:color w:val="auto"/>
          <w:kern w:val="2"/>
          <w:sz w:val="32"/>
          <w:szCs w:val="32"/>
          <w:lang w:val="en-US" w:eastAsia="zh-CN" w:bidi="ar-SA"/>
          <w:highlight w:val="auto"/>
        </w:rPr>
        <w:t>部门</w:t>
      </w:r>
      <w:r>
        <w:rPr>
          <w:rFonts w:ascii="Times New Roman" w:eastAsia="仿宋_GB2312" w:cs="仿宋_GB2312" w:hAnsi="Times New Roman"/>
          <w:color w:val="auto"/>
          <w:kern w:val="2"/>
          <w:sz w:val="32"/>
          <w:szCs w:val="32"/>
          <w:lang w:val="zh-CN" w:eastAsia="zh-CN" w:bidi="ar-SA"/>
          <w:highlight w:val="auto"/>
        </w:rPr>
        <w:t>专项资金分配</w:t>
      </w:r>
      <w:r>
        <w:rPr>
          <w:rFonts w:ascii="Times New Roman" w:eastAsia="仿宋_GB2312" w:cs="仿宋_GB2312" w:hAnsi="Times New Roman" w:hint="eastAsia"/>
          <w:color w:val="auto"/>
          <w:kern w:val="2"/>
          <w:sz w:val="32"/>
          <w:szCs w:val="32"/>
          <w:lang w:val="zh-CN"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得分10分</w:t>
      </w:r>
      <w:r>
        <w:rPr>
          <w:rFonts w:ascii="Times New Roman" w:eastAsia="仿宋_GB2312" w:cs="仿宋_GB2312" w:hAnsi="Times New Roman" w:hint="eastAsia"/>
          <w:color w:val="auto"/>
          <w:kern w:val="2"/>
          <w:sz w:val="32"/>
          <w:szCs w:val="32"/>
          <w:lang w:val="zh-CN" w:eastAsia="zh-CN" w:bidi="ar-SA"/>
          <w:highlight w:val="auto"/>
        </w:rPr>
        <w:t>；</w:t>
      </w:r>
      <w:r>
        <w:rPr>
          <w:rFonts w:ascii="Times New Roman" w:eastAsia="仿宋_GB2312" w:cs="仿宋_GB2312" w:hAnsi="Times New Roman"/>
          <w:color w:val="auto"/>
          <w:kern w:val="2"/>
          <w:sz w:val="32"/>
          <w:szCs w:val="32"/>
          <w:lang w:val="zh-CN" w:eastAsia="zh-CN" w:bidi="ar-SA"/>
          <w:highlight w:val="auto"/>
        </w:rPr>
        <w:t>资金管理程序符合专项资金管理要求</w:t>
      </w:r>
      <w:r>
        <w:rPr>
          <w:rFonts w:ascii="Times New Roman" w:eastAsia="仿宋_GB2312" w:cs="仿宋_GB2312" w:hAnsi="Times New Roman" w:hint="eastAsia"/>
          <w:color w:val="auto"/>
          <w:kern w:val="2"/>
          <w:sz w:val="32"/>
          <w:szCs w:val="32"/>
          <w:lang w:val="zh-CN"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得分10分</w:t>
      </w:r>
      <w:r>
        <w:rPr>
          <w:rFonts w:ascii="Times New Roman" w:eastAsia="仿宋_GB2312" w:cs="仿宋_GB2312" w:hAnsi="Times New Roman" w:hint="eastAsia"/>
          <w:color w:val="auto"/>
          <w:kern w:val="2"/>
          <w:sz w:val="32"/>
          <w:szCs w:val="32"/>
          <w:lang w:val="zh-CN" w:eastAsia="zh-CN" w:bidi="ar-SA"/>
          <w:highlight w:val="auto"/>
        </w:rPr>
        <w:t>；</w:t>
      </w:r>
      <w:r>
        <w:rPr>
          <w:rFonts w:ascii="Times New Roman" w:eastAsia="仿宋_GB2312" w:cs="仿宋_GB2312" w:hAnsi="Times New Roman"/>
          <w:color w:val="auto"/>
          <w:kern w:val="2"/>
          <w:sz w:val="32"/>
          <w:szCs w:val="32"/>
          <w:lang w:val="zh-CN" w:eastAsia="zh-CN" w:bidi="ar-SA"/>
          <w:highlight w:val="auto"/>
        </w:rPr>
        <w:t>资金分配标准符合专项资金管理要求</w:t>
      </w:r>
      <w:r>
        <w:rPr>
          <w:rFonts w:ascii="Times New Roman" w:eastAsia="仿宋_GB2312" w:cs="仿宋_GB2312" w:hAnsi="Times New Roman" w:hint="eastAsia"/>
          <w:color w:val="auto"/>
          <w:kern w:val="2"/>
          <w:sz w:val="32"/>
          <w:szCs w:val="32"/>
          <w:lang w:val="zh-CN"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得分10分</w:t>
      </w:r>
      <w:r>
        <w:rPr>
          <w:rFonts w:ascii="Times New Roman" w:eastAsia="仿宋_GB2312" w:cs="仿宋_GB2312" w:hAnsi="Times New Roman" w:hint="eastAsia"/>
          <w:color w:val="auto"/>
          <w:kern w:val="2"/>
          <w:sz w:val="32"/>
          <w:szCs w:val="32"/>
          <w:lang w:val="zh-CN" w:eastAsia="zh-CN" w:bidi="ar-SA"/>
          <w:highlight w:val="auto"/>
        </w:rPr>
        <w:t>。</w:t>
      </w:r>
    </w:p>
    <w:p>
      <w:pPr>
        <w:spacing w:line="600" w:lineRule="exact"/>
        <w:ind w:firstLine="640"/>
        <w:rPr>
          <w:rFonts w:ascii="Times New Roman" w:eastAsia="仿宋_GB2312" w:cs="仿宋_GB2312" w:hAnsi="Times New Roman"/>
          <w:color w:val="auto"/>
          <w:kern w:val="2"/>
          <w:sz w:val="32"/>
          <w:szCs w:val="32"/>
          <w:lang w:val="en-US" w:eastAsia="zh-CN" w:bidi="ar-SA"/>
          <w:highlight w:val="auto"/>
        </w:rPr>
      </w:pPr>
      <w:r>
        <w:rPr>
          <w:rFonts w:ascii="Times New Roman" w:eastAsia="楷体_GB2312" w:cs="Times New Roman" w:hAnsi="Times New Roman"/>
          <w:b/>
          <w:color w:val="auto"/>
          <w:sz w:val="32"/>
          <w:szCs w:val="32"/>
          <w:u w:val="none"/>
          <w:lang w:val="zh-CN"/>
          <w:highlight w:val="auto"/>
        </w:rPr>
        <w:t>（三）</w:t>
      </w:r>
      <w:r>
        <w:rPr>
          <w:rFonts w:ascii="Times New Roman" w:eastAsia="楷体_GB2312" w:cs="Times New Roman" w:hAnsi="Times New Roman"/>
          <w:b/>
          <w:color w:val="auto"/>
          <w:sz w:val="32"/>
          <w:szCs w:val="32"/>
          <w:u w:val="none"/>
          <w:lang w:val="en-US" w:eastAsia="zh-CN"/>
          <w:highlight w:val="auto"/>
        </w:rPr>
        <w:t>个性指标</w:t>
      </w:r>
      <w:r>
        <w:rPr>
          <w:rFonts w:ascii="Times New Roman" w:eastAsia="楷体_GB2312" w:cs="Times New Roman" w:hAnsi="Times New Roman"/>
          <w:b/>
          <w:color w:val="auto"/>
          <w:sz w:val="32"/>
          <w:szCs w:val="32"/>
          <w:u w:val="none"/>
          <w:lang w:val="zh-CN"/>
          <w:highlight w:val="auto"/>
        </w:rPr>
        <w:t>绩效分析。</w:t>
      </w:r>
      <w:r>
        <w:rPr>
          <w:rFonts w:ascii="Times New Roman" w:eastAsia="仿宋_GB2312" w:cs="仿宋_GB2312" w:hAnsi="Times New Roman"/>
          <w:color w:val="auto"/>
          <w:kern w:val="2"/>
          <w:sz w:val="32"/>
          <w:szCs w:val="32"/>
          <w:lang w:val="zh-CN" w:eastAsia="zh-CN" w:bidi="ar-SA"/>
          <w:highlight w:val="auto"/>
        </w:rPr>
        <w:t>根据项目个性自行设定人民群众满意度&gt;95%</w:t>
      </w:r>
      <w:r>
        <w:rPr>
          <w:rFonts w:ascii="Times New Roman" w:eastAsia="仿宋_GB2312" w:cs="仿宋_GB2312" w:hAnsi="Times New Roman" w:hint="eastAsia"/>
          <w:color w:val="auto"/>
          <w:kern w:val="2"/>
          <w:sz w:val="32"/>
          <w:szCs w:val="32"/>
          <w:lang w:val="zh-CN" w:eastAsia="zh-CN" w:bidi="ar-SA"/>
          <w:highlight w:val="auto"/>
        </w:rPr>
        <w:t>；</w:t>
      </w:r>
      <w:r>
        <w:rPr>
          <w:rFonts w:ascii="Times New Roman" w:eastAsia="仿宋_GB2312" w:cs="仿宋_GB2312" w:hAnsi="Times New Roman"/>
          <w:color w:val="auto"/>
          <w:kern w:val="2"/>
          <w:sz w:val="32"/>
          <w:szCs w:val="32"/>
          <w:lang w:val="zh-CN" w:eastAsia="zh-CN" w:bidi="ar-SA"/>
          <w:highlight w:val="auto"/>
        </w:rPr>
        <w:t>使用民警满意度&gt;95%指标，反映该项指标执行完成情况</w:t>
      </w:r>
      <w:r>
        <w:rPr>
          <w:rFonts w:ascii="Times New Roman" w:eastAsia="仿宋_GB2312" w:cs="仿宋_GB2312" w:hAnsi="Times New Roman" w:hint="eastAsia"/>
          <w:color w:val="auto"/>
          <w:kern w:val="2"/>
          <w:sz w:val="32"/>
          <w:szCs w:val="32"/>
          <w:lang w:val="zh-CN"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得分14分</w:t>
      </w:r>
      <w:r>
        <w:rPr>
          <w:rFonts w:ascii="Times New Roman" w:eastAsia="仿宋_GB2312" w:cs="仿宋_GB2312" w:hAnsi="Times New Roman"/>
          <w:color w:val="auto"/>
          <w:kern w:val="2"/>
          <w:sz w:val="32"/>
          <w:szCs w:val="32"/>
          <w:lang w:val="zh-CN" w:eastAsia="zh-CN" w:bidi="ar-SA"/>
          <w:highlight w:val="auto"/>
        </w:rPr>
        <w:t>。</w:t>
      </w:r>
    </w:p>
    <w:p>
      <w:pPr>
        <w:keepNext w:val="0"/>
        <w:keepLines w:val="0"/>
        <w:pageBreakBefore w:val="0"/>
        <w:widowControl w:val="0"/>
        <w:kinsoku/>
        <w:wordWrap/>
        <w:overflowPunct/>
        <w:topLinePunct w:val="0"/>
        <w:autoSpaceDE/>
        <w:autoSpaceDN/>
        <w:bidi w:val="0"/>
        <w:adjustRightInd w:val="0"/>
        <w:snapToGrid w:val="0"/>
        <w:spacing w:line="578" w:lineRule="exact"/>
        <w:ind w:firstLineChars="200" w:firstLine="640"/>
        <w:textAlignment w:val="auto"/>
        <w:rPr>
          <w:rFonts w:ascii="Times New Roman" w:eastAsia="黑体" w:cs="Times New Roman" w:hAnsi="Times New Roman"/>
          <w:sz w:val="32"/>
          <w:szCs w:val="32"/>
          <w:lang w:val="en-US" w:eastAsia="zh-CN"/>
          <w:highlight w:val="auto"/>
        </w:rPr>
      </w:pPr>
      <w:r>
        <w:rPr>
          <w:rFonts w:ascii="Times New Roman" w:eastAsia="黑体" w:cs="Times New Roman" w:hAnsi="Times New Roman"/>
          <w:sz w:val="32"/>
          <w:szCs w:val="32"/>
          <w:lang w:val="en-US" w:eastAsia="zh-CN"/>
          <w:highlight w:val="auto"/>
        </w:rPr>
        <w:t>四、评价结论</w:t>
      </w:r>
    </w:p>
    <w:p>
      <w:pPr>
        <w:spacing w:line="600" w:lineRule="exact"/>
        <w:ind w:firstLine="640"/>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2024年省级财政林业草原专项资金</w:t>
      </w:r>
      <w:r>
        <w:rPr>
          <w:rFonts w:ascii="Times New Roman" w:eastAsia="仿宋_GB2312" w:cs="仿宋_GB2312" w:hAnsi="Times New Roman"/>
          <w:color w:val="auto"/>
          <w:kern w:val="2"/>
          <w:sz w:val="32"/>
          <w:szCs w:val="32"/>
          <w:lang w:val="en-US" w:eastAsia="zh-CN" w:bidi="ar-SA"/>
          <w:highlight w:val="auto"/>
        </w:rPr>
        <w:t>专项预算项目绩效自评总分</w:t>
      </w:r>
      <w:r>
        <w:rPr>
          <w:rFonts w:ascii="Times New Roman" w:eastAsia="仿宋_GB2312" w:cs="仿宋_GB2312" w:hAnsi="Times New Roman" w:hint="eastAsia"/>
          <w:color w:val="auto"/>
          <w:kern w:val="2"/>
          <w:sz w:val="32"/>
          <w:szCs w:val="32"/>
          <w:lang w:val="en-US" w:eastAsia="zh-CN" w:bidi="ar-SA"/>
          <w:highlight w:val="auto"/>
        </w:rPr>
        <w:t>81分，其中通用指标绩效自评得分37分，专用指标绩效自评得分30分，个性指标绩效自评得分14分</w:t>
      </w:r>
      <w:r>
        <w:rPr>
          <w:rFonts w:ascii="Times New Roman" w:eastAsia="仿宋_GB2312" w:cs="仿宋_GB2312" w:hAnsi="Times New Roman"/>
          <w:color w:val="auto"/>
          <w:kern w:val="2"/>
          <w:sz w:val="32"/>
          <w:szCs w:val="32"/>
          <w:lang w:val="zh-CN" w:eastAsia="zh-CN" w:bidi="ar-SA"/>
          <w:highlight w:val="auto"/>
        </w:rPr>
        <w:t>。</w:t>
      </w:r>
    </w:p>
    <w:p>
      <w:pPr>
        <w:keepNext w:val="0"/>
        <w:keepLines w:val="0"/>
        <w:pageBreakBefore w:val="0"/>
        <w:widowControl w:val="0"/>
        <w:kinsoku/>
        <w:wordWrap/>
        <w:overflowPunct/>
        <w:topLinePunct w:val="0"/>
        <w:autoSpaceDE/>
        <w:autoSpaceDN/>
        <w:bidi w:val="0"/>
        <w:adjustRightInd w:val="0"/>
        <w:snapToGrid w:val="0"/>
        <w:spacing w:line="578" w:lineRule="exact"/>
        <w:ind w:firstLineChars="200" w:firstLine="640"/>
        <w:textAlignment w:val="auto"/>
        <w:rPr>
          <w:rFonts w:ascii="Times New Roman" w:eastAsia="黑体" w:cs="Times New Roman" w:hAnsi="Times New Roman"/>
          <w:sz w:val="32"/>
          <w:szCs w:val="32"/>
          <w:lang w:val="zh-CN" w:eastAsia="zh-CN"/>
          <w:highlight w:val="auto"/>
        </w:rPr>
      </w:pPr>
      <w:r>
        <w:rPr>
          <w:rFonts w:ascii="Times New Roman" w:eastAsia="黑体" w:cs="Times New Roman" w:hAnsi="Times New Roman"/>
          <w:sz w:val="32"/>
          <w:szCs w:val="32"/>
          <w:lang w:val="zh-CN" w:eastAsia="zh-CN"/>
          <w:highlight w:val="auto"/>
        </w:rPr>
        <w:t>五、存在主要问题</w:t>
      </w:r>
    </w:p>
    <w:p>
      <w:pPr>
        <w:spacing w:line="600" w:lineRule="exact"/>
        <w:ind w:firstLine="640"/>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该</w:t>
      </w:r>
      <w:r>
        <w:rPr>
          <w:rFonts w:ascii="Times New Roman" w:eastAsia="仿宋_GB2312" w:cs="仿宋_GB2312" w:hAnsi="Times New Roman"/>
          <w:color w:val="auto"/>
          <w:kern w:val="2"/>
          <w:sz w:val="32"/>
          <w:szCs w:val="32"/>
          <w:lang w:val="en-US" w:eastAsia="zh-CN" w:bidi="ar-SA"/>
          <w:highlight w:val="auto"/>
        </w:rPr>
        <w:t>专项预算项目绩效自评发现</w:t>
      </w:r>
      <w:r>
        <w:rPr>
          <w:rFonts w:ascii="Times New Roman" w:eastAsia="仿宋_GB2312" w:cs="仿宋_GB2312" w:hAnsi="Times New Roman" w:hint="eastAsia"/>
          <w:color w:val="auto"/>
          <w:kern w:val="2"/>
          <w:sz w:val="32"/>
          <w:szCs w:val="32"/>
          <w:lang w:val="en-US" w:eastAsia="zh-CN" w:bidi="ar-SA"/>
          <w:highlight w:val="auto"/>
        </w:rPr>
        <w:t>存在绩效目标设置偏离度较高，项目预算执行进度较慢</w:t>
      </w:r>
      <w:r>
        <w:rPr>
          <w:rFonts w:ascii="Times New Roman" w:eastAsia="仿宋_GB2312" w:cs="仿宋_GB2312" w:hAnsi="Times New Roman"/>
          <w:color w:val="auto"/>
          <w:kern w:val="2"/>
          <w:sz w:val="32"/>
          <w:szCs w:val="32"/>
          <w:lang w:val="en-US" w:eastAsia="zh-CN" w:bidi="ar-SA"/>
          <w:highlight w:val="auto"/>
        </w:rPr>
        <w:t>问题。</w:t>
      </w:r>
    </w:p>
    <w:p>
      <w:pPr>
        <w:keepNext w:val="0"/>
        <w:keepLines w:val="0"/>
        <w:pageBreakBefore w:val="0"/>
        <w:widowControl w:val="0"/>
        <w:kinsoku/>
        <w:wordWrap/>
        <w:overflowPunct/>
        <w:topLinePunct w:val="0"/>
        <w:autoSpaceDE/>
        <w:autoSpaceDN/>
        <w:bidi w:val="0"/>
        <w:adjustRightInd w:val="0"/>
        <w:snapToGrid w:val="0"/>
        <w:spacing w:line="578" w:lineRule="exact"/>
        <w:ind w:firstLineChars="200" w:firstLine="640"/>
        <w:textAlignment w:val="auto"/>
        <w:rPr>
          <w:rFonts w:ascii="Times New Roman" w:eastAsia="黑体" w:cs="Times New Roman" w:hAnsi="Times New Roman"/>
          <w:sz w:val="32"/>
          <w:szCs w:val="32"/>
          <w:lang w:val="zh-CN" w:eastAsia="zh-CN"/>
          <w:highlight w:val="auto"/>
        </w:rPr>
      </w:pPr>
      <w:r>
        <w:rPr>
          <w:rFonts w:ascii="Times New Roman" w:eastAsia="黑体" w:cs="Times New Roman" w:hAnsi="Times New Roman"/>
          <w:sz w:val="32"/>
          <w:szCs w:val="32"/>
          <w:lang w:val="zh-CN" w:eastAsia="zh-CN"/>
          <w:highlight w:val="auto"/>
        </w:rPr>
        <w:t>六、改进建议</w:t>
      </w:r>
    </w:p>
    <w:p>
      <w:pPr>
        <w:tabs>
          <w:tab w:val="left" w:pos="1911"/>
        </w:tabs>
        <w:jc w:val="left"/>
        <w:rPr>
          <w:rFonts w:ascii="Times New Roman" w:eastAsia="仿宋_GB2312" w:cs="仿宋_GB2312" w:hAnsi="Times New Roman"/>
          <w:color w:val="auto"/>
          <w:kern w:val="2"/>
          <w:sz w:val="32"/>
          <w:szCs w:val="32"/>
          <w:lang w:eastAsia="zh-CN" w:bidi="ar-SA"/>
          <w:highlight w:val="auto"/>
        </w:rPr>
      </w:pPr>
      <w:r>
        <w:rPr>
          <w:rFonts w:ascii="Times New Roman" w:eastAsia="仿宋_GB2312" w:cs="Times New Roman" w:hAnsi="Times New Roman"/>
          <w:color w:val="auto"/>
          <w:kern w:val="0"/>
          <w:sz w:val="32"/>
          <w:szCs w:val="32"/>
          <w:u w:val="none"/>
          <w:shd w:val="clear" w:color="auto" w:fill="FFFFFF"/>
          <w:lang w:val="zh-CN" w:eastAsia="zh-CN"/>
          <w:highlight w:val="auto"/>
        </w:rPr>
        <w:t xml:space="preserve"> </w:t>
      </w:r>
      <w:r>
        <w:rPr>
          <w:rFonts w:ascii="Times New Roman" w:cs="Times New Roman" w:hAnsi="Times New Roman"/>
          <w:b w:val="0"/>
          <w:bCs w:val="0"/>
          <w:kern w:val="0"/>
          <w:position w:val="0"/>
          <w:sz w:val="32"/>
          <w:szCs w:val="32"/>
          <w:lang w:val="en-US" w:eastAsia="zh-CN" w:bidi="ar-SA"/>
          <w:highlight w:val="auto"/>
        </w:rPr>
        <w:t xml:space="preserve">   </w:t>
      </w:r>
      <w:r>
        <w:rPr>
          <w:rFonts w:ascii="Times New Roman" w:eastAsia="仿宋_GB2312" w:cs="仿宋_GB2312" w:hAnsi="Times New Roman" w:hint="eastAsia"/>
          <w:color w:val="auto"/>
          <w:kern w:val="2"/>
          <w:sz w:val="32"/>
          <w:szCs w:val="32"/>
          <w:lang w:val="en-US" w:eastAsia="zh-CN" w:bidi="ar-SA"/>
          <w:highlight w:val="auto"/>
        </w:rPr>
        <w:t>针对存在的主要问题，</w:t>
      </w:r>
      <w:r>
        <w:rPr>
          <w:rFonts w:ascii="Times New Roman" w:eastAsia="仿宋_GB2312" w:cs="仿宋_GB2312" w:hAnsi="Times New Roman" w:hint="eastAsia"/>
          <w:b/>
          <w:bCs/>
          <w:color w:val="auto"/>
          <w:kern w:val="2"/>
          <w:sz w:val="32"/>
          <w:szCs w:val="32"/>
          <w:lang w:val="en-US" w:eastAsia="zh-CN" w:bidi="ar-SA"/>
          <w:highlight w:val="auto"/>
        </w:rPr>
        <w:t>一是</w:t>
      </w:r>
      <w:r>
        <w:rPr>
          <w:rFonts w:ascii="Times New Roman" w:eastAsia="仿宋_GB2312" w:cs="仿宋_GB2312" w:hAnsi="Times New Roman" w:hint="eastAsia"/>
          <w:color w:val="auto"/>
          <w:kern w:val="2"/>
          <w:sz w:val="32"/>
          <w:szCs w:val="32"/>
          <w:lang w:val="en-US" w:eastAsia="zh-CN" w:bidi="ar-SA"/>
          <w:highlight w:val="auto"/>
        </w:rPr>
        <w:t>要加强对建设部门绩效目标设置的指导，定期督促建设部门根据实际情况完成绩效目标调整；</w:t>
      </w:r>
      <w:r>
        <w:rPr>
          <w:rFonts w:ascii="Times New Roman" w:eastAsia="仿宋_GB2312" w:cs="仿宋_GB2312" w:hAnsi="Times New Roman" w:hint="eastAsia"/>
          <w:b/>
          <w:bCs/>
          <w:color w:val="auto"/>
          <w:kern w:val="2"/>
          <w:sz w:val="32"/>
          <w:szCs w:val="32"/>
          <w:lang w:val="en-US" w:eastAsia="zh-CN" w:bidi="ar-SA"/>
          <w:highlight w:val="auto"/>
        </w:rPr>
        <w:t>二是</w:t>
      </w:r>
      <w:r>
        <w:rPr>
          <w:rFonts w:ascii="Times New Roman" w:eastAsia="仿宋_GB2312" w:cs="仿宋_GB2312" w:hAnsi="Times New Roman" w:hint="eastAsia"/>
          <w:color w:val="auto"/>
          <w:kern w:val="2"/>
          <w:sz w:val="32"/>
          <w:szCs w:val="32"/>
          <w:lang w:val="en-US" w:eastAsia="zh-CN" w:bidi="ar-SA"/>
          <w:highlight w:val="auto"/>
        </w:rPr>
        <w:t>督促建设部门明确项目经办人员并定期报告项目建设情况。</w:t>
      </w:r>
      <w:bookmarkStart w:id="68" w:name="_Hlk110546638"/>
    </w:p>
    <w:p>
      <w:pPr>
        <w:keepNext w:val="0"/>
        <w:keepLines w:val="0"/>
        <w:pageBreakBefore w:val="0"/>
        <w:widowControl w:val="0"/>
        <w:kinsoku/>
        <w:wordWrap/>
        <w:overflowPunct/>
        <w:topLinePunct w:val="0"/>
        <w:autoSpaceDE/>
        <w:autoSpaceDN/>
        <w:bidi w:val="0"/>
        <w:spacing w:line="578" w:lineRule="exact"/>
        <w:textAlignment w:val="auto"/>
        <w:outlineLvl w:val="9"/>
        <w:rPr>
          <w:rFonts w:ascii="Times New Roman" w:eastAsia="仿宋_GB2312" w:cs="仿宋_GB2312" w:hAnsi="Times New Roman" w:hint="eastAsia"/>
          <w:b/>
          <w:bCs/>
          <w:kern w:val="0"/>
          <w:position w:val="0"/>
          <w:sz w:val="32"/>
          <w:szCs w:val="32"/>
          <w:lang w:val="en-US" w:eastAsia="zh-CN" w:bidi="ar-SA"/>
          <w:highlight w:val="auto"/>
        </w:rPr>
      </w:pPr>
      <w:bookmarkEnd w:id="68"/>
      <w:r>
        <w:rPr>
          <w:rFonts w:ascii="Times New Roman" w:eastAsia="仿宋_GB2312" w:cs="仿宋_GB2312" w:hAnsi="Times New Roman" w:hint="eastAsia"/>
          <w:b/>
          <w:bCs/>
          <w:kern w:val="0"/>
          <w:position w:val="0"/>
          <w:sz w:val="32"/>
          <w:szCs w:val="32"/>
          <w:lang w:val="en-US" w:eastAsia="zh-CN" w:bidi="ar-SA"/>
          <w:highlight w:val="auto"/>
        </w:rPr>
        <w:t>（</w:t>
      </w:r>
      <w:r>
        <w:rPr>
          <w:rFonts w:eastAsia="仿宋_GB2312" w:cs="仿宋_GB2312" w:hint="eastAsia"/>
          <w:b/>
          <w:bCs/>
          <w:kern w:val="0"/>
          <w:position w:val="0"/>
          <w:sz w:val="32"/>
          <w:szCs w:val="32"/>
          <w:lang w:val="en-US" w:eastAsia="zh-CN" w:bidi="ar-SA"/>
          <w:highlight w:val="auto"/>
        </w:rPr>
        <w:t>其余8个专项预算项目均涉密，绩效自评报告不宜公开</w:t>
      </w:r>
      <w:r>
        <w:rPr>
          <w:rFonts w:ascii="Times New Roman" w:eastAsia="仿宋_GB2312" w:cs="仿宋_GB2312" w:hAnsi="Times New Roman" w:hint="eastAsia"/>
          <w:b/>
          <w:bCs/>
          <w:kern w:val="0"/>
          <w:position w:val="0"/>
          <w:sz w:val="32"/>
          <w:szCs w:val="32"/>
          <w:lang w:val="en-US" w:eastAsia="zh-CN" w:bidi="ar-SA"/>
          <w:highlight w:val="auto"/>
        </w:rPr>
        <w:t>）</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Times New Roman" w:eastAsia="仿宋_GB2312" w:cs="仿宋_GB2312" w:hAnsi="Times New Roman" w:hint="eastAsia"/>
          <w:b w:val="0"/>
          <w:bCs w:val="0"/>
          <w:kern w:val="0"/>
          <w:position w:val="0"/>
          <w:sz w:val="32"/>
          <w:szCs w:val="32"/>
          <w:lang w:val="en-US" w:eastAsia="zh-CN" w:bidi="ar-SA"/>
          <w:highlight w:val="auto"/>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Times New Roman" w:eastAsia="仿宋_GB2312" w:cs="仿宋_GB2312" w:hAnsi="Times New Roman" w:hint="eastAsia"/>
          <w:b w:val="0"/>
          <w:bCs w:val="0"/>
          <w:kern w:val="0"/>
          <w:position w:val="0"/>
          <w:sz w:val="32"/>
          <w:szCs w:val="32"/>
          <w:lang w:val="en-US" w:eastAsia="zh-CN" w:bidi="ar-SA"/>
          <w:highlight w:val="auto"/>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Times New Roman" w:eastAsia="仿宋_GB2312" w:cs="仿宋_GB2312" w:hAnsi="Times New Roman" w:hint="eastAsia"/>
          <w:b w:val="0"/>
          <w:bCs w:val="0"/>
          <w:kern w:val="0"/>
          <w:position w:val="0"/>
          <w:sz w:val="32"/>
          <w:szCs w:val="32"/>
          <w:lang w:val="en-US" w:eastAsia="zh-CN" w:bidi="ar-SA"/>
          <w:highlight w:val="auto"/>
        </w:rPr>
      </w:pPr>
      <w:bookmarkStart w:id="69" w:name="_Toc15396618"/>
      <w:r>
        <w:rPr>
          <w:rFonts w:ascii="Times New Roman" w:eastAsia="仿宋_GB2312" w:cs="仿宋_GB2312" w:hAnsi="Times New Roman" w:hint="eastAsia"/>
          <w:b w:val="0"/>
          <w:bCs w:val="0"/>
          <w:kern w:val="0"/>
          <w:position w:val="0"/>
          <w:sz w:val="32"/>
          <w:szCs w:val="32"/>
          <w:lang w:val="en-US" w:eastAsia="zh-CN" w:bidi="ar-SA"/>
          <w:highlight w:val="auto"/>
        </w:rPr>
        <w:br w:type="page"/>
      </w:r>
    </w:p>
    <w:p>
      <w:pPr>
        <w:spacing w:line="600" w:lineRule="exact"/>
        <w:jc w:val="center"/>
        <w:outlineLvl w:val="0"/>
        <w:rPr>
          <w:rFonts w:ascii="Times New Roman" w:eastAsia="仿宋" w:hAnsi="Times New Roman" w:hint="eastAsia"/>
          <w:b w:val="0"/>
          <w:color w:val="auto"/>
          <w:highlight w:val="auto"/>
        </w:rPr>
      </w:pPr>
      <w:bookmarkStart w:id="70" w:name="_Toc1080"/>
      <w:r>
        <w:rPr>
          <w:rFonts w:ascii="Times New Roman" w:eastAsia="黑体" w:cs="Times New Roman" w:hAnsi="Times New Roman" w:hint="eastAsia"/>
          <w:color w:val="auto"/>
          <w:sz w:val="44"/>
          <w:szCs w:val="44"/>
          <w:highlight w:val="auto"/>
        </w:rPr>
        <w:t>第五部分 附表</w:t>
      </w:r>
      <w:bookmarkStart w:id="71" w:name="_Toc15396619"/>
      <w:bookmarkEnd w:id="66"/>
      <w:bookmarkEnd w:id="69"/>
      <w:bookmarkEnd w:id="70"/>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一、收入支出决算总表</w:t>
      </w:r>
      <w:bookmarkEnd w:id="71"/>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72" w:name="_Toc15396620"/>
      <w:r>
        <w:rPr>
          <w:rFonts w:ascii="Times New Roman" w:eastAsia="仿宋_GB2312" w:cs="仿宋_GB2312" w:hAnsi="Times New Roman" w:hint="eastAsia"/>
          <w:color w:val="auto"/>
          <w:sz w:val="32"/>
          <w:szCs w:val="32"/>
          <w:highlight w:val="auto"/>
        </w:rPr>
        <w:t>二、收入决算表</w:t>
      </w:r>
      <w:bookmarkEnd w:id="72"/>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73" w:name="_Toc15396621"/>
      <w:r>
        <w:rPr>
          <w:rFonts w:ascii="Times New Roman" w:eastAsia="仿宋_GB2312" w:cs="仿宋_GB2312" w:hAnsi="Times New Roman" w:hint="eastAsia"/>
          <w:color w:val="auto"/>
          <w:sz w:val="32"/>
          <w:szCs w:val="32"/>
          <w:highlight w:val="auto"/>
        </w:rPr>
        <w:t>三、支出决算表</w:t>
      </w:r>
      <w:bookmarkEnd w:id="73"/>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74" w:name="_Toc15396622"/>
      <w:r>
        <w:rPr>
          <w:rFonts w:ascii="Times New Roman" w:eastAsia="仿宋_GB2312" w:cs="仿宋_GB2312" w:hAnsi="Times New Roman" w:hint="eastAsia"/>
          <w:color w:val="auto"/>
          <w:sz w:val="32"/>
          <w:szCs w:val="32"/>
          <w:highlight w:val="auto"/>
        </w:rPr>
        <w:t>四、财政拨款收入支出决算总表</w:t>
      </w:r>
      <w:bookmarkEnd w:id="74"/>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75" w:name="_Toc15396623"/>
      <w:r>
        <w:rPr>
          <w:rFonts w:ascii="Times New Roman" w:eastAsia="仿宋_GB2312" w:cs="仿宋_GB2312" w:hAnsi="Times New Roman" w:hint="eastAsia"/>
          <w:color w:val="auto"/>
          <w:sz w:val="32"/>
          <w:szCs w:val="32"/>
          <w:highlight w:val="auto"/>
        </w:rPr>
        <w:t>五、财政拨款支出决算明细表</w:t>
      </w:r>
      <w:bookmarkStart w:id="76" w:name="_Toc15396624"/>
      <w:bookmarkEnd w:id="75"/>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六、一般公共预算财政拨款支出决算表</w:t>
      </w:r>
      <w:bookmarkEnd w:id="76"/>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77" w:name="_Toc15396625"/>
      <w:r>
        <w:rPr>
          <w:rFonts w:ascii="Times New Roman" w:eastAsia="仿宋_GB2312" w:cs="仿宋_GB2312" w:hAnsi="Times New Roman" w:hint="eastAsia"/>
          <w:color w:val="auto"/>
          <w:sz w:val="32"/>
          <w:szCs w:val="32"/>
          <w:highlight w:val="auto"/>
        </w:rPr>
        <w:t>七、一般公共预算财政拨款支出决算明细表</w:t>
      </w:r>
      <w:bookmarkEnd w:id="77"/>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78" w:name="_Toc15396626"/>
      <w:r>
        <w:rPr>
          <w:rFonts w:ascii="Times New Roman" w:eastAsia="仿宋_GB2312" w:cs="仿宋_GB2312" w:hAnsi="Times New Roman" w:hint="eastAsia"/>
          <w:color w:val="auto"/>
          <w:sz w:val="32"/>
          <w:szCs w:val="32"/>
          <w:highlight w:val="auto"/>
        </w:rPr>
        <w:t>八、一般公共预算财政拨款基本支出决算表</w:t>
      </w:r>
      <w:bookmarkEnd w:id="78"/>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79" w:name="_Toc15396627"/>
      <w:r>
        <w:rPr>
          <w:rFonts w:ascii="Times New Roman" w:eastAsia="仿宋_GB2312" w:cs="仿宋_GB2312" w:hAnsi="Times New Roman" w:hint="eastAsia"/>
          <w:color w:val="auto"/>
          <w:sz w:val="32"/>
          <w:szCs w:val="32"/>
          <w:highlight w:val="auto"/>
        </w:rPr>
        <w:t>九、一般公共预算财政拨款项目支出决算表</w:t>
      </w:r>
      <w:bookmarkEnd w:id="79"/>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80" w:name="_Toc15396628"/>
      <w:r>
        <w:rPr>
          <w:rFonts w:ascii="Times New Roman" w:eastAsia="仿宋_GB2312" w:cs="仿宋_GB2312" w:hAnsi="Times New Roman" w:hint="eastAsia"/>
          <w:color w:val="auto"/>
          <w:sz w:val="32"/>
          <w:szCs w:val="32"/>
          <w:highlight w:val="auto"/>
        </w:rPr>
        <w:t>十、</w:t>
      </w:r>
      <w:bookmarkEnd w:id="80"/>
      <w:r>
        <w:rPr>
          <w:rFonts w:ascii="Times New Roman" w:eastAsia="仿宋_GB2312" w:cs="仿宋_GB2312" w:hAnsi="Times New Roman" w:hint="eastAsia"/>
          <w:color w:val="auto"/>
          <w:sz w:val="32"/>
          <w:szCs w:val="32"/>
          <w:highlight w:val="auto"/>
        </w:rPr>
        <w:t>政府性基金预算财政拨款收入支出决算表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81" w:name="_Toc15396629"/>
      <w:r>
        <w:rPr>
          <w:rFonts w:ascii="Times New Roman" w:eastAsia="仿宋_GB2312" w:cs="仿宋_GB2312" w:hAnsi="Times New Roman" w:hint="eastAsia"/>
          <w:color w:val="auto"/>
          <w:sz w:val="32"/>
          <w:szCs w:val="32"/>
          <w:highlight w:val="auto"/>
        </w:rPr>
        <w:t>十一、</w:t>
      </w:r>
      <w:bookmarkEnd w:id="81"/>
      <w:r>
        <w:rPr>
          <w:rFonts w:ascii="Times New Roman" w:eastAsia="仿宋_GB2312" w:cs="仿宋_GB2312" w:hAnsi="Times New Roman" w:hint="eastAsia"/>
          <w:color w:val="auto"/>
          <w:sz w:val="32"/>
          <w:szCs w:val="32"/>
          <w:highlight w:val="auto"/>
        </w:rPr>
        <w:t>国有资本经营预算</w:t>
      </w:r>
      <w:r>
        <w:rPr>
          <w:rFonts w:ascii="Times New Roman" w:eastAsia="仿宋_GB2312" w:cs="仿宋_GB2312" w:hAnsi="Times New Roman" w:hint="eastAsia"/>
          <w:color w:val="auto"/>
          <w:sz w:val="32"/>
          <w:szCs w:val="32"/>
          <w:lang w:eastAsia="zh-CN"/>
          <w:highlight w:val="auto"/>
        </w:rPr>
        <w:t>财政拨款收入</w:t>
      </w:r>
      <w:r>
        <w:rPr>
          <w:rFonts w:ascii="Times New Roman" w:eastAsia="仿宋_GB2312" w:cs="仿宋_GB2312" w:hAnsi="Times New Roman" w:hint="eastAsia"/>
          <w:color w:val="auto"/>
          <w:sz w:val="32"/>
          <w:szCs w:val="32"/>
          <w:highlight w:val="auto"/>
        </w:rPr>
        <w:t>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82" w:name="_Toc15396630"/>
      <w:r>
        <w:rPr>
          <w:rFonts w:ascii="Times New Roman" w:eastAsia="仿宋_GB2312" w:cs="仿宋_GB2312" w:hAnsi="Times New Roman" w:hint="eastAsia"/>
          <w:color w:val="auto"/>
          <w:sz w:val="32"/>
          <w:szCs w:val="32"/>
          <w:highlight w:val="auto"/>
        </w:rPr>
        <w:t>十二、</w:t>
      </w:r>
      <w:bookmarkEnd w:id="82"/>
      <w:r>
        <w:rPr>
          <w:rFonts w:ascii="Times New Roman" w:eastAsia="仿宋_GB2312" w:cs="仿宋_GB2312" w:hAnsi="Times New Roman" w:hint="eastAsia"/>
          <w:color w:val="auto"/>
          <w:sz w:val="32"/>
          <w:szCs w:val="32"/>
          <w:lang w:eastAsia="zh-CN"/>
          <w:highlight w:val="auto"/>
        </w:rPr>
        <w:t>国有资本经营预算财政拨款支出决算表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lang w:eastAsia="zh-CN"/>
          <w:highlight w:val="auto"/>
        </w:rPr>
      </w:pPr>
      <w:bookmarkStart w:id="83" w:name="_Toc15396631"/>
      <w:r>
        <w:rPr>
          <w:rFonts w:ascii="Times New Roman" w:eastAsia="仿宋_GB2312" w:cs="仿宋_GB2312" w:hAnsi="Times New Roman" w:hint="eastAsia"/>
          <w:color w:val="auto"/>
          <w:sz w:val="32"/>
          <w:szCs w:val="32"/>
          <w:highlight w:val="auto"/>
        </w:rPr>
        <w:t>十三、</w:t>
      </w:r>
      <w:bookmarkEnd w:id="83"/>
      <w:r>
        <w:rPr>
          <w:rFonts w:ascii="Times New Roman" w:eastAsia="仿宋_GB2312" w:cs="仿宋_GB2312" w:hAnsi="Times New Roman" w:hint="eastAsia"/>
          <w:color w:val="auto"/>
          <w:sz w:val="32"/>
          <w:szCs w:val="32"/>
          <w:lang w:eastAsia="zh-CN"/>
          <w:highlight w:val="auto"/>
        </w:rPr>
        <w:t>财政拨款“三公”经费支出决算表</w:t>
      </w:r>
    </w:p>
    <w:p>
      <w:pPr>
        <w:rPr>
          <w:rFonts w:ascii="Times New Roman" w:hAnsi="Times New Roman" w:hint="eastAsia"/>
          <w:lang w:eastAsia="zh-CN"/>
        </w:rPr>
      </w:pPr>
    </w:p>
    <w:sectPr>
      <w:pgSz w:w="11906" w:h="16838"/>
      <w:pgMar w:top="1440" w:right="1800" w:bottom="1440" w:left="1800" w:header="851" w:footer="992" w:gutter="0"/>
      <w:pgNumType/>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1"/>
    <w:family w:val="auto"/>
    <w:pitch w:val="variable"/>
    <w:sig w:usb0="E0002EFF" w:usb1="C000785B" w:usb2="00000009" w:usb3="00000000" w:csb0="400001FF" w:csb1="FFFF0000"/>
  </w:font>
  <w:font w:name="方正小标宋简体">
    <w:panose1 w:val="03000509000000000000"/>
    <w:charset w:val="86"/>
    <w:family w:val="script"/>
    <w:pitch w:val="variable"/>
    <w:sig w:usb0="00000001" w:usb1="080E0000" w:usb2="00000000" w:usb3="00000000" w:csb0="00040000" w:csb1="00000000"/>
  </w:font>
  <w:font w:name="宋体">
    <w:panose1 w:val="02010600030101010101"/>
    <w:charset w:val="7A"/>
    <w:family w:val="auto"/>
    <w:pitch w:val="variable"/>
    <w:sig w:usb0="00000203" w:usb1="288F0000" w:usb2="00000006" w:usb3="00000000" w:csb0="00040001" w:csb1="00000000"/>
  </w:font>
  <w:font w:name="仿宋_GB2312">
    <w:panose1 w:val="02010609030101010101"/>
    <w:charset w:val="86"/>
    <w:family w:val="modern"/>
    <w:pitch w:val="variable"/>
    <w:sig w:usb0="00000001" w:usb1="080E0000" w:usb2="00000000" w:usb3="00000000" w:csb0="00040000" w:csb1="00000000"/>
  </w:font>
  <w:font w:name="黑体">
    <w:panose1 w:val="02010609060101010101"/>
    <w:charset w:val="86"/>
    <w:family w:val="auto"/>
    <w:pitch w:val="variable"/>
    <w:sig w:usb0="800002BF" w:usb1="38CF7CFA" w:usb2="00000016" w:usb3="00000000" w:csb0="00040001" w:csb1="00000000"/>
  </w:font>
  <w:font w:name="Arial">
    <w:altName w:val="DejaVu Sans"/>
    <w:panose1 w:val="020B0604020202020204"/>
    <w:charset w:val="01"/>
    <w:family w:val="swiss"/>
    <w:pitch w:val="variable"/>
    <w:sig w:usb0="E0002EFF" w:usb1="C000785B" w:usb2="00000009" w:usb3="00000000" w:csb0="400001FF" w:csb1="FFFF0000"/>
  </w:font>
  <w:font w:name="仿宋">
    <w:panose1 w:val="02010609060101010101"/>
    <w:charset w:val="86"/>
    <w:family w:val="modern"/>
    <w:pitch w:val="variable"/>
    <w:sig w:usb0="800002BF" w:usb1="38CF7CFA" w:usb2="00000016" w:usb3="00000000" w:csb0="00040001" w:csb1="00000000"/>
  </w:font>
  <w:font w:name="楷体_GB2312">
    <w:panose1 w:val="02010609030101010101"/>
    <w:charset w:val="86"/>
    <w:family w:val="auto"/>
    <w:pitch w:val="variable"/>
    <w:sig w:usb0="00000001" w:usb1="080E0000" w:usb2="00000000" w:usb3="00000000" w:csb0="00040000" w:csb1="00000000"/>
  </w:font>
  <w:font w:name="微软雅黑">
    <w:altName w:val="宋体"/>
    <w:panose1 w:val="020B0503020204020204"/>
    <w:charset w:val="86"/>
    <w:family w:val="auto"/>
    <w:pitch w:val="variable"/>
    <w:sig w:usb0="80000287" w:usb1="2ACF3C50" w:usb2="00000016" w:usb3="00000000" w:csb0="0004001F" w:csb1="00000000"/>
  </w:font>
  <w:font w:name="Cambria">
    <w:altName w:val="DejaVu Sans"/>
    <w:panose1 w:val="02040503050406030204"/>
    <w:charset w:val="00"/>
    <w:family w:val="roman"/>
    <w:pitch w:val="variable"/>
    <w:sig w:usb0="E00006FF" w:usb1="420024FF" w:usb2="02000000" w:usb3="00000000" w:csb0="2000019F" w:csb1="00000000"/>
  </w:font>
  <w:font w:name="Calibri">
    <w:altName w:val="Times New Roman"/>
    <w:panose1 w:val="020F0502020204030204"/>
    <w:charset w:val="00"/>
    <w:family w:val="swiss"/>
    <w:pitch w:val="variable"/>
    <w:sig w:usb0="E4002EFF" w:usb1="C000247B" w:usb2="00000009" w:usb3="00000000" w:csb0="200001FF" w:csb1="00000000"/>
  </w:font>
  <w:font w:name="??">
    <w:altName w:val="DejaVu Sans"/>
    <w:panose1 w:val="00000000000000000000"/>
    <w:charset w:val="00"/>
    <w:family w:val="roman"/>
    <w:pitch w:val="variable"/>
    <w:sig w:usb0="00000000" w:usb1="00000000" w:usb2="00000000" w:usb3="00000000" w:csb0="0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9"/>
      <w:tabs>
        <w:tab w:val="center" w:pos="4153"/>
        <w:tab w:val="right" w:pos="8306"/>
      </w:tabs>
      <w:jc w:val="center"/>
    </w:pPr>
    <w:r>
      <w:rPr>
        <w:sz w:val="18"/>
      </w:rPr>
      <mc:AlternateContent>
        <mc:Choice Requires="wps">
          <w:drawing>
            <wp:anchor distT="0" distB="0" distL="114298" distR="114298" simplePos="0" relativeHeight="27" behindDoc="0" locked="0" layoutInCell="1" hidden="0" allowOverlap="1">
              <wp:simplePos x="0" y="0"/>
              <wp:positionH relativeFrom="margin">
                <wp:align>right</wp:align>
              </wp:positionH>
              <wp:positionV relativeFrom="paragraph">
                <wp:posOffset>0</wp:posOffset>
              </wp:positionV>
              <wp:extent cx="57150" cy="131559"/>
              <wp:effectExtent l="0" t="0" r="0" b="0"/>
              <wp:wrapNone/>
              <wp:docPr id="1" name="文本框 10"/>
              <wp:cNvGraphicFramePr>
                <a:graphicFrameLocks noChangeAspect="0"/>
              </wp:cNvGraphicFramePr>
              <a:graphic>
                <a:graphicData uri="http://schemas.microsoft.com/office/word/2010/wordprocessingShape">
                  <wps:wsp>
                    <wps:cNvSpPr/>
                    <wps:spPr>
                      <a:xfrm rot="0">
                        <a:off x="0" y="0"/>
                        <a:ext cx="57150" cy="131559"/>
                      </a:xfrm>
                      <a:prstGeom prst="rect"/>
                      <a:noFill/>
                      <a:ln w="6350" cmpd="sng" cap="flat">
                        <a:noFill/>
                        <a:prstDash val="solid"/>
                        <a:round/>
                      </a:ln>
                    </wps:spPr>
                    <wps:txbx id="2">
                      <w:txbxContent>
                        <w:p>
                          <w:pPr>
                            <w:pStyle w:val="19"/>
                            <w:tabs>
                              <w:tab w:val="center" w:pos="4153"/>
                              <w:tab w:val="right" w:pos="8306"/>
                            </w:tabs>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type="#_x0000_t202" id="文本框 10 3" o:spid="_x0000_s3" filled="f" stroked="f" strokeweight="0.5pt" style="position:absolute;margin-left:0.0pt;margin-top:0.0pt;width:4.5pt;height:10.359pt;z-index:27;mso-position-horizontal:right;mso-position-horizontal-relative:margin;mso-position-vertical:absolute;mso-wrap-distance-left:8.999863pt;mso-wrap-distance-right:8.999863pt;mso-wrap-style:none;">
              <v:stroke color="#000000"/>
              <v:textbox id="855" inset="0mm,0mm,0mm,0mm" o:insetmode="custom" style="layout-flow:horizontal;v-text-anchor:top;mso-fit-shape-to-text:t;">
                <w:txbxContent>
                  <w:p>
                    <w:pPr>
                      <w:pStyle w:val="19"/>
                      <w:tabs>
                        <w:tab w:val="center" w:pos="4153"/>
                        <w:tab w:val="right" w:pos="8306"/>
                      </w:tabs>
                    </w:pPr>
                    <w:r>
                      <w:fldChar w:fldCharType="begin"/>
                    </w:r>
                    <w:r>
                      <w:instrText xml:space="preserve"> PAGE  \* MERGEFORMAT </w:instrText>
                    </w:r>
                    <w:r>
                      <w:fldChar w:fldCharType="separate"/>
                    </w:r>
                    <w:r>
                      <w:t>1</w:t>
                    </w:r>
                    <w:r>
                      <w:fldChar w:fldCharType="end"/>
                    </w:r>
                  </w:p>
                </w:txbxContent>
              </v:textbox>
            </v:shape>
          </w:pict>
        </mc:Fallback>
      </mc:AlternateContent>
    </w:r>
  </w:p>
  <w:p>
    <w:pPr>
      <w:pStyle w:val="19"/>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9"/>
      <w:tabs>
        <w:tab w:val="center" w:pos="4153"/>
        <w:tab w:val="right" w:pos="8306"/>
      </w:tabs>
    </w:pPr>
    <w:r>
      <w:rPr>
        <w:sz w:val="18"/>
      </w:rPr>
      <mc:AlternateContent>
        <mc:Choice Requires="wps">
          <w:drawing>
            <wp:anchor distT="0" distB="0" distL="114298" distR="114298" simplePos="0" relativeHeight="31" behindDoc="0" locked="0" layoutInCell="1" hidden="0" allowOverlap="1">
              <wp:simplePos x="0" y="0"/>
              <wp:positionH relativeFrom="margin">
                <wp:align>right</wp:align>
              </wp:positionH>
              <wp:positionV relativeFrom="paragraph">
                <wp:posOffset>0</wp:posOffset>
              </wp:positionV>
              <wp:extent cx="57150" cy="131559"/>
              <wp:effectExtent l="0" t="0" r="0" b="0"/>
              <wp:wrapNone/>
              <wp:docPr id="4" name="文本框 11"/>
              <wp:cNvGraphicFramePr>
                <a:graphicFrameLocks noChangeAspect="0"/>
              </wp:cNvGraphicFramePr>
              <a:graphic>
                <a:graphicData uri="http://schemas.microsoft.com/office/word/2010/wordprocessingShape">
                  <wps:wsp>
                    <wps:cNvSpPr/>
                    <wps:spPr>
                      <a:xfrm rot="0">
                        <a:off x="0" y="0"/>
                        <a:ext cx="57150" cy="131559"/>
                      </a:xfrm>
                      <a:prstGeom prst="rect"/>
                      <a:noFill/>
                      <a:ln w="6350" cmpd="sng" cap="flat">
                        <a:noFill/>
                        <a:prstDash val="solid"/>
                        <a:round/>
                      </a:ln>
                    </wps:spPr>
                    <wps:txbx id="5">
                      <w:txbxContent>
                        <w:p>
                          <w:pPr>
                            <w:pStyle w:val="19"/>
                            <w:tabs>
                              <w:tab w:val="center" w:pos="4153"/>
                              <w:tab w:val="right" w:pos="8306"/>
                            </w:tabs>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type="#_x0000_t202" id="文本框 11 6" o:spid="_x0000_s6" filled="f" stroked="f" strokeweight="0.5pt" style="position:absolute;margin-left:0.0pt;margin-top:0.0pt;width:4.5pt;height:10.359pt;z-index:31;mso-position-horizontal:right;mso-position-horizontal-relative:margin;mso-position-vertical:absolute;mso-wrap-distance-left:8.999863pt;mso-wrap-distance-right:8.999863pt;mso-wrap-style:none;">
              <v:stroke color="#000000"/>
              <v:textbox id="856" inset="0mm,0mm,0mm,0mm" o:insetmode="custom" style="layout-flow:horizontal;v-text-anchor:top;mso-fit-shape-to-text:t;">
                <w:txbxContent>
                  <w:p>
                    <w:pPr>
                      <w:pStyle w:val="19"/>
                      <w:tabs>
                        <w:tab w:val="center" w:pos="4153"/>
                        <w:tab w:val="right" w:pos="8306"/>
                      </w:tabs>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9"/>
      <w:tabs>
        <w:tab w:val="center" w:pos="4153"/>
        <w:tab w:val="right" w:pos="8306"/>
      </w:tabs>
      <w:jc w:val="center"/>
    </w:pPr>
  </w:p>
  <w:p>
    <w:pPr>
      <w:pStyle w:val="19"/>
      <w:tabs>
        <w:tab w:val="center" w:pos="4153"/>
        <w:tab w:val="right" w:pos="8306"/>
      </w:tabs>
    </w:pPr>
  </w:p>
</w:ftr>
</file>

<file path=word/footer4.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9"/>
      <w:tabs>
        <w:tab w:val="center" w:pos="4153"/>
        <w:tab w:val="right" w:pos="8306"/>
      </w:tabs>
      <w:jc w:val="center"/>
    </w:pPr>
    <w:r>
      <w:rPr>
        <w:sz w:val="18"/>
      </w:rPr>
      <mc:AlternateContent>
        <mc:Choice Requires="wps">
          <w:drawing>
            <wp:anchor distT="0" distB="0" distL="114298" distR="114298" simplePos="0" relativeHeight="39" behindDoc="0" locked="0" layoutInCell="1" hidden="0" allowOverlap="1">
              <wp:simplePos x="0" y="0"/>
              <wp:positionH relativeFrom="margin">
                <wp:align>right</wp:align>
              </wp:positionH>
              <wp:positionV relativeFrom="paragraph">
                <wp:posOffset>0</wp:posOffset>
              </wp:positionV>
              <wp:extent cx="114300" cy="131559"/>
              <wp:effectExtent l="0" t="0" r="0" b="0"/>
              <wp:wrapNone/>
              <wp:docPr id="7" name="文本框 14"/>
              <wp:cNvGraphicFramePr>
                <a:graphicFrameLocks noChangeAspect="0"/>
              </wp:cNvGraphicFramePr>
              <a:graphic>
                <a:graphicData uri="http://schemas.microsoft.com/office/word/2010/wordprocessingShape">
                  <wps:wsp>
                    <wps:cNvSpPr/>
                    <wps:spPr>
                      <a:xfrm rot="0">
                        <a:off x="0" y="0"/>
                        <a:ext cx="114300" cy="131559"/>
                      </a:xfrm>
                      <a:prstGeom prst="rect"/>
                      <a:noFill/>
                      <a:ln w="6350" cmpd="sng" cap="flat">
                        <a:noFill/>
                        <a:prstDash val="solid"/>
                        <a:round/>
                      </a:ln>
                    </wps:spPr>
                    <wps:txbx id="8">
                      <w:txbxContent>
                        <w:p>
                          <w:pPr>
                            <w:pStyle w:val="19"/>
                            <w:tabs>
                              <w:tab w:val="center" w:pos="4153"/>
                              <w:tab w:val="right" w:pos="8306"/>
                            </w:tabs>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type="#_x0000_t202" id="文本框 14 9" o:spid="_x0000_s9" filled="f" stroked="f" strokeweight="0.5pt" style="position:absolute;margin-left:0.0pt;margin-top:0.0pt;width:9.0pt;height:10.359035pt;z-index:39;mso-position-horizontal:right;mso-position-horizontal-relative:margin;mso-position-vertical:absolute;mso-wrap-distance-left:8.999863pt;mso-wrap-distance-right:8.999863pt;mso-wrap-style:none;">
              <v:stroke color="#000000"/>
              <v:textbox id="857" inset="0mm,0mm,0mm,0mm" o:insetmode="custom" style="layout-flow:horizontal;v-text-anchor:top;mso-fit-shape-to-text:t;">
                <w:txbxContent>
                  <w:p>
                    <w:pPr>
                      <w:pStyle w:val="19"/>
                      <w:tabs>
                        <w:tab w:val="center" w:pos="4153"/>
                        <w:tab w:val="right" w:pos="8306"/>
                      </w:tabs>
                    </w:pPr>
                    <w:r>
                      <w:fldChar w:fldCharType="begin"/>
                    </w:r>
                    <w:r>
                      <w:instrText xml:space="preserve"> PAGE  \* MERGEFORMAT </w:instrText>
                    </w:r>
                    <w:r>
                      <w:fldChar w:fldCharType="separate"/>
                    </w:r>
                    <w:r>
                      <w:t>1</w:t>
                    </w:r>
                    <w:r>
                      <w:fldChar w:fldCharType="end"/>
                    </w:r>
                  </w:p>
                </w:txbxContent>
              </v:textbox>
            </v:shape>
          </w:pict>
        </mc:Fallback>
      </mc:AlternateContent>
    </w:r>
  </w:p>
  <w:p>
    <w:pPr>
      <w:pStyle w:val="19"/>
      <w:tabs>
        <w:tab w:val="center" w:pos="4153"/>
        <w:tab w:val="right" w:pos="8306"/>
      </w:tabs>
    </w:pP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0"/>
      <w:pBdr>
        <w:bottom w:val="none" w:sz="0" w:space="0" w:color="auto"/>
      </w:pBdr>
      <w:tabs>
        <w:tab w:val="center" w:pos="4153"/>
        <w:tab w:val="right" w:pos="8306"/>
      </w:tabs>
    </w:pPr>
  </w:p>
</w:hdr>
</file>

<file path=word/header2.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0"/>
      <w:pBdr>
        <w:bottom w:val="none" w:sz="0" w:space="0" w:color="auto"/>
      </w:pBdr>
      <w:tabs>
        <w:tab w:val="center" w:pos="4153"/>
        <w:tab w:val="right" w:pos="8306"/>
      </w:tabs>
    </w:pPr>
  </w:p>
</w:hd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50"/>
  <w:bordersDoNotSurroundHeader w:val="0"/>
  <w:bordersDoNotSurroundFooter w:val="0"/>
  <w:documentProtection w:edit="readOnly" w:enforcement="0"/>
  <w:defaultTabStop w:val="420"/>
  <w:drawingGridHorizontalSpacing w:val="105"/>
  <w:drawingGridVerticalSpacing w:val="156"/>
  <w:displayHorizontalDrawingGridEvery w:val="1"/>
  <w:displayVerticalDrawingGridEvery w:val="1"/>
  <w:noPunctuationKerning/>
  <w:characterSpacingControl w:val="compressPunctuation"/>
  <w:compat>
    <w:spaceForUL/>
    <w:balanceSingleByteDoubleByteWidth/>
    <w:ulTrailSpace/>
    <w:doNotExpandShiftReturn/>
    <w:adjustLineHeightInTable/>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basedOn w:val="0"/>
    <w:next w:val="0"/>
    <w:link w:val="2Char"/>
    <w:pPr>
      <w:keepNext/>
      <w:keepLines/>
      <w:widowControl w:val="0"/>
      <w:spacing w:before="260" w:after="260" w:line="415" w:lineRule="auto"/>
      <w:outlineLvl w:val="1"/>
    </w:pPr>
    <w:rPr>
      <w:rFonts w:ascii="Cambria" w:eastAsia="宋体" w:cs="Times New Roman" w:hAnsi="Cambria"/>
      <w:b/>
      <w:bCs/>
      <w:sz w:val="32"/>
      <w:szCs w:val="32"/>
    </w:rPr>
  </w:style>
  <w:style w:type="character" w:customStyle="1" w:styleId="2Char">
    <w:name w:val="heading 2 Char"/>
    <w:basedOn w:val="10"/>
    <w:link w:val="2"/>
    <w:rPr>
      <w:rFonts w:ascii="Cambria" w:eastAsia="宋体" w:cs="Times New Roman" w:hAnsi="Cambria"/>
      <w:b/>
      <w:bCs/>
      <w:kern w:val="2"/>
      <w:sz w:val="32"/>
      <w:szCs w:val="32"/>
      <w:lang w:val="en-US" w:eastAsia="zh-CN" w:bidi="ar-SA"/>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Body Text"/>
    <w:basedOn w:val="0"/>
    <w:pPr>
      <w:spacing w:beforeLines="30" w:before="30"/>
    </w:pPr>
    <w:rPr>
      <w:rFonts w:ascii="仿宋_GB2312" w:eastAsia="仿宋_GB2312"/>
      <w:kern w:val="0"/>
      <w:sz w:val="30"/>
    </w:rPr>
  </w:style>
  <w:style w:type="paragraph" w:styleId="16">
    <w:name w:val="Body Text Indent"/>
    <w:basedOn w:val="0"/>
    <w:pPr>
      <w:spacing w:after="120"/>
      <w:ind w:leftChars="200" w:left="200"/>
    </w:pPr>
    <w:rPr>
      <w:rFonts w:ascii="仿宋_GB2312" w:hAnsi="仿宋_GB2312"/>
      <w:szCs w:val="32"/>
    </w:rPr>
  </w:style>
  <w:style w:type="paragraph" w:styleId="17">
    <w:name w:val="toc 3"/>
    <w:basedOn w:val="0"/>
    <w:next w:val="0"/>
    <w:pPr>
      <w:tabs>
        <w:tab w:val="right" w:leader="dot" w:pos="8296"/>
      </w:tabs>
      <w:ind w:leftChars="400" w:left="400"/>
    </w:pPr>
  </w:style>
  <w:style w:type="paragraph" w:styleId="18">
    <w:name w:val="Balloon Text"/>
    <w:basedOn w:val="0"/>
    <w:rPr>
      <w:sz w:val="18"/>
      <w:szCs w:val="18"/>
    </w:rPr>
  </w:style>
  <w:style w:type="paragraph" w:styleId="19">
    <w:name w:val="footer"/>
    <w:basedOn w:val="0"/>
    <w:pPr>
      <w:tabs>
        <w:tab w:val="center" w:pos="4153"/>
        <w:tab w:val="right" w:pos="8306"/>
      </w:tabs>
      <w:snapToGrid w:val="0"/>
      <w:jc w:val="left"/>
    </w:pPr>
    <w:rPr>
      <w:rFonts w:ascii="Calibri" w:hAnsi="Calibri"/>
      <w:kern w:val="0"/>
      <w:sz w:val="18"/>
      <w:szCs w:val="18"/>
    </w:rPr>
  </w:style>
  <w:style w:type="paragraph" w:styleId="20">
    <w:name w:val="header"/>
    <w:basedOn w:val="0"/>
    <w:pPr>
      <w:pBdr>
        <w:bottom w:val="single" w:sz="6" w:space="1" w:color="auto"/>
      </w:pBdr>
      <w:tabs>
        <w:tab w:val="center" w:pos="4153"/>
        <w:tab w:val="right" w:pos="8306"/>
      </w:tabs>
      <w:snapToGrid w:val="0"/>
      <w:jc w:val="center"/>
    </w:pPr>
    <w:rPr>
      <w:rFonts w:ascii="Calibri" w:hAnsi="Calibri"/>
      <w:kern w:val="0"/>
      <w:sz w:val="18"/>
      <w:szCs w:val="18"/>
    </w:rPr>
  </w:style>
  <w:style w:type="paragraph" w:styleId="21">
    <w:name w:val="toc 1"/>
    <w:basedOn w:val="0"/>
    <w:next w:val="0"/>
    <w:pPr>
      <w:tabs>
        <w:tab w:val="right" w:leader="dot" w:pos="8296"/>
      </w:tabs>
      <w:spacing w:before="93"/>
      <w:jc w:val="center"/>
    </w:pPr>
    <w:rPr>
      <w:rFonts w:ascii="仿宋" w:eastAsia="仿宋"/>
      <w:sz w:val="28"/>
      <w:szCs w:val="28"/>
    </w:rPr>
  </w:style>
  <w:style w:type="paragraph" w:styleId="22">
    <w:name w:val="footnote text"/>
    <w:basedOn w:val="0"/>
    <w:next w:val="23"/>
    <w:pPr>
      <w:snapToGrid w:val="0"/>
      <w:jc w:val="left"/>
    </w:pPr>
    <w:rPr>
      <w:sz w:val="18"/>
      <w:szCs w:val="18"/>
    </w:rPr>
  </w:style>
  <w:style w:type="paragraph" w:styleId="23">
    <w:name w:val="Body Text First Indent 2"/>
    <w:basedOn w:val="16"/>
    <w:pPr>
      <w:ind w:firstLineChars="200" w:firstLine="200"/>
    </w:pPr>
  </w:style>
  <w:style w:type="paragraph" w:styleId="24">
    <w:name w:val="toc 2"/>
    <w:basedOn w:val="0"/>
    <w:next w:val="0"/>
    <w:pPr>
      <w:tabs>
        <w:tab w:val="right" w:leader="dot" w:pos="8296"/>
      </w:tabs>
      <w:ind w:leftChars="200" w:left="200"/>
    </w:pPr>
  </w:style>
  <w:style w:type="paragraph" w:styleId="25">
    <w:name w:val="Normal (Web)"/>
    <w:basedOn w:val="0"/>
    <w:pPr>
      <w:widowControl/>
      <w:spacing w:before="100" w:beforeAutospacing="1" w:after="100" w:afterAutospacing="1"/>
      <w:jc w:val="left"/>
    </w:pPr>
    <w:rPr>
      <w:rFonts w:ascii="宋体" w:cs="宋体"/>
      <w:kern w:val="0"/>
      <w:sz w:val="24"/>
    </w:rPr>
  </w:style>
  <w:style w:type="character" w:styleId="26">
    <w:name w:val="Strong"/>
    <w:basedOn w:val="10"/>
    <w:rPr>
      <w:b/>
    </w:rPr>
  </w:style>
  <w:style w:type="character" w:styleId="27">
    <w:name w:val="Hyperlink"/>
    <w:basedOn w:val="10"/>
    <w:rPr>
      <w:color w:val="0000FF"/>
      <w:u w:val="single"/>
    </w:rPr>
  </w:style>
  <w:style w:type="paragraph" w:customStyle="1" w:styleId="28">
    <w:name w:val="标题 5（有编号）（绿盟科技）"/>
    <w:next w:val="0"/>
    <w:pPr>
      <w:keepNext/>
      <w:keepLines/>
      <w:widowControl w:val="0"/>
      <w:spacing w:before="280" w:after="156" w:line="377" w:lineRule="auto"/>
      <w:jc w:val="left"/>
      <w:outlineLvl w:val="4"/>
    </w:pPr>
    <w:rPr>
      <w:rFonts w:ascii="Arial" w:eastAsia="黑体" w:cs="Times New Roman" w:hAnsi="Arial"/>
      <w:b/>
      <w:kern w:val="2"/>
      <w:sz w:val="24"/>
      <w:szCs w:val="28"/>
      <w:lang w:val="en-US" w:eastAsia="zh-CN" w:bidi="ar-SA"/>
    </w:rPr>
  </w:style>
  <w:style w:type="character" w:customStyle="1" w:styleId="29">
    <w:name w:val="Header Char"/>
    <w:basedOn w:val="10"/>
    <w:rPr>
      <w:rFonts w:ascii="Times New Roman" w:hAnsi="Times New Roman"/>
      <w:sz w:val="18"/>
      <w:szCs w:val="18"/>
    </w:rPr>
  </w:style>
  <w:style w:type="character" w:customStyle="1" w:styleId="30">
    <w:name w:val="Footer Char"/>
    <w:basedOn w:val="10"/>
    <w:rPr>
      <w:rFonts w:ascii="Times New Roman" w:hAnsi="Times New Roman"/>
      <w:sz w:val="18"/>
      <w:szCs w:val="18"/>
    </w:rPr>
  </w:style>
  <w:style w:type="character" w:customStyle="1" w:styleId="31">
    <w:name w:val="Body Text Char"/>
    <w:basedOn w:val="10"/>
    <w:rPr>
      <w:rFonts w:ascii="Times New Roman" w:hAnsi="Times New Roman"/>
      <w:szCs w:val="24"/>
    </w:rPr>
  </w:style>
  <w:style w:type="paragraph" w:customStyle="1" w:styleId="32">
    <w:name w:val="Default"/>
    <w:pPr>
      <w:widowControl w:val="0"/>
      <w:autoSpaceDE w:val="0"/>
      <w:autoSpaceDN w:val="0"/>
      <w:adjustRightInd w:val="0"/>
    </w:pPr>
    <w:rPr>
      <w:rFonts w:ascii="仿宋" w:eastAsia="仿宋" w:cs="仿宋"/>
      <w:color w:val="000000"/>
      <w:sz w:val="24"/>
      <w:szCs w:val="24"/>
      <w:lang w:val="en-US" w:eastAsia="zh-CN" w:bidi="ar-SA"/>
    </w:rPr>
  </w:style>
  <w:style w:type="paragraph" w:styleId="33">
    <w:name w:val="List Paragraph"/>
    <w:basedOn w:val="0"/>
    <w:pPr>
      <w:ind w:firstLineChars="200" w:firstLine="200"/>
    </w:pPr>
  </w:style>
  <w:style w:type="paragraph" w:customStyle="1" w:styleId="34">
    <w:name w:val="TOC 标题1"/>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35">
    <w:name w:val="TOC Heading"/>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36">
    <w:name w:val="四号正文"/>
    <w:basedOn w:val="0"/>
    <w:pPr>
      <w:spacing w:line="360" w:lineRule="auto"/>
    </w:pPr>
    <w:rPr>
      <w:rFonts w:ascii="??" w:eastAsia="宋体" w:hAnsi="??"/>
      <w:color w:val="000000"/>
      <w:kern w:val="0"/>
      <w:sz w:val="28"/>
      <w:szCs w:val="21"/>
      <w:lang w:val="zh-CN" w:eastAsia="zh-CN"/>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header" Target="head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chart" Target="charts/chart1.xml"/><Relationship Id="rId9" Type="http://schemas.openxmlformats.org/officeDocument/2006/relationships/chart" Target="charts/chart2.xml"/><Relationship Id="rId10" Type="http://schemas.openxmlformats.org/officeDocument/2006/relationships/chart" Target="charts/chart3.xml"/><Relationship Id="rId11" Type="http://schemas.openxmlformats.org/officeDocument/2006/relationships/chart" Target="charts/chart4.xml"/><Relationship Id="rId12" Type="http://schemas.openxmlformats.org/officeDocument/2006/relationships/chart" Target="charts/chart5.xml"/><Relationship Id="rId13" Type="http://schemas.openxmlformats.org/officeDocument/2006/relationships/chart" Target="charts/chart6.xml"/><Relationship Id="rId14" Type="http://schemas.openxmlformats.org/officeDocument/2006/relationships/chart" Target="charts/chart7.xml"/><Relationship Id="rId15" Type="http://schemas.openxmlformats.org/officeDocument/2006/relationships/styles" Target="styles.xml"/><Relationship Id="rId16"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char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char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char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char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char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char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chart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404040"/>
                </a:solidFill>
                <a:latin typeface="Times New Roman"/>
                <a:ea typeface="宋体"/>
                <a:cs typeface="Lucida Sans"/>
              </a:defRPr>
            </a:pPr>
            <a:r>
              <a:rPr lang="zh-CN"/>
              <a:t>收入、支出决算总计变动图</a:t>
            </a:r>
          </a:p>
        </c:rich>
      </c:tx>
      <c:layout/>
      <c:overlay val="0"/>
      <c:spPr>
        <a:noFill/>
        <a:ln>
          <a:noFill/>
        </a:ln>
      </c:spPr>
    </c:title>
    <c:autoTitleDeleted val="1"/>
    <c:plotArea>
      <c:layout/>
      <c:barChart>
        <c:barDir val="col"/>
        <c:grouping val="clustered"/>
        <c:varyColors val="0"/>
        <c:ser>
          <c:idx val="0"/>
          <c:order val="0"/>
          <c:tx>
            <c:strRef>
              <c:f>'Sheet1'!$B$1</c:f>
              <c:strCache>
                <c:ptCount val="1"/>
                <c:pt idx="0">
                  <c:v>2024年</c:v>
                </c:pt>
              </c:strCache>
            </c:strRef>
          </c:tx>
          <c:spPr>
            <a:solidFill>
              <a:srgbClr val="4F81BD"/>
            </a:solidFill>
            <a:ln>
              <a:noFill/>
            </a:ln>
          </c:spPr>
          <c:invertIfNegative val="0"/>
          <c:dLbls>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numFmt formatCode="#,##0.00"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'Sheet1'!$A$2:$A$3</c:f>
              <c:strCache>
                <c:ptCount val="2"/>
                <c:pt idx="0">
                  <c:v>收入决算数</c:v>
                </c:pt>
                <c:pt idx="1">
                  <c:v>支出决算数</c:v>
                </c:pt>
              </c:strCache>
            </c:strRef>
          </c:cat>
          <c:val>
            <c:numRef>
              <c:f>'Sheet1'!$B$2:$B$3</c:f>
              <c:numCache>
                <c:formatCode>#,##0.00</c:formatCode>
                <c:ptCount val="2"/>
                <c:pt idx="0">
                  <c:v>33270.26</c:v>
                </c:pt>
                <c:pt idx="1">
                  <c:v>33264.64</c:v>
                </c:pt>
              </c:numCache>
            </c:numRef>
          </c:val>
        </c:ser>
        <c:ser>
          <c:idx val="1"/>
          <c:order val="1"/>
          <c:tx>
            <c:strRef>
              <c:f>'Sheet1'!$C$1</c:f>
              <c:strCache>
                <c:ptCount val="1"/>
                <c:pt idx="0">
                  <c:v>2025年</c:v>
                </c:pt>
              </c:strCache>
            </c:strRef>
          </c:tx>
          <c:spPr>
            <a:solidFill>
              <a:srgbClr val="C0504D"/>
            </a:solidFill>
            <a:ln>
              <a:noFill/>
            </a:ln>
          </c:spPr>
          <c:invertIfNegative val="0"/>
          <c:dLbls>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numFmt formatCode="#,##0.00"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'Sheet1'!$A$2:$A$3</c:f>
              <c:strCache>
                <c:ptCount val="2"/>
                <c:pt idx="0">
                  <c:v>收入决算数</c:v>
                </c:pt>
                <c:pt idx="1">
                  <c:v>支出决算数</c:v>
                </c:pt>
              </c:strCache>
            </c:strRef>
          </c:cat>
          <c:val>
            <c:numRef>
              <c:f>'Sheet1'!$C$2:$C$3</c:f>
              <c:numCache>
                <c:formatCode>#,##0.00</c:formatCode>
                <c:ptCount val="2"/>
                <c:pt idx="0">
                  <c:v>33440.43</c:v>
                </c:pt>
                <c:pt idx="1">
                  <c:v>33491.93</c:v>
                </c:pt>
              </c:numCache>
            </c:numRef>
          </c:val>
        </c:ser>
        <c:overlap val="-28"/>
        <c:gapWidth val="246"/>
        <c:axId val="0"/>
        <c:axId val="1"/>
      </c:barChart>
      <c:catAx>
        <c:axId val="0"/>
        <c:scaling>
          <c:orientation val="minMax"/>
        </c:scaling>
        <c:delete val="0"/>
        <c:axPos val="b"/>
        <c:numFmt formatCode="General" sourceLinked="1"/>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min val="30000.0"/>
        </c:scaling>
        <c:delete val="0"/>
        <c:axPos val="l"/>
        <c:majorGridlines>
          <c:spPr>
            <a:ln w="6350">
              <a:solidFill>
                <a:srgbClr val="E6E6E6"/>
              </a:solidFill>
              <a:prstDash val="solid"/>
            </a:ln>
          </c:spPr>
        </c:majorGridlines>
        <c:numFmt formatCode="#,##0.00"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Lucida Sans"/>
              </a:defRPr>
            </a:pPr>
            <a:endParaRPr lang="zh-CN"/>
          </a:p>
        </c:txPr>
        <c:crossesAt val="1.0"/>
        <c:crossBetween val="between"/>
        <c:majorUnit val="400.0"/>
        <c:crossAx val="0"/>
      </c:valAx>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404040"/>
                </a:solidFill>
                <a:latin typeface="Times New Roman"/>
                <a:ea typeface="宋体"/>
                <a:cs typeface="Lucida Sans"/>
              </a:defRPr>
            </a:pPr>
            <a:r>
              <a:rPr lang="zh-CN"/>
              <a:t>收入决算结构图</a:t>
            </a:r>
          </a:p>
        </c:rich>
      </c:tx>
      <c:layout/>
      <c:overlay val="0"/>
      <c:spPr>
        <a:noFill/>
        <a:ln>
          <a:noFill/>
        </a:ln>
      </c:spPr>
    </c:title>
    <c:autoTitleDeleted val="1"/>
    <c:plotArea>
      <c:layout/>
      <c:pieChart>
        <c:varyColors val="1"/>
        <c:ser>
          <c:idx val="0"/>
          <c:order val="0"/>
          <c:tx>
            <c:strRef>
              <c:f>'Sheet1 (2)'!$B$1</c:f>
              <c:strCache>
                <c:ptCount val="1"/>
                <c:pt idx="0">
                  <c:v>销售额</c:v>
                </c:pt>
              </c:strCache>
            </c:strRef>
          </c:tx>
          <c:spPr>
            <a:ln>
              <a:noFill/>
            </a:ln>
          </c:spPr>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Lbls>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numFmt formatCode="0.00%" sourceLinked="0"/>
            <c:showLegendKey val="0"/>
            <c:showVal val="1"/>
            <c:showCatName val="0"/>
            <c:showSerName val="0"/>
            <c:showPercent val="1"/>
            <c:showBubbleSize val="0"/>
            <c:showLeaderLines val="1"/>
          </c:dLbls>
          <c:cat>
            <c:strRef>
              <c:f>'Sheet1 (2)'!$A$2:$A$3</c:f>
              <c:strCache>
                <c:ptCount val="2"/>
                <c:pt idx="0">
                  <c:v>一般公共预算财政拨款收入</c:v>
                </c:pt>
                <c:pt idx="1">
                  <c:v>其他收入</c:v>
                </c:pt>
              </c:strCache>
            </c:strRef>
          </c:cat>
          <c:val>
            <c:numRef>
              <c:f>'Sheet1 (2)'!$B$2:$B$3</c:f>
              <c:numCache>
                <c:formatCode>#,##0.00</c:formatCode>
                <c:ptCount val="2"/>
                <c:pt idx="0">
                  <c:v>33427.43</c:v>
                </c:pt>
                <c:pt idx="1">
                  <c:v>13.0</c:v>
                </c:pt>
              </c:numCache>
            </c:numRef>
          </c:val>
        </c:ser>
        <c:firstSliceAng val="0"/>
      </c:pieChart>
      <c:spPr>
        <a:noFill/>
        <a:ln>
          <a:noFill/>
        </a:ln>
      </c:spPr>
    </c:plotArea>
    <c:legend>
      <c:legendPos val="t"/>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404040"/>
                </a:solidFill>
                <a:latin typeface="Times New Roman"/>
                <a:ea typeface="宋体"/>
                <a:cs typeface="Lucida Sans"/>
              </a:defRPr>
            </a:pPr>
            <a:r>
              <a:rPr lang="zh-CN"/>
              <a:t>支出决算结构图</a:t>
            </a:r>
          </a:p>
        </c:rich>
      </c:tx>
      <c:layout>
        <c:manualLayout>
          <c:xMode val="edge"/>
          <c:yMode val="edge"/>
          <c:x val="0.3733054"/>
          <c:y val="0.024243824"/>
        </c:manualLayout>
      </c:layout>
      <c:overlay val="0"/>
      <c:spPr>
        <a:noFill/>
        <a:ln>
          <a:noFill/>
        </a:ln>
      </c:spPr>
    </c:title>
    <c:autoTitleDeleted val="1"/>
    <c:plotArea>
      <c:layout/>
      <c:pieChart>
        <c:varyColors val="1"/>
        <c:ser>
          <c:idx val="0"/>
          <c:order val="0"/>
          <c:tx>
            <c:strRef>
              <c:f>'Sheet1 (3)'!$B$1</c:f>
              <c:strCache>
                <c:ptCount val="1"/>
                <c:pt idx="0">
                  <c:v>支出决算数</c:v>
                </c:pt>
              </c:strCache>
            </c:strRef>
          </c:tx>
          <c:spPr>
            <a:ln>
              <a:noFill/>
            </a:ln>
          </c:spPr>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Lbls>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numFmt formatCode="0.00%" sourceLinked="0"/>
            <c:showLegendKey val="0"/>
            <c:showVal val="1"/>
            <c:showCatName val="0"/>
            <c:showSerName val="0"/>
            <c:showPercent val="1"/>
            <c:showBubbleSize val="0"/>
            <c:showLeaderLines val="1"/>
          </c:dLbls>
          <c:cat>
            <c:strRef>
              <c:f>'Sheet1 (3)'!$A$2:$A$3</c:f>
              <c:strCache>
                <c:ptCount val="2"/>
                <c:pt idx="0">
                  <c:v>基本支出</c:v>
                </c:pt>
                <c:pt idx="1">
                  <c:v>项目支出</c:v>
                </c:pt>
              </c:strCache>
            </c:strRef>
          </c:cat>
          <c:val>
            <c:numRef>
              <c:f>'Sheet1 (3)'!$B$2:$B$3</c:f>
              <c:numCache>
                <c:formatCode>#,##0.00</c:formatCode>
                <c:ptCount val="2"/>
                <c:pt idx="0">
                  <c:v>24072.47</c:v>
                </c:pt>
                <c:pt idx="1">
                  <c:v>9419.46</c:v>
                </c:pt>
              </c:numCache>
            </c:numRef>
          </c:val>
        </c:ser>
        <c:firstSliceAng val="0"/>
      </c:pieChart>
      <c:spPr>
        <a:noFill/>
        <a:ln>
          <a:noFill/>
        </a:ln>
      </c:spPr>
    </c:plotArea>
    <c:legend>
      <c:legendPos val="t"/>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404040"/>
                </a:solidFill>
                <a:latin typeface="Times New Roman"/>
                <a:ea typeface="宋体"/>
                <a:cs typeface="Lucida Sans"/>
              </a:defRPr>
            </a:pPr>
            <a:r>
              <a:rPr lang="zh-CN"/>
              <a:t>财政拨款收、支决算总计变动图</a:t>
            </a:r>
          </a:p>
        </c:rich>
      </c:tx>
      <c:layout/>
      <c:overlay val="0"/>
      <c:spPr>
        <a:noFill/>
        <a:ln>
          <a:noFill/>
        </a:ln>
      </c:spPr>
    </c:title>
    <c:autoTitleDeleted val="1"/>
    <c:plotArea>
      <c:layout/>
      <c:barChart>
        <c:barDir val="col"/>
        <c:grouping val="clustered"/>
        <c:varyColors val="0"/>
        <c:ser>
          <c:idx val="0"/>
          <c:order val="0"/>
          <c:tx>
            <c:strRef>
              <c:f>'Sheet1 (4)'!$B$1</c:f>
              <c:strCache>
                <c:ptCount val="1"/>
                <c:pt idx="0">
                  <c:v>2024年</c:v>
                </c:pt>
              </c:strCache>
            </c:strRef>
          </c:tx>
          <c:spPr>
            <a:solidFill>
              <a:srgbClr val="4F81BD"/>
            </a:solidFill>
            <a:ln>
              <a:noFill/>
            </a:ln>
          </c:spPr>
          <c:invertIfNegative val="0"/>
          <c:dLbls>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numFmt formatCode="#,##0.00"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 (4)'!$A$2:$A$3</c:f>
              <c:strCache>
                <c:ptCount val="2"/>
                <c:pt idx="0">
                  <c:v>财政拨款收入决算数</c:v>
                </c:pt>
                <c:pt idx="1">
                  <c:v>财政拨款支出决算数</c:v>
                </c:pt>
              </c:strCache>
            </c:strRef>
          </c:cat>
          <c:val>
            <c:numRef>
              <c:f>'Sheet1 (4)'!$B$2:$B$3</c:f>
              <c:numCache>
                <c:formatCode>#,##0.00</c:formatCode>
                <c:ptCount val="2"/>
                <c:pt idx="0">
                  <c:v>33256.31</c:v>
                </c:pt>
                <c:pt idx="1">
                  <c:v>33256.31</c:v>
                </c:pt>
              </c:numCache>
            </c:numRef>
          </c:val>
        </c:ser>
        <c:ser>
          <c:idx val="1"/>
          <c:order val="1"/>
          <c:tx>
            <c:strRef>
              <c:f>'Sheet1 (4)'!$C$1</c:f>
              <c:strCache>
                <c:ptCount val="1"/>
                <c:pt idx="0">
                  <c:v>2025年</c:v>
                </c:pt>
              </c:strCache>
            </c:strRef>
          </c:tx>
          <c:spPr>
            <a:solidFill>
              <a:srgbClr val="C0504D"/>
            </a:solidFill>
            <a:ln>
              <a:noFill/>
            </a:ln>
          </c:spPr>
          <c:invertIfNegative val="0"/>
          <c:dLbls>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numFmt formatCode="#,##0.00"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 (4)'!$A$2:$A$3</c:f>
              <c:strCache>
                <c:ptCount val="2"/>
                <c:pt idx="0">
                  <c:v>财政拨款收入决算数</c:v>
                </c:pt>
                <c:pt idx="1">
                  <c:v>财政拨款支出决算数</c:v>
                </c:pt>
              </c:strCache>
            </c:strRef>
          </c:cat>
          <c:val>
            <c:numRef>
              <c:f>'Sheet1 (4)'!$C$2:$C$3</c:f>
              <c:numCache>
                <c:formatCode>#,##0.00</c:formatCode>
                <c:ptCount val="2"/>
                <c:pt idx="0">
                  <c:v>33427.43</c:v>
                </c:pt>
                <c:pt idx="1">
                  <c:v>33427.43</c:v>
                </c:pt>
              </c:numCache>
            </c:numRef>
          </c:val>
        </c:ser>
        <c:overlap val="-28"/>
        <c:gapWidth val="246"/>
        <c:axId val="0"/>
        <c:axId val="1"/>
      </c:barChart>
      <c:catAx>
        <c:axId val="0"/>
        <c:scaling>
          <c:orientation val="minMax"/>
        </c:scaling>
        <c:delete val="0"/>
        <c:axPos val="b"/>
        <c:numFmt formatCode="General" sourceLinked="1"/>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min val="30000.0"/>
        </c:scaling>
        <c:delete val="0"/>
        <c:axPos val="l"/>
        <c:majorGridlines>
          <c:spPr>
            <a:ln w="6350">
              <a:solidFill>
                <a:srgbClr val="E6E6E6"/>
              </a:solidFill>
              <a:prstDash val="solid"/>
            </a:ln>
          </c:spPr>
        </c:majorGridlines>
        <c:numFmt formatCode="#,##0.00"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Lucida Sans"/>
              </a:defRPr>
            </a:pPr>
            <a:endParaRPr lang="zh-CN"/>
          </a:p>
        </c:txPr>
        <c:crossesAt val="1.0"/>
        <c:crossBetween val="between"/>
        <c:majorUnit val="500.0"/>
        <c:crossAx val="0"/>
      </c:valAx>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404040"/>
                </a:solidFill>
                <a:latin typeface="Times New Roman"/>
                <a:ea typeface="宋体"/>
                <a:cs typeface="Lucida Sans"/>
              </a:defRPr>
            </a:pPr>
            <a:r>
              <a:rPr lang="zh-CN"/>
              <a:t>一般公共预算财政拨款支出决算变动图</a:t>
            </a:r>
          </a:p>
        </c:rich>
      </c:tx>
      <c:layout/>
      <c:overlay val="0"/>
      <c:spPr>
        <a:noFill/>
        <a:ln>
          <a:noFill/>
        </a:ln>
      </c:spPr>
    </c:title>
    <c:autoTitleDeleted val="1"/>
    <c:plotArea>
      <c:layout/>
      <c:barChart>
        <c:barDir val="col"/>
        <c:grouping val="clustered"/>
        <c:varyColors val="0"/>
        <c:ser>
          <c:idx val="0"/>
          <c:order val="0"/>
          <c:tx>
            <c:strRef>
              <c:f>'Sheet1 (5)'!$B$1</c:f>
              <c:strCache>
                <c:ptCount val="1"/>
                <c:pt idx="0">
                  <c:v>2024年</c:v>
                </c:pt>
              </c:strCache>
            </c:strRef>
          </c:tx>
          <c:spPr>
            <a:solidFill>
              <a:srgbClr val="4F81BD"/>
            </a:solidFill>
            <a:ln>
              <a:noFill/>
            </a:ln>
          </c:spPr>
          <c:invertIfNegative val="0"/>
          <c:dLbls>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numFmt formatCode="#,##0.00"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 (5)'!$A$2</c:f>
              <c:strCache>
                <c:ptCount val="1"/>
                <c:pt idx="0">
                  <c:v>一般公共预算财政拨款支出决算数</c:v>
                </c:pt>
              </c:strCache>
            </c:strRef>
          </c:cat>
          <c:val>
            <c:numRef>
              <c:f>Sheet1 (5)!$B$2</c:f>
              <c:numCache>
                <c:formatCode>#,##0.00</c:formatCode>
                <c:ptCount val="1"/>
                <c:pt idx="0">
                  <c:v>33251.31</c:v>
                </c:pt>
              </c:numCache>
            </c:numRef>
          </c:val>
        </c:ser>
        <c:ser>
          <c:idx val="1"/>
          <c:order val="1"/>
          <c:tx>
            <c:strRef>
              <c:f>'Sheet1 (5)'!$C$1</c:f>
              <c:strCache>
                <c:ptCount val="1"/>
                <c:pt idx="0">
                  <c:v>2025年</c:v>
                </c:pt>
              </c:strCache>
            </c:strRef>
          </c:tx>
          <c:spPr>
            <a:solidFill>
              <a:srgbClr val="C0504D"/>
            </a:solidFill>
            <a:ln>
              <a:noFill/>
            </a:ln>
          </c:spPr>
          <c:invertIfNegative val="0"/>
          <c:dLbls>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numFmt formatCode="#,##0.00"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 (5)'!$A$2</c:f>
              <c:strCache>
                <c:ptCount val="1"/>
                <c:pt idx="0">
                  <c:v>一般公共预算财政拨款支出决算数</c:v>
                </c:pt>
              </c:strCache>
            </c:strRef>
          </c:cat>
          <c:val>
            <c:numRef>
              <c:f>Sheet1 (5)!$C$2</c:f>
              <c:numCache>
                <c:formatCode>#,##0.00</c:formatCode>
                <c:ptCount val="1"/>
                <c:pt idx="0">
                  <c:v>33427.43</c:v>
                </c:pt>
              </c:numCache>
            </c:numRef>
          </c:val>
        </c:ser>
        <c:overlap val="-100"/>
        <c:gapWidth val="346"/>
        <c:axId val="0"/>
        <c:axId val="1"/>
      </c:barChart>
      <c:catAx>
        <c:axId val="0"/>
        <c:scaling>
          <c:orientation val="minMax"/>
        </c:scaling>
        <c:delete val="0"/>
        <c:axPos val="b"/>
        <c:numFmt formatCode="General" sourceLinked="1"/>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min val="30000.0"/>
        </c:scaling>
        <c:delete val="0"/>
        <c:axPos val="l"/>
        <c:majorGridlines>
          <c:spPr>
            <a:ln w="6350">
              <a:solidFill>
                <a:srgbClr val="E6E6E6"/>
              </a:solidFill>
              <a:prstDash val="solid"/>
            </a:ln>
          </c:spPr>
        </c:majorGridlines>
        <c:numFmt formatCode="#,##0.00"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Lucida Sans"/>
              </a:defRPr>
            </a:pPr>
            <a:endParaRPr lang="zh-CN"/>
          </a:p>
        </c:txPr>
        <c:crossesAt val="1.0"/>
        <c:crossBetween val="between"/>
        <c:crossAx val="0"/>
      </c:valAx>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404040"/>
                </a:solidFill>
                <a:latin typeface="Times New Roman"/>
                <a:ea typeface="宋体"/>
                <a:cs typeface="Lucida Sans"/>
              </a:defRPr>
            </a:pPr>
            <a:r>
              <a:rPr lang="zh-CN"/>
              <a:t>一般公共预算财政拨款支出决算结构图</a:t>
            </a:r>
          </a:p>
        </c:rich>
      </c:tx>
      <c:layout/>
      <c:overlay val="0"/>
      <c:spPr>
        <a:noFill/>
        <a:ln>
          <a:noFill/>
        </a:ln>
      </c:spPr>
    </c:title>
    <c:autoTitleDeleted val="1"/>
    <c:plotArea>
      <c:layout>
        <c:manualLayout>
          <c:layoutTarget val="inner"/>
          <c:xMode val="edge"/>
          <c:yMode val="edge"/>
          <c:x val="0.3225127"/>
          <c:y val="0.29988524"/>
          <c:w val="0.3477265"/>
          <c:h val="0.61166173"/>
        </c:manualLayout>
      </c:layout>
      <c:pieChart>
        <c:varyColors val="1"/>
        <c:ser>
          <c:idx val="0"/>
          <c:order val="0"/>
          <c:tx>
            <c:strRef>
              <c:f>'Sheet1 (6)'!$B$1</c:f>
              <c:strCache>
                <c:ptCount val="1"/>
                <c:pt idx="0">
                  <c:v>一般公共预算财政拨款支出决算数</c:v>
                </c:pt>
              </c:strCache>
            </c:strRef>
          </c:tx>
          <c:spPr>
            <a:ln>
              <a:noFill/>
            </a:ln>
          </c:spPr>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Pt>
            <c:idx val="2"/>
            <c:bubble3D val="0"/>
            <c:spPr>
              <a:solidFill>
                <a:srgbClr val="9BBB59"/>
              </a:solidFill>
              <a:ln w="6350">
                <a:solidFill>
                  <a:srgbClr val="FFFFFF"/>
                </a:solidFill>
                <a:prstDash val="solid"/>
              </a:ln>
            </c:spPr>
          </c:dPt>
          <c:dPt>
            <c:idx val="3"/>
            <c:bubble3D val="0"/>
            <c:spPr>
              <a:solidFill>
                <a:srgbClr val="8064A2"/>
              </a:solidFill>
              <a:ln w="6350">
                <a:solidFill>
                  <a:srgbClr val="FFFFFF"/>
                </a:solidFill>
                <a:prstDash val="solid"/>
              </a:ln>
            </c:spPr>
          </c:dPt>
          <c:dLbls>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numFmt formatCode="0.00%" sourceLinked="0"/>
            <c:dLbl>
              <c:idx val="0"/>
              <c:layout>
                <c:manualLayout>
                  <c:x val="-0.043488767"/>
                  <c:y val="-0.117934555"/>
                </c:manualLayout>
              </c:layout>
              <c:numFmt formatCode="0.00%" sourceLinked="0"/>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showLegendKey val="0"/>
              <c:showVal val="1"/>
              <c:showCatName val="0"/>
              <c:showSerName val="0"/>
              <c:showPercent val="1"/>
              <c:showBubbleSize val="0"/>
            </c:dLbl>
            <c:dLbl>
              <c:idx val="1"/>
              <c:layout>
                <c:manualLayout>
                  <c:x val="-0.032533333"/>
                  <c:y val="0.058461517"/>
                </c:manualLayout>
              </c:layout>
              <c:numFmt formatCode="0.00%" sourceLinked="0"/>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showLegendKey val="0"/>
              <c:showVal val="1"/>
              <c:showCatName val="0"/>
              <c:showSerName val="0"/>
              <c:showPercent val="1"/>
              <c:showBubbleSize val="0"/>
            </c:dLbl>
            <c:dLbl>
              <c:idx val="2"/>
              <c:layout>
                <c:manualLayout>
                  <c:x val="-0.045391873"/>
                  <c:y val="0.033432297"/>
                </c:manualLayout>
              </c:layout>
              <c:numFmt formatCode="0.00%" sourceLinked="0"/>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showLegendKey val="0"/>
              <c:showVal val="1"/>
              <c:showCatName val="0"/>
              <c:showSerName val="0"/>
              <c:showPercent val="1"/>
              <c:showBubbleSize val="0"/>
            </c:dLbl>
            <c:dLbl>
              <c:idx val="3"/>
              <c:layout>
                <c:manualLayout>
                  <c:x val="0.08347955"/>
                  <c:y val="0.004907832"/>
                </c:manualLayout>
              </c:layout>
              <c:numFmt formatCode="0.00%" sourceLinked="0"/>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showLegendKey val="0"/>
              <c:showVal val="1"/>
              <c:showCatName val="0"/>
              <c:showSerName val="0"/>
              <c:showPercent val="1"/>
              <c:showBubbleSize val="0"/>
            </c:dLbl>
            <c:showLegendKey val="0"/>
            <c:showVal val="1"/>
            <c:showCatName val="0"/>
            <c:showSerName val="0"/>
            <c:showPercent val="1"/>
            <c:showBubbleSize val="0"/>
            <c:showLeaderLines val="1"/>
          </c:dLbls>
          <c:cat>
            <c:strRef>
              <c:f>'Sheet1 (6)'!$A$2:$A$5</c:f>
              <c:strCache>
                <c:ptCount val="4"/>
                <c:pt idx="0">
                  <c:v>公共安全支出</c:v>
                </c:pt>
                <c:pt idx="1">
                  <c:v>社会保障和就业支出</c:v>
                </c:pt>
                <c:pt idx="2">
                  <c:v>卫生健康支出</c:v>
                </c:pt>
                <c:pt idx="3">
                  <c:v>住房保障支出</c:v>
                </c:pt>
              </c:strCache>
            </c:strRef>
          </c:cat>
          <c:val>
            <c:numRef>
              <c:f>'Sheet1 (6)'!$B$2:$B$5</c:f>
              <c:numCache>
                <c:formatCode>#,##0.00</c:formatCode>
                <c:ptCount val="4"/>
                <c:pt idx="0">
                  <c:v>28187.12</c:v>
                </c:pt>
                <c:pt idx="1">
                  <c:v>2624.85</c:v>
                </c:pt>
                <c:pt idx="2">
                  <c:v>1102.6</c:v>
                </c:pt>
                <c:pt idx="3">
                  <c:v>1512.86</c:v>
                </c:pt>
              </c:numCache>
            </c:numRef>
          </c:val>
        </c:ser>
        <c:firstSliceAng val="0"/>
      </c:pieChart>
      <c:spPr>
        <a:noFill/>
        <a:ln>
          <a:noFill/>
        </a:ln>
      </c:spPr>
    </c:plotArea>
    <c:legend>
      <c:legendPos val="t"/>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Times New Roman"/>
                <a:ea typeface="宋体"/>
                <a:cs typeface="Lucida Sans"/>
              </a:defRPr>
            </a:pPr>
            <a:r>
              <a:rPr lang="zh-CN" sz="1400" b="1" i="0" u="none" strike="noStrike" baseline="0">
                <a:solidFill>
                  <a:srgbClr val="404040"/>
                </a:solidFill>
                <a:latin typeface="Times New Roman"/>
                <a:ea typeface="宋体"/>
                <a:cs typeface="Lucida Sans"/>
              </a:rPr>
              <a:t>财政拨款</a:t>
            </a:r>
            <a:r>
              <a:rPr lang="zh-CN" sz="1400" b="1" i="0" u="none" strike="noStrike" baseline="0">
                <a:solidFill>
                  <a:srgbClr val="404040"/>
                </a:solidFill>
                <a:latin typeface="Times New Roman"/>
                <a:ea typeface="宋体"/>
                <a:cs typeface="Lucida Sans"/>
              </a:rPr>
              <a:t>“</a:t>
            </a:r>
            <a:r>
              <a:rPr lang="zh-CN" sz="1400" b="1" i="0" u="none" strike="noStrike" baseline="0">
                <a:solidFill>
                  <a:srgbClr val="404040"/>
                </a:solidFill>
                <a:latin typeface="Times New Roman"/>
                <a:ea typeface="宋体"/>
                <a:cs typeface="Lucida Sans"/>
              </a:rPr>
              <a:t>三公</a:t>
            </a:r>
            <a:r>
              <a:rPr lang="zh-CN" sz="1400" b="1" i="0" u="none" strike="noStrike" baseline="0">
                <a:solidFill>
                  <a:srgbClr val="404040"/>
                </a:solidFill>
                <a:latin typeface="Times New Roman"/>
                <a:ea typeface="宋体"/>
                <a:cs typeface="Lucida Sans"/>
              </a:rPr>
              <a:t>”</a:t>
            </a:r>
            <a:r>
              <a:rPr lang="zh-CN" sz="1400" b="1" i="0" u="none" strike="noStrike" baseline="0">
                <a:solidFill>
                  <a:srgbClr val="404040"/>
                </a:solidFill>
                <a:latin typeface="Times New Roman"/>
                <a:ea typeface="宋体"/>
                <a:cs typeface="Lucida Sans"/>
              </a:rPr>
              <a:t>经费支出结构图</a:t>
            </a:r>
          </a:p>
        </c:rich>
      </c:tx>
      <c:layout/>
      <c:overlay val="0"/>
      <c:spPr>
        <a:noFill/>
        <a:ln>
          <a:noFill/>
        </a:ln>
      </c:spPr>
    </c:title>
    <c:autoTitleDeleted val="1"/>
    <c:plotArea>
      <c:layout/>
      <c:pieChart>
        <c:varyColors val="1"/>
        <c:ser>
          <c:idx val="0"/>
          <c:order val="0"/>
          <c:tx>
            <c:strRef>
              <c:f>'Sheet1 (7)'!$B$1</c:f>
              <c:strCache>
                <c:ptCount val="1"/>
                <c:pt idx="0">
                  <c:v>财政拨款“三公”经费支出</c:v>
                </c:pt>
              </c:strCache>
            </c:strRef>
          </c:tx>
          <c:spPr>
            <a:ln>
              <a:noFill/>
            </a:ln>
          </c:spPr>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Pt>
            <c:idx val="2"/>
            <c:bubble3D val="0"/>
            <c:spPr>
              <a:solidFill>
                <a:srgbClr val="9BBB59"/>
              </a:solidFill>
              <a:ln w="6350">
                <a:solidFill>
                  <a:srgbClr val="FFFFFF"/>
                </a:solidFill>
                <a:prstDash val="solid"/>
              </a:ln>
            </c:spPr>
          </c:dPt>
          <c:dLbls>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numFmt formatCode="0.00%" sourceLinked="0"/>
            <c:dLbl>
              <c:idx val="0"/>
              <c:layout>
                <c:manualLayout>
                  <c:x val="0.05617299"/>
                  <c:y val="0.0"/>
                </c:manualLayout>
              </c:layout>
              <c:numFmt formatCode="0.00%" sourceLinked="0"/>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showLegendKey val="0"/>
              <c:showVal val="1"/>
              <c:showCatName val="0"/>
              <c:showSerName val="0"/>
              <c:showPercent val="1"/>
              <c:showBubbleSize val="0"/>
            </c:dLbl>
            <c:dLbl>
              <c:idx val="2"/>
              <c:layout>
                <c:manualLayout>
                  <c:x val="-0.069460884"/>
                  <c:y val="0.033620104"/>
                </c:manualLayout>
              </c:layout>
              <c:numFmt formatCode="0.00%" sourceLinked="0"/>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showLegendKey val="0"/>
              <c:showVal val="1"/>
              <c:showCatName val="0"/>
              <c:showSerName val="0"/>
              <c:showPercent val="1"/>
              <c:showBubbleSize val="0"/>
            </c:dLbl>
            <c:showLegendKey val="0"/>
            <c:showVal val="1"/>
            <c:showCatName val="0"/>
            <c:showSerName val="0"/>
            <c:showPercent val="1"/>
            <c:showBubbleSize val="0"/>
            <c:showLeaderLines val="1"/>
          </c:dLbls>
          <c:cat>
            <c:strRef>
              <c:f>'Sheet1 (7)'!$A$2:$A$4</c:f>
              <c:strCache>
                <c:ptCount val="3"/>
                <c:pt idx="0">
                  <c:v>因公出国（境）费用</c:v>
                </c:pt>
                <c:pt idx="1">
                  <c:v>公务用车购置及运行维护费</c:v>
                </c:pt>
                <c:pt idx="2">
                  <c:v>公务接待费</c:v>
                </c:pt>
              </c:strCache>
            </c:strRef>
          </c:cat>
          <c:val>
            <c:numRef>
              <c:f>'Sheet1 (7)'!$B$2:$B$4</c:f>
              <c:numCache>
                <c:formatCode>General</c:formatCode>
                <c:ptCount val="3"/>
                <c:pt idx="0">
                  <c:v>0.0</c:v>
                </c:pt>
                <c:pt idx="1">
                  <c:v>422.17</c:v>
                </c:pt>
                <c:pt idx="2">
                  <c:v>0.33</c:v>
                </c:pt>
              </c:numCache>
            </c:numRef>
          </c:val>
        </c:ser>
        <c:firstSliceAng val="0"/>
      </c:pieChart>
      <c:spPr>
        <a:noFill/>
        <a:ln>
          <a:noFill/>
        </a:ln>
      </c:spPr>
    </c:plotArea>
    <c:legend>
      <c:legendPos val="t"/>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docProps/app.xml><?xml version="1.0" encoding="utf-8"?>
<Properties xmlns="http://schemas.openxmlformats.org/officeDocument/2006/extended-properties">
  <Template>Normal.eit</Template>
  <TotalTime>56</TotalTime>
  <Application>Yozo_Office27021597764231179</Application>
  <Pages>1</Pages>
  <Words>16</Words>
  <Characters>16</Characters>
  <Lines>2</Lines>
  <Paragraphs>2</Paragraphs>
  <CharactersWithSpaces>16</CharactersWithSpaces>
  <Company>四川省财政厅</Company>
</Properties>
</file>

<file path=docProps/core.xml><?xml version="1.0" encoding="utf-8"?>
<cp:coreProperties xmlns:cp="http://schemas.openxmlformats.org/package/2006/metadata/core-properties" xmlns:dc="http://purl.org/dc/elements/1.1/" xmlns:dcterms="http://purl.org/dc/terms/" xmlns:xsi="http://www.w3.org/2001/XMLSchema-instance">
  <dc:title>四川省***</dc:title>
  <dc:creator>曹颖</dc:creator>
  <cp:lastModifiedBy>user</cp:lastModifiedBy>
  <cp:revision>32</cp:revision>
  <cp:lastPrinted>2026-09-15T20:36:11Z</cp:lastPrinted>
  <dcterms:created xsi:type="dcterms:W3CDTF">2020-08-08T17:49:00Z</dcterms:created>
  <dcterms:modified xsi:type="dcterms:W3CDTF">2026-09-16T09:55:33Z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2052-12.1.0.21541</vt:lpwstr>
  </property>
  <property fmtid="{D5CDD505-2E9C-101B-9397-08002B2CF9AE}" pid="3" name="ICV">
    <vt:lpwstr>3BF536824C220DA3E40E8B68BA118B1C_42</vt:lpwstr>
  </property>
  <property fmtid="{D5CDD505-2E9C-101B-9397-08002B2CF9AE}" pid="4" name="KSOTemplateDocerSaveRecord">
    <vt:lpwstr>eyJoZGlkIjoiMzMzNTllZjc0YmYzNWYzYTkzYWY5ZWNmNDk3ZjY3M2IiLCJ1c2VySWQiOiI0NDIwNDI4OTEifQ==</vt:lpwstr>
  </property>
</Properties>
</file>