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8"/>
        <w:rPr>
          <w:rFonts w:ascii="Times New Roman" w:eastAsia="方正小标宋简体" w:cs="Times New Roman" w:hAnsi="Times New Roman" w:hint="eastAsia"/>
          <w:color w:val="auto"/>
          <w:kern w:val="2"/>
          <w:sz w:val="72"/>
          <w:szCs w:val="72"/>
          <w:lang w:val="en-US" w:eastAsia="zh-CN" w:bidi="ar-SA"/>
          <w:highlight w:val="auto"/>
        </w:rPr>
      </w:pPr>
      <w:bookmarkStart w:id="0" w:name="_Toc15396475"/>
      <w:bookmarkStart w:id="1" w:name="_Toc15378441"/>
      <w:bookmarkStart w:id="2" w:name="_Toc15377193"/>
      <w:bookmarkStart w:id="3" w:name="_Toc15306267"/>
      <w:bookmarkStart w:id="4" w:name="_Toc15377425"/>
      <w:bookmarkStart w:id="5" w:name="_Toc15396597"/>
    </w:p>
    <w:p>
      <w:pPr>
        <w:pStyle w:val="18"/>
        <w:rPr>
          <w:rFonts w:ascii="Times New Roman" w:eastAsia="方正小标宋简体" w:cs="Times New Roman" w:hAnsi="Times New Roman" w:hint="eastAsia"/>
          <w:color w:val="auto"/>
          <w:kern w:val="2"/>
          <w:sz w:val="72"/>
          <w:szCs w:val="72"/>
          <w:lang w:val="en-US" w:eastAsia="zh-CN" w:bidi="ar-SA"/>
          <w:highlight w:val="auto"/>
        </w:rPr>
      </w:pPr>
    </w:p>
    <w:p>
      <w:pPr>
        <w:pStyle w:val="18"/>
        <w:rPr>
          <w:rFonts w:ascii="Times New Roman" w:eastAsia="方正小标宋简体" w:cs="Times New Roman" w:hAnsi="Times New Roman" w:hint="eastAsia"/>
          <w:color w:val="auto"/>
          <w:kern w:val="2"/>
          <w:sz w:val="72"/>
          <w:szCs w:val="72"/>
          <w:lang w:val="en-US" w:eastAsia="zh-CN" w:bidi="ar-SA"/>
          <w:highlight w:val="auto"/>
        </w:rPr>
      </w:pPr>
    </w:p>
    <w:p>
      <w:pPr>
        <w:pStyle w:val="18"/>
        <w:rPr>
          <w:rFonts w:ascii="Times New Roman" w:eastAsia="方正小标宋简体" w:cs="Times New Roman" w:hAnsi="Times New Roman" w:hint="eastAsia"/>
          <w:color w:val="auto"/>
          <w:kern w:val="2"/>
          <w:sz w:val="72"/>
          <w:szCs w:val="72"/>
          <w:lang w:val="en-US" w:eastAsia="zh-CN" w:bidi="ar-SA"/>
          <w:highlight w:val="auto"/>
        </w:rPr>
      </w:pPr>
    </w:p>
    <w:p>
      <w:pPr>
        <w:pStyle w:val="18"/>
        <w:jc w:val="center"/>
        <w:rPr>
          <w:rFonts w:ascii="Times New Roman" w:eastAsia="方正小标宋简体" w:cs="Times New Roman" w:hAnsi="Times New Roman" w:hint="eastAsia"/>
          <w:color w:val="auto"/>
          <w:kern w:val="2"/>
          <w:sz w:val="44"/>
          <w:szCs w:val="44"/>
          <w:lang w:val="en-US" w:eastAsia="zh-CN" w:bidi="ar-SA"/>
          <w:highlight w:val="auto"/>
        </w:rPr>
      </w:pPr>
      <w:r>
        <w:rPr>
          <w:rFonts w:ascii="Times New Roman" w:eastAsia="方正小标宋简体" w:cs="Times New Roman" w:hAnsi="Times New Roman" w:hint="eastAsia"/>
          <w:color w:val="auto"/>
          <w:kern w:val="2"/>
          <w:sz w:val="44"/>
          <w:szCs w:val="44"/>
          <w:lang w:val="en-US" w:eastAsia="zh-CN" w:bidi="ar-SA"/>
          <w:highlight w:val="auto"/>
        </w:rPr>
        <w:t>2025年度阿坝州强制隔离戒毒所</w:t>
      </w:r>
    </w:p>
    <w:p>
      <w:pPr>
        <w:pStyle w:val="18"/>
        <w:jc w:val="center"/>
        <w:rPr>
          <w:rFonts w:ascii="Times New Roman" w:eastAsia="方正小标宋简体" w:cs="Times New Roman" w:hAnsi="Times New Roman" w:hint="eastAsia"/>
          <w:color w:val="auto"/>
          <w:kern w:val="2"/>
          <w:sz w:val="44"/>
          <w:szCs w:val="44"/>
          <w:lang w:val="en-US" w:eastAsia="zh-CN" w:bidi="ar-SA"/>
          <w:highlight w:val="auto"/>
        </w:rPr>
      </w:pPr>
      <w:r>
        <w:rPr>
          <w:rFonts w:ascii="方正小标宋简体" w:eastAsia="方正小标宋简体" w:cs="方正小标宋简体" w:hint="eastAsia"/>
          <w:spacing w:val="-2"/>
          <w:kern w:val="0"/>
          <w:sz w:val="44"/>
          <w:szCs w:val="44"/>
        </w:rPr>
        <w:t>（戒毒人员康复中心）</w:t>
      </w:r>
    </w:p>
    <w:p>
      <w:pPr>
        <w:pStyle w:val="18"/>
        <w:jc w:val="center"/>
        <w:rPr>
          <w:rFonts w:ascii="Times New Roman" w:eastAsia="方正小标宋简体" w:cs="Times New Roman" w:hAnsi="Times New Roman"/>
          <w:color w:val="auto"/>
          <w:kern w:val="2"/>
          <w:sz w:val="44"/>
          <w:szCs w:val="44"/>
          <w:lang w:val="en-US" w:eastAsia="zh-CN" w:bidi="ar-SA"/>
          <w:highlight w:val="auto"/>
        </w:rPr>
      </w:pPr>
      <w:r>
        <w:rPr>
          <w:rFonts w:ascii="Times New Roman" w:eastAsia="方正小标宋简体" w:cs="Times New Roman" w:hAnsi="Times New Roman" w:hint="eastAsia"/>
          <w:color w:val="auto"/>
          <w:kern w:val="2"/>
          <w:sz w:val="44"/>
          <w:szCs w:val="44"/>
          <w:lang w:val="en-US" w:eastAsia="zh-CN" w:bidi="ar-SA"/>
          <w:highlight w:val="auto"/>
        </w:rPr>
        <w:t>决算公开</w:t>
      </w:r>
    </w:p>
    <w:p>
      <w:pPr>
        <w:autoSpaceDE w:val="0"/>
        <w:autoSpaceDN w:val="0"/>
        <w:adjustRightInd w:val="0"/>
        <w:ind w:leftChars="200" w:left="420"/>
        <w:jc w:val="left"/>
        <w:rPr>
          <w:rFonts w:ascii="宋体" w:cs="仿宋_GB2312" w:hint="eastAsia"/>
          <w:sz w:val="32"/>
          <w:szCs w:val="32"/>
        </w:rPr>
      </w:pPr>
    </w:p>
    <w:p>
      <w:pPr>
        <w:autoSpaceDE w:val="0"/>
        <w:autoSpaceDN w:val="0"/>
        <w:adjustRightInd w:val="0"/>
        <w:ind w:leftChars="200" w:left="420"/>
        <w:jc w:val="left"/>
        <w:rPr>
          <w:rFonts w:ascii="宋体" w:cs="仿宋_GB2312" w:hint="eastAsia"/>
          <w:sz w:val="32"/>
          <w:szCs w:val="32"/>
        </w:rPr>
      </w:pPr>
    </w:p>
    <w:p>
      <w:pPr>
        <w:autoSpaceDE w:val="0"/>
        <w:autoSpaceDN w:val="0"/>
        <w:adjustRightInd w:val="0"/>
        <w:ind w:leftChars="200" w:left="420"/>
        <w:jc w:val="left"/>
        <w:rPr>
          <w:rFonts w:ascii="宋体" w:cs="仿宋_GB2312" w:hint="eastAsia"/>
          <w:sz w:val="32"/>
          <w:szCs w:val="32"/>
        </w:rPr>
      </w:pPr>
    </w:p>
    <w:p>
      <w:pPr>
        <w:autoSpaceDE w:val="0"/>
        <w:autoSpaceDN w:val="0"/>
        <w:adjustRightInd w:val="0"/>
        <w:ind w:leftChars="200" w:left="420"/>
        <w:jc w:val="left"/>
        <w:rPr>
          <w:rFonts w:ascii="宋体" w:cs="仿宋_GB2312" w:hint="eastAsia"/>
          <w:sz w:val="32"/>
          <w:szCs w:val="32"/>
        </w:rPr>
      </w:pPr>
    </w:p>
    <w:p>
      <w:pPr>
        <w:autoSpaceDE w:val="0"/>
        <w:autoSpaceDN w:val="0"/>
        <w:adjustRightInd w:val="0"/>
        <w:ind w:leftChars="200" w:left="420"/>
        <w:jc w:val="left"/>
        <w:rPr>
          <w:rFonts w:ascii="宋体" w:cs="仿宋_GB2312" w:hint="eastAsia"/>
          <w:sz w:val="32"/>
          <w:szCs w:val="32"/>
        </w:rPr>
      </w:pPr>
    </w:p>
    <w:p>
      <w:pPr>
        <w:autoSpaceDE w:val="0"/>
        <w:autoSpaceDN w:val="0"/>
        <w:adjustRightInd w:val="0"/>
        <w:ind w:leftChars="200" w:left="420"/>
        <w:jc w:val="left"/>
        <w:rPr>
          <w:rFonts w:ascii="宋体" w:cs="仿宋_GB2312" w:hint="eastAsia"/>
          <w:sz w:val="32"/>
          <w:szCs w:val="32"/>
        </w:rPr>
      </w:pPr>
    </w:p>
    <w:p>
      <w:pPr>
        <w:autoSpaceDE w:val="0"/>
        <w:autoSpaceDN w:val="0"/>
        <w:adjustRightInd w:val="0"/>
        <w:ind w:leftChars="200" w:left="420"/>
        <w:jc w:val="left"/>
        <w:rPr>
          <w:rFonts w:ascii="宋体" w:cs="仿宋_GB2312" w:hint="eastAsia"/>
          <w:sz w:val="32"/>
          <w:szCs w:val="32"/>
        </w:rPr>
      </w:pPr>
    </w:p>
    <w:p>
      <w:pPr>
        <w:autoSpaceDE w:val="0"/>
        <w:autoSpaceDN w:val="0"/>
        <w:adjustRightInd w:val="0"/>
        <w:ind w:leftChars="200" w:left="420"/>
        <w:jc w:val="left"/>
        <w:rPr>
          <w:rFonts w:ascii="宋体" w:cs="仿宋_GB2312" w:hint="eastAsia"/>
          <w:sz w:val="32"/>
          <w:szCs w:val="32"/>
        </w:rPr>
      </w:pPr>
    </w:p>
    <w:p>
      <w:pPr>
        <w:autoSpaceDE w:val="0"/>
        <w:autoSpaceDN w:val="0"/>
        <w:adjustRightInd w:val="0"/>
        <w:ind w:leftChars="200" w:left="420" w:firstLineChars="100" w:firstLine="320"/>
        <w:jc w:val="left"/>
        <w:rPr>
          <w:rFonts w:ascii="宋体"/>
          <w:sz w:val="32"/>
          <w:szCs w:val="32"/>
        </w:rPr>
      </w:pPr>
      <w:r>
        <w:rPr>
          <w:rFonts w:ascii="宋体" w:cs="仿宋_GB2312" w:hint="eastAsia"/>
          <w:sz w:val="32"/>
          <w:szCs w:val="32"/>
        </w:rPr>
        <w:t>保密审查情况：已审查，内容审定</w:t>
      </w:r>
    </w:p>
    <w:p>
      <w:pPr>
        <w:spacing w:line="600" w:lineRule="exact"/>
        <w:jc w:val="center"/>
        <w:outlineLvl w:val="9"/>
        <w:rPr>
          <w:rFonts w:ascii="Times New Roman" w:eastAsia="方正小标宋简体" w:hAnsi="Times New Roman"/>
          <w:color w:val="auto"/>
          <w:sz w:val="72"/>
          <w:szCs w:val="72"/>
          <w:highlight w:val="auto"/>
        </w:rPr>
      </w:pPr>
      <w:r>
        <w:rPr>
          <w:rFonts w:ascii="宋体" w:cs="仿宋_GB2312" w:hint="eastAsia"/>
          <w:sz w:val="32"/>
          <w:szCs w:val="32"/>
          <w:lang w:val="en-US" w:eastAsia="zh-CN"/>
        </w:rPr>
        <w:t xml:space="preserve"> </w:t>
      </w:r>
      <w:r>
        <w:rPr>
          <w:rFonts w:ascii="宋体" w:cs="仿宋_GB2312" w:hint="eastAsia"/>
          <w:sz w:val="32"/>
          <w:szCs w:val="32"/>
        </w:rPr>
        <w:t>部门主要负责人审签情况：已审签，同意对外公开</w:t>
      </w:r>
    </w:p>
    <w:p>
      <w:pPr>
        <w:pStyle w:val="27"/>
        <w:outlineLvl w:val="9"/>
        <w:rPr>
          <w:rFonts w:ascii="Times New Roman" w:hAnsi="Times New Roman"/>
        </w:rPr>
        <w:sectPr>
          <w:headerReference w:type="default" r:id="rId2"/>
          <w:footerReference w:type="default" r:id="rId3"/>
          <w:pgSz w:w="11906" w:h="16838"/>
          <w:pgMar w:top="1440" w:right="1800" w:bottom="1440" w:left="1800" w:header="851" w:footer="992" w:gutter="0"/>
          <w:pgNumType w:start="1"/>
          <w:titlePg/>
          <w:docGrid w:type="lines" w:linePitch="312" w:charSpace="0"/>
        </w:sectPr>
      </w:pPr>
    </w:p>
    <w:p>
      <w:pPr>
        <w:outlineLvl w:val="9"/>
        <w:rPr>
          <w:rFonts w:ascii="Times New Roman" w:hAnsi="Times New Roman"/>
        </w:rPr>
      </w:pPr>
    </w:p>
    <w:p>
      <w:pPr>
        <w:widowControl/>
        <w:jc w:val="center"/>
        <w:outlineLvl w:val="9"/>
        <w:rPr>
          <w:rFonts w:ascii="Times New Roman" w:eastAsia="黑体" w:hAnsi="Times New Roman"/>
          <w:color w:val="auto"/>
          <w:sz w:val="48"/>
          <w:szCs w:val="48"/>
          <w:highlight w:val="auto"/>
        </w:rPr>
      </w:pPr>
      <w:bookmarkEnd w:id="0"/>
      <w:bookmarkEnd w:id="1"/>
      <w:bookmarkEnd w:id="2"/>
      <w:bookmarkEnd w:id="3"/>
      <w:bookmarkEnd w:id="4"/>
      <w:bookmarkEnd w:id="5"/>
      <w:r>
        <w:rPr>
          <w:rFonts w:ascii="Times New Roman" w:eastAsia="黑体" w:hAnsi="Times New Roman" w:hint="eastAsia"/>
          <w:color w:val="auto"/>
          <w:sz w:val="48"/>
          <w:szCs w:val="48"/>
          <w:highlight w:val="auto"/>
        </w:rPr>
        <w:t>目录</w:t>
      </w:r>
    </w:p>
    <w:p>
      <w:pPr>
        <w:widowControl/>
        <w:jc w:val="center"/>
        <w:outlineLvl w:val="9"/>
        <w:rPr>
          <w:rFonts w:ascii="Times New Roman" w:eastAsia="黑体" w:cs="Arial" w:hAnsi="Times New Roman"/>
          <w:color w:val="auto"/>
          <w:sz w:val="28"/>
          <w:szCs w:val="28"/>
          <w:highlight w:val="auto"/>
        </w:rPr>
      </w:pPr>
    </w:p>
    <w:p>
      <w:pPr>
        <w:pStyle w:val="23"/>
        <w:tabs>
          <w:tab w:val="right" w:leader="dot" w:pos="8296"/>
        </w:tabs>
        <w:outlineLvl w:val="9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公开时间：20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val="en-US" w:eastAsia="zh-CN"/>
          <w:highlight w:val="auto"/>
        </w:rPr>
        <w:t>26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年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val="en-US" w:eastAsia="zh-CN"/>
          <w:highlight w:val="auto"/>
        </w:rPr>
        <w:t>9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月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val="en-US" w:eastAsia="zh-CN"/>
          <w:highlight w:val="auto"/>
        </w:rPr>
        <w:t xml:space="preserve">15 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日</w:t>
      </w:r>
    </w:p>
    <w:p>
      <w:pPr>
        <w:outlineLvl w:val="9"/>
        <w:rPr>
          <w:rFonts w:ascii="Times New Roman" w:hAnsi="Times New Roman"/>
          <w:color w:val="auto"/>
          <w:highlight w:val="auto"/>
        </w:rPr>
      </w:pPr>
    </w:p>
    <w:p>
      <w:pPr>
        <w:pStyle w:val="23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TOC \o "1-2" \h \u </w:instrText>
      </w:r>
      <w:r>
        <w:fldChar w:fldCharType="separate"/>
      </w:r>
      <w:r>
        <w:fldChar w:fldCharType="begin"/>
      </w:r>
      <w:r>
        <w:instrText xml:space="preserve"> HYPERLINK \l _Toc3588 </w:instrText>
      </w:r>
      <w:r>
        <w:fldChar w:fldCharType="separate"/>
      </w:r>
      <w:r>
        <w:rPr>
          <w:rFonts w:ascii="Times New Roman" w:eastAsia="方正小标宋简体" w:cs="方正小标宋简体" w:hAnsi="Times New Roman" w:hint="eastAsia"/>
          <w:bCs w:val="0"/>
        </w:rPr>
        <w:t xml:space="preserve">第一部分 </w:t>
      </w:r>
      <w:r>
        <w:rPr>
          <w:rFonts w:ascii="Times New Roman" w:eastAsia="方正小标宋简体" w:cs="方正小标宋简体" w:hAnsi="Times New Roman" w:hint="eastAsia"/>
          <w:bCs w:val="0"/>
          <w:highlight w:val="auto"/>
        </w:rPr>
        <w:t>部门概况</w:t>
      </w:r>
      <w:r>
        <w:tab/>
      </w:r>
      <w:r>
        <w:fldChar w:fldCharType="begin"/>
      </w:r>
      <w:r>
        <w:instrText xml:space="preserve"> PAGEREF _Toc3588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_Toc23362 </w:instrText>
      </w:r>
      <w:r>
        <w:fldChar w:fldCharType="separate"/>
      </w:r>
      <w:r>
        <w:rPr>
          <w:rFonts w:ascii="Times New Roman" w:eastAsia="黑体" w:hAnsi="Times New Roman" w:hint="eastAsia"/>
          <w:bCs w:val="0"/>
          <w:lang w:val="en-US" w:eastAsia="zh-CN"/>
          <w:highlight w:val="auto"/>
        </w:rPr>
        <w:t>一、</w:t>
      </w:r>
      <w:r>
        <w:rPr>
          <w:rFonts w:ascii="Times New Roman" w:eastAsia="黑体" w:hAnsi="Times New Roman" w:hint="eastAsia"/>
          <w:bCs w:val="0"/>
          <w:lang w:eastAsia="zh-CN"/>
          <w:highlight w:val="auto"/>
        </w:rPr>
        <w:t>部门职责</w:t>
      </w:r>
      <w:r>
        <w:tab/>
      </w:r>
      <w:r>
        <w:fldChar w:fldCharType="begin"/>
      </w:r>
      <w:r>
        <w:instrText xml:space="preserve"> PAGEREF _Toc23362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_Toc29607 </w:instrText>
      </w:r>
      <w:r>
        <w:fldChar w:fldCharType="separate"/>
      </w:r>
      <w:r>
        <w:rPr>
          <w:rFonts w:ascii="Times New Roman" w:eastAsia="黑体" w:hAnsi="Times New Roman" w:hint="eastAsia"/>
          <w:lang w:val="en-US" w:eastAsia="zh-CN"/>
          <w:highlight w:val="auto"/>
        </w:rPr>
        <w:t>二、</w:t>
      </w:r>
      <w:r>
        <w:rPr>
          <w:rFonts w:ascii="Times New Roman" w:eastAsia="黑体" w:hAnsi="Times New Roman" w:hint="eastAsia"/>
          <w:highlight w:val="auto"/>
        </w:rPr>
        <w:t>机</w:t>
      </w:r>
      <w:r>
        <w:rPr>
          <w:rFonts w:ascii="Times New Roman" w:eastAsia="黑体" w:hAnsi="Times New Roman" w:hint="eastAsia"/>
          <w:bCs w:val="0"/>
          <w:highlight w:val="auto"/>
        </w:rPr>
        <w:t>构设置</w:t>
      </w:r>
      <w:r>
        <w:tab/>
      </w:r>
      <w:r>
        <w:fldChar w:fldCharType="begin"/>
      </w:r>
      <w:r>
        <w:instrText xml:space="preserve"> PAGEREF _Toc29607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>
      <w:pPr>
        <w:pStyle w:val="23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_Toc31498 </w:instrText>
      </w:r>
      <w:r>
        <w:fldChar w:fldCharType="separate"/>
      </w:r>
      <w:r>
        <w:rPr>
          <w:rFonts w:ascii="Times New Roman" w:eastAsia="方正小标宋简体" w:cs="方正小标宋简体" w:hAnsi="Times New Roman" w:hint="eastAsia"/>
          <w:highlight w:val="auto"/>
        </w:rPr>
        <w:t>第二部分</w:t>
      </w:r>
      <w:r>
        <w:rPr>
          <w:rFonts w:ascii="Times New Roman" w:eastAsia="方正小标宋简体" w:cs="方正小标宋简体" w:hAnsi="Times New Roman" w:hint="eastAsia"/>
          <w:lang w:val="en-US" w:eastAsia="zh-CN"/>
          <w:highlight w:val="auto"/>
        </w:rPr>
        <w:t xml:space="preserve"> </w:t>
      </w:r>
      <w:r>
        <w:rPr>
          <w:rFonts w:ascii="Times New Roman" w:eastAsia="方正小标宋简体" w:cs="方正小标宋简体" w:hAnsi="Times New Roman" w:hint="eastAsia"/>
          <w:highlight w:val="auto"/>
        </w:rPr>
        <w:t xml:space="preserve"> </w:t>
      </w:r>
      <w:r>
        <w:rPr>
          <w:rFonts w:eastAsia="方正小标宋简体" w:cs="方正小标宋简体" w:hint="eastAsia"/>
          <w:lang w:val="en-US" w:eastAsia="zh-CN"/>
          <w:highlight w:val="auto"/>
        </w:rPr>
        <w:t>2025年度</w:t>
      </w:r>
      <w:r>
        <w:rPr>
          <w:rFonts w:ascii="Times New Roman" w:eastAsia="方正小标宋简体" w:cs="方正小标宋简体" w:hAnsi="Times New Roman" w:hint="eastAsia"/>
          <w:highlight w:val="auto"/>
        </w:rPr>
        <w:t>部门决算情况说明</w:t>
      </w:r>
      <w:r>
        <w:tab/>
      </w:r>
      <w:r>
        <w:fldChar w:fldCharType="begin"/>
      </w:r>
      <w:r>
        <w:instrText xml:space="preserve"> PAGEREF _Toc31498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_Toc16477 </w:instrText>
      </w:r>
      <w:r>
        <w:fldChar w:fldCharType="separate"/>
      </w:r>
      <w:r>
        <w:rPr>
          <w:rFonts w:ascii="Times New Roman" w:eastAsia="黑体" w:hAnsi="Times New Roman" w:hint="eastAsia"/>
          <w:szCs w:val="32"/>
          <w:lang w:eastAsia="zh-CN"/>
          <w:highlight w:val="auto"/>
        </w:rPr>
        <w:t>一、</w:t>
      </w:r>
      <w:r>
        <w:rPr>
          <w:rFonts w:ascii="Times New Roman" w:eastAsia="黑体" w:hAnsi="Times New Roman" w:hint="eastAsia"/>
          <w:szCs w:val="32"/>
          <w:highlight w:val="auto"/>
        </w:rPr>
        <w:t>收</w:t>
      </w:r>
      <w:r>
        <w:rPr>
          <w:rFonts w:ascii="Times New Roman" w:eastAsia="黑体" w:hAnsi="Times New Roman" w:hint="eastAsia"/>
          <w:highlight w:val="auto"/>
        </w:rPr>
        <w:t>入支出决算总体情况说明</w:t>
      </w:r>
      <w:r>
        <w:tab/>
      </w:r>
      <w:r>
        <w:fldChar w:fldCharType="begin"/>
      </w:r>
      <w:r>
        <w:instrText xml:space="preserve"> PAGEREF _Toc16477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_Toc14606 </w:instrText>
      </w:r>
      <w:r>
        <w:fldChar w:fldCharType="separate"/>
      </w:r>
      <w:r>
        <w:rPr>
          <w:rFonts w:ascii="Times New Roman" w:eastAsia="黑体" w:hAnsi="Times New Roman" w:hint="eastAsia"/>
          <w:szCs w:val="32"/>
          <w:lang w:eastAsia="zh-CN"/>
          <w:highlight w:val="auto"/>
        </w:rPr>
        <w:t>二、收入决算情况说明</w:t>
      </w:r>
      <w:r>
        <w:tab/>
      </w:r>
      <w:r>
        <w:fldChar w:fldCharType="begin"/>
      </w:r>
      <w:r>
        <w:instrText xml:space="preserve"> PAGEREF _Toc14606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_Toc4173 </w:instrText>
      </w:r>
      <w:r>
        <w:fldChar w:fldCharType="separate"/>
      </w:r>
      <w:r>
        <w:rPr>
          <w:rFonts w:ascii="Times New Roman" w:eastAsia="黑体" w:hAnsi="Times New Roman" w:hint="eastAsia"/>
          <w:szCs w:val="32"/>
          <w:lang w:eastAsia="zh-CN"/>
          <w:highlight w:val="auto"/>
        </w:rPr>
        <w:t>三、</w:t>
      </w:r>
      <w:r>
        <w:rPr>
          <w:rFonts w:ascii="Times New Roman" w:eastAsia="黑体" w:hAnsi="Times New Roman" w:hint="eastAsia"/>
          <w:szCs w:val="32"/>
          <w:highlight w:val="auto"/>
        </w:rPr>
        <w:t>支</w:t>
      </w:r>
      <w:r>
        <w:rPr>
          <w:rFonts w:ascii="Times New Roman" w:eastAsia="黑体" w:hAnsi="Times New Roman" w:hint="eastAsia"/>
          <w:highlight w:val="auto"/>
        </w:rPr>
        <w:t>出决算情况说明</w:t>
      </w:r>
      <w:r>
        <w:tab/>
      </w:r>
      <w:r>
        <w:fldChar w:fldCharType="begin"/>
      </w:r>
      <w:r>
        <w:instrText xml:space="preserve"> PAGEREF _Toc4173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_Toc10087 </w:instrText>
      </w:r>
      <w:r>
        <w:fldChar w:fldCharType="separate"/>
      </w:r>
      <w:r>
        <w:rPr>
          <w:rFonts w:ascii="Times New Roman" w:eastAsia="黑体" w:hAnsi="Times New Roman" w:hint="eastAsia"/>
          <w:szCs w:val="32"/>
          <w:highlight w:val="auto"/>
        </w:rPr>
        <w:t>四、财</w:t>
      </w:r>
      <w:r>
        <w:rPr>
          <w:rFonts w:ascii="Times New Roman" w:eastAsia="黑体" w:hAnsi="Times New Roman" w:hint="eastAsia"/>
          <w:highlight w:val="auto"/>
        </w:rPr>
        <w:t>政拨款收入支出决算总体情况说明</w:t>
      </w:r>
      <w:r>
        <w:tab/>
      </w:r>
      <w:r>
        <w:fldChar w:fldCharType="begin"/>
      </w:r>
      <w:r>
        <w:instrText xml:space="preserve"> PAGEREF _Toc10087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_Toc14278 </w:instrText>
      </w:r>
      <w:r>
        <w:fldChar w:fldCharType="separate"/>
      </w:r>
      <w:r>
        <w:rPr>
          <w:rFonts w:ascii="Times New Roman" w:eastAsia="黑体" w:hAnsi="Times New Roman" w:hint="eastAsia"/>
          <w:szCs w:val="32"/>
          <w:highlight w:val="auto"/>
        </w:rPr>
        <w:t>五、一</w:t>
      </w:r>
      <w:r>
        <w:rPr>
          <w:rFonts w:ascii="Times New Roman" w:eastAsia="黑体" w:hAnsi="Times New Roman" w:hint="eastAsia"/>
          <w:highlight w:val="auto"/>
        </w:rPr>
        <w:t>般公共预算财政拨款支出决算情况说明</w:t>
      </w:r>
      <w:r>
        <w:tab/>
      </w:r>
      <w:r>
        <w:fldChar w:fldCharType="begin"/>
      </w:r>
      <w:r>
        <w:instrText xml:space="preserve"> PAGEREF _Toc14278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_Toc29881 </w:instrText>
      </w:r>
      <w:r>
        <w:fldChar w:fldCharType="separate"/>
      </w:r>
      <w:r>
        <w:rPr>
          <w:rFonts w:ascii="Times New Roman" w:eastAsia="黑体" w:hAnsi="Times New Roman" w:hint="eastAsia"/>
          <w:szCs w:val="32"/>
          <w:highlight w:val="auto"/>
        </w:rPr>
        <w:t>六、一</w:t>
      </w:r>
      <w:r>
        <w:rPr>
          <w:rFonts w:ascii="Times New Roman" w:eastAsia="黑体" w:hAnsi="Times New Roman" w:hint="eastAsia"/>
          <w:highlight w:val="auto"/>
        </w:rPr>
        <w:t>般公共预算财政拨款基本支出决算情况说明</w:t>
      </w:r>
      <w:r>
        <w:tab/>
      </w:r>
      <w:r>
        <w:fldChar w:fldCharType="begin"/>
      </w:r>
      <w:r>
        <w:instrText xml:space="preserve"> PAGEREF _Toc29881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_Toc541 </w:instrText>
      </w:r>
      <w:r>
        <w:fldChar w:fldCharType="separate"/>
      </w:r>
      <w:r>
        <w:rPr>
          <w:rFonts w:ascii="Times New Roman" w:eastAsia="黑体" w:hAnsi="Times New Roman" w:hint="eastAsia"/>
          <w:szCs w:val="32"/>
          <w:highlight w:val="auto"/>
        </w:rPr>
        <w:t>七、</w:t>
      </w:r>
      <w:r>
        <w:rPr>
          <w:rFonts w:ascii="Times New Roman" w:eastAsia="黑体" w:hAnsi="Times New Roman" w:hint="eastAsia"/>
          <w:highlight w:val="auto"/>
        </w:rPr>
        <w:t>财政拨款“三公”经费支出决算情况说明</w:t>
      </w:r>
      <w:r>
        <w:tab/>
      </w:r>
      <w:r>
        <w:fldChar w:fldCharType="begin"/>
      </w:r>
      <w:r>
        <w:instrText xml:space="preserve"> PAGEREF _Toc541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_Toc8681 </w:instrText>
      </w:r>
      <w:r>
        <w:fldChar w:fldCharType="separate"/>
      </w:r>
      <w:r>
        <w:rPr>
          <w:rFonts w:ascii="Times New Roman" w:eastAsia="黑体" w:hAnsi="Times New Roman" w:hint="eastAsia"/>
          <w:szCs w:val="32"/>
          <w:highlight w:val="auto"/>
        </w:rPr>
        <w:t>八、</w:t>
      </w:r>
      <w:r>
        <w:rPr>
          <w:rFonts w:ascii="Times New Roman" w:eastAsia="黑体" w:hAnsi="Times New Roman" w:hint="eastAsia"/>
          <w:highlight w:val="auto"/>
        </w:rPr>
        <w:t>政府性基金预算支出决算情况说明</w:t>
      </w:r>
      <w:r>
        <w:tab/>
      </w:r>
      <w:r>
        <w:fldChar w:fldCharType="begin"/>
      </w:r>
      <w:r>
        <w:instrText xml:space="preserve"> PAGEREF _Toc8681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_Toc27789 </w:instrText>
      </w:r>
      <w:r>
        <w:fldChar w:fldCharType="separate"/>
      </w:r>
      <w:r>
        <w:rPr>
          <w:rFonts w:ascii="Times New Roman" w:eastAsia="黑体" w:hAnsi="Times New Roman" w:hint="eastAsia"/>
          <w:lang w:eastAsia="zh-CN"/>
          <w:highlight w:val="auto"/>
        </w:rPr>
        <w:t>九、</w:t>
      </w:r>
      <w:r>
        <w:rPr>
          <w:rFonts w:ascii="Times New Roman" w:eastAsia="黑体" w:hAnsi="Times New Roman" w:hint="eastAsia"/>
          <w:highlight w:val="auto"/>
        </w:rPr>
        <w:t>国有资本经营预算支出决算情况说明</w:t>
      </w:r>
      <w:r>
        <w:tab/>
      </w:r>
      <w:r>
        <w:fldChar w:fldCharType="begin"/>
      </w:r>
      <w:r>
        <w:instrText xml:space="preserve"> PAGEREF _Toc27789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24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_Toc18616 </w:instrText>
      </w:r>
      <w:r>
        <w:fldChar w:fldCharType="separate"/>
      </w:r>
      <w:r>
        <w:rPr>
          <w:rFonts w:ascii="Times New Roman" w:eastAsia="黑体" w:hAnsi="Times New Roman" w:hint="eastAsia"/>
          <w:lang w:eastAsia="zh-CN"/>
          <w:highlight w:val="auto"/>
        </w:rPr>
        <w:t>十、</w:t>
      </w:r>
      <w:r>
        <w:rPr>
          <w:rFonts w:ascii="Times New Roman" w:eastAsia="黑体" w:hAnsi="Times New Roman" w:hint="eastAsia"/>
          <w:highlight w:val="auto"/>
        </w:rPr>
        <w:t>其他重要事项的情况说明</w:t>
      </w:r>
      <w:r>
        <w:tab/>
      </w:r>
      <w:r>
        <w:fldChar w:fldCharType="begin"/>
      </w:r>
      <w:r>
        <w:instrText xml:space="preserve"> PAGEREF _Toc18616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23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_Toc4453 </w:instrText>
      </w:r>
      <w:r>
        <w:fldChar w:fldCharType="separate"/>
      </w:r>
      <w:r>
        <w:rPr>
          <w:rFonts w:ascii="Times New Roman" w:eastAsia="黑体" w:hAnsi="Times New Roman" w:hint="eastAsia"/>
          <w:szCs w:val="44"/>
          <w:highlight w:val="auto"/>
        </w:rPr>
        <w:t>第</w:t>
      </w:r>
      <w:r>
        <w:rPr>
          <w:rFonts w:eastAsia="黑体" w:hint="eastAsia"/>
          <w:szCs w:val="44"/>
          <w:lang w:eastAsia="zh-CN"/>
          <w:highlight w:val="auto"/>
        </w:rPr>
        <w:t>三</w:t>
      </w:r>
      <w:r>
        <w:rPr>
          <w:rFonts w:ascii="Times New Roman" w:eastAsia="黑体" w:hAnsi="Times New Roman" w:hint="eastAsia"/>
          <w:szCs w:val="44"/>
          <w:highlight w:val="auto"/>
        </w:rPr>
        <w:t>部分</w:t>
      </w:r>
      <w:r>
        <w:rPr>
          <w:rFonts w:ascii="Times New Roman" w:eastAsia="黑体" w:hAnsi="Times New Roman" w:hint="eastAsia"/>
          <w:szCs w:val="44"/>
          <w:lang w:val="en-US" w:eastAsia="zh-CN"/>
          <w:highlight w:val="auto"/>
        </w:rPr>
        <w:t xml:space="preserve"> </w:t>
      </w:r>
      <w:r>
        <w:rPr>
          <w:rFonts w:eastAsia="黑体" w:hint="eastAsia"/>
          <w:szCs w:val="44"/>
          <w:lang w:val="en-US" w:eastAsia="zh-CN"/>
          <w:highlight w:val="auto"/>
        </w:rPr>
        <w:t xml:space="preserve"> </w:t>
      </w:r>
      <w:r>
        <w:rPr>
          <w:rFonts w:ascii="Times New Roman" w:eastAsia="黑体" w:hAnsi="Times New Roman" w:hint="eastAsia"/>
          <w:szCs w:val="44"/>
          <w:highlight w:val="auto"/>
        </w:rPr>
        <w:t>名词解释</w:t>
      </w:r>
      <w:r>
        <w:tab/>
      </w:r>
      <w:r>
        <w:fldChar w:fldCharType="begin"/>
      </w:r>
      <w:r>
        <w:instrText xml:space="preserve"> PAGEREF _Toc4453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>
      <w:pPr>
        <w:pStyle w:val="23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_Toc11136 </w:instrText>
      </w:r>
      <w:r>
        <w:fldChar w:fldCharType="separate"/>
      </w:r>
      <w:r>
        <w:rPr>
          <w:rFonts w:ascii="Times New Roman" w:eastAsia="黑体" w:hAnsi="Times New Roman" w:hint="eastAsia"/>
          <w:szCs w:val="44"/>
          <w:highlight w:val="auto"/>
        </w:rPr>
        <w:t>第</w:t>
      </w:r>
      <w:r>
        <w:rPr>
          <w:rFonts w:ascii="Times New Roman" w:eastAsia="黑体" w:hAnsi="Times New Roman" w:hint="eastAsia"/>
          <w:szCs w:val="44"/>
          <w:lang w:val="en-US" w:eastAsia="zh-CN"/>
          <w:highlight w:val="auto"/>
        </w:rPr>
        <w:t>四</w:t>
      </w:r>
      <w:r>
        <w:rPr>
          <w:rFonts w:ascii="Times New Roman" w:eastAsia="黑体" w:hAnsi="Times New Roman" w:hint="eastAsia"/>
          <w:szCs w:val="44"/>
          <w:highlight w:val="auto"/>
        </w:rPr>
        <w:t>部分</w:t>
      </w:r>
      <w:r>
        <w:rPr>
          <w:rFonts w:ascii="Times New Roman" w:eastAsia="黑体" w:hAnsi="Times New Roman" w:hint="eastAsia"/>
          <w:szCs w:val="44"/>
          <w:lang w:val="en-US" w:eastAsia="zh-CN"/>
          <w:highlight w:val="auto"/>
        </w:rPr>
        <w:t xml:space="preserve">  附件</w:t>
      </w:r>
      <w:r>
        <w:tab/>
      </w:r>
      <w:r>
        <w:fldChar w:fldCharType="begin"/>
      </w:r>
      <w:r>
        <w:instrText xml:space="preserve"> PAGEREF _Toc11136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>
      <w:pPr>
        <w:pStyle w:val="23"/>
        <w:keepNext w:val="0"/>
        <w:keepLines w:val="0"/>
        <w:pageBreakBefore w:val="0"/>
        <w:widowControl w:val="0"/>
        <w:tabs>
          <w:tab w:val="clear" w:pos="8296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fldChar w:fldCharType="begin"/>
      </w:r>
      <w:r>
        <w:instrText xml:space="preserve"> HYPERLINK \l _Toc7609 </w:instrText>
      </w:r>
      <w:r>
        <w:fldChar w:fldCharType="separate"/>
      </w:r>
      <w:r>
        <w:rPr>
          <w:rFonts w:ascii="Times New Roman" w:eastAsia="黑体" w:hAnsi="Times New Roman" w:hint="eastAsia"/>
          <w:szCs w:val="44"/>
          <w:highlight w:val="auto"/>
        </w:rPr>
        <w:t>第五部分 附表</w:t>
      </w:r>
      <w:r>
        <w:tab/>
      </w:r>
      <w:r>
        <w:fldChar w:fldCharType="begin"/>
      </w:r>
      <w:r>
        <w:instrText xml:space="preserve"> PAGEREF _Toc7609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>
      <w:pPr>
        <w:outlineLvl w:val="9"/>
      </w:pPr>
      <w:r>
        <w:fldChar w:fldCharType="end"/>
      </w:r>
    </w:p>
    <w:p>
      <w:pPr>
        <w:pStyle w:val="15"/>
        <w:outlineLvl w:val="9"/>
        <w:rPr>
          <w:rFonts w:ascii="Times New Roman" w:eastAsia="仿宋_GB2312" w:cs="仿宋_GB2312" w:hAnsi="Times New Roman" w:hint="eastAsia"/>
          <w:bCs/>
          <w:color w:val="auto"/>
          <w:kern w:val="44"/>
          <w:sz w:val="32"/>
          <w:szCs w:val="32"/>
          <w:highlight w:val="auto"/>
        </w:rPr>
      </w:pPr>
      <w:bookmarkStart w:id="6" w:name="_Toc15377196"/>
      <w:bookmarkStart w:id="7" w:name="_Toc15396599"/>
    </w:p>
    <w:p>
      <w:pPr>
        <w:outlineLvl w:val="9"/>
        <w:rPr>
          <w:rFonts w:ascii="Times New Roman" w:eastAsia="仿宋_GB2312" w:cs="仿宋_GB2312" w:hAnsi="Times New Roman" w:hint="eastAsia"/>
          <w:bCs/>
          <w:color w:val="auto"/>
          <w:kern w:val="44"/>
          <w:sz w:val="32"/>
          <w:szCs w:val="32"/>
          <w:highlight w:val="auto"/>
        </w:rPr>
      </w:pPr>
    </w:p>
    <w:p>
      <w:pPr>
        <w:numPr>
          <w:ilvl w:val="0"/>
          <w:numId w:val="1"/>
        </w:numPr>
        <w:bidi w:val="0"/>
        <w:jc w:val="center"/>
        <w:outlineLvl w:val="9"/>
        <w:rPr>
          <w:rStyle w:val="1Char"/>
          <w:rFonts w:ascii="Times New Roman" w:eastAsia="方正小标宋简体" w:cs="方正小标宋简体" w:hAnsi="Times New Roman" w:hint="eastAsia"/>
          <w:b w:val="0"/>
          <w:bCs w:val="0"/>
          <w:color w:val="auto"/>
          <w:highlight w:val="auto"/>
        </w:rPr>
        <w:sectPr>
          <w:footerReference w:type="default" r:id="rId4"/>
          <w:pgSz w:w="11906" w:h="16838"/>
          <w:pgMar w:top="1440" w:right="1800" w:bottom="1440" w:left="1800" w:header="851" w:footer="992" w:gutter="0"/>
          <w:pgNumType w:start="1"/>
          <w:docGrid w:type="lines" w:linePitch="312" w:charSpace="0"/>
        </w:sectPr>
      </w:pPr>
      <w:bookmarkStart w:id="8" w:name="_Toc30066"/>
      <w:bookmarkStart w:id="9" w:name="_Toc13131"/>
      <w:bookmarkStart w:id="10" w:name="_Toc22961"/>
      <w:bookmarkStart w:id="11" w:name="_Toc26121"/>
      <w:bookmarkStart w:id="12" w:name="_Toc27895"/>
    </w:p>
    <w:p>
      <w:pPr>
        <w:numPr>
          <w:ilvl w:val="0"/>
          <w:numId w:val="1"/>
        </w:numPr>
        <w:bidi w:val="0"/>
        <w:jc w:val="center"/>
        <w:outlineLvl w:val="9"/>
        <w:rPr>
          <w:rStyle w:val="1Char"/>
          <w:rFonts w:ascii="Times New Roman" w:eastAsia="方正小标宋简体" w:cs="方正小标宋简体" w:hAnsi="Times New Roman" w:hint="eastAsia"/>
          <w:b w:val="0"/>
          <w:bCs w:val="0"/>
          <w:color w:val="auto"/>
          <w:highlight w:val="auto"/>
        </w:rPr>
      </w:pPr>
      <w:bookmarkEnd w:id="8"/>
      <w:bookmarkEnd w:id="9"/>
      <w:bookmarkEnd w:id="10"/>
      <w:bookmarkEnd w:id="11"/>
      <w:bookmarkEnd w:id="12"/>
      <w:r>
        <w:rPr>
          <w:rStyle w:val="1Char"/>
          <w:rFonts w:eastAsia="方正小标宋简体" w:cs="方正小标宋简体" w:hint="eastAsia"/>
          <w:b w:val="0"/>
          <w:bCs w:val="0"/>
          <w:color w:val="auto"/>
          <w:lang w:val="en-US" w:eastAsia="zh-CN"/>
          <w:highlight w:val="auto"/>
        </w:rPr>
        <w:t xml:space="preserve"> </w:t>
      </w:r>
      <w:bookmarkStart w:id="13" w:name="_Toc3588"/>
      <w:r>
        <w:rPr>
          <w:rStyle w:val="1Char"/>
          <w:rFonts w:ascii="Times New Roman" w:eastAsia="方正小标宋简体" w:cs="方正小标宋简体" w:hAnsi="Times New Roman" w:hint="eastAsia"/>
          <w:b w:val="0"/>
          <w:bCs w:val="0"/>
          <w:color w:val="auto"/>
          <w:highlight w:val="auto"/>
        </w:rPr>
        <w:t>部门概况</w:t>
      </w:r>
      <w:bookmarkEnd w:id="6"/>
      <w:bookmarkEnd w:id="7"/>
    </w:p>
    <w:p>
      <w:pPr>
        <w:bidi w:val="0"/>
        <w:ind w:left="0" w:firstLineChars="200" w:firstLine="640"/>
        <w:jc w:val="both"/>
        <w:outlineLvl w:val="9"/>
        <w:rPr>
          <w:rFonts w:eastAsia="黑体" w:hint="eastAsia"/>
          <w:b w:val="0"/>
          <w:color w:val="auto"/>
          <w:sz w:val="32"/>
          <w:szCs w:val="32"/>
          <w:lang w:val="en-US" w:eastAsia="zh-CN"/>
          <w:highlight w:val="auto"/>
        </w:rPr>
      </w:pPr>
      <w:bookmarkEnd w:id="13"/>
    </w:p>
    <w:p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Style w:val="2Char"/>
          <w:rFonts w:ascii="Times New Roman" w:eastAsia="黑体" w:hAnsi="Times New Roman" w:hint="eastAsia"/>
          <w:b w:val="0"/>
          <w:bCs w:val="0"/>
          <w:color w:val="auto"/>
          <w:lang w:eastAsia="zh-CN"/>
          <w:highlight w:val="auto"/>
        </w:rPr>
      </w:pPr>
      <w:bookmarkStart w:id="14" w:name="_Toc23362"/>
      <w:r>
        <w:rPr>
          <w:rStyle w:val="2Char"/>
          <w:rFonts w:ascii="Times New Roman" w:eastAsia="黑体" w:hAnsi="Times New Roman" w:hint="eastAsia"/>
          <w:b w:val="0"/>
          <w:bCs w:val="0"/>
          <w:color w:val="auto"/>
          <w:lang w:val="en-US" w:eastAsia="zh-CN"/>
          <w:highlight w:val="auto"/>
        </w:rPr>
        <w:t>一、</w:t>
      </w:r>
      <w:r>
        <w:rPr>
          <w:rStyle w:val="2Char"/>
          <w:rFonts w:ascii="Times New Roman" w:eastAsia="黑体" w:hAnsi="Times New Roman" w:hint="eastAsia"/>
          <w:b w:val="0"/>
          <w:bCs w:val="0"/>
          <w:color w:val="auto"/>
          <w:lang w:eastAsia="zh-CN"/>
          <w:highlight w:val="auto"/>
        </w:rPr>
        <w:t>部门职责</w:t>
      </w:r>
      <w:bookmarkEnd w:id="14"/>
    </w:p>
    <w:p>
      <w:pPr>
        <w:pStyle w:val="18"/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Autospacing="0" w:line="560" w:lineRule="exact"/>
        <w:ind w:left="0" w:firstLineChars="200" w:firstLine="632"/>
        <w:jc w:val="left"/>
        <w:textAlignment w:val="auto"/>
        <w:outlineLvl w:val="9"/>
        <w:rPr>
          <w:rFonts w:ascii="仿宋_GB2312" w:eastAsia="仿宋_GB2312" w:cs="宋体" w:hint="eastAsia"/>
          <w:color w:val="000000"/>
          <w:spacing w:val="-2"/>
          <w:kern w:val="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1.负责吸毒人员查处、收戒、管控工作，做好吸毒人员动态管控；</w:t>
      </w:r>
    </w:p>
    <w:p>
      <w:pPr>
        <w:pStyle w:val="18"/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Autospacing="0" w:line="560" w:lineRule="exact"/>
        <w:ind w:left="0" w:firstLineChars="200" w:firstLine="632"/>
        <w:jc w:val="left"/>
        <w:textAlignment w:val="auto"/>
        <w:outlineLvl w:val="9"/>
        <w:rPr>
          <w:rFonts w:ascii="仿宋_GB2312" w:eastAsia="仿宋_GB2312" w:cs="宋体" w:hint="eastAsia"/>
          <w:color w:val="000000"/>
          <w:spacing w:val="-2"/>
          <w:kern w:val="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2.负责吸毒人员服务管理工作，做好自愿戒毒、强制隔离戒毒工作，落实戒毒康复工作；</w:t>
      </w:r>
    </w:p>
    <w:p>
      <w:pPr>
        <w:pStyle w:val="18"/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Autospacing="0" w:line="560" w:lineRule="exact"/>
        <w:ind w:left="0" w:firstLineChars="200" w:firstLine="632"/>
        <w:jc w:val="left"/>
        <w:textAlignment w:val="auto"/>
        <w:outlineLvl w:val="9"/>
        <w:rPr>
          <w:rFonts w:ascii="仿宋_GB2312" w:eastAsia="仿宋_GB2312" w:cs="宋体" w:hint="eastAsia"/>
          <w:color w:val="000000"/>
          <w:spacing w:val="-2"/>
          <w:kern w:val="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3.负责特殊人群服务管理工作，做好病残吸毒人员的收戒工作；</w:t>
      </w:r>
    </w:p>
    <w:p>
      <w:pPr>
        <w:pStyle w:val="18"/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Autospacing="0" w:line="560" w:lineRule="exact"/>
        <w:ind w:left="0" w:firstLineChars="200" w:firstLine="632"/>
        <w:jc w:val="left"/>
        <w:textAlignment w:val="auto"/>
        <w:outlineLvl w:val="9"/>
        <w:rPr>
          <w:rFonts w:hint="eastAsia"/>
          <w:lang w:eastAsia="zh-CN"/>
        </w:rPr>
      </w:pP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4.做好吸毒人员信息的维护、更新工作。</w:t>
      </w:r>
    </w:p>
    <w:p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Style w:val="2Char"/>
          <w:rFonts w:ascii="Times New Roman" w:hAnsi="Times New Roman"/>
          <w:b w:val="0"/>
          <w:bCs w:val="0"/>
          <w:color w:val="auto"/>
          <w:highlight w:val="auto"/>
        </w:rPr>
      </w:pPr>
      <w:bookmarkStart w:id="15" w:name="_Toc29607"/>
      <w:bookmarkStart w:id="16" w:name="_Toc15396601"/>
      <w:bookmarkStart w:id="17" w:name="_Toc15377200"/>
      <w:r>
        <w:rPr>
          <w:rFonts w:ascii="Times New Roman" w:eastAsia="黑体" w:hAnsi="Times New Roman" w:hint="eastAsia"/>
          <w:b w:val="0"/>
          <w:color w:val="auto"/>
          <w:lang w:val="en-US" w:eastAsia="zh-CN"/>
          <w:highlight w:val="auto"/>
        </w:rPr>
        <w:t>二、</w:t>
      </w:r>
      <w:r>
        <w:rPr>
          <w:rFonts w:ascii="Times New Roman" w:eastAsia="黑体" w:hAnsi="Times New Roman" w:hint="eastAsia"/>
          <w:b w:val="0"/>
          <w:color w:val="auto"/>
          <w:highlight w:val="auto"/>
        </w:rPr>
        <w:t>机</w:t>
      </w:r>
      <w:r>
        <w:rPr>
          <w:rStyle w:val="2Char"/>
          <w:rFonts w:ascii="Times New Roman" w:eastAsia="黑体" w:hAnsi="Times New Roman" w:hint="eastAsia"/>
          <w:b w:val="0"/>
          <w:bCs w:val="0"/>
          <w:color w:val="auto"/>
          <w:highlight w:val="auto"/>
        </w:rPr>
        <w:t>构设置</w:t>
      </w:r>
      <w:bookmarkEnd w:id="15"/>
      <w:bookmarkEnd w:id="16"/>
      <w:bookmarkEnd w:id="17"/>
    </w:p>
    <w:p>
      <w:pPr>
        <w:pStyle w:val="18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="93" w:line="560" w:lineRule="exact"/>
        <w:ind w:firstLineChars="200" w:firstLine="632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本单位本年度纳入本套决算编制范围的独立编制机构数共1个，比上年增加0个；独立核算机构数共1个，比上年增加0个</w:t>
      </w:r>
      <w:r>
        <w:rPr>
          <w:rFonts w:cs="仿宋_GB2312" w:hint="eastAsia"/>
          <w:color w:val="000000"/>
          <w:spacing w:val="-2"/>
          <w:kern w:val="0"/>
          <w:sz w:val="32"/>
          <w:szCs w:val="32"/>
          <w:lang w:eastAsia="zh-CN"/>
        </w:rPr>
        <w:t>，</w:t>
      </w:r>
      <w:r>
        <w:rPr>
          <w:rFonts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无下属二级预算单位。</w:t>
      </w:r>
      <w:r>
        <w:rPr>
          <w:rFonts w:ascii="宋体" w:eastAsia="宋体" w:cs="宋体" w:hint="eastAsia"/>
          <w:color w:val="000000"/>
          <w:spacing w:val="-2"/>
          <w:kern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" w:hAnsi="Times New Roman"/>
          <w:color w:val="auto"/>
          <w:kern w:val="0"/>
          <w:sz w:val="32"/>
          <w:szCs w:val="32"/>
          <w:highlight w:val="auto"/>
        </w:rPr>
      </w:pPr>
      <w:r>
        <w:rPr>
          <w:rFonts w:ascii="Times New Roman" w:eastAsia="仿宋" w:hAnsi="Times New Roman"/>
          <w:color w:val="auto"/>
          <w:sz w:val="32"/>
          <w:szCs w:val="32"/>
          <w:highlight w:val="auto"/>
        </w:rPr>
        <w:br w:type="page"/>
      </w:r>
    </w:p>
    <w:p>
      <w:pPr>
        <w:pStyle w:val="1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eastAsia="方正小标宋简体" w:cs="方正小标宋简体" w:hAnsi="Times New Roman" w:hint="eastAsia"/>
          <w:b w:val="0"/>
          <w:color w:val="auto"/>
          <w:highlight w:val="auto"/>
        </w:rPr>
      </w:pPr>
      <w:bookmarkStart w:id="18" w:name="_Toc15396602"/>
      <w:bookmarkStart w:id="19" w:name="_Toc15377204"/>
      <w:bookmarkStart w:id="20" w:name="_Toc31498"/>
      <w:r>
        <w:rPr>
          <w:rFonts w:ascii="Times New Roman" w:eastAsia="方正小标宋简体" w:cs="方正小标宋简体" w:hAnsi="Times New Roman" w:hint="eastAsia"/>
          <w:b w:val="0"/>
          <w:color w:val="auto"/>
          <w:highlight w:val="auto"/>
        </w:rPr>
        <w:t>第二部分</w:t>
      </w:r>
      <w:r>
        <w:rPr>
          <w:rFonts w:ascii="Times New Roman" w:eastAsia="方正小标宋简体" w:cs="方正小标宋简体" w:hAnsi="Times New Roman" w:hint="eastAsia"/>
          <w:b w:val="0"/>
          <w:color w:val="auto"/>
          <w:lang w:val="en-US" w:eastAsia="zh-CN"/>
          <w:highlight w:val="auto"/>
        </w:rPr>
        <w:t xml:space="preserve"> </w:t>
      </w:r>
      <w:r>
        <w:rPr>
          <w:rFonts w:ascii="Times New Roman" w:eastAsia="方正小标宋简体" w:cs="方正小标宋简体" w:hAnsi="Times New Roman" w:hint="eastAsia"/>
          <w:b w:val="0"/>
          <w:color w:val="auto"/>
          <w:highlight w:val="auto"/>
        </w:rPr>
        <w:t xml:space="preserve"> </w:t>
      </w:r>
      <w:r>
        <w:rPr>
          <w:rFonts w:eastAsia="方正小标宋简体" w:cs="方正小标宋简体" w:hint="eastAsia"/>
          <w:b w:val="0"/>
          <w:color w:val="auto"/>
          <w:lang w:val="en-US" w:eastAsia="zh-CN"/>
          <w:highlight w:val="auto"/>
        </w:rPr>
        <w:t>2025年度</w:t>
      </w:r>
      <w:r>
        <w:rPr>
          <w:rFonts w:ascii="Times New Roman" w:eastAsia="方正小标宋简体" w:cs="方正小标宋简体" w:hAnsi="Times New Roman" w:hint="eastAsia"/>
          <w:b w:val="0"/>
          <w:color w:val="auto"/>
          <w:highlight w:val="auto"/>
        </w:rPr>
        <w:t>部门决算情况说明</w:t>
      </w:r>
      <w:bookmarkEnd w:id="18"/>
      <w:bookmarkEnd w:id="19"/>
      <w:bookmarkEnd w:id="20"/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黑体" w:hAnsi="Times New Roman" w:hint="eastAsia"/>
          <w:color w:val="auto"/>
          <w:sz w:val="32"/>
          <w:szCs w:val="32"/>
          <w:lang w:eastAsia="zh-CN"/>
          <w:highlight w:val="auto"/>
        </w:rPr>
      </w:pPr>
      <w:bookmarkStart w:id="21" w:name="_Toc15377205"/>
      <w:bookmarkStart w:id="22" w:name="_Toc15396603"/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</w:pPr>
      <w:bookmarkStart w:id="23" w:name="_Toc16477"/>
      <w:r>
        <w:rPr>
          <w:rFonts w:ascii="Times New Roman" w:eastAsia="黑体" w:hAnsi="Times New Roman" w:hint="eastAsia"/>
          <w:color w:val="auto"/>
          <w:sz w:val="32"/>
          <w:szCs w:val="32"/>
          <w:lang w:eastAsia="zh-CN"/>
          <w:highlight w:val="auto"/>
        </w:rPr>
        <w:t>一、</w:t>
      </w:r>
      <w:r>
        <w:rPr>
          <w:rFonts w:ascii="Times New Roman" w:eastAsia="黑体" w:hAnsi="Times New Roman" w:hint="eastAsia"/>
          <w:color w:val="auto"/>
          <w:sz w:val="32"/>
          <w:szCs w:val="32"/>
          <w:highlight w:val="auto"/>
        </w:rPr>
        <w:t>收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入支出决算总体情况说明</w:t>
      </w:r>
      <w:bookmarkEnd w:id="21"/>
      <w:bookmarkEnd w:id="22"/>
      <w:bookmarkEnd w:id="23"/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32"/>
        <w:textAlignment w:val="auto"/>
        <w:outlineLvl w:val="9"/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  <w:lang w:val="en-US" w:eastAsia="zh-CN" w:bidi="ar-SA"/>
        </w:rPr>
        <w:t>2025年度收入、支出总计均为105.13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  <w:lang w:val="en-US" w:bidi="ar-SA"/>
        </w:rPr>
        <w:t>万元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  <w:lang w:val="en-US" w:eastAsia="zh-CN" w:bidi="ar-SA"/>
        </w:rPr>
        <w:t>。与上年度相比，收入、支出总计均增加7.28万元，增幅7.44%。主要变动原因是：</w:t>
      </w:r>
      <w:r>
        <w:rPr>
          <w:rFonts w:ascii="仿宋_GB2312" w:eastAsia="仿宋_GB2312" w:cs="仿宋_GB2312" w:hint="eastAsia"/>
          <w:b/>
          <w:bCs/>
          <w:color w:val="000000"/>
          <w:spacing w:val="-2"/>
          <w:kern w:val="0"/>
          <w:sz w:val="32"/>
          <w:szCs w:val="32"/>
          <w:lang w:val="en-US" w:eastAsia="zh-CN" w:bidi="ar-SA"/>
        </w:rPr>
        <w:t>人员工资调整，增加了人员工资、社保缴费及日常公用经费支出。</w:t>
      </w: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drawing>
          <wp:anchor distT="0" distB="0" distL="114300" distR="114300" simplePos="0" relativeHeight="19" behindDoc="0" locked="0" layoutInCell="1" hidden="0" allowOverlap="1">
            <wp:simplePos x="0" y="0"/>
            <wp:positionH relativeFrom="column">
              <wp:posOffset>-7620</wp:posOffset>
            </wp:positionH>
            <wp:positionV relativeFrom="paragraph">
              <wp:posOffset>299085</wp:posOffset>
            </wp:positionV>
            <wp:extent cx="5247639" cy="2997200"/>
            <wp:effectExtent l="0" t="0" r="0" b="0"/>
            <wp:wrapNone/>
            <wp:docPr id="4" name="图表 2"/>
            <wp:cNvGraphicFramePr>
              <a:graphicFrameLocks noChangeAspect="0"/>
            </wp:cNvGraphicFramePr>
            <a:graphic>
              <a:graphicData uri="http://schemas.openxmlformats.org/drawingml/2006/chart">
                <c:chart xmlns:c="http://schemas.openxmlformats.org/drawingml/2006/chart" r:id="rId6"/>
              </a:graphicData>
            </a:graphic>
          </wp:anchor>
        </w:drawing>
      </w: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/>
          <w:color w:val="auto"/>
          <w:sz w:val="32"/>
          <w:szCs w:val="32"/>
          <w:lang w:val="en-US" w:eastAsia="zh-CN"/>
          <w:highlight w:val="auto"/>
        </w:rPr>
      </w:pPr>
      <w:r>
        <w:rPr>
          <w:rFonts w:eastAsia="仿宋_GB2312" w:cs="仿宋_GB2312" w:hint="eastAsia"/>
          <w:color w:val="auto"/>
          <w:sz w:val="32"/>
          <w:szCs w:val="32"/>
          <w:lang w:val="en-US" w:eastAsia="zh-CN"/>
          <w:highlight w:val="auto"/>
        </w:rPr>
        <w:t xml:space="preserve">    </w:t>
      </w: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/>
          <w:color w:val="auto"/>
          <w:sz w:val="32"/>
          <w:szCs w:val="32"/>
          <w:lang w:val="en-US" w:eastAsia="zh-CN"/>
          <w:highlight w:val="auto"/>
        </w:rPr>
      </w:pPr>
      <w:r>
        <w:rPr>
          <w:rFonts w:eastAsia="仿宋_GB2312" w:cs="仿宋_GB2312" w:hint="eastAsia"/>
          <w:color w:val="auto"/>
          <w:sz w:val="32"/>
          <w:szCs w:val="32"/>
          <w:lang w:val="en-US" w:eastAsia="zh-CN"/>
          <w:highlight w:val="auto"/>
        </w:rPr>
        <w:t xml:space="preserve">  </w:t>
      </w: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（图1：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收入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、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支出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决算总计变动情况图）（柱状图）</w:t>
      </w: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黑体" w:hAnsi="Times New Roman" w:hint="eastAsia"/>
          <w:color w:val="auto"/>
          <w:sz w:val="32"/>
          <w:szCs w:val="32"/>
          <w:lang w:eastAsia="zh-CN"/>
          <w:highlight w:val="auto"/>
        </w:rPr>
      </w:pPr>
      <w:bookmarkStart w:id="24" w:name="_Toc15377206"/>
      <w:bookmarkStart w:id="25" w:name="_Toc15396604"/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黑体" w:hAnsi="Times New Roman" w:hint="eastAsia"/>
          <w:color w:val="auto"/>
          <w:sz w:val="32"/>
          <w:szCs w:val="32"/>
          <w:lang w:eastAsia="zh-CN"/>
          <w:highlight w:val="auto"/>
        </w:rPr>
      </w:pPr>
      <w:bookmarkStart w:id="26" w:name="_Toc14606"/>
      <w:r>
        <w:rPr>
          <w:rFonts w:ascii="Times New Roman" w:eastAsia="黑体" w:hAnsi="Times New Roman" w:hint="eastAsia"/>
          <w:color w:val="auto"/>
          <w:sz w:val="32"/>
          <w:szCs w:val="32"/>
          <w:lang w:eastAsia="zh-CN"/>
          <w:highlight w:val="auto"/>
        </w:rPr>
        <w:t>二、收入决算情况说明</w:t>
      </w:r>
      <w:bookmarkEnd w:id="24"/>
      <w:bookmarkEnd w:id="25"/>
      <w:bookmarkEnd w:id="26"/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  <w:r>
        <w:rPr>
          <w:rFonts w:eastAsia="仿宋_GB2312" w:cs="仿宋_GB2312" w:hint="eastAsia"/>
          <w:color w:val="auto"/>
          <w:sz w:val="32"/>
          <w:szCs w:val="32"/>
          <w:lang w:eastAsia="zh-CN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本年收入合计</w:t>
      </w:r>
      <w:r>
        <w:rPr>
          <w:rFonts w:ascii="仿宋_GB2312" w:cs="仿宋_GB2312" w:hAnsi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105.13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万元，其中：一般公共预算财政拨款收入</w:t>
      </w:r>
      <w:r>
        <w:rPr>
          <w:rFonts w:ascii="仿宋_GB2312" w:cs="仿宋_GB2312" w:hAnsi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105.13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万元，占</w:t>
      </w:r>
      <w:r>
        <w:rPr>
          <w:rFonts w:eastAsia="仿宋_GB2312" w:cs="仿宋_GB2312" w:hint="eastAsia"/>
          <w:color w:val="auto"/>
          <w:sz w:val="32"/>
          <w:szCs w:val="32"/>
          <w:lang w:val="en-US" w:eastAsia="zh-CN"/>
          <w:highlight w:val="auto"/>
        </w:rPr>
        <w:t>100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%。</w:t>
      </w: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drawing>
          <wp:anchor distT="0" distB="0" distL="114300" distR="114300" simplePos="0" relativeHeight="21" behindDoc="0" locked="0" layoutInCell="1" hidden="0" allowOverlap="1">
            <wp:simplePos x="0" y="0"/>
            <wp:positionH relativeFrom="column">
              <wp:posOffset>1905</wp:posOffset>
            </wp:positionH>
            <wp:positionV relativeFrom="paragraph">
              <wp:posOffset>168275</wp:posOffset>
            </wp:positionV>
            <wp:extent cx="5256530" cy="2988310"/>
            <wp:effectExtent l="0" t="0" r="0" b="0"/>
            <wp:wrapNone/>
            <wp:docPr id="5" name="图表 4"/>
            <wp:cNvGraphicFramePr>
              <a:graphicFrameLocks noChangeAspect="0"/>
            </wp:cNvGraphicFramePr>
            <a:graphic>
              <a:graphicData uri="http://schemas.openxmlformats.org/drawingml/2006/chart">
                <c:chart xmlns:c="http://schemas.openxmlformats.org/drawingml/2006/chart" r:id="rId7"/>
              </a:graphicData>
            </a:graphic>
          </wp:anchor>
        </w:drawing>
      </w: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500" w:firstLine="1600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（图2：收入决算结构图）（饼状图）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50" w:firstLine="800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</w:pPr>
      <w:bookmarkStart w:id="27" w:name="_Toc15377207"/>
      <w:bookmarkStart w:id="28" w:name="_Toc15396605"/>
      <w:bookmarkStart w:id="29" w:name="_Toc4173"/>
      <w:r>
        <w:rPr>
          <w:rFonts w:ascii="Times New Roman" w:eastAsia="黑体" w:hAnsi="Times New Roman" w:hint="eastAsia"/>
          <w:color w:val="auto"/>
          <w:sz w:val="32"/>
          <w:szCs w:val="32"/>
          <w:lang w:eastAsia="zh-CN"/>
          <w:highlight w:val="auto"/>
        </w:rPr>
        <w:t>三、</w:t>
      </w:r>
      <w:r>
        <w:rPr>
          <w:rFonts w:ascii="Times New Roman" w:eastAsia="黑体" w:hAnsi="Times New Roman" w:hint="eastAsia"/>
          <w:color w:val="auto"/>
          <w:sz w:val="32"/>
          <w:szCs w:val="32"/>
          <w:highlight w:val="auto"/>
        </w:rPr>
        <w:t>支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出决算情况说明</w:t>
      </w:r>
      <w:bookmarkEnd w:id="27"/>
      <w:bookmarkEnd w:id="28"/>
      <w:bookmarkEnd w:id="29"/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  <w:r>
        <w:rPr>
          <w:rFonts w:eastAsia="仿宋_GB2312" w:cs="仿宋_GB2312" w:hint="eastAsia"/>
          <w:color w:val="auto"/>
          <w:sz w:val="32"/>
          <w:szCs w:val="32"/>
          <w:lang w:eastAsia="zh-CN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本年支出合计</w:t>
      </w:r>
      <w:r>
        <w:rPr>
          <w:rFonts w:eastAsia="仿宋_GB2312" w:cs="仿宋_GB2312" w:hint="eastAsia"/>
          <w:color w:val="auto"/>
          <w:sz w:val="32"/>
          <w:szCs w:val="32"/>
          <w:lang w:val="en-US" w:eastAsia="zh-CN"/>
          <w:highlight w:val="auto"/>
        </w:rPr>
        <w:t>105.13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万元，其中：基本支出</w:t>
      </w:r>
      <w:r>
        <w:rPr>
          <w:rFonts w:eastAsia="仿宋_GB2312" w:cs="仿宋_GB2312" w:hint="eastAsia"/>
          <w:color w:val="auto"/>
          <w:sz w:val="32"/>
          <w:szCs w:val="32"/>
          <w:lang w:val="en-US" w:eastAsia="zh-CN"/>
          <w:highlight w:val="auto"/>
        </w:rPr>
        <w:t>105.13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万元，占</w:t>
      </w:r>
      <w:r>
        <w:rPr>
          <w:rFonts w:eastAsia="仿宋_GB2312" w:cs="仿宋_GB2312" w:hint="eastAsia"/>
          <w:color w:val="auto"/>
          <w:sz w:val="32"/>
          <w:szCs w:val="32"/>
          <w:lang w:val="en-US" w:eastAsia="zh-CN"/>
          <w:highlight w:val="auto"/>
        </w:rPr>
        <w:t>100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%。</w:t>
      </w: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drawing>
          <wp:anchor distT="0" distB="0" distL="114300" distR="114300" simplePos="0" relativeHeight="23" behindDoc="0" locked="0" layoutInCell="1" hidden="0" allowOverlap="1">
            <wp:simplePos x="0" y="0"/>
            <wp:positionH relativeFrom="column">
              <wp:posOffset>144779</wp:posOffset>
            </wp:positionH>
            <wp:positionV relativeFrom="paragraph">
              <wp:posOffset>12065</wp:posOffset>
            </wp:positionV>
            <wp:extent cx="5027930" cy="2846070"/>
            <wp:effectExtent l="0" t="0" r="0" b="0"/>
            <wp:wrapNone/>
            <wp:docPr id="6" name="图表 5"/>
            <wp:cNvGraphicFramePr>
              <a:graphicFrameLocks noChangeAspect="0"/>
            </wp:cNvGraphicFramePr>
            <a:graphic>
              <a:graphicData uri="http://schemas.openxmlformats.org/drawingml/2006/chart">
                <c:chart xmlns:c="http://schemas.openxmlformats.org/drawingml/2006/chart" r:id="rId8"/>
              </a:graphicData>
            </a:graphic>
          </wp:anchor>
        </w:drawing>
      </w: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1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（图3：支出决算结构图）（饼状图）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50" w:firstLine="800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1"/>
        <w:rPr>
          <w:rStyle w:val="2Char"/>
          <w:rFonts w:ascii="Times New Roman" w:eastAsia="黑体" w:hAnsi="Times New Roman"/>
          <w:b w:val="0"/>
          <w:color w:val="auto"/>
          <w:highlight w:val="auto"/>
        </w:rPr>
      </w:pPr>
      <w:bookmarkStart w:id="30" w:name="_Toc15377208"/>
      <w:bookmarkStart w:id="31" w:name="_Toc10087"/>
      <w:bookmarkStart w:id="32" w:name="_Toc15396606"/>
      <w:r>
        <w:rPr>
          <w:rFonts w:ascii="Times New Roman" w:eastAsia="黑体" w:hAnsi="Times New Roman" w:hint="eastAsia"/>
          <w:color w:val="auto"/>
          <w:sz w:val="32"/>
          <w:szCs w:val="32"/>
          <w:highlight w:val="auto"/>
        </w:rPr>
        <w:t>四、财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政拨款收入支出决算总体情况说明</w:t>
      </w:r>
      <w:bookmarkEnd w:id="30"/>
      <w:bookmarkEnd w:id="31"/>
      <w:bookmarkEnd w:id="32"/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9"/>
        <w:rPr>
          <w:rStyle w:val="36"/>
          <w:rFonts w:ascii="仿宋_GB2312" w:eastAsia="仿宋_GB2312" w:cs="仿宋_GB2312" w:hint="eastAsia"/>
          <w:b/>
          <w:bCs w:val="0"/>
          <w:sz w:val="32"/>
          <w:szCs w:val="32"/>
          <w:lang w:val="en-US" w:eastAsia="zh-CN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财政拨款收入、支出总计均为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105.13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万元。与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上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年度相比，财政拨款收入、支出总计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均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增加7.28万元，增幅7.44%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。主要变动原因是</w:t>
      </w:r>
      <w:r>
        <w:rPr>
          <w:rFonts w:eastAsia="仿宋_GB2312" w:cs="仿宋_GB2312" w:hint="eastAsia"/>
          <w:color w:val="auto"/>
          <w:sz w:val="32"/>
          <w:szCs w:val="32"/>
          <w:lang w:eastAsia="zh-CN"/>
          <w:highlight w:val="auto"/>
        </w:rPr>
        <w:t>：</w:t>
      </w:r>
      <w:r>
        <w:rPr>
          <w:rStyle w:val="36"/>
          <w:rFonts w:ascii="仿宋_GB2312" w:eastAsia="仿宋_GB2312" w:cs="仿宋_GB2312" w:hint="eastAsia"/>
          <w:b/>
          <w:bCs w:val="0"/>
          <w:sz w:val="32"/>
          <w:szCs w:val="32"/>
          <w:lang w:val="en-US" w:eastAsia="zh-CN"/>
        </w:rPr>
        <w:t>人员工资调整，增加了人员工资、社保缴费及日常公用经费支出。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drawing>
          <wp:anchor distT="0" distB="0" distL="114300" distR="114300" simplePos="0" relativeHeight="25" behindDoc="0" locked="0" layoutInCell="1" hidden="0" allowOverlap="1">
            <wp:simplePos x="0" y="0"/>
            <wp:positionH relativeFrom="column">
              <wp:posOffset>78105</wp:posOffset>
            </wp:positionH>
            <wp:positionV relativeFrom="paragraph">
              <wp:posOffset>165100</wp:posOffset>
            </wp:positionV>
            <wp:extent cx="5256530" cy="2988310"/>
            <wp:effectExtent l="0" t="0" r="0" b="0"/>
            <wp:wrapNone/>
            <wp:docPr id="7" name="图表 7"/>
            <wp:cNvGraphicFramePr>
              <a:graphicFrameLocks noChangeAspect="0"/>
            </wp:cNvGraphicFramePr>
            <a:graphic>
              <a:graphicData uri="http://schemas.openxmlformats.org/drawingml/2006/chart">
                <c:chart xmlns:c="http://schemas.openxmlformats.org/drawingml/2006/chart" r:id="rId9"/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（图4：财政拨款收、支决算总计变动情况）（柱状图）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1"/>
        <w:rPr>
          <w:rStyle w:val="2Char"/>
          <w:rFonts w:ascii="Times New Roman" w:eastAsia="黑体" w:hAnsi="Times New Roman"/>
          <w:b w:val="0"/>
          <w:color w:val="auto"/>
          <w:highlight w:val="auto"/>
        </w:rPr>
      </w:pPr>
      <w:bookmarkStart w:id="33" w:name="_Toc15377209"/>
      <w:bookmarkStart w:id="34" w:name="_Toc14278"/>
      <w:bookmarkStart w:id="35" w:name="_Toc15396607"/>
      <w:r>
        <w:rPr>
          <w:rFonts w:ascii="Times New Roman" w:eastAsia="黑体" w:hAnsi="Times New Roman" w:hint="eastAsia"/>
          <w:color w:val="auto"/>
          <w:sz w:val="32"/>
          <w:szCs w:val="32"/>
          <w:highlight w:val="auto"/>
        </w:rPr>
        <w:t>五、</w:t>
      </w:r>
      <w:r>
        <w:rPr>
          <w:rFonts w:ascii="Times New Roman" w:eastAsia="黑体" w:hAnsi="Times New Roman" w:hint="eastAsia"/>
          <w:b/>
          <w:color w:val="auto"/>
          <w:sz w:val="32"/>
          <w:szCs w:val="32"/>
          <w:highlight w:val="auto"/>
        </w:rPr>
        <w:t>一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般公共预算财政拨款支出决算情况说明</w:t>
      </w:r>
      <w:bookmarkEnd w:id="33"/>
      <w:bookmarkEnd w:id="34"/>
      <w:bookmarkEnd w:id="35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2"/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</w:pPr>
      <w:bookmarkStart w:id="36" w:name="_Toc15377210"/>
      <w:r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  <w:t>（一）一般公共预算财政拨款支出决算总体情况</w:t>
      </w:r>
      <w:bookmarkEnd w:id="36"/>
    </w:p>
    <w:p>
      <w:pPr>
        <w:pStyle w:val="3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outlineLvl w:val="9"/>
        <w:rPr>
          <w:rStyle w:val="36"/>
          <w:rFonts w:ascii="仿宋_GB2312" w:eastAsia="仿宋_GB2312" w:cs="仿宋_GB2312" w:hint="eastAsia"/>
          <w:b/>
          <w:bCs w:val="0"/>
          <w:sz w:val="32"/>
          <w:szCs w:val="32"/>
          <w:lang w:val="en-US" w:eastAsia="zh-CN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一般公共预算财政拨款支出</w:t>
      </w:r>
      <w:r>
        <w:rPr>
          <w:rFonts w:ascii="仿宋_GB2312" w:cs="仿宋_GB2312" w:hAnsi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105.13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万元，占本年支出合计的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%。与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上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年度相比，一般公共预算财政拨款支出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增加7.28万元，增幅7.44%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。主要变动原因是</w:t>
      </w:r>
      <w:r>
        <w:rPr>
          <w:rFonts w:eastAsia="仿宋_GB2312" w:cs="仿宋_GB2312" w:hint="eastAsia"/>
          <w:color w:val="auto"/>
          <w:sz w:val="32"/>
          <w:szCs w:val="32"/>
          <w:lang w:eastAsia="zh-CN"/>
          <w:highlight w:val="auto"/>
        </w:rPr>
        <w:t>：</w:t>
      </w:r>
      <w:r>
        <w:rPr>
          <w:rStyle w:val="36"/>
          <w:rFonts w:ascii="仿宋_GB2312" w:eastAsia="仿宋_GB2312" w:cs="仿宋_GB2312" w:hint="eastAsia"/>
          <w:b/>
          <w:bCs w:val="0"/>
          <w:sz w:val="32"/>
          <w:szCs w:val="32"/>
          <w:lang w:val="en-US" w:eastAsia="zh-CN"/>
        </w:rPr>
        <w:t>人员工资调整，增加了人员工资、社保缴费及日常公用经费支出。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drawing>
          <wp:anchor distT="0" distB="0" distL="114300" distR="114300" simplePos="0" relativeHeight="27" behindDoc="0" locked="0" layoutInCell="1" hidden="0" allowOverlap="1">
            <wp:simplePos x="0" y="0"/>
            <wp:positionH relativeFrom="column">
              <wp:posOffset>62230</wp:posOffset>
            </wp:positionH>
            <wp:positionV relativeFrom="paragraph">
              <wp:posOffset>323850</wp:posOffset>
            </wp:positionV>
            <wp:extent cx="5256530" cy="2988310"/>
            <wp:effectExtent l="0" t="0" r="0" b="0"/>
            <wp:wrapNone/>
            <wp:docPr id="8" name="图表 8"/>
            <wp:cNvGraphicFramePr>
              <a:graphicFrameLocks noChangeAspect="0"/>
            </wp:cNvGraphicFramePr>
            <a:graphic>
              <a:graphicData uri="http://schemas.openxmlformats.org/drawingml/2006/chart">
                <c:chart xmlns:c="http://schemas.openxmlformats.org/drawingml/2006/chart" r:id="rId10"/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（图5：一般公共预算财政拨款支出决算变动情况）（柱状图）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outlineLvl w:val="9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2"/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</w:pPr>
      <w:bookmarkStart w:id="37" w:name="_Toc15377211"/>
      <w:r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  <w:t>（二）一般公共预算财政拨款支出决算结构情况</w:t>
      </w:r>
      <w:bookmarkEnd w:id="37"/>
    </w:p>
    <w:p>
      <w:pPr>
        <w:pStyle w:val="1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 w:val="0"/>
        <w:spacing w:beforeAutospacing="0" w:afterAutospacing="0" w:line="560" w:lineRule="exact"/>
        <w:ind w:left="0" w:firstLineChars="200" w:firstLine="640"/>
        <w:jc w:val="left"/>
        <w:textAlignment w:val="auto"/>
        <w:rPr>
          <w:rFonts w:ascii="仿宋_GB2312" w:eastAsia="仿宋_GB2312" w:cs="宋体"/>
          <w:color w:val="000000"/>
          <w:spacing w:val="-2"/>
          <w:kern w:val="0"/>
          <w:sz w:val="32"/>
          <w:szCs w:val="32"/>
          <w:lang w:val="en-US" w:eastAsia="zh-CN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一般公共预算财政拨款支出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105.13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万元，主要用于以下方面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一般公共服务支出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105.13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万元，占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%；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公共安全支出为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78.79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万元，占比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74.95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%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eastAsia="zh-CN"/>
        </w:rPr>
        <w:t>；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社会保障和就业支出为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13.36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元，占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12.71%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；卫生健康支出为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5.13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万元，占比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4.88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%</w:t>
      </w:r>
      <w:r>
        <w:rPr>
          <w:rFonts w:ascii="仿宋_GB2312" w:cs="宋体" w:hint="eastAsia"/>
          <w:color w:val="000000"/>
          <w:spacing w:val="-2"/>
          <w:kern w:val="0"/>
          <w:sz w:val="32"/>
          <w:szCs w:val="32"/>
          <w:lang w:eastAsia="zh-CN"/>
        </w:rPr>
        <w:t>；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住房保障支出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eastAsia="zh-CN"/>
        </w:rPr>
        <w:t>为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7.85万元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，占比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val="en-US" w:eastAsia="zh-CN"/>
        </w:rPr>
        <w:t>7.47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%</w:t>
      </w:r>
      <w:r>
        <w:rPr>
          <w:rFonts w:ascii="仿宋_GB2312" w:cs="仿宋_GB2312" w:hint="eastAsia"/>
          <w:color w:val="000000"/>
          <w:spacing w:val="-2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drawing>
          <wp:anchor distT="0" distB="0" distL="114300" distR="114300" simplePos="0" relativeHeight="29" behindDoc="0" locked="0" layoutInCell="1" hidden="0" allowOverlap="1">
            <wp:simplePos x="0" y="0"/>
            <wp:positionH relativeFrom="column">
              <wp:posOffset>97155</wp:posOffset>
            </wp:positionH>
            <wp:positionV relativeFrom="paragraph">
              <wp:posOffset>60325</wp:posOffset>
            </wp:positionV>
            <wp:extent cx="5256530" cy="2988310"/>
            <wp:effectExtent l="0" t="0" r="0" b="0"/>
            <wp:wrapNone/>
            <wp:docPr id="9" name="图表 9"/>
            <wp:cNvGraphicFramePr>
              <a:graphicFrameLocks noChangeAspect="0"/>
            </wp:cNvGraphicFramePr>
            <a:graphic>
              <a:graphicData uri="http://schemas.openxmlformats.org/drawingml/2006/chart">
                <c:chart xmlns:c="http://schemas.openxmlformats.org/drawingml/2006/chart" r:id="rId11"/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（图6：一般公共预算财政拨款支出决算结构）（饼状图）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2"/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</w:pPr>
      <w:bookmarkStart w:id="38" w:name="_Toc15377212"/>
      <w:r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  <w:t>（三）一般公共预算财政拨款支出决算具体情况</w:t>
      </w:r>
      <w:bookmarkEnd w:id="38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bookmarkStart w:id="39" w:name="_Toc15377213"/>
      <w:bookmarkStart w:id="40" w:name="_Toc15377444"/>
      <w:bookmarkStart w:id="41" w:name="_Toc15378460"/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一般公共预算支出决算数为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105.13万元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，完成预算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%。其中：</w:t>
      </w:r>
      <w:bookmarkEnd w:id="39"/>
      <w:bookmarkEnd w:id="40"/>
      <w:bookmarkEnd w:id="41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1.公共安全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（204）：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决算为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78.79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万元，完成预算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%，决算数等于预算数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2.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社会保障和就业</w:t>
      </w:r>
      <w:bookmarkStart w:id="42" w:name="_GoBack"/>
      <w:bookmarkEnd w:id="42"/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支出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208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）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决算为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13.36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万元，完成预算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%，决算数等于预算数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3.卫生健康支出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210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）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支出决算为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5.13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万元，完成预算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%，决算数等于预算数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4.住房保障支出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221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）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支出决算为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7.85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万元，完成预算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%，决算数等于预算数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tabs>
          <w:tab w:val="right" w:pos="830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outlineLvl w:val="1"/>
        <w:rPr>
          <w:rStyle w:val="2Char"/>
          <w:rFonts w:ascii="Times New Roman" w:hAnsi="Times New Roman"/>
          <w:color w:val="auto"/>
          <w:highlight w:val="auto"/>
        </w:rPr>
      </w:pPr>
      <w:bookmarkStart w:id="43" w:name="_Toc29881"/>
      <w:bookmarkStart w:id="44" w:name="_Toc15377214"/>
      <w:bookmarkStart w:id="45" w:name="_Toc15396608"/>
      <w:r>
        <w:rPr>
          <w:rFonts w:ascii="Times New Roman" w:eastAsia="黑体" w:hAnsi="Times New Roman" w:hint="eastAsia"/>
          <w:color w:val="auto"/>
          <w:sz w:val="32"/>
          <w:szCs w:val="32"/>
          <w:highlight w:val="auto"/>
        </w:rPr>
        <w:t>六</w:t>
      </w:r>
      <w:r>
        <w:rPr>
          <w:rFonts w:ascii="Times New Roman" w:eastAsia="黑体" w:hAnsi="Times New Roman" w:hint="eastAsia"/>
          <w:b/>
          <w:color w:val="auto"/>
          <w:sz w:val="32"/>
          <w:szCs w:val="32"/>
          <w:highlight w:val="auto"/>
        </w:rPr>
        <w:t>、一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般公共预算财政拨款基本支出决算情况说明</w:t>
      </w:r>
      <w:bookmarkEnd w:id="43"/>
      <w:bookmarkEnd w:id="44"/>
      <w:bookmarkEnd w:id="45"/>
      <w:r>
        <w:rPr>
          <w:rStyle w:val="2Char"/>
          <w:rFonts w:ascii="Times New Roman" w:eastAsia="黑体" w:hAnsi="Times New Roman"/>
          <w:b w:val="0"/>
          <w:color w:val="auto"/>
          <w:highlight w:val="auto"/>
        </w:rPr>
        <w:tab/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一般公共预算财政拨款基本支出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105.13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万元，其中：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人员经费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93.31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万元，主要包括：基本工资、津贴补贴、奖金、绩效工资、机关事业单位基本养老保险缴费、职业年金缴费、其他社会保障缴费、住房公积金等。</w:t>
        <w:br/>
        <w:t>　　公用经费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11.82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万元，主要包括：办公费、水费、电费、邮电费、维修（护）费、福利费等。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outlineLvl w:val="1"/>
        <w:rPr>
          <w:rStyle w:val="2Char"/>
          <w:rFonts w:ascii="Times New Roman" w:eastAsia="黑体" w:hAnsi="Times New Roman"/>
          <w:b w:val="0"/>
          <w:color w:val="auto"/>
          <w:highlight w:val="auto"/>
        </w:rPr>
      </w:pPr>
      <w:bookmarkStart w:id="46" w:name="_Toc15377215"/>
      <w:bookmarkStart w:id="47" w:name="_Toc541"/>
      <w:bookmarkStart w:id="48" w:name="_Toc15396609"/>
      <w:r>
        <w:rPr>
          <w:rFonts w:ascii="Times New Roman" w:eastAsia="黑体" w:hAnsi="Times New Roman" w:hint="eastAsia"/>
          <w:color w:val="auto"/>
          <w:sz w:val="32"/>
          <w:szCs w:val="32"/>
          <w:highlight w:val="auto"/>
        </w:rPr>
        <w:t>七、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财政拨款</w:t>
      </w:r>
      <w:r>
        <w:rPr>
          <w:rStyle w:val="2Char"/>
          <w:rFonts w:ascii="Times New Roman" w:eastAsia="黑体" w:hAnsi="Times New Roman" w:hint="eastAsia"/>
          <w:color w:val="auto"/>
          <w:highlight w:val="auto"/>
        </w:rPr>
        <w:t>“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三公”经费支出决算情况说明</w:t>
      </w:r>
      <w:bookmarkEnd w:id="46"/>
      <w:bookmarkEnd w:id="47"/>
      <w:bookmarkEnd w:id="48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2"/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</w:pPr>
      <w:bookmarkStart w:id="49" w:name="_Toc15377216"/>
      <w:r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  <w:t>（一）财政拨款“三公”经费支出决算总体情况说明</w:t>
      </w:r>
      <w:bookmarkEnd w:id="49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财政拨款“三公”经费支出决算为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万元，完成预算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%，较上年度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持平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。决算数小于预算数的主要原因是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</w:t>
      </w:r>
      <w:r>
        <w:rPr>
          <w:rFonts w:ascii="仿宋_GB2312" w:eastAsia="仿宋_GB2312" w:cs="仿宋_GB2312" w:hint="eastAsia"/>
          <w:b/>
          <w:bCs/>
          <w:kern w:val="0"/>
          <w:sz w:val="32"/>
          <w:szCs w:val="32"/>
          <w:shd w:val="clear" w:color="auto" w:fill="FFFFFF"/>
          <w:lang w:val="en-US" w:eastAsia="zh-CN"/>
        </w:rPr>
        <w:t>主要原因为单位创节约型机关，厉行节约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2"/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</w:pPr>
      <w:bookmarkStart w:id="50" w:name="_Toc15377217"/>
      <w:r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  <w:t>（二）财政拨款“三公”经费支出决算具体情况说明</w:t>
      </w:r>
      <w:bookmarkEnd w:id="50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财政拨款“三公”经费支出决算中，因公出国（境）费支出决算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万元；公务用车购置及运行维护费支出决算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万元；公务接待费支出决算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万元。具体情况如下：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drawing>
          <wp:anchor distT="0" distB="0" distL="114300" distR="114300" simplePos="0" relativeHeight="31" behindDoc="0" locked="0" layoutInCell="1" hidden="0" allowOverlap="1">
            <wp:simplePos x="0" y="0"/>
            <wp:positionH relativeFrom="column">
              <wp:posOffset>59055</wp:posOffset>
            </wp:positionH>
            <wp:positionV relativeFrom="paragraph">
              <wp:posOffset>304800</wp:posOffset>
            </wp:positionV>
            <wp:extent cx="5256530" cy="2988310"/>
            <wp:effectExtent l="0" t="0" r="0" b="0"/>
            <wp:wrapNone/>
            <wp:docPr id="10" name="图表 10"/>
            <wp:cNvGraphicFramePr>
              <a:graphicFrameLocks noChangeAspect="0"/>
            </wp:cNvGraphicFramePr>
            <a:graphic>
              <a:graphicData uri="http://schemas.openxmlformats.org/drawingml/2006/chart">
                <c:chart xmlns:c="http://schemas.openxmlformats.org/drawingml/2006/chart" r:id="rId12"/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（图7：财政拨款“三公”经费支出结构）（饼状图）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1.因公出国（境）经费支出</w:t>
      </w:r>
      <w:r>
        <w:rPr>
          <w:rFonts w:eastAsia="仿宋_GB2312" w:cs="仿宋_GB2312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万元，完成预算</w:t>
      </w:r>
      <w:r>
        <w:rPr>
          <w:rFonts w:eastAsia="仿宋_GB2312" w:cs="仿宋_GB2312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%。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全年安排因公出国（境）团组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次，出国（境）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人。因公出国（境）支出决算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较上年持平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。主要原因是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</w:t>
      </w:r>
      <w:r>
        <w:rPr>
          <w:rFonts w:ascii="仿宋_GB2312" w:eastAsia="仿宋_GB2312" w:cs="仿宋_GB2312" w:hint="eastAsia"/>
          <w:b/>
          <w:bCs/>
          <w:kern w:val="0"/>
          <w:sz w:val="32"/>
          <w:szCs w:val="32"/>
          <w:shd w:val="clear" w:color="auto" w:fill="FFFFFF"/>
          <w:lang w:val="en-US" w:eastAsia="zh-CN"/>
        </w:rPr>
        <w:t>州强制隔离戒毒所为下属事业科室，没有单独安排接待工作</w:t>
      </w:r>
      <w:r>
        <w:rPr>
          <w:rFonts w:ascii="仿宋_GB2312" w:eastAsia="仿宋_GB2312" w:cs="仿宋_GB2312" w:hint="eastAsia"/>
          <w:kern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2.公务用车购置及运行维护费支出</w:t>
      </w:r>
      <w:r>
        <w:rPr>
          <w:rFonts w:eastAsia="仿宋_GB2312" w:cs="仿宋_GB2312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万元</w:t>
      </w:r>
      <w:r>
        <w:rPr>
          <w:rFonts w:eastAsia="仿宋_GB2312" w:cs="仿宋_GB2312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，</w:t>
      </w: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完成预算</w:t>
      </w:r>
      <w:r>
        <w:rPr>
          <w:rFonts w:eastAsia="仿宋_GB2312" w:cs="仿宋_GB2312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%。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公务用车购置及运行维护费支出决算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较上年持平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。主要原因是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</w:t>
      </w:r>
      <w:r>
        <w:rPr>
          <w:rFonts w:ascii="仿宋_GB2312" w:eastAsia="仿宋_GB2312" w:cs="仿宋_GB2312" w:hint="eastAsia"/>
          <w:b/>
          <w:bCs/>
          <w:kern w:val="0"/>
          <w:sz w:val="32"/>
          <w:szCs w:val="32"/>
          <w:shd w:val="clear" w:color="auto" w:fill="FFFFFF"/>
          <w:lang w:val="en-US" w:eastAsia="zh-CN"/>
        </w:rPr>
        <w:t>州强制隔离戒毒所为下属事业科室，无单独公务用车，公务用车费用在州本级行政经费中开支。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其中：公务用车购置支出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万元。全年按规定更新购置公务用车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辆，其中：轿车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辆、金额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万元，越野车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辆、金额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万元，载客汽车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辆、金额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万元。截至202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5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年12月31日，单位共有公务用车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辆，其中：轿车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辆、越野车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辆、载客汽车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公务用车运行维护费支出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3.公务接待费支出</w:t>
      </w:r>
      <w:r>
        <w:rPr>
          <w:rFonts w:eastAsia="仿宋_GB2312" w:cs="仿宋_GB2312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万元，完成预算</w:t>
      </w:r>
      <w:r>
        <w:rPr>
          <w:rFonts w:eastAsia="仿宋_GB2312" w:cs="仿宋_GB2312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b/>
          <w:bCs/>
          <w:color w:val="auto"/>
          <w:kern w:val="2"/>
          <w:sz w:val="32"/>
          <w:szCs w:val="32"/>
          <w:lang w:val="en-US" w:eastAsia="zh-CN" w:bidi="ar-SA"/>
          <w:highlight w:val="auto"/>
        </w:rPr>
        <w:t>%。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公务接待费支出决算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较上年持平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。主要原因是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</w:t>
      </w:r>
      <w:r>
        <w:rPr>
          <w:rFonts w:ascii="仿宋_GB2312" w:eastAsia="仿宋_GB2312" w:cs="仿宋_GB2312" w:hint="eastAsia"/>
          <w:b/>
          <w:bCs/>
          <w:kern w:val="0"/>
          <w:sz w:val="32"/>
          <w:szCs w:val="32"/>
          <w:shd w:val="clear" w:color="auto" w:fill="FFFFFF"/>
          <w:lang w:val="en-US" w:eastAsia="zh-CN"/>
        </w:rPr>
        <w:t>州强制隔离戒毒所为下属事业科室，没有单独安排接待工作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。其中：国内公务接待支出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万元，国内公务接待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批次，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人次（不包括陪同人员），共计支出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外事接待支出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万元，外事接待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批次，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人次（不包括陪同人员），共计支出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bookmarkStart w:id="51" w:name="_Toc15396610"/>
      <w:bookmarkStart w:id="52" w:name="_Toc15377218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outlineLvl w:val="1"/>
        <w:rPr>
          <w:rStyle w:val="2Char"/>
          <w:rFonts w:ascii="Times New Roman" w:eastAsia="黑体" w:hAnsi="Times New Roman"/>
          <w:color w:val="auto"/>
          <w:highlight w:val="auto"/>
        </w:rPr>
      </w:pPr>
      <w:bookmarkStart w:id="53" w:name="_Toc8681"/>
      <w:r>
        <w:rPr>
          <w:rFonts w:ascii="Times New Roman" w:eastAsia="黑体" w:hAnsi="Times New Roman" w:hint="eastAsia"/>
          <w:color w:val="auto"/>
          <w:sz w:val="32"/>
          <w:szCs w:val="32"/>
          <w:highlight w:val="auto"/>
        </w:rPr>
        <w:t>八、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政府性基金预算支出决算情况说明</w:t>
      </w:r>
      <w:bookmarkEnd w:id="51"/>
      <w:bookmarkEnd w:id="52"/>
      <w:bookmarkEnd w:id="53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政府性基金预算财政拨款支出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万元，占本年支出合计的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%。与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上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年度相比，政府性基金预算财政拨款支出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持平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0"/>
        <w:textAlignment w:val="auto"/>
        <w:outlineLvl w:val="1"/>
        <w:rPr>
          <w:rStyle w:val="2Char"/>
          <w:rFonts w:ascii="Times New Roman" w:eastAsia="黑体" w:hAnsi="Times New Roman"/>
          <w:b w:val="0"/>
          <w:color w:val="auto"/>
          <w:highlight w:val="auto"/>
        </w:rPr>
      </w:pPr>
      <w:bookmarkStart w:id="54" w:name="_Toc15396611"/>
      <w:bookmarkStart w:id="55" w:name="_Toc27789"/>
      <w:bookmarkStart w:id="56" w:name="_Toc15377219"/>
      <w:r>
        <w:rPr>
          <w:rStyle w:val="2Char"/>
          <w:rFonts w:ascii="Times New Roman" w:eastAsia="黑体" w:hAnsi="Times New Roman" w:hint="eastAsia"/>
          <w:b w:val="0"/>
          <w:color w:val="auto"/>
          <w:lang w:eastAsia="zh-CN"/>
          <w:highlight w:val="auto"/>
        </w:rPr>
        <w:t>九、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国有资本经营预算支出决算情况说明</w:t>
      </w:r>
      <w:bookmarkEnd w:id="54"/>
      <w:bookmarkEnd w:id="55"/>
      <w:bookmarkEnd w:id="56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国有资本经营预算财政拨款支出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万元，占本年支出合计的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%。与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上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年度相比，国有资本经营预算财政拨款支出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持平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0"/>
        <w:textAlignment w:val="auto"/>
        <w:outlineLvl w:val="1"/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</w:pPr>
      <w:bookmarkStart w:id="57" w:name="_Toc15396612"/>
      <w:bookmarkStart w:id="58" w:name="_Toc18616"/>
      <w:bookmarkStart w:id="59" w:name="_Toc15377221"/>
      <w:r>
        <w:rPr>
          <w:rStyle w:val="2Char"/>
          <w:rFonts w:ascii="Times New Roman" w:eastAsia="黑体" w:hAnsi="Times New Roman" w:hint="eastAsia"/>
          <w:b w:val="0"/>
          <w:color w:val="auto"/>
          <w:lang w:eastAsia="zh-CN"/>
          <w:highlight w:val="auto"/>
        </w:rPr>
        <w:t>十、</w:t>
      </w:r>
      <w:r>
        <w:rPr>
          <w:rStyle w:val="2Char"/>
          <w:rFonts w:ascii="Times New Roman" w:eastAsia="黑体" w:hAnsi="Times New Roman" w:hint="eastAsia"/>
          <w:b w:val="0"/>
          <w:color w:val="auto"/>
          <w:highlight w:val="auto"/>
        </w:rPr>
        <w:t>其他重要事项的情况说明</w:t>
      </w:r>
      <w:bookmarkEnd w:id="57"/>
      <w:bookmarkEnd w:id="58"/>
      <w:bookmarkEnd w:id="59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2"/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</w:pPr>
      <w:bookmarkStart w:id="60" w:name="_Toc15377222"/>
      <w:r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  <w:t>（一）机关运行经费支出情况</w:t>
      </w:r>
      <w:bookmarkEnd w:id="60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，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州强制隔离戒毒所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机关运行经费支出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11.82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万元，比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上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年度增加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1.62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万元，增长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15.88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%。主要原因是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：电费支出较上年多。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2"/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</w:pPr>
      <w:bookmarkStart w:id="61" w:name="_Toc15377223"/>
      <w:r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  <w:t>（二）政府采购支出情况</w:t>
      </w:r>
      <w:bookmarkEnd w:id="61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2025年度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，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州强制隔离戒毒所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政府采购支出总额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万元，其中：政府采购货物支出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万元、政府采购工程支出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万元、政府采购服务支出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万元。授予中小企业合同金额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万元，占政府采购支出总额的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%，其中：授予小微企业合同金额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万元，占政府采购支出总额的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%。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2"/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</w:pPr>
      <w:bookmarkStart w:id="62" w:name="_Toc15377224"/>
      <w:r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  <w:t>（三）国有资产占有使用情况</w:t>
      </w:r>
      <w:bookmarkEnd w:id="62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截至202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5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年12月31日，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州强制隔离戒毒所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共有车辆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辆，其中：副部（省）级及以上领导用车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辆、主要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负责人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辆、机要通信用车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辆、应急保障用车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辆、执法执勤用车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辆、特种专业技术用车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辆、离退休干部服务用车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辆、其他用车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辆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。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单价100万元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（含）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以上设备（不含车辆）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台（套）。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Chars="200" w:firstLine="640"/>
        <w:textAlignment w:val="auto"/>
        <w:outlineLvl w:val="2"/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</w:pPr>
      <w:r>
        <w:rPr>
          <w:rFonts w:ascii="Times New Roman" w:eastAsia="楷体_GB2312" w:cs="楷体_GB2312" w:hAnsi="Times New Roman" w:hint="eastAsia"/>
          <w:b/>
          <w:color w:val="auto"/>
          <w:sz w:val="32"/>
          <w:szCs w:val="32"/>
          <w:highlight w:val="auto"/>
        </w:rPr>
        <w:t>（四）预算绩效管理情况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根据预算绩效管理要求，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州强制隔离戒毒所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在2025年度，对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工资性支出、单位缴费、公用经费等7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个项目编制了绩效目标，预算执行过程中，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对7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个项目开展绩效监控。</w:t>
      </w:r>
    </w:p>
    <w:p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560" w:lineRule="exact"/>
        <w:ind w:left="0" w:right="0" w:firstLineChars="200" w:firstLine="640"/>
        <w:jc w:val="left"/>
        <w:rPr>
          <w:rFonts w:ascii="黑体" w:eastAsia="仿宋_GB2312" w:hAnsi="黑体" w:hint="eastAsia"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kern w:val="0"/>
          <w:sz w:val="32"/>
          <w:szCs w:val="32"/>
          <w:lang w:val="en-US" w:eastAsia="zh-CN"/>
        </w:rPr>
        <w:t>2025年本单位根据预算绩效管理要求，要求实行绩效目标管理，开展绩效目标管理的项目7个，涉及一般公共预算当年拨款预算105.13万元;其中:人员类项目5个涉及预算金额93.29万元;运转类项目2个涉及预算金额11.82万元。预算执行完毕后，对7个项目开展了绩效目标完成情况自评。2025年全面高效地实现了项目绩效目标，任务量和效果均超出规划预期，较好地完成了资金使用的绩效目标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  <w:bookmarkStart w:id="63" w:name="_Toc15396613"/>
      <w:bookmarkStart w:id="64" w:name="_Toc15377225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  <w:bookmarkStart w:id="65" w:name="_Toc4453"/>
      <w:r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  <w:t>第</w:t>
      </w:r>
      <w:r>
        <w:rPr>
          <w:rFonts w:eastAsia="黑体" w:hint="eastAsia"/>
          <w:color w:val="auto"/>
          <w:sz w:val="44"/>
          <w:szCs w:val="44"/>
          <w:lang w:eastAsia="zh-CN"/>
          <w:highlight w:val="auto"/>
        </w:rPr>
        <w:t>三</w:t>
      </w:r>
      <w:r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  <w:t>部分</w:t>
      </w:r>
      <w:r>
        <w:rPr>
          <w:rFonts w:ascii="Times New Roman" w:eastAsia="黑体" w:hAnsi="Times New Roman" w:hint="eastAsia"/>
          <w:color w:val="auto"/>
          <w:sz w:val="44"/>
          <w:szCs w:val="44"/>
          <w:lang w:val="en-US" w:eastAsia="zh-CN"/>
          <w:highlight w:val="auto"/>
        </w:rPr>
        <w:t xml:space="preserve"> </w:t>
      </w:r>
      <w:r>
        <w:rPr>
          <w:rFonts w:eastAsia="黑体" w:hint="eastAsia"/>
          <w:color w:val="auto"/>
          <w:sz w:val="44"/>
          <w:szCs w:val="44"/>
          <w:lang w:val="en-US" w:eastAsia="zh-CN"/>
          <w:highlight w:val="auto"/>
        </w:rPr>
        <w:t xml:space="preserve"> </w:t>
      </w:r>
      <w:r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  <w:t>名词解释</w:t>
      </w:r>
      <w:bookmarkEnd w:id="63"/>
      <w:bookmarkEnd w:id="64"/>
      <w:bookmarkEnd w:id="65"/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hAnsi="Times New Roman"/>
          <w:b/>
          <w:color w:val="auto"/>
          <w:sz w:val="44"/>
          <w:szCs w:val="44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1.财政拨款收入：指单位从同级财政部门取得的财政预算资金。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仿宋_GB2312" w:eastAsia="仿宋_GB2312" w:hint="eastAsia"/>
          <w:color w:val="auto"/>
          <w:sz w:val="32"/>
          <w:szCs w:val="32"/>
        </w:rPr>
      </w:pP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2.</w:t>
      </w:r>
      <w:r>
        <w:rPr>
          <w:rFonts w:ascii="仿宋_GB2312" w:eastAsia="仿宋_GB2312" w:hint="eastAsia"/>
          <w:color w:val="auto"/>
          <w:sz w:val="32"/>
          <w:szCs w:val="32"/>
        </w:rPr>
        <w:t>公共安全支出（204）：指</w:t>
      </w:r>
      <w:r>
        <w:rPr>
          <w:rFonts w:ascii="仿宋_GB2312" w:eastAsia="仿宋_GB2312" w:hint="eastAsia"/>
          <w:color w:val="auto"/>
          <w:sz w:val="32"/>
          <w:szCs w:val="32"/>
          <w:lang w:val="en-US" w:eastAsia="zh-CN"/>
        </w:rPr>
        <w:t>政府维护社会公共安全方面的支出</w:t>
      </w:r>
      <w:r>
        <w:rPr>
          <w:rFonts w:ascii="仿宋_GB2312" w:eastAsia="仿宋_GB2312" w:hint="eastAsia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Chars="200"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3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.</w:t>
      </w:r>
      <w:r>
        <w:rPr>
          <w:rFonts w:ascii="仿宋_GB2312" w:eastAsia="仿宋_GB2312" w:cs="仿宋_GB2312" w:hint="eastAsia"/>
          <w:color w:val="000000"/>
          <w:spacing w:val="-2"/>
          <w:kern w:val="0"/>
          <w:sz w:val="32"/>
          <w:szCs w:val="32"/>
        </w:rPr>
        <w:t>社会保障和就业支出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支出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208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）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：指政府在社会保障与就业方面的支出。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eastAsia="仿宋_GB2312" w:cs="仿宋_GB2312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3.卫生健康支出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210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）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：指政府卫生健康方面的支出。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eastAsia="仿宋_GB2312" w:cs="仿宋_GB2312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4.住房保障支出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（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221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）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：指政府用于住房方面的支出。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5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.基本支出：指为保障机构正常运转、完成日常工作任务而发生的人员支出和公用支出。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6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.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“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三公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”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经费：指部门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等支出；公务接待费反映单位按规定开支的各类公务接待（含外宾接待）支出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7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.机关运行经费：为保障行政单位（含参照公务员法管理的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Times New Roman" w:eastAsia="黑体" w:cs="黑体" w:hAnsi="Times New Roman" w:hint="eastAsia"/>
          <w:color w:val="auto"/>
          <w:kern w:val="0"/>
          <w:sz w:val="32"/>
          <w:szCs w:val="32"/>
          <w:shd w:val="clear" w:color="auto" w:fill="FFFFFF"/>
          <w:lang w:val="zh-CN"/>
          <w:highlight w:val="auto"/>
        </w:rPr>
      </w:pPr>
      <w:bookmarkStart w:id="66" w:name="_Toc15377226"/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br w:type="page"/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lang w:val="zh-CN" w:eastAsia="zh-CN"/>
          <w:highlight w:val="auto"/>
        </w:rPr>
      </w:pPr>
      <w:bookmarkStart w:id="67" w:name="_Toc11136"/>
      <w:r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  <w:t>第</w:t>
      </w:r>
      <w:r>
        <w:rPr>
          <w:rFonts w:ascii="Times New Roman" w:eastAsia="黑体" w:hAnsi="Times New Roman" w:hint="eastAsia"/>
          <w:color w:val="auto"/>
          <w:sz w:val="44"/>
          <w:szCs w:val="44"/>
          <w:lang w:val="en-US" w:eastAsia="zh-CN"/>
          <w:highlight w:val="auto"/>
        </w:rPr>
        <w:t>四</w:t>
      </w:r>
      <w:r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  <w:t>部分</w:t>
      </w:r>
      <w:r>
        <w:rPr>
          <w:rFonts w:ascii="Times New Roman" w:eastAsia="黑体" w:hAnsi="Times New Roman" w:hint="eastAsia"/>
          <w:color w:val="auto"/>
          <w:sz w:val="44"/>
          <w:szCs w:val="44"/>
          <w:lang w:val="en-US" w:eastAsia="zh-CN"/>
          <w:highlight w:val="auto"/>
        </w:rPr>
        <w:t xml:space="preserve">  附件</w:t>
      </w:r>
      <w:bookmarkEnd w:id="67"/>
    </w:p>
    <w:p>
      <w:pPr>
        <w:pStyle w:val="18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Times New Roman" w:eastAsia="黑体" w:cs="黑体" w:hAnsi="Times New Roman" w:hint="eastAsia"/>
          <w:color w:val="auto"/>
          <w:sz w:val="32"/>
          <w:szCs w:val="32"/>
          <w:lang w:val="en-US" w:eastAsia="zh-CN"/>
          <w:highlight w:val="auto"/>
        </w:rPr>
      </w:pPr>
      <w:r>
        <w:rPr>
          <w:rFonts w:ascii="Times New Roman" w:eastAsia="黑体" w:cs="黑体" w:hAnsi="Times New Roman" w:hint="eastAsia"/>
          <w:color w:val="auto"/>
          <w:kern w:val="0"/>
          <w:sz w:val="32"/>
          <w:szCs w:val="32"/>
          <w:shd w:val="clear" w:color="auto" w:fill="FFFFFF"/>
          <w:lang w:val="zh-CN"/>
          <w:highlight w:val="auto"/>
        </w:rPr>
        <w:t>附件</w:t>
      </w:r>
      <w:r>
        <w:rPr>
          <w:rFonts w:ascii="Times New Roman" w:eastAsia="黑体" w:cs="黑体" w:hAnsi="Times New Roman" w:hint="eastAsia"/>
          <w:color w:val="auto"/>
          <w:kern w:val="0"/>
          <w:sz w:val="32"/>
          <w:szCs w:val="32"/>
          <w:shd w:val="clear" w:color="auto" w:fill="FFFFFF"/>
          <w:lang w:val="en-US" w:eastAsia="zh-CN"/>
          <w:highlight w:val="auto"/>
        </w:rPr>
        <w:t>2</w:t>
      </w:r>
    </w:p>
    <w:p>
      <w:pPr>
        <w:pStyle w:val="35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auto"/>
        <w:rPr>
          <w:rFonts w:ascii="Times New Roman" w:eastAsia="方正小标宋简体" w:cs="方正小标宋简体" w:hAnsi="Times New Roman" w:hint="eastAsia"/>
          <w:color w:val="auto"/>
          <w:kern w:val="2"/>
          <w:sz w:val="44"/>
          <w:szCs w:val="44"/>
          <w:lang w:val="en-US" w:eastAsia="zh-CN"/>
          <w:highlight w:val="auto"/>
        </w:rPr>
      </w:pPr>
    </w:p>
    <w:p>
      <w:pPr>
        <w:pStyle w:val="35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auto"/>
        <w:rPr>
          <w:rFonts w:ascii="Times New Roman" w:eastAsia="方正小标宋简体" w:cs="方正小标宋简体" w:hAnsi="Times New Roman" w:hint="eastAsia"/>
          <w:color w:val="auto"/>
          <w:kern w:val="2"/>
          <w:sz w:val="44"/>
          <w:szCs w:val="44"/>
          <w:lang w:val="en-US" w:eastAsia="zh-CN"/>
          <w:highlight w:val="auto"/>
        </w:rPr>
      </w:pPr>
      <w:r>
        <w:rPr>
          <w:rFonts w:ascii="Times New Roman" w:eastAsia="方正小标宋简体" w:cs="方正小标宋简体" w:hAnsi="Times New Roman" w:hint="eastAsia"/>
          <w:color w:val="auto"/>
          <w:kern w:val="2"/>
          <w:sz w:val="44"/>
          <w:szCs w:val="44"/>
          <w:lang w:val="en-US" w:eastAsia="zh-CN"/>
          <w:highlight w:val="auto"/>
        </w:rPr>
        <w:t>专项预算项目绩效评价报告范本</w:t>
      </w:r>
    </w:p>
    <w:p>
      <w:pPr>
        <w:pStyle w:val="35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/>
        <w:jc w:val="center"/>
        <w:textAlignment w:val="auto"/>
        <w:rPr>
          <w:rFonts w:ascii="Times New Roman" w:hAnsi="Times New Roman"/>
          <w:color w:val="auto"/>
          <w:kern w:val="2"/>
          <w:sz w:val="32"/>
          <w:szCs w:val="32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outlineLvl w:val="9"/>
        <w:rPr>
          <w:rFonts w:ascii="Times New Roman" w:eastAsia="仿宋_GB2312" w:cs="仿宋_GB2312" w:hAnsi="Times New Roman"/>
          <w:b w:val="0"/>
          <w:bCs w:val="0"/>
          <w:kern w:val="0"/>
          <w:position w:val="0"/>
          <w:sz w:val="32"/>
          <w:szCs w:val="32"/>
          <w:lang w:val="en-US" w:eastAsia="zh-CN" w:bidi="ar-SA"/>
          <w:highlight w:val="auto"/>
        </w:rPr>
      </w:pPr>
      <w:r>
        <w:rPr>
          <w:rFonts w:eastAsia="仿宋_GB2312" w:cs="仿宋_GB2312" w:hint="eastAsia"/>
          <w:b w:val="0"/>
          <w:bCs w:val="0"/>
          <w:kern w:val="0"/>
          <w:position w:val="0"/>
          <w:sz w:val="32"/>
          <w:szCs w:val="32"/>
          <w:lang w:val="en-US" w:eastAsia="zh-CN" w:bidi="ar-SA"/>
          <w:highlight w:val="auto"/>
        </w:rPr>
        <w:t>阿坝州强制隔离戒毒所无专项预算项目。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outlineLvl w:val="9"/>
        <w:rPr>
          <w:rFonts w:ascii="Times New Roman" w:eastAsia="仿宋_GB2312" w:cs="仿宋_GB2312" w:hAnsi="Times New Roman" w:hint="eastAsia"/>
          <w:b w:val="0"/>
          <w:bCs w:val="0"/>
          <w:kern w:val="0"/>
          <w:position w:val="0"/>
          <w:sz w:val="32"/>
          <w:szCs w:val="32"/>
          <w:lang w:val="en-US" w:eastAsia="zh-CN" w:bidi="ar-SA"/>
          <w:highlight w:val="auto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outlineLvl w:val="9"/>
        <w:rPr>
          <w:rFonts w:ascii="Times New Roman" w:eastAsia="仿宋_GB2312" w:cs="仿宋_GB2312" w:hAnsi="Times New Roman" w:hint="eastAsia"/>
          <w:b w:val="0"/>
          <w:bCs w:val="0"/>
          <w:kern w:val="0"/>
          <w:position w:val="0"/>
          <w:sz w:val="32"/>
          <w:szCs w:val="32"/>
          <w:lang w:val="en-US" w:eastAsia="zh-CN" w:bidi="ar-SA"/>
          <w:highlight w:val="auto"/>
        </w:rPr>
      </w:pPr>
      <w:bookmarkStart w:id="68" w:name="_Toc15396618"/>
      <w:r>
        <w:rPr>
          <w:rFonts w:ascii="Times New Roman" w:eastAsia="仿宋_GB2312" w:cs="仿宋_GB2312" w:hAnsi="Times New Roman" w:hint="eastAsia"/>
          <w:b w:val="0"/>
          <w:bCs w:val="0"/>
          <w:kern w:val="0"/>
          <w:position w:val="0"/>
          <w:sz w:val="32"/>
          <w:szCs w:val="32"/>
          <w:lang w:val="en-US" w:eastAsia="zh-CN" w:bidi="ar-SA"/>
          <w:highlight w:val="auto"/>
        </w:rPr>
        <w:br w:type="page"/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outlineLvl w:val="0"/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</w:pPr>
      <w:bookmarkStart w:id="69" w:name="_Toc7609"/>
      <w:r>
        <w:rPr>
          <w:rFonts w:ascii="Times New Roman" w:eastAsia="黑体" w:hAnsi="Times New Roman" w:hint="eastAsia"/>
          <w:color w:val="auto"/>
          <w:sz w:val="44"/>
          <w:szCs w:val="44"/>
          <w:highlight w:val="auto"/>
        </w:rPr>
        <w:t>第五部分 附表</w:t>
      </w:r>
      <w:bookmarkStart w:id="70" w:name="_Toc15396619"/>
      <w:bookmarkEnd w:id="66"/>
      <w:bookmarkEnd w:id="68"/>
      <w:bookmarkEnd w:id="69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一、收入支出决算总表</w:t>
      </w:r>
      <w:bookmarkEnd w:id="70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71" w:name="_Toc15396620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二、收入决算表</w:t>
      </w:r>
      <w:bookmarkEnd w:id="71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72" w:name="_Toc15396621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三、支出决算表</w:t>
      </w:r>
      <w:bookmarkEnd w:id="72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73" w:name="_Toc15396622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四、财政拨款收入支出决算总表</w:t>
      </w:r>
      <w:bookmarkEnd w:id="73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74" w:name="_Toc15396623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五、财政拨款支出决算明细表</w:t>
      </w:r>
      <w:bookmarkStart w:id="75" w:name="_Toc15396624"/>
      <w:bookmarkEnd w:id="74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六、一般公共预算财政拨款支出决算表</w:t>
      </w:r>
      <w:bookmarkEnd w:id="75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76" w:name="_Toc15396625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七、一般公共预算财政拨款支出决算明细表</w:t>
      </w:r>
      <w:bookmarkEnd w:id="76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77" w:name="_Toc15396626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八、一般公共预算财政拨款基本支出决算表</w:t>
      </w:r>
      <w:bookmarkEnd w:id="77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78" w:name="_Toc15396627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九、一般公共预算财政拨款项目支出决算表</w:t>
      </w:r>
      <w:bookmarkEnd w:id="78"/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79" w:name="_Toc15396628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十、</w:t>
      </w:r>
      <w:bookmarkEnd w:id="79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政府性基金预算财政拨款收入支出决算表</w:t>
      </w:r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80" w:name="_Toc15396629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十一、</w:t>
      </w:r>
      <w:bookmarkEnd w:id="80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国有资本经营预算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财政拨款收入</w:t>
      </w:r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支出决算表</w:t>
      </w:r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</w:pPr>
      <w:bookmarkStart w:id="81" w:name="_Toc15396630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十二、</w:t>
      </w:r>
      <w:bookmarkEnd w:id="81"/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国有资本经营预算财政拨款支出决算表</w:t>
      </w:r>
    </w:p>
    <w:p>
      <w:pPr>
        <w:pStyle w:val="24"/>
        <w:keepNext w:val="0"/>
        <w:keepLines w:val="0"/>
        <w:pageBreakBefore w:val="0"/>
        <w:widowControl w:val="0"/>
        <w:tabs>
          <w:tab w:val="right" w:leader="dot" w:pos="829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</w:pPr>
      <w:bookmarkStart w:id="82" w:name="_Toc15396631"/>
      <w:r>
        <w:rPr>
          <w:rFonts w:ascii="Times New Roman" w:eastAsia="仿宋_GB2312" w:cs="仿宋_GB2312" w:hAnsi="Times New Roman" w:hint="eastAsia"/>
          <w:color w:val="auto"/>
          <w:sz w:val="32"/>
          <w:szCs w:val="32"/>
          <w:highlight w:val="auto"/>
        </w:rPr>
        <w:t>十三、</w:t>
      </w:r>
      <w:bookmarkEnd w:id="82"/>
      <w:r>
        <w:rPr>
          <w:rFonts w:ascii="Times New Roman" w:eastAsia="仿宋_GB2312" w:cs="仿宋_GB2312" w:hAnsi="Times New Roman" w:hint="eastAsia"/>
          <w:color w:val="auto"/>
          <w:sz w:val="32"/>
          <w:szCs w:val="32"/>
          <w:lang w:eastAsia="zh-CN"/>
          <w:highlight w:val="auto"/>
        </w:rPr>
        <w:t>财政拨款“三公”经费支出决算表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hint="eastAsia"/>
          <w:lang w:eastAsia="zh-CN"/>
        </w:rPr>
      </w:pPr>
    </w:p>
    <w:sectPr>
      <w:footerReference w:type="default" r:id="rId5"/>
      <w:pgSz w:w="11906" w:h="16838"/>
      <w:pgMar w:top="1440" w:right="1800" w:bottom="1440" w:left="1800" w:header="851" w:footer="992" w:gutter="0"/>
      <w:pgNumType w:start="1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86"/>
    <w:family w:val="auto"/>
    <w:pitch w:val="variable"/>
    <w:sig w:usb0="E0002EFF" w:usb1="C000785B" w:usb2="00000009" w:usb3="00000000" w:csb0="400001FF" w:csb1="FFFF0000"/>
  </w:font>
  <w:font w:name="方正小标宋简体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Cambria">
    <w:altName w:val="DejaVu Sans"/>
    <w:panose1 w:val="02040503050406030204"/>
    <w:charset w:val="00"/>
    <w:family w:val="roman"/>
    <w:pitch w:val="variable"/>
    <w:sig w:usb0="E00006FF" w:usb1="420024FF" w:usb2="02000000" w:usb3="00000000" w:csb0="2000019F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??">
    <w:altName w:val="DejaVu Sans"/>
    <w:panose1 w:val="00000000000000000000"/>
    <w:charset w:val="00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1"/>
      <w:tabs>
        <w:tab w:val="center" w:pos="4153"/>
        <w:tab w:val="right" w:pos="8306"/>
      </w:tabs>
      <w:jc w:val="center"/>
    </w:pPr>
  </w:p>
  <w:p>
    <w:pPr>
      <w:pStyle w:val="21"/>
      <w:tabs>
        <w:tab w:val="center" w:pos="4153"/>
        <w:tab w:val="right" w:pos="8306"/>
      </w:tabs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1"/>
      <w:tabs>
        <w:tab w:val="center" w:pos="4153"/>
        <w:tab w:val="right" w:pos="8306"/>
      </w:tabs>
      <w:jc w:val="center"/>
    </w:pPr>
  </w:p>
  <w:p>
    <w:pPr>
      <w:pStyle w:val="21"/>
      <w:tabs>
        <w:tab w:val="center" w:pos="4153"/>
        <w:tab w:val="right" w:pos="8306"/>
      </w:tabs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1"/>
      <w:tabs>
        <w:tab w:val="center" w:pos="4153"/>
        <w:tab w:val="right" w:pos="8306"/>
      </w:tabs>
      <w:jc w:val="center"/>
    </w:pPr>
    <w:r>
      <w:rPr>
        <w:sz w:val="18"/>
      </w:rPr>
      <mc:AlternateContent>
        <mc:Choice Requires="wps">
          <w:drawing>
            <wp:anchor distT="0" distB="0" distL="114298" distR="114298" simplePos="0" relativeHeight="33" behindDoc="0" locked="0" layoutInCell="1" hidden="0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150" cy="131559"/>
              <wp:effectExtent l="0" t="0" r="0" b="0"/>
              <wp:wrapNone/>
              <wp:docPr id="1" name="文本框 14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7150" cy="131559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</wps:spPr>
                    <wps:txbx id="2">
                      <w:txbxContent>
                        <w:p>
                          <w:pPr>
                            <w:pStyle w:val="21"/>
                            <w:tabs>
                              <w:tab w:val="center" w:pos="4153"/>
                              <w:tab w:val="right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14 3" o:spid="_x0000_s3" filled="f" stroked="f" strokeweight="0.5pt" style="position:absolute;margin-left:0.0pt;margin-top:0.0pt;width:4.500023pt;height:10.359035pt;z-index:33;mso-position-horizontal:right;mso-position-horizontal-relative:margin;mso-position-vertical:absolute;mso-wrap-distance-left:8.999863pt;mso-wrap-distance-right:8.999863pt;mso-wrap-style:none;">
              <v:stroke color="#000000"/>
              <v:textbox id="855" inset="0mm,0mm,0mm,0mm" o:insetmode="custom" style="layout-flow:horizontal;v-text-anchor:top;mso-fit-shape-to-text:t;">
                <w:txbxContent>
                  <w:p>
                    <w:pPr>
                      <w:pStyle w:val="21"/>
                      <w:tabs>
                        <w:tab w:val="center" w:pos="4153"/>
                        <w:tab w:val="right" w:pos="8306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1"/>
      <w:tabs>
        <w:tab w:val="center" w:pos="4153"/>
        <w:tab w:val="right" w:pos="8306"/>
      </w:tabs>
    </w:pP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2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B1D4DD06"/>
    <w:multiLevelType w:val="singleLevel"/>
    <w:tmpl w:val="B1D4DD06"/>
    <w:lvl w:ilvl="0">
      <w:start w:val="1"/>
      <w:numFmt w:val="chineseCounting"/>
      <w:lvlRestart w:val="0"/>
      <w:suff w:val="space"/>
      <w:lvlText w:val="第%1部分"/>
      <w:lvlJc w:val="left"/>
      <w:pPr>
        <w:ind w:left="0" w:hanging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50"/>
  <w:bordersDoNotSurroundHeader/>
  <w:bordersDoNotSurroundFooter/>
  <w:documentProtection w:edit="readOnly" w:enforcement="0"/>
  <w:defaultTabStop w:val="419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link w:val="2Char"/>
    <w:pPr>
      <w:keepNext/>
      <w:keepLines/>
      <w:widowControl w:val="0"/>
      <w:spacing w:before="260" w:after="260" w:line="415" w:lineRule="auto"/>
      <w:outlineLvl w:val="1"/>
    </w:pPr>
    <w:rPr>
      <w:rFonts w:ascii="Cambria" w:eastAsia="宋体" w:cs="Times New Roman" w:hAnsi="Cambria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Cambria" w:eastAsia="宋体" w:cs="Times New Roman" w:hAnsi="Cambria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footnote text"/>
    <w:basedOn w:val="0"/>
    <w:next w:val="17"/>
    <w:pPr>
      <w:snapToGrid w:val="0"/>
      <w:jc w:val="left"/>
    </w:pPr>
    <w:rPr>
      <w:sz w:val="18"/>
      <w:szCs w:val="18"/>
    </w:rPr>
  </w:style>
  <w:style w:type="paragraph" w:styleId="16">
    <w:name w:val="Body Text Indent"/>
    <w:basedOn w:val="0"/>
    <w:next w:val="17"/>
    <w:pPr>
      <w:spacing w:after="120"/>
      <w:ind w:leftChars="200" w:left="200"/>
    </w:pPr>
    <w:rPr>
      <w:rFonts w:ascii="仿宋_GB2312" w:hAnsi="仿宋_GB2312"/>
      <w:szCs w:val="32"/>
    </w:rPr>
  </w:style>
  <w:style w:type="paragraph" w:styleId="17">
    <w:name w:val="Body Text First Indent 2"/>
    <w:basedOn w:val="16"/>
    <w:pPr>
      <w:ind w:firstLineChars="200" w:firstLine="200"/>
    </w:pPr>
  </w:style>
  <w:style w:type="paragraph" w:styleId="18">
    <w:name w:val="Body Text"/>
    <w:basedOn w:val="0"/>
    <w:pPr>
      <w:spacing w:beforeLines="30" w:before="30"/>
    </w:pPr>
    <w:rPr>
      <w:rFonts w:ascii="仿宋_GB2312" w:eastAsia="仿宋_GB2312"/>
      <w:kern w:val="0"/>
      <w:sz w:val="30"/>
    </w:rPr>
  </w:style>
  <w:style w:type="paragraph" w:styleId="19">
    <w:name w:val="toc 3"/>
    <w:basedOn w:val="0"/>
    <w:next w:val="0"/>
    <w:pPr>
      <w:tabs>
        <w:tab w:val="right" w:leader="dot" w:pos="8296"/>
      </w:tabs>
      <w:ind w:leftChars="400" w:left="400"/>
    </w:pPr>
  </w:style>
  <w:style w:type="paragraph" w:styleId="20">
    <w:name w:val="Balloon Text"/>
    <w:basedOn w:val="0"/>
    <w:rPr>
      <w:sz w:val="18"/>
      <w:szCs w:val="18"/>
    </w:rPr>
  </w:style>
  <w:style w:type="paragraph" w:styleId="21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23">
    <w:name w:val="toc 1"/>
    <w:basedOn w:val="0"/>
    <w:next w:val="0"/>
    <w:pPr>
      <w:tabs>
        <w:tab w:val="right" w:leader="dot" w:pos="8296"/>
      </w:tabs>
      <w:spacing w:before="93"/>
      <w:jc w:val="center"/>
    </w:pPr>
    <w:rPr>
      <w:rFonts w:ascii="仿宋" w:eastAsia="仿宋_GB2312" w:hAnsi="仿宋"/>
      <w:sz w:val="32"/>
      <w:szCs w:val="28"/>
    </w:rPr>
  </w:style>
  <w:style w:type="paragraph" w:styleId="24">
    <w:name w:val="toc 2"/>
    <w:basedOn w:val="0"/>
    <w:next w:val="0"/>
    <w:pPr>
      <w:tabs>
        <w:tab w:val="right" w:leader="dot" w:pos="8296"/>
      </w:tabs>
      <w:ind w:leftChars="200" w:left="200"/>
    </w:pPr>
  </w:style>
  <w:style w:type="character" w:styleId="25">
    <w:name w:val="Strong"/>
    <w:basedOn w:val="10"/>
    <w:rPr>
      <w:b/>
    </w:rPr>
  </w:style>
  <w:style w:type="character" w:styleId="26">
    <w:name w:val="Hyperlink"/>
    <w:basedOn w:val="10"/>
    <w:rPr>
      <w:color w:val="0000FF"/>
      <w:u w:val="single"/>
    </w:rPr>
  </w:style>
  <w:style w:type="paragraph" w:customStyle="1" w:styleId="27">
    <w:name w:val="标题 5（有编号）（绿盟科技）"/>
    <w:next w:val="0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eastAsia="黑体" w:cs="Times New Roman" w:hAnsi="Arial"/>
      <w:b/>
      <w:kern w:val="2"/>
      <w:sz w:val="24"/>
      <w:szCs w:val="28"/>
      <w:lang w:val="en-US" w:eastAsia="zh-CN" w:bidi="ar-SA"/>
    </w:rPr>
  </w:style>
  <w:style w:type="character" w:customStyle="1" w:styleId="28">
    <w:name w:val="Header Char"/>
    <w:basedOn w:val="10"/>
    <w:rPr>
      <w:rFonts w:ascii="Times New Roman" w:hAnsi="Times New Roman"/>
      <w:sz w:val="18"/>
      <w:szCs w:val="18"/>
    </w:rPr>
  </w:style>
  <w:style w:type="character" w:customStyle="1" w:styleId="29">
    <w:name w:val="Footer Char"/>
    <w:basedOn w:val="10"/>
    <w:rPr>
      <w:rFonts w:ascii="Times New Roman" w:hAnsi="Times New Roman"/>
      <w:sz w:val="18"/>
      <w:szCs w:val="18"/>
    </w:rPr>
  </w:style>
  <w:style w:type="character" w:customStyle="1" w:styleId="30">
    <w:name w:val="Body Text Char"/>
    <w:basedOn w:val="10"/>
    <w:rPr>
      <w:rFonts w:ascii="Times New Roman" w:hAnsi="Times New Roman"/>
      <w:szCs w:val="24"/>
    </w:rPr>
  </w:style>
  <w:style w:type="paragraph" w:customStyle="1" w:styleId="31">
    <w:name w:val="Default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sz w:val="24"/>
      <w:szCs w:val="24"/>
      <w:lang w:val="en-US" w:eastAsia="zh-CN" w:bidi="ar-SA"/>
    </w:rPr>
  </w:style>
  <w:style w:type="paragraph" w:styleId="32">
    <w:name w:val="List Paragraph"/>
    <w:basedOn w:val="0"/>
    <w:pPr>
      <w:ind w:firstLineChars="200" w:firstLine="200"/>
    </w:pPr>
  </w:style>
  <w:style w:type="paragraph" w:customStyle="1" w:styleId="33">
    <w:name w:val="TOC 标题1"/>
    <w:basedOn w:val="1"/>
    <w:next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eastAsia="宋体" w:cs="Times New Roman" w:hAnsi="Cambria"/>
      <w:color w:val="376092"/>
      <w:kern w:val="0"/>
      <w:sz w:val="28"/>
      <w:szCs w:val="28"/>
    </w:rPr>
  </w:style>
  <w:style w:type="paragraph" w:customStyle="1" w:styleId="34">
    <w:name w:val="TOC Heading"/>
    <w:basedOn w:val="1"/>
    <w:next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eastAsia="宋体" w:cs="Times New Roman" w:hAnsi="Cambria"/>
      <w:color w:val="376092"/>
      <w:kern w:val="0"/>
      <w:sz w:val="28"/>
      <w:szCs w:val="28"/>
    </w:rPr>
  </w:style>
  <w:style w:type="paragraph" w:customStyle="1" w:styleId="35">
    <w:name w:val="四号正文"/>
    <w:basedOn w:val="0"/>
    <w:pPr>
      <w:spacing w:line="360" w:lineRule="auto"/>
    </w:pPr>
    <w:rPr>
      <w:rFonts w:ascii="??" w:eastAsia="宋体" w:hAnsi="??"/>
      <w:color w:val="000000"/>
      <w:kern w:val="0"/>
      <w:sz w:val="28"/>
      <w:szCs w:val="21"/>
      <w:lang w:val="zh-CN" w:eastAsia="zh-CN"/>
    </w:rPr>
  </w:style>
  <w:style w:type="character" w:customStyle="1" w:styleId="36">
    <w:name w:val="15"/>
    <w:basedOn w:val="10"/>
    <w:rPr>
      <w:rFonts w:ascii="Times New Roman" w:cs="Times New Roman" w:hAnsi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chart" Target="charts/chart1.xml"/><Relationship Id="rId7" Type="http://schemas.openxmlformats.org/officeDocument/2006/relationships/chart" Target="charts/chart2.xml"/><Relationship Id="rId8" Type="http://schemas.openxmlformats.org/officeDocument/2006/relationships/chart" Target="charts/chart3.xml"/><Relationship Id="rId9" Type="http://schemas.openxmlformats.org/officeDocument/2006/relationships/chart" Target="charts/chart4.xml"/><Relationship Id="rId10" Type="http://schemas.openxmlformats.org/officeDocument/2006/relationships/chart" Target="charts/chart5.xml"/><Relationship Id="rId11" Type="http://schemas.openxmlformats.org/officeDocument/2006/relationships/chart" Target="charts/chart6.xml"/><Relationship Id="rId12" Type="http://schemas.openxmlformats.org/officeDocument/2006/relationships/chart" Target="charts/chart7.xml"/><Relationship Id="rId13" Type="http://schemas.openxmlformats.org/officeDocument/2006/relationships/styles" Target="styles.xml"/><Relationship Id="rId14" Type="http://schemas.openxmlformats.org/officeDocument/2006/relationships/numbering" Target="numbering.xml"/><Relationship Id="rId1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char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char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char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char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char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char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chart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defRPr>
            </a:pPr>
            <a:r>
              <a:rPr lang="zh-CN"/>
              <a:t>收入、支出决算总计变动图</a:t>
            </a:r>
          </a:p>
        </c:rich>
      </c:tx>
      <c:layout/>
      <c:overlay val="0"/>
      <c:spPr>
        <a:noFill/>
        <a:ln>
          <a:noFill/>
        </a:ln>
      </c:spPr>
    </c:title>
    <c:autoTitleDeleted val="1"/>
    <c:plotArea>
      <c:layout>
        <c:manualLayout>
          <c:layoutTarget val="inner"/>
          <c:xMode val="edge"/>
          <c:yMode val="edge"/>
          <c:x val="0.06335915"/>
          <c:y val="0.15826271"/>
          <c:w val="0.9083595"/>
          <c:h val="0.63905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'Sheet1'!$B$1</c:f>
              <c:strCache>
                <c:ptCount val="1"/>
                <c:pt idx="0">
                  <c:v>2024年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General" sourceLinked="1"/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'Sheet1'!$A$2:$A$3</c:f>
              <c:strCache>
                <c:ptCount val="2"/>
                <c:pt idx="0">
                  <c:v>收入决算数</c:v>
                </c:pt>
                <c:pt idx="1">
                  <c:v>支出决算数</c:v>
                </c:pt>
              </c:strCache>
            </c:strRef>
          </c:cat>
          <c:val>
            <c:numRef>
              <c:f>'Sheet1'!$B$2:$B$3</c:f>
              <c:numCache>
                <c:formatCode>General</c:formatCode>
                <c:ptCount val="2"/>
                <c:pt idx="0">
                  <c:v>97.85</c:v>
                </c:pt>
                <c:pt idx="1">
                  <c:v>97.85</c:v>
                </c:pt>
              </c:numCache>
            </c:numRef>
          </c:val>
        </c:ser>
        <c:ser>
          <c:idx val="1"/>
          <c:order val="1"/>
          <c:tx>
            <c:strRef>
              <c:f>'Sheet1'!$C$1</c:f>
              <c:strCache>
                <c:ptCount val="1"/>
                <c:pt idx="0">
                  <c:v>2025年</c:v>
                </c:pt>
              </c:strCache>
            </c:strRef>
          </c:tx>
          <c:spPr>
            <a:solidFill>
              <a:srgbClr val="C0504D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General" sourceLinked="1"/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'Sheet1'!$A$2:$A$3</c:f>
              <c:strCache>
                <c:ptCount val="2"/>
                <c:pt idx="0">
                  <c:v>收入决算数</c:v>
                </c:pt>
                <c:pt idx="1">
                  <c:v>支出决算数</c:v>
                </c:pt>
              </c:strCache>
            </c:strRef>
          </c:cat>
          <c:val>
            <c:numRef>
              <c:f>'Sheet1'!$C$2:$C$3</c:f>
              <c:numCache>
                <c:formatCode>General</c:formatCode>
                <c:ptCount val="2"/>
                <c:pt idx="0">
                  <c:v>105.13</c:v>
                </c:pt>
                <c:pt idx="1">
                  <c:v>105.13</c:v>
                </c:pt>
              </c:numCache>
            </c:numRef>
          </c:val>
        </c:ser>
        <c:overlap val="-40"/>
        <c:gapWidth val="4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50">
            <a:solidFill>
              <a:srgbClr val="D9D9D9"/>
            </a:solidFill>
            <a:prstDash val="solid"/>
          </a:ln>
        </c:spPr>
        <c:txPr>
          <a:bodyPr/>
          <a:lstStyle/>
          <a:p>
            <a:pPr>
              <a:defRPr sz="900" b="0" i="0" u="none" strike="noStrike" baseline="0">
                <a:solidFill>
                  <a:srgbClr val="595959"/>
                </a:solidFill>
                <a:latin typeface="Times New Roman"/>
                <a:ea typeface="宋体"/>
                <a:cs typeface="Lucida Sans"/>
              </a:defRPr>
            </a:pPr>
            <a:endParaRPr lang="zh-CN"/>
          </a:p>
        </c:txPr>
        <c:crosses val="autoZero"/>
        <c:auto val="1"/>
        <c:lblOffset val="100"/>
        <c:lblAlgn val="ctr"/>
        <c:noMultiLvlLbl val="0"/>
        <c:crossAx val="1"/>
      </c:catAx>
      <c:valAx>
        <c:axId val="1"/>
        <c:scaling>
          <c:orientation val="minMax"/>
          <c:min val="70.0"/>
          <c:max val="110.0"/>
        </c:scaling>
        <c:delete val="0"/>
        <c:axPos val="l"/>
        <c:majorGridlines>
          <c:spPr>
            <a:ln w="6350">
              <a:solidFill>
                <a:srgbClr val="E6E6E6"/>
              </a:solidFill>
              <a:prstDash val="solid"/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 b="0" i="0" u="none" strike="noStrike" baseline="0">
                <a:solidFill>
                  <a:srgbClr val="595959"/>
                </a:solidFill>
                <a:latin typeface="Times New Roman"/>
                <a:ea typeface="宋体"/>
                <a:cs typeface="Lucida Sans"/>
              </a:defRPr>
            </a:pPr>
            <a:endParaRPr lang="zh-CN"/>
          </a:p>
        </c:txPr>
        <c:crossesAt val="1.0"/>
        <c:crossBetween val="between"/>
        <c:majorUnit val="6.0"/>
        <c:crossAx val="0"/>
      </c:valAx>
      <c:spPr>
        <a:noFill/>
        <a:ln>
          <a:noFill/>
        </a:ln>
      </c:spPr>
    </c:plotArea>
    <c:legend>
      <c:legendPos val="b"/>
      <c:layout/>
      <c:overlay val="0"/>
      <c:spPr>
        <a:noFill/>
        <a:ln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595959"/>
              </a:solidFill>
              <a:latin typeface="Times New Roman"/>
              <a:ea typeface="宋体"/>
              <a:cs typeface="Lucida San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>
        <a:alpha val="88000"/>
      </a:srgbClr>
    </a:solidFill>
    <a:ln w="6350">
      <a:solidFill>
        <a:srgbClr val="D9D9D9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宋体"/>
          <a:cs typeface="Lucida Sans"/>
        </a:defRPr>
      </a:pPr>
      <a:endParaRPr lang="zh-CN"/>
    </a:p>
  </c:txPr>
  <c:printSettings>
    <c:headerFooter/>
    <c:pageMargins b="0.75" l="0.7" r="0.7" t="0.75" header="0.3" footer="0.3"/>
    <c:pageSetup/>
  </c:printSettings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defRPr>
            </a:pPr>
            <a:r>
              <a:rPr lang="zh-CN"/>
              <a:t>收入决算结构图</a:t>
            </a:r>
          </a:p>
        </c:rich>
      </c:tx>
      <c:layout/>
      <c:overlay val="0"/>
      <c:spPr>
        <a:noFill/>
        <a:ln>
          <a:noFill/>
        </a:ln>
      </c:spPr>
    </c:title>
    <c:autoTitleDeleted val="1"/>
    <c:plotArea>
      <c:layout/>
      <c:pieChart>
        <c:varyColors val="1"/>
        <c:ser>
          <c:idx val="0"/>
          <c:order val="0"/>
          <c:tx>
            <c:strRef>
              <c:f>'Sheet1 (2)'!$B$1</c:f>
              <c:strCache>
                <c:ptCount val="1"/>
                <c:pt idx="0">
                  <c:v>收入决算数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00B0F0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C0504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0%" sourceLinked="0"/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'Sheet1 (2)'!$A$2:$A$3</c:f>
              <c:strCache>
                <c:ptCount val="2"/>
                <c:pt idx="0">
                  <c:v>一般公共预算收入</c:v>
                </c:pt>
                <c:pt idx="1">
                  <c:v>其他收入</c:v>
                </c:pt>
              </c:strCache>
            </c:strRef>
          </c:cat>
          <c:val>
            <c:numRef>
              <c:f>'Sheet1 (2)'!$B$2:$B$3</c:f>
              <c:numCache>
                <c:formatCode>General</c:formatCode>
                <c:ptCount val="2"/>
                <c:pt idx="0">
                  <c:v>100.0</c:v>
                </c:pt>
                <c:pt idx="1">
                  <c:v>0.0</c:v>
                </c:pt>
              </c:numCache>
            </c:numRef>
          </c:val>
        </c:ser>
        <c:firstSliceAng val="0"/>
      </c:pieChart>
      <c:spPr>
        <a:noFill/>
        <a:ln>
          <a:noFill/>
        </a:ln>
      </c:spPr>
    </c:plotArea>
    <c:plotVisOnly val="1"/>
    <c:dispBlanksAs val="gap"/>
    <c:showDLblsOverMax val="0"/>
  </c:chart>
  <c:spPr>
    <a:solidFill>
      <a:srgbClr val="FFFFFF"/>
    </a:solidFill>
    <a:ln w="6350">
      <a:solidFill>
        <a:srgbClr val="D9D9D9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宋体"/>
          <a:cs typeface="Lucida Sans"/>
        </a:defRPr>
      </a:pPr>
      <a:endParaRPr lang="zh-CN"/>
    </a:p>
  </c:txPr>
  <c:printSettings>
    <c:headerFooter/>
    <c:pageMargins b="0.75" l="0.7" r="0.7" t="0.75" header="0.3" footer="0.3"/>
    <c:pageSetup/>
  </c:printSettings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defRPr>
            </a:pPr>
            <a:r>
              <a:rPr lang="zh-CN"/>
              <a:t>支出决算结构图</a:t>
            </a:r>
          </a:p>
        </c:rich>
      </c:tx>
      <c:layout/>
      <c:overlay val="0"/>
      <c:spPr>
        <a:noFill/>
        <a:ln>
          <a:noFill/>
        </a:ln>
      </c:spPr>
    </c:title>
    <c:autoTitleDeleted val="1"/>
    <c:plotArea>
      <c:layout/>
      <c:pieChart>
        <c:varyColors val="1"/>
        <c:ser>
          <c:idx val="0"/>
          <c:order val="0"/>
          <c:tx>
            <c:strRef>
              <c:f>'Sheet1 (3)'!$B$1</c:f>
              <c:strCache>
                <c:ptCount val="1"/>
                <c:pt idx="0">
                  <c:v>支出决算数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B0F0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00B0F0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0%" sourceLinked="0"/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'Sheet1 (3)'!$A$2:$A$3</c:f>
              <c:strCache>
                <c:ptCount val="2"/>
                <c:pt idx="0">
                  <c:v>基本支出</c:v>
                </c:pt>
                <c:pt idx="1">
                  <c:v>其他支出</c:v>
                </c:pt>
              </c:strCache>
            </c:strRef>
          </c:cat>
          <c:val>
            <c:numRef>
              <c:f>'Sheet1 (3)'!$B$2:$B$3</c:f>
              <c:numCache>
                <c:formatCode>General</c:formatCode>
                <c:ptCount val="2"/>
                <c:pt idx="0">
                  <c:v>100.0</c:v>
                </c:pt>
                <c:pt idx="1">
                  <c:v>0.0</c:v>
                </c:pt>
              </c:numCache>
            </c:numRef>
          </c:val>
        </c:ser>
        <c:firstSliceAng val="0"/>
      </c:pieChart>
      <c:spPr>
        <a:noFill/>
        <a:ln>
          <a:noFill/>
        </a:ln>
      </c:spPr>
    </c:plotArea>
    <c:plotVisOnly val="1"/>
    <c:dispBlanksAs val="gap"/>
    <c:showDLblsOverMax val="0"/>
  </c:chart>
  <c:spPr>
    <a:solidFill>
      <a:srgbClr val="FFFFFF"/>
    </a:solidFill>
    <a:ln w="6350">
      <a:solidFill>
        <a:srgbClr val="D9D9D9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宋体"/>
          <a:cs typeface="Lucida Sans"/>
        </a:defRPr>
      </a:pPr>
      <a:endParaRPr lang="zh-CN"/>
    </a:p>
  </c:txPr>
  <c:printSettings>
    <c:headerFooter/>
    <c:pageMargins b="0.75" l="0.7" r="0.7" t="0.75" header="0.3" footer="0.3"/>
    <c:pageSetup/>
  </c:printSettings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defRPr>
            </a:pPr>
            <a:r>
              <a:rPr lang="zh-CN"/>
              <a:t>财政拨款收、支决算总计变动图</a:t>
            </a:r>
          </a:p>
        </c:rich>
      </c:tx>
      <c:layout/>
      <c:overlay val="0"/>
      <c:spPr>
        <a:noFill/>
        <a:ln>
          <a:noFill/>
        </a:ln>
      </c:spPr>
    </c:title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'Sheet1 (4)'!$B$1</c:f>
              <c:strCache>
                <c:ptCount val="1"/>
                <c:pt idx="0">
                  <c:v>2024年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General" sourceLinked="1"/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'Sheet1 (4)'!$A$2:$A$3</c:f>
              <c:strCache>
                <c:ptCount val="2"/>
                <c:pt idx="0">
                  <c:v>财政拨款收入决算数</c:v>
                </c:pt>
                <c:pt idx="1">
                  <c:v>财政拨款支出决算数</c:v>
                </c:pt>
              </c:strCache>
            </c:strRef>
          </c:cat>
          <c:val>
            <c:numRef>
              <c:f>'Sheet1 (4)'!$B$2:$B$3</c:f>
              <c:numCache>
                <c:formatCode>General</c:formatCode>
                <c:ptCount val="2"/>
                <c:pt idx="0">
                  <c:v>97.85</c:v>
                </c:pt>
                <c:pt idx="1">
                  <c:v>97.85</c:v>
                </c:pt>
              </c:numCache>
            </c:numRef>
          </c:val>
        </c:ser>
        <c:ser>
          <c:idx val="1"/>
          <c:order val="1"/>
          <c:tx>
            <c:strRef>
              <c:f>'Sheet1 (4)'!$C$1</c:f>
              <c:strCache>
                <c:ptCount val="1"/>
                <c:pt idx="0">
                  <c:v>2025年</c:v>
                </c:pt>
              </c:strCache>
            </c:strRef>
          </c:tx>
          <c:spPr>
            <a:solidFill>
              <a:srgbClr val="C0504D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General" sourceLinked="1"/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'Sheet1 (4)'!$A$2:$A$3</c:f>
              <c:strCache>
                <c:ptCount val="2"/>
                <c:pt idx="0">
                  <c:v>财政拨款收入决算数</c:v>
                </c:pt>
                <c:pt idx="1">
                  <c:v>财政拨款支出决算数</c:v>
                </c:pt>
              </c:strCache>
            </c:strRef>
          </c:cat>
          <c:val>
            <c:numRef>
              <c:f>'Sheet1 (4)'!$C$2:$C$3</c:f>
              <c:numCache>
                <c:formatCode>General</c:formatCode>
                <c:ptCount val="2"/>
                <c:pt idx="0">
                  <c:v>105.13</c:v>
                </c:pt>
                <c:pt idx="1">
                  <c:v>105.13</c:v>
                </c:pt>
              </c:numCache>
            </c:numRef>
          </c:val>
        </c:ser>
        <c:overlap val="-28"/>
        <c:gapWidth val="246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50">
            <a:solidFill>
              <a:srgbClr val="D9D9D9"/>
            </a:solidFill>
            <a:prstDash val="solid"/>
          </a:ln>
        </c:spPr>
        <c:txPr>
          <a:bodyPr/>
          <a:lstStyle/>
          <a:p>
            <a:pPr>
              <a:defRPr sz="900" b="0" i="0" u="none" strike="noStrike" baseline="0">
                <a:solidFill>
                  <a:srgbClr val="595959"/>
                </a:solidFill>
                <a:latin typeface="Times New Roman"/>
                <a:ea typeface="宋体"/>
                <a:cs typeface="Lucida Sans"/>
              </a:defRPr>
            </a:pPr>
            <a:endParaRPr lang="zh-CN"/>
          </a:p>
        </c:txPr>
        <c:crosses val="autoZero"/>
        <c:auto val="1"/>
        <c:lblOffset val="100"/>
        <c:lblAlgn val="ctr"/>
        <c:noMultiLvlLbl val="0"/>
        <c:crossAx val="1"/>
      </c:catAx>
      <c:valAx>
        <c:axId val="1"/>
        <c:scaling>
          <c:orientation val="minMax"/>
          <c:min val="70.0"/>
        </c:scaling>
        <c:delete val="0"/>
        <c:axPos val="l"/>
        <c:majorGridlines>
          <c:spPr>
            <a:ln w="6350">
              <a:solidFill>
                <a:srgbClr val="E6E6E6"/>
              </a:solidFill>
              <a:prstDash val="solid"/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 b="0" i="0" u="none" strike="noStrike" baseline="0">
                <a:solidFill>
                  <a:srgbClr val="595959"/>
                </a:solidFill>
                <a:latin typeface="Times New Roman"/>
                <a:ea typeface="宋体"/>
                <a:cs typeface="Lucida Sans"/>
              </a:defRPr>
            </a:pPr>
            <a:endParaRPr lang="zh-CN"/>
          </a:p>
        </c:txPr>
        <c:crossesAt val="1.0"/>
        <c:crossBetween val="between"/>
        <c:crossAx val="0"/>
      </c:valAx>
      <c:spPr>
        <a:noFill/>
        <a:ln>
          <a:noFill/>
        </a:ln>
      </c:spPr>
    </c:plotArea>
    <c:legend>
      <c:legendPos val="b"/>
      <c:layout/>
      <c:overlay val="0"/>
      <c:spPr>
        <a:noFill/>
        <a:ln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595959"/>
              </a:solidFill>
              <a:latin typeface="Times New Roman"/>
              <a:ea typeface="宋体"/>
              <a:cs typeface="Lucida San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6350">
      <a:solidFill>
        <a:srgbClr val="D9D9D9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宋体"/>
          <a:cs typeface="Lucida Sans"/>
        </a:defRPr>
      </a:pPr>
      <a:endParaRPr lang="zh-CN"/>
    </a:p>
  </c:txPr>
  <c:printSettings>
    <c:headerFooter/>
    <c:pageMargins b="0.75" l="0.7" r="0.7" t="0.75" header="0.3" footer="0.3"/>
    <c:pageSetup/>
  </c:printSettings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defRPr>
            </a:pPr>
            <a:r>
              <a:rPr lang="zh-CN"/>
              <a:t>一般公共预算财政拨款支出决算变动图</a:t>
            </a:r>
          </a:p>
        </c:rich>
      </c:tx>
      <c:layout>
        <c:manualLayout>
          <c:xMode val="edge"/>
          <c:yMode val="edge"/>
          <c:x val="0.18591447"/>
          <c:y val="0.028686782"/>
        </c:manualLayout>
      </c:layout>
      <c:overlay val="0"/>
      <c:spPr>
        <a:noFill/>
        <a:ln>
          <a:noFill/>
        </a:ln>
      </c:spPr>
    </c:title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'Sheet1 (5)'!$B$1</c:f>
              <c:strCache>
                <c:ptCount val="1"/>
                <c:pt idx="0">
                  <c:v>2024年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General" sourceLinked="1"/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'Sheet1 (5)'!$A$2</c:f>
              <c:strCache>
                <c:ptCount val="1"/>
                <c:pt idx="0">
                  <c:v>一般公共预算财政拨款支出数</c:v>
                </c:pt>
              </c:strCache>
            </c:strRef>
          </c:cat>
          <c:val>
            <c:numRef>
              <c:f>Sheet1 (5)!$B$2</c:f>
              <c:numCache>
                <c:formatCode>General</c:formatCode>
                <c:ptCount val="1"/>
                <c:pt idx="0">
                  <c:v>97.85</c:v>
                </c:pt>
              </c:numCache>
            </c:numRef>
          </c:val>
        </c:ser>
        <c:ser>
          <c:idx val="1"/>
          <c:order val="1"/>
          <c:tx>
            <c:strRef>
              <c:f>'Sheet1 (5)'!$C$1</c:f>
              <c:strCache>
                <c:ptCount val="1"/>
                <c:pt idx="0">
                  <c:v>2025年</c:v>
                </c:pt>
              </c:strCache>
            </c:strRef>
          </c:tx>
          <c:spPr>
            <a:solidFill>
              <a:srgbClr val="C0504D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General" sourceLinked="1"/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'Sheet1 (5)'!$A$2</c:f>
              <c:strCache>
                <c:ptCount val="1"/>
                <c:pt idx="0">
                  <c:v>一般公共预算财政拨款支出数</c:v>
                </c:pt>
              </c:strCache>
            </c:strRef>
          </c:cat>
          <c:val>
            <c:numRef>
              <c:f>Sheet1 (5)!$C$2</c:f>
              <c:numCache>
                <c:formatCode>General</c:formatCode>
                <c:ptCount val="1"/>
                <c:pt idx="0">
                  <c:v>105.13</c:v>
                </c:pt>
              </c:numCache>
            </c:numRef>
          </c:val>
        </c:ser>
        <c:overlap val="-68"/>
        <c:gapWidth val="50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50">
            <a:solidFill>
              <a:srgbClr val="D9D9D9"/>
            </a:solidFill>
            <a:prstDash val="solid"/>
          </a:ln>
        </c:spPr>
        <c:txPr>
          <a:bodyPr/>
          <a:lstStyle/>
          <a:p>
            <a:pPr>
              <a:defRPr sz="900" b="0" i="0" u="none" strike="noStrike" baseline="0">
                <a:solidFill>
                  <a:srgbClr val="595959"/>
                </a:solidFill>
                <a:latin typeface="Times New Roman"/>
                <a:ea typeface="宋体"/>
                <a:cs typeface="Lucida Sans"/>
              </a:defRPr>
            </a:pPr>
            <a:endParaRPr lang="zh-CN"/>
          </a:p>
        </c:txPr>
        <c:crosses val="autoZero"/>
        <c:auto val="1"/>
        <c:lblOffset val="100"/>
        <c:lblAlgn val="ctr"/>
        <c:noMultiLvlLbl val="0"/>
        <c:crossAx val="1"/>
      </c:catAx>
      <c:valAx>
        <c:axId val="1"/>
        <c:scaling>
          <c:orientation val="minMax"/>
          <c:min val="70.0"/>
          <c:max val="110.0"/>
        </c:scaling>
        <c:delete val="0"/>
        <c:axPos val="l"/>
        <c:majorGridlines>
          <c:spPr>
            <a:ln w="6350">
              <a:solidFill>
                <a:srgbClr val="E6E6E6"/>
              </a:solidFill>
              <a:prstDash val="solid"/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 b="0" i="0" u="none" strike="noStrike" baseline="0">
                <a:solidFill>
                  <a:srgbClr val="595959"/>
                </a:solidFill>
                <a:latin typeface="Times New Roman"/>
                <a:ea typeface="宋体"/>
                <a:cs typeface="Lucida Sans"/>
              </a:defRPr>
            </a:pPr>
            <a:endParaRPr lang="zh-CN"/>
          </a:p>
        </c:txPr>
        <c:crossesAt val="1.0"/>
        <c:crossBetween val="between"/>
        <c:crossAx val="0"/>
      </c:valAx>
      <c:spPr>
        <a:noFill/>
        <a:ln>
          <a:noFill/>
        </a:ln>
      </c:spPr>
    </c:plotArea>
    <c:legend>
      <c:legendPos val="b"/>
      <c:layout/>
      <c:overlay val="0"/>
      <c:spPr>
        <a:noFill/>
        <a:ln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595959"/>
              </a:solidFill>
              <a:latin typeface="Times New Roman"/>
              <a:ea typeface="宋体"/>
              <a:cs typeface="Lucida San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6350">
      <a:solidFill>
        <a:srgbClr val="D9D9D9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宋体"/>
          <a:cs typeface="Lucida Sans"/>
        </a:defRPr>
      </a:pPr>
      <a:endParaRPr lang="zh-CN"/>
    </a:p>
  </c:txPr>
  <c:printSettings>
    <c:headerFooter/>
    <c:pageMargins b="0.75" l="0.7" r="0.7" t="0.75" header="0.3" footer="0.3"/>
    <c:pageSetup/>
  </c:printSettings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defRPr>
            </a:pPr>
            <a:r>
              <a:rPr lang="zh-CN"/>
              <a:t>一般公共预算财政拨款支出决算结构图</a:t>
            </a:r>
          </a:p>
        </c:rich>
      </c:tx>
      <c:layout/>
      <c:overlay val="0"/>
      <c:spPr>
        <a:noFill/>
        <a:ln>
          <a:noFill/>
        </a:ln>
      </c:spPr>
    </c:title>
    <c:autoTitleDeleted val="1"/>
    <c:plotArea>
      <c:layout/>
      <c:pieChart>
        <c:varyColors val="1"/>
        <c:ser>
          <c:idx val="0"/>
          <c:order val="0"/>
          <c:tx>
            <c:strRef>
              <c:f>'Sheet1 (6)'!$B$1</c:f>
              <c:strCache>
                <c:ptCount val="1"/>
                <c:pt idx="0">
                  <c:v>支出决算数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4F81B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C0504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9BBB59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8064A2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0.00%" sourceLinked="0"/>
            <c:dLbl>
              <c:idx val="3"/>
              <c:layout>
                <c:manualLayout>
                  <c:x val="0.046399806"/>
                  <c:y val="0.08845218"/>
                </c:manualLayout>
              </c:layout>
              <c:numFmt formatCode="0.00%" sourceLinked="0"/>
              <c:spPr>
                <a:noFill/>
                <a:ln>
                  <a:noFill/>
                </a:ln>
              </c:spPr>
              <c:txPr>
                <a:bodyPr vert="horz"/>
                <a:lstStyle/>
                <a:p>
                  <a:pPr>
                    <a:defRPr sz="1000" b="0" i="0" u="none" strike="noStrike" baseline="0">
                      <a:solidFill>
                        <a:srgbClr val="404040"/>
                      </a:solidFill>
                      <a:latin typeface="Times New Roman"/>
                      <a:ea typeface="宋体"/>
                      <a:cs typeface="Lucida Sans"/>
                    </a:defRPr>
                  </a:pPr>
                  <a:endParaRPr lang="zh-CN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</c:dLbl>
            <c:dLblPos val="in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</c:dLbls>
          <c:cat>
            <c:strRef>
              <c:f>'Sheet1 (6)'!$A$2:$A$5</c:f>
              <c:strCache>
                <c:ptCount val="4"/>
                <c:pt idx="0">
                  <c:v>公共安全支出</c:v>
                </c:pt>
                <c:pt idx="1">
                  <c:v>社会保障和就业支出</c:v>
                </c:pt>
                <c:pt idx="2">
                  <c:v>卫生健康支出</c:v>
                </c:pt>
                <c:pt idx="3">
                  <c:v>住房保障支出</c:v>
                </c:pt>
              </c:strCache>
            </c:strRef>
          </c:cat>
          <c:val>
            <c:numRef>
              <c:f>'Sheet1 (6)'!$B$2:$B$5</c:f>
              <c:numCache>
                <c:formatCode>General</c:formatCode>
                <c:ptCount val="4"/>
                <c:pt idx="0">
                  <c:v>78.79</c:v>
                </c:pt>
                <c:pt idx="1">
                  <c:v>13.16</c:v>
                </c:pt>
                <c:pt idx="2">
                  <c:v>5.13</c:v>
                </c:pt>
                <c:pt idx="3">
                  <c:v>7.85</c:v>
                </c:pt>
              </c:numCache>
            </c:numRef>
          </c:val>
        </c:ser>
        <c:firstSliceAng val="0"/>
      </c:pieChart>
      <c:spPr>
        <a:noFill/>
        <a:ln>
          <a:noFill/>
        </a:ln>
      </c:spPr>
    </c:plotArea>
    <c:plotVisOnly val="1"/>
    <c:dispBlanksAs val="gap"/>
    <c:showDLblsOverMax val="0"/>
  </c:chart>
  <c:spPr>
    <a:solidFill>
      <a:srgbClr val="FFFFFF"/>
    </a:solidFill>
    <a:ln w="6350">
      <a:solidFill>
        <a:srgbClr val="D9D9D9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宋体"/>
          <a:cs typeface="Lucida Sans"/>
        </a:defRPr>
      </a:pPr>
      <a:endParaRPr lang="zh-CN"/>
    </a:p>
  </c:txPr>
  <c:printSettings>
    <c:headerFooter/>
    <c:pageMargins b="0.75" l="0.7" r="0.7" t="0.75" header="0.3" footer="0.3"/>
    <c:pageSetup/>
  </c:printSettings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000000"/>
                </a:solidFill>
                <a:latin typeface="Times New Roman"/>
                <a:ea typeface="宋体"/>
                <a:cs typeface="Lucida Sans"/>
              </a:defRPr>
            </a:pPr>
            <a:r>
              <a:rPr lang="zh-CN"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rPr>
              <a:t>财政拨款</a:t>
            </a:r>
            <a:r>
              <a:rPr lang="zh-CN"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rPr>
              <a:t>“</a:t>
            </a:r>
            <a:r>
              <a:rPr lang="zh-CN"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rPr>
              <a:t>三公</a:t>
            </a:r>
            <a:r>
              <a:rPr lang="zh-CN"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rPr>
              <a:t>”</a:t>
            </a:r>
            <a:r>
              <a:rPr lang="zh-CN" sz="1400" b="1" i="0" u="none" strike="noStrike" baseline="0">
                <a:solidFill>
                  <a:srgbClr val="404040"/>
                </a:solidFill>
                <a:latin typeface="Times New Roman"/>
                <a:ea typeface="宋体"/>
                <a:cs typeface="Lucida Sans"/>
              </a:rPr>
              <a:t>经费支出结构图</a:t>
            </a:r>
          </a:p>
        </c:rich>
      </c:tx>
      <c:layout/>
      <c:overlay val="0"/>
      <c:spPr>
        <a:noFill/>
        <a:ln>
          <a:noFill/>
        </a:ln>
      </c:spPr>
    </c:title>
    <c:autoTitleDeleted val="1"/>
    <c:plotArea>
      <c:layout/>
      <c:pieChart>
        <c:varyColors val="1"/>
        <c:ser>
          <c:idx val="0"/>
          <c:order val="0"/>
          <c:tx>
            <c:strRef>
              <c:f>'Sheet1 (7)'!$B$1</c:f>
              <c:strCache>
                <c:ptCount val="1"/>
                <c:pt idx="0">
                  <c:v>“三公”经费支出数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4F81B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C0504D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9BBB59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8064A2"/>
              </a:solidFill>
              <a:ln w="6350">
                <a:solidFill>
                  <a:srgbClr val="FFFFFF"/>
                </a:solidFill>
                <a:prstDash val="solid"/>
              </a:ln>
            </c:spPr>
          </c:dPt>
          <c:dLbls>
            <c:spPr>
              <a:noFill/>
              <a:ln>
                <a:noFill/>
              </a:ln>
            </c:spPr>
            <c:txPr>
              <a:bodyPr vert="horz"/>
              <a:lstStyle/>
              <a:p>
                <a:pPr>
                  <a:defRPr sz="1000" b="0" i="0" u="none" strike="noStrike" baseline="0">
                    <a:solidFill>
                      <a:srgbClr val="404040"/>
                    </a:solidFill>
                    <a:latin typeface="Times New Roman"/>
                    <a:ea typeface="宋体"/>
                    <a:cs typeface="Lucida Sans"/>
                  </a:defRPr>
                </a:pPr>
                <a:endParaRPr lang="zh-CN"/>
              </a:p>
            </c:txPr>
            <c:numFmt formatCode="0%" sourceLinked="0"/>
            <c:dLbl>
              <c:idx val="0"/>
              <c:layout>
                <c:manualLayout>
                  <c:x val="0.003623409"/>
                  <c:y val="0.24849553"/>
                </c:manualLayout>
              </c:layout>
              <c:spPr>
                <a:noFill/>
                <a:ln>
                  <a:noFill/>
                </a:ln>
              </c:spPr>
              <c:txPr>
                <a:bodyPr vert="horz"/>
                <a:lstStyle/>
                <a:p>
                  <a:pPr>
                    <a:defRPr sz="1000" b="0" i="0" u="none" strike="noStrike" baseline="0">
                      <a:solidFill>
                        <a:srgbClr val="404040"/>
                      </a:solidFill>
                      <a:latin typeface="Times New Roman"/>
                      <a:ea typeface="宋体"/>
                      <a:cs typeface="Lucida Sans"/>
                    </a:defRPr>
                  </a:pPr>
                  <a:endParaRPr lang="zh-CN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</c:dLbl>
            <c:dLbl>
              <c:idx val="1"/>
              <c:layout>
                <c:manualLayout>
                  <c:x val="-0.14677523"/>
                  <c:y val="0.11781131"/>
                </c:manualLayout>
              </c:layout>
              <c:spPr>
                <a:noFill/>
                <a:ln>
                  <a:noFill/>
                </a:ln>
              </c:spPr>
              <c:txPr>
                <a:bodyPr vert="horz"/>
                <a:lstStyle/>
                <a:p>
                  <a:pPr>
                    <a:defRPr sz="1000" b="0" i="0" u="none" strike="noStrike" baseline="0">
                      <a:solidFill>
                        <a:srgbClr val="404040"/>
                      </a:solidFill>
                      <a:latin typeface="Times New Roman"/>
                      <a:ea typeface="宋体"/>
                      <a:cs typeface="Lucida Sans"/>
                    </a:defRPr>
                  </a:pPr>
                  <a:endParaRPr lang="zh-CN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</c:dLbl>
            <c:dLbl>
              <c:idx val="2"/>
              <c:layout>
                <c:manualLayout>
                  <c:x val="0.14315002"/>
                  <c:y val="0.095823415"/>
                </c:manualLayout>
              </c:layout>
              <c:spPr>
                <a:noFill/>
                <a:ln>
                  <a:noFill/>
                </a:ln>
              </c:spPr>
              <c:txPr>
                <a:bodyPr vert="horz"/>
                <a:lstStyle/>
                <a:p>
                  <a:pPr>
                    <a:defRPr sz="1000" b="0" i="0" u="none" strike="noStrike" baseline="0">
                      <a:solidFill>
                        <a:srgbClr val="404040"/>
                      </a:solidFill>
                      <a:latin typeface="Times New Roman"/>
                      <a:ea typeface="宋体"/>
                      <a:cs typeface="Lucida Sans"/>
                    </a:defRPr>
                  </a:pPr>
                  <a:endParaRPr lang="zh-CN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</c:dLbl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'Sheet1 (7)'!$A$2:$A$5</c:f>
              <c:strCache>
                <c:ptCount val="4"/>
                <c:pt idx="0">
                  <c:v>因公出国（境）费</c:v>
                </c:pt>
                <c:pt idx="1">
                  <c:v>公务用车运行及维护费</c:v>
                </c:pt>
                <c:pt idx="2">
                  <c:v>公务接待费</c:v>
                </c:pt>
                <c:pt idx="3">
                  <c:v>“三公”经费预算数</c:v>
                </c:pt>
              </c:strCache>
            </c:strRef>
          </c:cat>
          <c:val>
            <c:numRef>
              <c:f>'Sheet1 (7)'!$B$2:$B$5</c:f>
              <c:numCache>
                <c:formatCode>General</c:formatCode>
                <c:ptCount val="4"/>
                <c:pt idx="0">
                  <c:v>0.0</c:v>
                </c:pt>
                <c:pt idx="1">
                  <c:v>0.0</c:v>
                </c:pt>
                <c:pt idx="2">
                  <c:v>0.0</c:v>
                </c:pt>
                <c:pt idx="3">
                  <c:v>0.17</c:v>
                </c:pt>
              </c:numCache>
            </c:numRef>
          </c:val>
        </c:ser>
        <c:firstSliceAng val="0"/>
      </c:pieChart>
      <c:spPr>
        <a:noFill/>
        <a:ln>
          <a:noFill/>
        </a:ln>
      </c:spPr>
    </c:plotArea>
    <c:plotVisOnly val="1"/>
    <c:dispBlanksAs val="gap"/>
    <c:showDLblsOverMax val="0"/>
  </c:chart>
  <c:spPr>
    <a:solidFill>
      <a:srgbClr val="FFFFFF"/>
    </a:solidFill>
    <a:ln w="6350">
      <a:solidFill>
        <a:srgbClr val="D9D9D9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宋体"/>
          <a:cs typeface="Lucida Sans"/>
        </a:defRPr>
      </a:pPr>
      <a:endParaRPr lang="zh-CN"/>
    </a:p>
  </c:txPr>
  <c:printSettings>
    <c:headerFooter/>
    <c:pageMargins b="0.75" l="0.7" r="0.7" t="0.75" header="0.3" footer="0.3"/>
    <c:pageSetup/>
  </c:printSettings>
  <c:externalData r:id="rId1">
    <c:autoUpdate val="0"/>
  </c:externalData>
</c:chartSpace>
</file>

<file path=docProps/app.xml><?xml version="1.0" encoding="utf-8"?>
<Properties xmlns="http://schemas.openxmlformats.org/officeDocument/2006/extended-properties">
  <Template>Normal.eit</Template>
  <TotalTime>329</TotalTime>
  <Application>Yozo_Office27021597764231179</Application>
  <Pages>16</Pages>
  <Words>3757</Words>
  <Characters>4061</Characters>
  <Lines>324</Lines>
  <Paragraphs>113</Paragraphs>
  <CharactersWithSpaces>4106</CharactersWithSpaces>
  <Company>四川省财政厅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四川省***</dc:title>
  <dc:creator>曹颖</dc:creator>
  <cp:lastModifiedBy>user</cp:lastModifiedBy>
  <cp:revision>32</cp:revision>
  <cp:lastPrinted>2026-09-15T20:19:38Z</cp:lastPrinted>
  <dcterms:created xsi:type="dcterms:W3CDTF">2020-08-08T17:49:00Z</dcterms:created>
  <dcterms:modified xsi:type="dcterms:W3CDTF">2026-09-16T08:48:55Z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2052-12.1.0.21541</vt:lpwstr>
  </property>
  <property fmtid="{D5CDD505-2E9C-101B-9397-08002B2CF9AE}" pid="3" name="ICV">
    <vt:lpwstr>3BF536824C220DA3E40E8B68BA118B1C_42</vt:lpwstr>
  </property>
  <property fmtid="{D5CDD505-2E9C-101B-9397-08002B2CF9AE}" pid="4" name="KSOTemplateDocerSaveRecord">
    <vt:lpwstr>eyJoZGlkIjoiMzMzNTllZjc0YmYzNWYzYTkzYWY5ZWNmNDk3ZjY3M2IiLCJ1c2VySWQiOiI0NDIwNDI4OTEifQ==</vt:lpwstr>
  </property>
</Properties>
</file>