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rPr>
          <w:rFonts w:ascii="Times New Roman" w:eastAsia="方正小标宋简体" w:cs="Times New Roman" w:hAnsi="Times New Roman" w:hint="eastAsia"/>
          <w:color w:val="auto"/>
          <w:kern w:val="2"/>
          <w:sz w:val="72"/>
          <w:szCs w:val="72"/>
          <w:lang w:val="en-US" w:eastAsia="zh-CN" w:bidi="ar-SA"/>
          <w:highlight w:val="auto"/>
        </w:rPr>
      </w:pPr>
      <w:bookmarkStart w:id="0" w:name="_Toc15306267"/>
      <w:bookmarkStart w:id="1" w:name="_Toc15377425"/>
      <w:bookmarkStart w:id="2" w:name="_Toc15377193"/>
      <w:bookmarkStart w:id="3" w:name="_Toc15396597"/>
      <w:bookmarkStart w:id="4" w:name="_Toc15396475"/>
      <w:bookmarkStart w:id="5" w:name="_Toc15378441"/>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2025年度州公安局（本级）</w:t>
      </w:r>
    </w:p>
    <w:p>
      <w:pPr>
        <w:pStyle w:val="15"/>
        <w:jc w:val="center"/>
        <w:rPr>
          <w:rFonts w:ascii="Times New Roman" w:eastAsia="方正小标宋简体" w:cs="Times New Roman" w:hAnsi="Times New Roman"/>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决算公开</w:t>
      </w: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cs="仿宋_GB2312" w:hint="eastAsia"/>
          <w:sz w:val="32"/>
          <w:szCs w:val="32"/>
        </w:rPr>
      </w:pPr>
    </w:p>
    <w:p>
      <w:pPr>
        <w:autoSpaceDE w:val="0"/>
        <w:autoSpaceDN w:val="0"/>
        <w:adjustRightInd w:val="0"/>
        <w:ind w:leftChars="200" w:left="420" w:firstLineChars="100" w:firstLine="320"/>
        <w:jc w:val="left"/>
        <w:rPr>
          <w:rFonts w:ascii="宋体"/>
          <w:sz w:val="32"/>
          <w:szCs w:val="32"/>
        </w:rPr>
      </w:pPr>
      <w:r>
        <w:rPr>
          <w:rFonts w:ascii="宋体" w:cs="仿宋_GB2312" w:hint="eastAsia"/>
          <w:sz w:val="32"/>
          <w:szCs w:val="32"/>
        </w:rPr>
        <w:t>保密审查情况：已审查，内容审定</w:t>
      </w:r>
    </w:p>
    <w:p>
      <w:pPr>
        <w:spacing w:line="600" w:lineRule="exact"/>
        <w:jc w:val="center"/>
        <w:outlineLvl w:val="9"/>
        <w:rPr>
          <w:rFonts w:ascii="Times New Roman" w:eastAsia="方正小标宋简体" w:hAnsi="Times New Roman"/>
          <w:color w:val="auto"/>
          <w:sz w:val="72"/>
          <w:szCs w:val="72"/>
          <w:highlight w:val="auto"/>
        </w:rPr>
      </w:pPr>
      <w:r>
        <w:rPr>
          <w:rFonts w:ascii="宋体" w:cs="仿宋_GB2312" w:hint="eastAsia"/>
          <w:sz w:val="32"/>
          <w:szCs w:val="32"/>
          <w:lang w:val="en-US" w:eastAsia="zh-CN"/>
        </w:rPr>
        <w:t xml:space="preserve"> </w:t>
      </w:r>
      <w:r>
        <w:rPr>
          <w:rFonts w:ascii="宋体" w:cs="仿宋_GB2312" w:hint="eastAsia"/>
          <w:sz w:val="32"/>
          <w:szCs w:val="32"/>
        </w:rPr>
        <w:t>部门主要负责人审签情况：已审签，同意对外公开</w:t>
      </w:r>
    </w:p>
    <w:p>
      <w:pPr>
        <w:pStyle w:val="27"/>
        <w:outlineLvl w:val="9"/>
        <w:rPr>
          <w:rFonts w:ascii="Times New Roman" w:hAnsi="Times New Roman"/>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p>
    <w:p>
      <w:pPr>
        <w:rPr>
          <w:rFonts w:ascii="Times New Roman" w:hAnsi="Times New Roman"/>
        </w:rPr>
      </w:pPr>
    </w:p>
    <w:p>
      <w:pPr>
        <w:widowControl/>
        <w:jc w:val="center"/>
        <w:rPr>
          <w:rFonts w:ascii="Times New Roman" w:eastAsia="黑体" w:hAnsi="Times New Roman"/>
          <w:color w:val="auto"/>
          <w:sz w:val="48"/>
          <w:szCs w:val="48"/>
          <w:highlight w:val="auto"/>
        </w:rPr>
      </w:pPr>
      <w:bookmarkEnd w:id="0"/>
      <w:bookmarkEnd w:id="1"/>
      <w:bookmarkEnd w:id="2"/>
      <w:bookmarkEnd w:id="3"/>
      <w:bookmarkEnd w:id="4"/>
      <w:bookmarkEnd w:id="5"/>
      <w:r>
        <w:rPr>
          <w:rFonts w:ascii="Times New Roman" w:eastAsia="黑体" w:hAnsi="Times New Roman" w:hint="eastAsia"/>
          <w:color w:val="auto"/>
          <w:sz w:val="48"/>
          <w:szCs w:val="48"/>
          <w:highlight w:val="auto"/>
        </w:rPr>
        <w:t>目录</w:t>
      </w:r>
    </w:p>
    <w:p>
      <w:pPr>
        <w:pStyle w:val="21"/>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15</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sdt>
      <w:sdtPr>
        <w:rPr>
          <w:rFonts w:ascii="宋体" w:eastAsia="宋体" w:cs="Times New Roman"/>
          <w:kern w:val="2"/>
          <w:sz w:val="21"/>
          <w:szCs w:val="24"/>
          <w:lang w:val="en-US" w:eastAsia="zh-CN" w:bidi="ar-SA"/>
        </w:rPr>
        <w:id w:val="-2105795221"/>
        <w15:color w:val="DBDBDB"/>
        <w:docPartObj>
          <w:docPartGallery w:val="Table of Contents"/>
          <w:docPartUnique/>
        </w:docPartObj>
      </w:sdtPr>
      <w:sdtContent>
        <w:p>
          <w:pPr>
            <w:spacing w:before="0" w:after="0" w:line="240" w:lineRule="auto"/>
            <w:ind w:left="0" w:right="0" w:firstLine="0"/>
            <w:jc w:val="center"/>
            <w:rPr>
              <w:sz w:val="32"/>
              <w:szCs w:val="32"/>
            </w:rPr>
          </w:pP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TOC \o "1-2" \h \u </w:instrText>
          </w:r>
          <w:r>
            <w:fldChar w:fldCharType="separate"/>
          </w:r>
          <w:r>
            <w:fldChar w:fldCharType="begin"/>
          </w:r>
          <w:r>
            <w:instrText xml:space="preserve"> HYPERLINK \l _Toc30326 </w:instrText>
          </w:r>
          <w:r>
            <w:fldChar w:fldCharType="separate"/>
          </w:r>
          <w:r>
            <w:rPr>
              <w:rFonts w:ascii="Times New Roman" w:eastAsia="方正小标宋简体" w:cs="方正小标宋简体" w:hAnsi="Times New Roman" w:hint="eastAsia"/>
              <w:highlight w:val="auto"/>
            </w:rPr>
            <w:t>第一部分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ascii="Times New Roman" w:eastAsia="方正小标宋简体" w:cs="方正小标宋简体" w:hAnsi="Times New Roman" w:hint="eastAsia"/>
              <w:bCs w:val="0"/>
              <w:highlight w:val="auto"/>
            </w:rPr>
            <w:t>部门概况</w:t>
          </w:r>
          <w:r>
            <w:tab/>
          </w:r>
          <w:r>
            <w:fldChar w:fldCharType="begin"/>
          </w:r>
          <w:r>
            <w:instrText xml:space="preserve"> PAGEREF _Toc30326 \h </w:instrText>
          </w:r>
          <w:r>
            <w:fldChar w:fldCharType="separate"/>
          </w:r>
          <w:r>
            <w:t>1</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_Toc27724 </w:instrText>
          </w:r>
          <w:r>
            <w:fldChar w:fldCharType="separate"/>
          </w:r>
          <w:r>
            <w:rPr>
              <w:rFonts w:ascii="Times New Roman" w:eastAsia="黑体" w:hAnsi="Times New Roman" w:hint="eastAsia"/>
              <w:lang w:val="en-US" w:eastAsia="zh-CN"/>
              <w:highlight w:val="auto"/>
            </w:rPr>
            <w:t>一、</w:t>
          </w:r>
          <w:r>
            <w:rPr>
              <w:rFonts w:ascii="Times New Roman" w:eastAsia="黑体" w:hAnsi="Times New Roman" w:hint="eastAsia"/>
              <w:lang w:eastAsia="zh-CN"/>
              <w:highlight w:val="auto"/>
            </w:rPr>
            <w:t>部门职责</w:t>
          </w:r>
          <w:r>
            <w:tab/>
          </w:r>
          <w:r>
            <w:fldChar w:fldCharType="begin"/>
          </w:r>
          <w:r>
            <w:instrText xml:space="preserve"> PAGEREF _Toc27724 \h </w:instrText>
          </w:r>
          <w:r>
            <w:fldChar w:fldCharType="separate"/>
          </w:r>
          <w:r>
            <w:t>1</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_Toc28941 </w:instrText>
          </w:r>
          <w:r>
            <w:fldChar w:fldCharType="separate"/>
          </w:r>
          <w:r>
            <w:rPr>
              <w:rFonts w:ascii="Times New Roman" w:eastAsia="黑体" w:hAnsi="Times New Roman" w:hint="eastAsia"/>
              <w:lang w:val="en-US" w:eastAsia="zh-CN"/>
              <w:highlight w:val="auto"/>
            </w:rPr>
            <w:t>二、</w:t>
          </w:r>
          <w:r>
            <w:rPr>
              <w:rFonts w:ascii="Times New Roman" w:eastAsia="黑体" w:hAnsi="Times New Roman" w:hint="eastAsia"/>
              <w:highlight w:val="auto"/>
            </w:rPr>
            <w:t>机</w:t>
          </w:r>
          <w:r>
            <w:rPr>
              <w:rFonts w:ascii="Times New Roman" w:eastAsia="黑体" w:hAnsi="Times New Roman" w:hint="eastAsia"/>
              <w:bCs w:val="0"/>
              <w:highlight w:val="auto"/>
            </w:rPr>
            <w:t>构设置</w:t>
          </w:r>
          <w:r>
            <w:tab/>
          </w:r>
          <w:r>
            <w:fldChar w:fldCharType="begin"/>
          </w:r>
          <w:r>
            <w:instrText xml:space="preserve"> PAGEREF _Toc28941 \h </w:instrText>
          </w:r>
          <w:r>
            <w:fldChar w:fldCharType="separate"/>
          </w:r>
          <w:r>
            <w:t>1</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_Toc17012 </w:instrText>
          </w:r>
          <w:r>
            <w:fldChar w:fldCharType="separate"/>
          </w:r>
          <w:r>
            <w:rPr>
              <w:rFonts w:ascii="Times New Roman" w:eastAsia="方正小标宋简体" w:cs="方正小标宋简体" w:hAnsi="Times New Roman" w:hint="eastAsia"/>
              <w:highlight w:val="auto"/>
            </w:rPr>
            <w:t>第二部分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eastAsia="方正小标宋简体" w:cs="方正小标宋简体" w:hint="eastAsia"/>
              <w:lang w:val="en-US" w:eastAsia="zh-CN"/>
              <w:highlight w:val="auto"/>
            </w:rPr>
            <w:t>2025年度</w:t>
          </w:r>
          <w:r>
            <w:rPr>
              <w:rFonts w:ascii="Times New Roman" w:eastAsia="方正小标宋简体" w:cs="方正小标宋简体" w:hAnsi="Times New Roman" w:hint="eastAsia"/>
              <w:highlight w:val="auto"/>
            </w:rPr>
            <w:t>部门决算情况说明</w:t>
          </w:r>
          <w:r>
            <w:tab/>
          </w:r>
          <w:r>
            <w:fldChar w:fldCharType="begin"/>
          </w:r>
          <w:r>
            <w:instrText xml:space="preserve"> PAGEREF _Toc17012 \h </w:instrText>
          </w:r>
          <w:r>
            <w:fldChar w:fldCharType="separate"/>
          </w:r>
          <w:r>
            <w:t>- 2 -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_Toc14320 </w:instrText>
          </w:r>
          <w:r>
            <w:fldChar w:fldCharType="separate"/>
          </w:r>
          <w:r>
            <w:rPr>
              <w:rFonts w:ascii="Times New Roman" w:eastAsia="黑体" w:hAnsi="Times New Roman" w:hint="eastAsia"/>
              <w:szCs w:val="32"/>
              <w:lang w:eastAsia="zh-CN"/>
              <w:highlight w:val="auto"/>
            </w:rPr>
            <w:t>一、</w:t>
          </w:r>
          <w:r>
            <w:rPr>
              <w:rFonts w:ascii="Times New Roman" w:eastAsia="黑体" w:hAnsi="Times New Roman" w:hint="eastAsia"/>
              <w:szCs w:val="32"/>
              <w:highlight w:val="auto"/>
            </w:rPr>
            <w:t>收</w:t>
          </w:r>
          <w:r>
            <w:rPr>
              <w:rFonts w:ascii="Times New Roman" w:eastAsia="黑体" w:hAnsi="Times New Roman" w:hint="eastAsia"/>
              <w:highlight w:val="auto"/>
            </w:rPr>
            <w:t>入支出决算总体情况说明</w:t>
          </w:r>
          <w:r>
            <w:tab/>
          </w:r>
          <w:r>
            <w:fldChar w:fldCharType="begin"/>
          </w:r>
          <w:r>
            <w:instrText xml:space="preserve"> PAGEREF _Toc14320 \h </w:instrText>
          </w:r>
          <w:r>
            <w:fldChar w:fldCharType="separate"/>
          </w:r>
          <w:r>
            <w:t>- 2 -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_Toc16473 </w:instrText>
          </w:r>
          <w:r>
            <w:fldChar w:fldCharType="separate"/>
          </w:r>
          <w:r>
            <w:rPr>
              <w:rFonts w:ascii="Times New Roman" w:eastAsia="黑体" w:hAnsi="Times New Roman" w:hint="eastAsia"/>
              <w:szCs w:val="32"/>
              <w:lang w:eastAsia="zh-CN"/>
              <w:highlight w:val="auto"/>
            </w:rPr>
            <w:t>二、收入决算情况说明</w:t>
          </w:r>
          <w:r>
            <w:tab/>
          </w:r>
          <w:r>
            <w:fldChar w:fldCharType="begin"/>
          </w:r>
          <w:r>
            <w:instrText xml:space="preserve"> PAGEREF _Toc16473 \h </w:instrText>
          </w:r>
          <w:r>
            <w:fldChar w:fldCharType="separate"/>
          </w:r>
          <w:r>
            <w:t>- 3 -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_Toc26192 </w:instrText>
          </w:r>
          <w:r>
            <w:fldChar w:fldCharType="separate"/>
          </w:r>
          <w:r>
            <w:rPr>
              <w:rFonts w:ascii="Times New Roman" w:eastAsia="黑体" w:hAnsi="Times New Roman" w:hint="eastAsia"/>
              <w:lang w:eastAsia="zh-CN"/>
              <w:highlight w:val="auto"/>
            </w:rPr>
            <w:t>三、</w:t>
          </w:r>
          <w:r>
            <w:rPr>
              <w:rFonts w:ascii="Times New Roman" w:eastAsia="黑体" w:hAnsi="Times New Roman" w:hint="eastAsia"/>
              <w:highlight w:val="auto"/>
            </w:rPr>
            <w:t>支出决算情况说明</w:t>
          </w:r>
          <w:r>
            <w:tab/>
          </w:r>
          <w:r>
            <w:fldChar w:fldCharType="begin"/>
          </w:r>
          <w:r>
            <w:instrText xml:space="preserve"> PAGEREF _Toc26192 \h </w:instrText>
          </w:r>
          <w:r>
            <w:fldChar w:fldCharType="separate"/>
          </w:r>
          <w:r>
            <w:t>- 3 -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_Toc21286 </w:instrText>
          </w:r>
          <w:r>
            <w:fldChar w:fldCharType="separate"/>
          </w:r>
          <w:r>
            <w:rPr>
              <w:rFonts w:ascii="Times New Roman" w:eastAsia="黑体" w:hAnsi="Times New Roman" w:hint="eastAsia"/>
              <w:lang w:eastAsia="zh-CN"/>
              <w:highlight w:val="auto"/>
            </w:rPr>
            <w:t>四、财政拨款收入支出决算总体情况说明</w:t>
          </w:r>
          <w:r>
            <w:tab/>
          </w:r>
          <w:r>
            <w:fldChar w:fldCharType="begin"/>
          </w:r>
          <w:r>
            <w:instrText xml:space="preserve"> PAGEREF _Toc21286 \h </w:instrText>
          </w:r>
          <w:r>
            <w:fldChar w:fldCharType="separate"/>
          </w:r>
          <w:r>
            <w:t>- 4 -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_Toc16018 </w:instrText>
          </w:r>
          <w:r>
            <w:fldChar w:fldCharType="separate"/>
          </w:r>
          <w:r>
            <w:rPr>
              <w:rFonts w:ascii="Times New Roman" w:eastAsia="黑体" w:hAnsi="Times New Roman" w:hint="eastAsia"/>
              <w:szCs w:val="32"/>
              <w:highlight w:val="auto"/>
            </w:rPr>
            <w:t>五、一</w:t>
          </w:r>
          <w:r>
            <w:rPr>
              <w:rFonts w:ascii="Times New Roman" w:eastAsia="黑体" w:hAnsi="Times New Roman" w:hint="eastAsia"/>
              <w:highlight w:val="auto"/>
            </w:rPr>
            <w:t>般公共预算财政拨款支出决算情况说明</w:t>
          </w:r>
          <w:r>
            <w:tab/>
          </w:r>
          <w:r>
            <w:fldChar w:fldCharType="begin"/>
          </w:r>
          <w:r>
            <w:instrText xml:space="preserve"> PAGEREF _Toc16018 \h </w:instrText>
          </w:r>
          <w:r>
            <w:fldChar w:fldCharType="separate"/>
          </w:r>
          <w:r>
            <w:t>- 4 -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_Toc9140 </w:instrText>
          </w:r>
          <w:r>
            <w:fldChar w:fldCharType="separate"/>
          </w:r>
          <w:r>
            <w:rPr>
              <w:rFonts w:ascii="Times New Roman" w:eastAsia="黑体" w:hAnsi="Times New Roman" w:hint="eastAsia"/>
              <w:szCs w:val="32"/>
              <w:highlight w:val="auto"/>
            </w:rPr>
            <w:t>六、一</w:t>
          </w:r>
          <w:r>
            <w:rPr>
              <w:rFonts w:ascii="Times New Roman" w:eastAsia="黑体" w:hAnsi="Times New Roman" w:hint="eastAsia"/>
              <w:highlight w:val="auto"/>
            </w:rPr>
            <w:t>般公共预算财政拨款基本支出决算情况说明</w:t>
          </w:r>
          <w:r>
            <w:tab/>
          </w:r>
          <w:r>
            <w:fldChar w:fldCharType="begin"/>
          </w:r>
          <w:r>
            <w:instrText xml:space="preserve"> PAGEREF _Toc9140 \h </w:instrText>
          </w:r>
          <w:r>
            <w:fldChar w:fldCharType="separate"/>
          </w:r>
          <w:r>
            <w:t>- 6 -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_Toc1673 </w:instrText>
          </w:r>
          <w:r>
            <w:fldChar w:fldCharType="separate"/>
          </w:r>
          <w:r>
            <w:rPr>
              <w:rFonts w:ascii="Times New Roman" w:eastAsia="黑体" w:hAnsi="Times New Roman" w:hint="eastAsia"/>
              <w:highlight w:val="auto"/>
            </w:rPr>
            <w:t>七、财政拨款“三公”经费支出决算情况说明</w:t>
          </w:r>
          <w:r>
            <w:tab/>
          </w:r>
          <w:r>
            <w:fldChar w:fldCharType="begin"/>
          </w:r>
          <w:r>
            <w:instrText xml:space="preserve"> PAGEREF _Toc1673 \h </w:instrText>
          </w:r>
          <w:r>
            <w:fldChar w:fldCharType="separate"/>
          </w:r>
          <w:r>
            <w:t>- 7 -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_Toc19980 </w:instrText>
          </w:r>
          <w:r>
            <w:fldChar w:fldCharType="separate"/>
          </w:r>
          <w:r>
            <w:rPr>
              <w:rFonts w:ascii="Times New Roman" w:eastAsia="黑体" w:hAnsi="Times New Roman" w:hint="eastAsia"/>
              <w:szCs w:val="32"/>
              <w:highlight w:val="auto"/>
            </w:rPr>
            <w:t>八、</w:t>
          </w:r>
          <w:r>
            <w:rPr>
              <w:rFonts w:ascii="Times New Roman" w:eastAsia="黑体" w:hAnsi="Times New Roman" w:hint="eastAsia"/>
              <w:highlight w:val="auto"/>
            </w:rPr>
            <w:t>政府性基金预算支出决算情况说明</w:t>
          </w:r>
          <w:r>
            <w:tab/>
          </w:r>
          <w:r>
            <w:fldChar w:fldCharType="begin"/>
          </w:r>
          <w:r>
            <w:instrText xml:space="preserve"> PAGEREF _Toc19980 \h </w:instrText>
          </w:r>
          <w:r>
            <w:fldChar w:fldCharType="separate"/>
          </w:r>
          <w:r>
            <w:t>- 9 -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_Toc29550 </w:instrText>
          </w:r>
          <w:r>
            <w:fldChar w:fldCharType="separate"/>
          </w:r>
          <w:r>
            <w:rPr>
              <w:rFonts w:ascii="Times New Roman" w:eastAsia="黑体" w:hAnsi="Times New Roman" w:hint="eastAsia"/>
              <w:lang w:eastAsia="zh-CN"/>
              <w:highlight w:val="auto"/>
            </w:rPr>
            <w:t>九、</w:t>
          </w:r>
          <w:r>
            <w:rPr>
              <w:rFonts w:ascii="Times New Roman" w:eastAsia="黑体" w:hAnsi="Times New Roman" w:hint="eastAsia"/>
              <w:highlight w:val="auto"/>
            </w:rPr>
            <w:t>国有资本经营预算支出决算情况说明</w:t>
          </w:r>
          <w:r>
            <w:tab/>
          </w:r>
          <w:r>
            <w:fldChar w:fldCharType="begin"/>
          </w:r>
          <w:r>
            <w:instrText xml:space="preserve"> PAGEREF _Toc29550 \h </w:instrText>
          </w:r>
          <w:r>
            <w:fldChar w:fldCharType="separate"/>
          </w:r>
          <w:r>
            <w:t>- 9 -</w:t>
          </w:r>
          <w:r>
            <w:fldChar w:fldCharType="end"/>
          </w:r>
          <w:r>
            <w:fldChar w:fldCharType="end"/>
          </w:r>
        </w:p>
        <w:p>
          <w:pPr>
            <w:pStyle w:val="24"/>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_Toc27580 </w:instrText>
          </w:r>
          <w:r>
            <w:fldChar w:fldCharType="separate"/>
          </w:r>
          <w:r>
            <w:rPr>
              <w:rFonts w:ascii="Times New Roman" w:eastAsia="黑体" w:hAnsi="Times New Roman" w:hint="eastAsia"/>
              <w:lang w:eastAsia="zh-CN"/>
              <w:highlight w:val="auto"/>
            </w:rPr>
            <w:t>十、</w:t>
          </w:r>
          <w:r>
            <w:rPr>
              <w:rFonts w:ascii="Times New Roman" w:eastAsia="黑体" w:hAnsi="Times New Roman" w:hint="eastAsia"/>
              <w:highlight w:val="auto"/>
            </w:rPr>
            <w:t>其他重要事项的情况说明</w:t>
          </w:r>
          <w:r>
            <w:tab/>
          </w:r>
          <w:r>
            <w:fldChar w:fldCharType="begin"/>
          </w:r>
          <w:r>
            <w:instrText xml:space="preserve"> PAGEREF _Toc27580 \h </w:instrText>
          </w:r>
          <w:r>
            <w:fldChar w:fldCharType="separate"/>
          </w:r>
          <w:r>
            <w:t>- 9 -</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_Toc29925 </w:instrText>
          </w:r>
          <w:r>
            <w:fldChar w:fldCharType="separate"/>
          </w:r>
          <w:r>
            <w:rPr>
              <w:rFonts w:ascii="Times New Roman" w:eastAsia="黑体" w:hAnsi="Times New Roman" w:hint="eastAsia"/>
              <w:szCs w:val="44"/>
              <w:highlight w:val="auto"/>
            </w:rPr>
            <w:t>第</w:t>
          </w:r>
          <w:r>
            <w:rPr>
              <w:rFonts w:eastAsia="黑体" w:hint="eastAsia"/>
              <w:szCs w:val="44"/>
              <w:lang w:eastAsia="zh-CN"/>
              <w:highlight w:val="auto"/>
            </w:rPr>
            <w:t>三</w:t>
          </w:r>
          <w:r>
            <w:rPr>
              <w:rFonts w:ascii="Times New Roman" w:eastAsia="黑体" w:hAnsi="Times New Roman" w:hint="eastAsia"/>
              <w:szCs w:val="44"/>
              <w:highlight w:val="auto"/>
            </w:rPr>
            <w:t>部分</w:t>
          </w:r>
          <w:r>
            <w:rPr>
              <w:rFonts w:ascii="Times New Roman" w:eastAsia="黑体" w:hAnsi="Times New Roman" w:hint="eastAsia"/>
              <w:szCs w:val="44"/>
              <w:lang w:val="en-US" w:eastAsia="zh-CN"/>
              <w:highlight w:val="auto"/>
            </w:rPr>
            <w:t xml:space="preserve"> </w:t>
          </w:r>
          <w:r>
            <w:rPr>
              <w:rFonts w:eastAsia="黑体" w:hint="eastAsia"/>
              <w:szCs w:val="44"/>
              <w:lang w:val="en-US" w:eastAsia="zh-CN"/>
              <w:highlight w:val="auto"/>
            </w:rPr>
            <w:t xml:space="preserve"> </w:t>
          </w:r>
          <w:r>
            <w:rPr>
              <w:rFonts w:ascii="Times New Roman" w:eastAsia="黑体" w:hAnsi="Times New Roman" w:hint="eastAsia"/>
              <w:szCs w:val="44"/>
              <w:highlight w:val="auto"/>
            </w:rPr>
            <w:t>名词解释</w:t>
          </w:r>
          <w:r>
            <w:tab/>
          </w:r>
          <w:r>
            <w:fldChar w:fldCharType="begin"/>
          </w:r>
          <w:r>
            <w:instrText xml:space="preserve"> PAGEREF _Toc29925 \h </w:instrText>
          </w:r>
          <w:r>
            <w:fldChar w:fldCharType="separate"/>
          </w:r>
          <w:r>
            <w:t>- 13 -</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_Toc16607 </w:instrText>
          </w:r>
          <w:r>
            <w:fldChar w:fldCharType="separate"/>
          </w:r>
          <w:r>
            <w:rPr>
              <w:rFonts w:ascii="Times New Roman" w:eastAsia="方正小标宋简体" w:cs="方正小标宋简体" w:hAnsi="Times New Roman" w:hint="eastAsia"/>
              <w:bCs w:val="0"/>
              <w:highlight w:val="auto"/>
            </w:rPr>
            <w:t>第四部分</w:t>
          </w:r>
          <w:r>
            <w:rPr>
              <w:rFonts w:ascii="Times New Roman" w:eastAsia="方正小标宋简体" w:cs="方正小标宋简体" w:hAnsi="Times New Roman" w:hint="eastAsia"/>
              <w:bCs w:val="0"/>
              <w:lang w:val="en-US" w:eastAsia="zh-CN"/>
              <w:highlight w:val="auto"/>
            </w:rPr>
            <w:t xml:space="preserve"> </w:t>
          </w:r>
          <w:r>
            <w:rPr>
              <w:rFonts w:ascii="Times New Roman" w:eastAsia="方正小标宋简体" w:cs="方正小标宋简体" w:hAnsi="Times New Roman" w:hint="eastAsia"/>
              <w:bCs w:val="0"/>
              <w:highlight w:val="auto"/>
            </w:rPr>
            <w:t xml:space="preserve"> 附件</w:t>
          </w:r>
          <w:r>
            <w:tab/>
          </w:r>
          <w:r>
            <w:fldChar w:fldCharType="begin"/>
          </w:r>
          <w:r>
            <w:instrText xml:space="preserve"> PAGEREF _Toc16607 \h </w:instrText>
          </w:r>
          <w:r>
            <w:fldChar w:fldCharType="separate"/>
          </w:r>
          <w:r>
            <w:t>15</w:t>
          </w:r>
          <w:r>
            <w:fldChar w:fldCharType="end"/>
          </w:r>
          <w: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600" w:lineRule="exact"/>
            <w:textAlignment w:val="auto"/>
          </w:pPr>
          <w:r>
            <w:fldChar w:fldCharType="begin"/>
          </w:r>
          <w:r>
            <w:instrText xml:space="preserve"> HYPERLINK \l _Toc11650 </w:instrText>
          </w:r>
          <w:r>
            <w:fldChar w:fldCharType="separate"/>
          </w:r>
          <w:r>
            <w:rPr>
              <w:rFonts w:ascii="Times New Roman" w:eastAsia="方正小标宋简体" w:cs="方正小标宋简体" w:hAnsi="Times New Roman" w:hint="eastAsia"/>
              <w:bCs w:val="0"/>
              <w:highlight w:val="auto"/>
            </w:rPr>
            <w:t>第五部分 附表</w:t>
          </w:r>
          <w:r>
            <w:tab/>
          </w:r>
          <w:r>
            <w:fldChar w:fldCharType="begin"/>
          </w:r>
          <w:r>
            <w:instrText xml:space="preserve"> PAGEREF _Toc11650 \h </w:instrText>
          </w:r>
          <w:r>
            <w:fldChar w:fldCharType="separate"/>
          </w:r>
          <w:r>
            <w:t>77</w:t>
          </w:r>
          <w:r>
            <w:fldChar w:fldCharType="end"/>
          </w:r>
          <w:r>
            <w:fldChar w:fldCharType="end"/>
          </w:r>
        </w:p>
        <w:p>
          <w:pPr>
            <w:bidi w:val="0"/>
          </w:pPr>
          <w:r>
            <w:fldChar w:fldCharType="end"/>
          </w:r>
        </w:p>
      </w:sdtContent>
    </w:sdt>
    <w:p>
      <w:pPr>
        <w:pStyle w:val="1"/>
        <w:ind w:firstLineChars="400" w:firstLine="1760"/>
        <w:jc w:val="both"/>
        <w:rPr>
          <w:rFonts w:ascii="Times New Roman" w:eastAsia="方正小标宋简体" w:cs="方正小标宋简体" w:hAnsi="Times New Roman" w:hint="eastAsia"/>
          <w:b w:val="0"/>
          <w:color w:val="auto"/>
          <w:highlight w:val="auto"/>
        </w:rPr>
        <w:sectPr>
          <w:headerReference w:type="default" r:id="rId4"/>
          <w:footerReference w:type="default" r:id="rId5"/>
          <w:pgSz w:w="11906" w:h="16838"/>
          <w:pgMar w:top="1440" w:right="1800" w:bottom="1440" w:left="1800" w:header="851" w:footer="992" w:gutter="0"/>
          <w:pgNumType w:start="1"/>
          <w:docGrid w:type="lines" w:linePitch="312" w:charSpace="0"/>
        </w:sectPr>
      </w:pPr>
      <w:bookmarkStart w:id="6" w:name="_Toc15377196"/>
      <w:bookmarkStart w:id="7" w:name="_Toc15396599"/>
    </w:p>
    <w:p>
      <w:pPr>
        <w:pStyle w:val="1"/>
        <w:ind w:firstLineChars="400" w:firstLine="1760"/>
        <w:jc w:val="both"/>
        <w:rPr>
          <w:rStyle w:val="1Char"/>
          <w:rFonts w:ascii="Times New Roman" w:eastAsia="方正小标宋简体" w:cs="方正小标宋简体" w:hAnsi="Times New Roman" w:hint="eastAsia"/>
          <w:b/>
          <w:bCs w:val="0"/>
          <w:color w:val="auto"/>
          <w:highlight w:val="auto"/>
        </w:rPr>
      </w:pPr>
      <w:bookmarkStart w:id="8" w:name="_Toc30326"/>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bookmarkEnd w:id="8"/>
    </w:p>
    <w:p>
      <w:pPr>
        <w:pStyle w:val="2"/>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val="en-US" w:eastAsia="zh-CN"/>
          <w:highlight w:val="auto"/>
        </w:rPr>
        <w:t xml:space="preserve">    </w:t>
      </w:r>
      <w:bookmarkStart w:id="9" w:name="_Toc27724"/>
      <w:r>
        <w:rPr>
          <w:rFonts w:ascii="Times New Roman" w:eastAsia="黑体" w:hAnsi="Times New Roman" w:hint="eastAsia"/>
          <w:b w:val="0"/>
          <w:color w:val="auto"/>
          <w:lang w:val="en-US" w:eastAsia="zh-CN"/>
          <w:highlight w:val="auto"/>
        </w:rPr>
        <w:t>一、</w:t>
      </w:r>
      <w:r>
        <w:rPr>
          <w:rFonts w:ascii="Times New Roman" w:eastAsia="黑体" w:hAnsi="Times New Roman" w:hint="eastAsia"/>
          <w:b w:val="0"/>
          <w:color w:val="auto"/>
          <w:lang w:eastAsia="zh-CN"/>
          <w:highlight w:val="auto"/>
        </w:rPr>
        <w:t>部门职责</w:t>
      </w:r>
      <w:bookmarkEnd w:id="9"/>
    </w:p>
    <w:p>
      <w:pPr>
        <w:pStyle w:val="15"/>
        <w:keepNext w:val="0"/>
        <w:keepLines w:val="0"/>
        <w:pageBreakBefore w:val="0"/>
        <w:widowControl w:val="0"/>
        <w:kinsoku w:val="0"/>
        <w:wordWrap/>
        <w:overflowPunct/>
        <w:topLinePunct w:val="0"/>
        <w:spacing w:line="576" w:lineRule="exact"/>
        <w:ind w:firstLineChars="200" w:firstLine="640"/>
        <w:rPr>
          <w:rFonts w:ascii="仿宋_GB2312"/>
          <w:sz w:val="32"/>
          <w:szCs w:val="32"/>
        </w:rPr>
      </w:pPr>
      <w:r>
        <w:rPr>
          <w:rFonts w:ascii="仿宋_GB2312" w:hint="eastAsia"/>
          <w:sz w:val="32"/>
          <w:szCs w:val="32"/>
        </w:rPr>
        <w:t>根据《中华人民共和国人民警察法》相关规定，公安机关的主要职责为：预防、制止和侦查违法犯罪活动；维护社会治安秩序，制止危害社会治安秩序的行为；管理枪支弹药、管制刀具和易燃易爆、剧毒、放射性等危险物品；对法律、法规规定的特种行业进行管理；警卫国家规定的特定人员，守卫重要的场所和设施；管理集会、游行、示威活动；管理户政、国籍、入境出境事务和外国人在中国境内居留、旅行的有关事务；维护国（边）境地区的治安秩序；对被判处管制、拘役、剥夺政治权利的罪犯和监外执行的罪犯执行刑罚，对被宣告缓刑、假释的罪犯实行监督、考察；监督管理计算机信息系统的安全保护工作；指导和监督国家机关、社会团体、企业事业组织和重点建设工程的治安保卫工作，指导治安保卫委员会等群众性组织的治安防范工作；法律、法规规定的其他职责。</w:t>
      </w:r>
      <w:bookmarkStart w:id="10" w:name="_Toc15396601"/>
      <w:bookmarkStart w:id="11" w:name="_Toc15377200"/>
      <w:bookmarkStart w:id="12" w:name="_Toc28941"/>
    </w:p>
    <w:p>
      <w:pPr>
        <w:pStyle w:val="15"/>
        <w:keepNext w:val="0"/>
        <w:keepLines w:val="0"/>
        <w:pageBreakBefore w:val="0"/>
        <w:widowControl w:val="0"/>
        <w:kinsoku w:val="0"/>
        <w:wordWrap/>
        <w:overflowPunct/>
        <w:topLinePunct w:val="0"/>
        <w:spacing w:line="576" w:lineRule="exact"/>
        <w:ind w:firstLineChars="200" w:firstLine="600"/>
        <w:rPr>
          <w:rStyle w:val="2Char"/>
          <w:rFonts w:ascii="Times New Roman" w:eastAsia="黑体" w:hAnsi="Times New Roman"/>
          <w:b w:val="0"/>
          <w:bCs w:val="0"/>
          <w:color w:val="auto"/>
          <w:highlight w:val="auto"/>
        </w:rPr>
      </w:pPr>
      <w:r>
        <w:rPr>
          <w:rFonts w:ascii="Times New Roman" w:eastAsia="黑体" w:hAnsi="Times New Roman" w:hint="eastAsia"/>
          <w:b w:val="0"/>
          <w:color w:val="auto"/>
          <w:lang w:val="en-US" w:eastAsia="zh-CN"/>
          <w:highlight w:val="auto"/>
        </w:rPr>
        <w:t>二、</w:t>
      </w:r>
      <w:r>
        <w:rPr>
          <w:rFonts w:ascii="Times New Roman" w:eastAsia="黑体" w:hAnsi="Times New Roman" w:hint="eastAsia"/>
          <w:b w:val="0"/>
          <w:color w:val="auto"/>
          <w:highlight w:val="auto"/>
        </w:rPr>
        <w:t>机</w:t>
      </w:r>
      <w:r>
        <w:rPr>
          <w:rStyle w:val="2Char"/>
          <w:rFonts w:ascii="Times New Roman" w:eastAsia="黑体" w:hAnsi="Times New Roman" w:hint="eastAsia"/>
          <w:b w:val="0"/>
          <w:bCs w:val="0"/>
          <w:color w:val="auto"/>
          <w:highlight w:val="auto"/>
        </w:rPr>
        <w:t>构设置</w:t>
      </w:r>
      <w:bookmarkEnd w:id="10"/>
      <w:bookmarkEnd w:id="11"/>
      <w:bookmarkEnd w:id="12"/>
    </w:p>
    <w:p>
      <w:pPr>
        <w:pStyle w:val="15"/>
        <w:keepNext w:val="0"/>
        <w:keepLines w:val="0"/>
        <w:pageBreakBefore w:val="0"/>
        <w:widowControl w:val="0"/>
        <w:kinsoku w:val="0"/>
        <w:wordWrap/>
        <w:overflowPunct/>
        <w:topLinePunct w:val="0"/>
        <w:spacing w:line="576" w:lineRule="exact"/>
        <w:ind w:firstLineChars="200" w:firstLine="640"/>
        <w:rPr>
          <w:rFonts w:ascii="Times New Roman" w:eastAsia="仿宋_GB2312" w:cs="仿宋_GB2312" w:hAnsi="Times New Roman" w:hint="eastAsia"/>
          <w:color w:val="auto"/>
          <w:sz w:val="32"/>
          <w:szCs w:val="32"/>
          <w:highlight w:val="auto"/>
        </w:rPr>
      </w:pPr>
      <w:r>
        <w:rPr>
          <w:rFonts w:ascii="仿宋_GB2312" w:eastAsia="仿宋_GB2312" w:hint="eastAsia"/>
          <w:sz w:val="32"/>
          <w:szCs w:val="32"/>
        </w:rPr>
        <w:t>单位本年度纳入本套决算编制范围的独立编制机构数共1个，比上年增加0个；独立核算机构数共1个，比上年增加0个</w:t>
      </w:r>
      <w:r>
        <w:rPr>
          <w:rFonts w:hint="eastAsia"/>
          <w:sz w:val="32"/>
          <w:szCs w:val="32"/>
          <w:lang w:eastAsia="zh-CN"/>
        </w:rPr>
        <w:t>，</w:t>
      </w:r>
      <w:r>
        <w:rPr>
          <w:rFonts w:cs="仿宋_GB2312" w:hint="eastAsia"/>
          <w:color w:val="000000"/>
          <w:spacing w:val="-2"/>
          <w:kern w:val="0"/>
          <w:sz w:val="32"/>
          <w:szCs w:val="32"/>
          <w:lang w:val="en-US" w:eastAsia="zh-CN"/>
        </w:rPr>
        <w:t>无下属二级预算单位。</w:t>
      </w:r>
      <w:r>
        <w:rPr>
          <w:rFonts w:ascii="宋体" w:eastAsia="宋体" w:cs="宋体" w:hint="eastAsia"/>
          <w:color w:val="000000"/>
          <w:spacing w:val="-2"/>
          <w:kern w:val="0"/>
          <w:sz w:val="32"/>
          <w:szCs w:val="32"/>
        </w:rPr>
        <w:t xml:space="preserve"> </w:t>
      </w:r>
    </w:p>
    <w:p>
      <w:pPr>
        <w:pStyle w:val="1"/>
        <w:jc w:val="center"/>
        <w:rPr>
          <w:rFonts w:ascii="Times New Roman" w:eastAsia="方正小标宋简体" w:cs="方正小标宋简体" w:hAnsi="Times New Roman" w:hint="eastAsia"/>
          <w:b w:val="0"/>
          <w:color w:val="auto"/>
          <w:highlight w:val="auto"/>
        </w:rPr>
        <w:sectPr>
          <w:footerReference w:type="default" r:id="rId6"/>
          <w:pgSz w:w="11906" w:h="16838"/>
          <w:pgMar w:top="1440" w:right="1800" w:bottom="1440" w:left="1800" w:header="851" w:footer="992" w:gutter="0"/>
          <w:pgNumType w:start="1"/>
          <w:docGrid w:type="lines" w:linePitch="312" w:charSpace="0"/>
        </w:sectPr>
      </w:pPr>
      <w:bookmarkStart w:id="13" w:name="_Toc15377204"/>
      <w:bookmarkStart w:id="14" w:name="_Toc15396602"/>
    </w:p>
    <w:p>
      <w:pPr>
        <w:pStyle w:val="1"/>
        <w:jc w:val="center"/>
        <w:rPr>
          <w:rFonts w:ascii="Times New Roman" w:eastAsia="方正小标宋简体" w:cs="方正小标宋简体" w:hAnsi="Times New Roman" w:hint="eastAsia"/>
          <w:b w:val="0"/>
          <w:color w:val="auto"/>
          <w:highlight w:val="auto"/>
        </w:rPr>
      </w:pPr>
      <w:bookmarkStart w:id="15" w:name="_Toc1701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3"/>
      <w:bookmarkEnd w:id="14"/>
      <w:bookmarkEnd w:id="15"/>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6" w:name="_Toc15396603"/>
      <w:bookmarkStart w:id="17" w:name="_Toc15377205"/>
      <w:bookmarkStart w:id="18" w:name="_Toc14320"/>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6"/>
      <w:bookmarkEnd w:id="17"/>
      <w:bookmarkEnd w:id="18"/>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sz w:val="32"/>
          <w:szCs w:val="32"/>
          <w:lang w:val="en-US" w:eastAsia="zh-CN"/>
        </w:rPr>
      </w:pPr>
      <w:r>
        <w:rPr>
          <w:rFonts w:ascii="仿宋_GB2312" w:eastAsia="仿宋_GB2312" w:hint="eastAsia"/>
          <w:sz w:val="32"/>
          <w:szCs w:val="32"/>
          <w:lang w:eastAsia="zh-CN"/>
        </w:rPr>
        <w:t>2025年度收入</w:t>
      </w:r>
      <w:r>
        <w:rPr>
          <w:rFonts w:ascii="仿宋_GB2312" w:eastAsia="仿宋_GB2312" w:hint="eastAsia"/>
          <w:sz w:val="32"/>
          <w:szCs w:val="32"/>
          <w:lang w:val="en-US" w:eastAsia="zh-CN"/>
        </w:rPr>
        <w:t>总计29,738.51</w:t>
      </w:r>
      <w:r>
        <w:rPr>
          <w:rFonts w:ascii="仿宋_GB2312" w:eastAsia="仿宋_GB2312" w:hint="eastAsia"/>
          <w:sz w:val="32"/>
          <w:szCs w:val="32"/>
        </w:rPr>
        <w:t>万元，</w:t>
      </w:r>
      <w:r>
        <w:rPr>
          <w:rFonts w:ascii="仿宋_GB2312" w:eastAsia="仿宋_GB2312" w:hint="eastAsia"/>
          <w:sz w:val="32"/>
          <w:szCs w:val="32"/>
          <w:lang w:val="en-US" w:eastAsia="zh-CN"/>
        </w:rPr>
        <w:t>比上年减少978.74万元，减幅3.19%，</w:t>
      </w:r>
      <w:r>
        <w:rPr>
          <w:rFonts w:ascii="仿宋_GB2312" w:eastAsia="仿宋_GB2312" w:hint="eastAsia"/>
          <w:sz w:val="32"/>
          <w:szCs w:val="32"/>
        </w:rPr>
        <w:t>主要变动原因</w:t>
      </w:r>
      <w:r>
        <w:rPr>
          <w:rFonts w:ascii="仿宋_GB2312" w:eastAsia="仿宋_GB2312" w:hint="eastAsia"/>
          <w:sz w:val="32"/>
          <w:szCs w:val="32"/>
          <w:lang w:eastAsia="zh-CN"/>
        </w:rPr>
        <w:t>：</w:t>
      </w:r>
      <w:r>
        <w:rPr>
          <w:rFonts w:ascii="仿宋_GB2312" w:eastAsia="仿宋_GB2312" w:hint="eastAsia"/>
          <w:sz w:val="32"/>
          <w:szCs w:val="32"/>
          <w:lang w:val="en-US" w:eastAsia="zh-CN"/>
        </w:rPr>
        <w:t>一是项目资金减少，二是厉行节约日常公用经费压减；</w:t>
      </w:r>
      <w:r>
        <w:rPr>
          <w:rFonts w:ascii="仿宋_GB2312" w:eastAsia="仿宋_GB2312" w:hint="eastAsia"/>
          <w:sz w:val="32"/>
          <w:szCs w:val="32"/>
          <w:lang w:eastAsia="zh-CN"/>
        </w:rPr>
        <w:t>支出</w:t>
      </w:r>
      <w:r>
        <w:rPr>
          <w:rFonts w:ascii="仿宋_GB2312" w:eastAsia="仿宋_GB2312" w:hint="eastAsia"/>
          <w:sz w:val="32"/>
          <w:szCs w:val="32"/>
        </w:rPr>
        <w:t>总计</w:t>
      </w:r>
      <w:r>
        <w:rPr>
          <w:rFonts w:ascii="仿宋_GB2312" w:eastAsia="仿宋_GB2312" w:hint="eastAsia"/>
          <w:sz w:val="32"/>
          <w:szCs w:val="32"/>
          <w:lang w:val="en-US" w:eastAsia="zh-CN"/>
        </w:rPr>
        <w:t>29,790.01</w:t>
      </w:r>
      <w:r>
        <w:rPr>
          <w:rFonts w:ascii="仿宋_GB2312" w:eastAsia="仿宋_GB2312" w:hint="eastAsia"/>
          <w:sz w:val="32"/>
          <w:szCs w:val="32"/>
        </w:rPr>
        <w:t>万元，</w:t>
      </w:r>
      <w:r>
        <w:rPr>
          <w:rFonts w:ascii="仿宋_GB2312" w:eastAsia="仿宋_GB2312" w:hint="eastAsia"/>
          <w:sz w:val="32"/>
          <w:szCs w:val="32"/>
          <w:lang w:val="en-US" w:eastAsia="zh-CN"/>
        </w:rPr>
        <w:t>比上年减少921.64万元，减幅3.00%，</w:t>
      </w:r>
      <w:r>
        <w:rPr>
          <w:rFonts w:ascii="仿宋_GB2312" w:eastAsia="仿宋_GB2312" w:hint="eastAsia"/>
          <w:sz w:val="32"/>
          <w:szCs w:val="32"/>
        </w:rPr>
        <w:t>主要变动原因</w:t>
      </w:r>
      <w:r>
        <w:rPr>
          <w:rFonts w:ascii="仿宋_GB2312" w:eastAsia="仿宋_GB2312" w:hint="eastAsia"/>
          <w:sz w:val="32"/>
          <w:szCs w:val="32"/>
          <w:lang w:eastAsia="zh-CN"/>
        </w:rPr>
        <w:t>：</w:t>
      </w:r>
      <w:r>
        <w:rPr>
          <w:rFonts w:ascii="仿宋_GB2312" w:eastAsia="仿宋_GB2312" w:hint="eastAsia"/>
          <w:sz w:val="32"/>
          <w:szCs w:val="32"/>
          <w:lang w:val="en-US" w:eastAsia="zh-CN"/>
        </w:rPr>
        <w:t>一是</w:t>
      </w:r>
      <w:r>
        <w:rPr>
          <w:rFonts w:ascii="仿宋_GB2312" w:eastAsia="仿宋_GB2312" w:hint="eastAsia"/>
          <w:sz w:val="32"/>
          <w:szCs w:val="32"/>
          <w:lang w:eastAsia="zh-CN"/>
        </w:rPr>
        <w:t>阿坝公安交管大数据指挥中心业务技术用房建设</w:t>
      </w:r>
      <w:r>
        <w:rPr>
          <w:rFonts w:ascii="仿宋_GB2312" w:eastAsia="仿宋_GB2312" w:hint="eastAsia"/>
          <w:sz w:val="32"/>
          <w:szCs w:val="32"/>
          <w:lang w:val="en-US" w:eastAsia="zh-CN"/>
        </w:rPr>
        <w:t>项目2024年支出1300余万元，2025年因未完成竣工决算，只支付200余万元；二是厉行节约日常公用经费支出减少。</w:t>
      </w: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rPr>
      </w:pPr>
      <w:r>
        <w:rPr>
          <w:rFonts w:ascii="仿宋_GB2312" w:eastAsia="仿宋_GB2312" w:hint="eastAsia"/>
          <w:sz w:val="32"/>
          <w:szCs w:val="32"/>
          <w:lang w:eastAsia="zh-CN"/>
        </w:rPr>
        <w:drawing>
          <wp:anchor distT="0" distB="0" distL="114300" distR="114300" simplePos="0" relativeHeight="21" behindDoc="0" locked="0" layoutInCell="1" hidden="0" allowOverlap="1">
            <wp:simplePos x="0" y="0"/>
            <wp:positionH relativeFrom="column">
              <wp:posOffset>135254</wp:posOffset>
            </wp:positionH>
            <wp:positionV relativeFrom="paragraph">
              <wp:posOffset>242570</wp:posOffset>
            </wp:positionV>
            <wp:extent cx="5256530" cy="2988310"/>
            <wp:effectExtent l="0" t="0" r="0" b="0"/>
            <wp:wrapNone/>
            <wp:docPr id="7" name="图表 1"/>
            <wp:cNvGraphicFramePr>
              <a:graphicFrameLocks noChangeAspect="0"/>
            </wp:cNvGraphicFramePr>
            <a:graphic>
              <a:graphicData uri="http://schemas.openxmlformats.org/drawingml/2006/chart">
                <c:chart xmlns:c="http://schemas.openxmlformats.org/drawingml/2006/chart" r:id="rId9"/>
              </a:graphicData>
            </a:graphic>
          </wp:anchor>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eastAsia="zh-CN"/>
        </w:rPr>
      </w:pPr>
      <w:r>
        <w:rPr>
          <w:rFonts w:ascii="仿宋_GB2312" w:eastAsia="仿宋_GB2312" w:hint="eastAsia"/>
          <w:sz w:val="32"/>
          <w:szCs w:val="32"/>
          <w:lang w:eastAsia="zh-CN"/>
        </w:rPr>
        <w:t>（图1：收入、支出决算总计变动情况图）（柱状图）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19" w:name="_Toc15396604"/>
      <w:bookmarkStart w:id="20" w:name="_Toc16473"/>
      <w:bookmarkStart w:id="21" w:name="_Toc15377206"/>
      <w:r>
        <w:rPr>
          <w:rFonts w:ascii="Times New Roman" w:eastAsia="黑体" w:hAnsi="Times New Roman" w:hint="eastAsia"/>
          <w:color w:val="auto"/>
          <w:sz w:val="32"/>
          <w:szCs w:val="32"/>
          <w:lang w:eastAsia="zh-CN"/>
          <w:highlight w:val="auto"/>
        </w:rPr>
        <w:t>二、收入决算情况说明</w:t>
      </w:r>
      <w:bookmarkEnd w:id="19"/>
      <w:bookmarkEnd w:id="20"/>
      <w:bookmarkEnd w:id="21"/>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eastAsia="zh-CN"/>
        </w:rPr>
      </w:pPr>
      <w:r>
        <w:rPr>
          <w:rFonts w:ascii="仿宋_GB2312" w:eastAsia="仿宋_GB2312" w:hint="eastAsia"/>
          <w:sz w:val="32"/>
          <w:szCs w:val="32"/>
          <w:lang w:eastAsia="zh-CN"/>
        </w:rPr>
        <w:t>2025年度本年收入合计</w:t>
      </w:r>
      <w:r>
        <w:rPr>
          <w:rFonts w:ascii="仿宋_GB2312" w:eastAsia="仿宋_GB2312" w:hint="eastAsia"/>
          <w:sz w:val="32"/>
          <w:szCs w:val="32"/>
          <w:lang w:val="en-US" w:eastAsia="zh-CN"/>
        </w:rPr>
        <w:t>29,738.51</w:t>
      </w:r>
      <w:r>
        <w:rPr>
          <w:rFonts w:ascii="仿宋_GB2312" w:eastAsia="仿宋_GB2312" w:hint="eastAsia"/>
          <w:sz w:val="32"/>
          <w:szCs w:val="32"/>
          <w:lang w:eastAsia="zh-CN"/>
        </w:rPr>
        <w:t>万元，其中：一般公共预算财政拨款收入</w:t>
      </w:r>
      <w:r>
        <w:rPr>
          <w:rFonts w:ascii="仿宋_GB2312" w:eastAsia="仿宋_GB2312" w:hint="eastAsia"/>
          <w:sz w:val="32"/>
          <w:szCs w:val="32"/>
          <w:lang w:val="en-US" w:eastAsia="zh-CN"/>
        </w:rPr>
        <w:t>29,726.51</w:t>
      </w:r>
      <w:r>
        <w:rPr>
          <w:rFonts w:ascii="仿宋_GB2312" w:eastAsia="仿宋_GB2312" w:hint="eastAsia"/>
          <w:sz w:val="32"/>
          <w:szCs w:val="32"/>
          <w:lang w:eastAsia="zh-CN"/>
        </w:rPr>
        <w:t>万元，占99.9</w:t>
      </w:r>
      <w:r>
        <w:rPr>
          <w:rFonts w:ascii="仿宋_GB2312" w:eastAsia="仿宋_GB2312" w:hint="eastAsia"/>
          <w:sz w:val="32"/>
          <w:szCs w:val="32"/>
          <w:lang w:val="en-US" w:eastAsia="zh-CN"/>
        </w:rPr>
        <w:t>6</w:t>
      </w:r>
      <w:r>
        <w:rPr>
          <w:rFonts w:ascii="仿宋_GB2312" w:eastAsia="仿宋_GB2312" w:hint="eastAsia"/>
          <w:sz w:val="32"/>
          <w:szCs w:val="32"/>
          <w:lang w:eastAsia="zh-CN"/>
        </w:rPr>
        <w:t>%；其他收入1</w:t>
      </w:r>
      <w:r>
        <w:rPr>
          <w:rFonts w:ascii="仿宋_GB2312" w:eastAsia="仿宋_GB2312" w:hint="eastAsia"/>
          <w:sz w:val="32"/>
          <w:szCs w:val="32"/>
          <w:lang w:val="en-US" w:eastAsia="zh-CN"/>
        </w:rPr>
        <w:t>2</w:t>
      </w:r>
      <w:r>
        <w:rPr>
          <w:rFonts w:ascii="仿宋_GB2312" w:eastAsia="仿宋_GB2312" w:hint="eastAsia"/>
          <w:sz w:val="32"/>
          <w:szCs w:val="32"/>
          <w:lang w:eastAsia="zh-CN"/>
        </w:rPr>
        <w:t>万元，占比0.04%%。</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3" behindDoc="0" locked="0" layoutInCell="1" hidden="0" allowOverlap="1">
            <wp:simplePos x="0" y="0"/>
            <wp:positionH relativeFrom="column">
              <wp:posOffset>40005</wp:posOffset>
            </wp:positionH>
            <wp:positionV relativeFrom="paragraph">
              <wp:posOffset>99695</wp:posOffset>
            </wp:positionV>
            <wp:extent cx="5256530" cy="2988310"/>
            <wp:effectExtent l="0" t="0" r="0" b="0"/>
            <wp:wrapNone/>
            <wp:docPr id="8" name="图表 2"/>
            <wp:cNvGraphicFramePr>
              <a:graphicFrameLocks noChangeAspect="0"/>
            </wp:cNvGraphicFramePr>
            <a:graphic>
              <a:graphicData uri="http://schemas.openxmlformats.org/drawingml/2006/chart">
                <c:chart xmlns:c="http://schemas.openxmlformats.org/drawingml/2006/chart" r:id="rId10"/>
              </a:graphicData>
            </a:graphic>
          </wp:anchor>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t>（图2：收入决算结构图）（饼状图）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2" w:name="_Toc26192"/>
      <w:bookmarkStart w:id="23" w:name="_Toc15377207"/>
      <w:bookmarkStart w:id="24" w:name="_Toc15396605"/>
      <w:r>
        <w:rPr>
          <w:rStyle w:val="2Char"/>
          <w:rFonts w:ascii="Times New Roman" w:eastAsia="黑体" w:hAnsi="Times New Roman" w:hint="eastAsia"/>
          <w:b w:val="0"/>
          <w:color w:val="auto"/>
          <w:lang w:eastAsia="zh-CN"/>
          <w:highlight w:val="auto"/>
        </w:rPr>
        <w:t>三、</w:t>
      </w:r>
      <w:r>
        <w:rPr>
          <w:rStyle w:val="2Char"/>
          <w:rFonts w:ascii="Times New Roman" w:eastAsia="黑体" w:hAnsi="Times New Roman" w:hint="eastAsia"/>
          <w:b w:val="0"/>
          <w:color w:val="auto"/>
          <w:highlight w:val="auto"/>
        </w:rPr>
        <w:t>支出决算情况说明</w:t>
      </w:r>
      <w:bookmarkEnd w:id="22"/>
      <w:bookmarkEnd w:id="23"/>
      <w:bookmarkEnd w:id="24"/>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Times New Roman" w:eastAsia="仿宋_GB2312" w:cs="仿宋_GB2312" w:hAnsi="Times New Roman" w:hint="eastAsia"/>
          <w:color w:val="auto"/>
          <w:sz w:val="32"/>
          <w:szCs w:val="32"/>
          <w:lang w:eastAsia="zh-CN"/>
          <w:highlight w:val="auto"/>
        </w:rPr>
      </w:pPr>
      <w:r>
        <w:rPr>
          <w:rFonts w:ascii="仿宋_GB2312" w:eastAsia="仿宋_GB2312" w:hint="eastAsia"/>
          <w:sz w:val="32"/>
          <w:szCs w:val="32"/>
          <w:lang w:val="en-US" w:eastAsia="zh-CN"/>
        </w:rPr>
        <w:drawing>
          <wp:anchor distT="0" distB="0" distL="114300" distR="114300" simplePos="0" relativeHeight="25" behindDoc="0" locked="0" layoutInCell="1" hidden="0" allowOverlap="1">
            <wp:simplePos x="0" y="0"/>
            <wp:positionH relativeFrom="column">
              <wp:posOffset>316230</wp:posOffset>
            </wp:positionH>
            <wp:positionV relativeFrom="paragraph">
              <wp:posOffset>1128395</wp:posOffset>
            </wp:positionV>
            <wp:extent cx="5095874" cy="2646045"/>
            <wp:effectExtent l="0" t="0" r="0" b="0"/>
            <wp:wrapNone/>
            <wp:docPr id="9" name="图表 3"/>
            <wp:cNvGraphicFramePr>
              <a:graphicFrameLocks noChangeAspect="0"/>
            </wp:cNvGraphicFramePr>
            <a:graphic>
              <a:graphicData uri="http://schemas.openxmlformats.org/drawingml/2006/chart">
                <c:chart xmlns:c="http://schemas.openxmlformats.org/drawingml/2006/chart" r:id="rId11"/>
              </a:graphicData>
            </a:graphic>
          </wp:anchor>
        </w:drawing>
      </w:r>
      <w:r>
        <w:rPr>
          <w:rFonts w:ascii="仿宋_GB2312" w:eastAsia="仿宋_GB2312" w:hint="eastAsia"/>
          <w:sz w:val="32"/>
          <w:szCs w:val="32"/>
          <w:lang w:val="en-US" w:eastAsia="zh-CN"/>
        </w:rPr>
        <w:t>2025年度本年支出合计29,790.01万元，其中：基本支出为22,800.11万元，占比76.70%；项目支出6,926.40万元占比23.30。</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32"/>
        <w:textAlignment w:val="auto"/>
        <w:rPr>
          <w:rFonts w:cs="仿宋_GB2312" w:hint="eastAsia"/>
          <w:color w:val="000000"/>
          <w:spacing w:val="-2"/>
          <w:kern w:val="0"/>
          <w:sz w:val="32"/>
          <w:szCs w:val="32"/>
          <w:lang w:val="en-US" w:eastAsia="zh-CN"/>
        </w:rPr>
      </w:pPr>
      <w:r>
        <w:rPr>
          <w:rFonts w:cs="仿宋_GB2312" w:hint="eastAsia"/>
          <w:color w:val="000000"/>
          <w:spacing w:val="-2"/>
          <w:kern w:val="0"/>
          <w:sz w:val="32"/>
          <w:szCs w:val="32"/>
          <w:lang w:val="en-US" w:eastAsia="zh-CN"/>
        </w:rPr>
        <w:t>（图3：支出决算结构图）（饼状图）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lang w:eastAsia="zh-CN"/>
          <w:highlight w:val="auto"/>
        </w:rPr>
      </w:pPr>
      <w:bookmarkStart w:id="25" w:name="_Toc15396606"/>
      <w:bookmarkStart w:id="26" w:name="_Toc15377208"/>
      <w:bookmarkStart w:id="27" w:name="_Toc21286"/>
      <w:r>
        <w:rPr>
          <w:rStyle w:val="2Char"/>
          <w:rFonts w:ascii="Times New Roman" w:eastAsia="黑体" w:hAnsi="Times New Roman" w:hint="eastAsia"/>
          <w:b w:val="0"/>
          <w:color w:val="auto"/>
          <w:lang w:eastAsia="zh-CN"/>
          <w:highlight w:val="auto"/>
        </w:rPr>
        <w:t>四、财政拨款收入支出决算总体情况说明</w:t>
      </w:r>
      <w:bookmarkEnd w:id="25"/>
      <w:bookmarkEnd w:id="26"/>
      <w:bookmarkEnd w:id="27"/>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t>2025年度财政拨款收入、支出总计均为29,726.51万元，与上年度相比，财政拨款收入、支出总计减少976.8万元，下降3.18%。主要变动原因：项目资金减少，二是厉行节约日常公用经费压减。</w:t>
      </w:r>
    </w:p>
    <w:p>
      <w:pPr>
        <w:pStyle w:val="37"/>
        <w:rPr>
          <w:rFonts w:eastAsia="仿宋_GB2312" w:cs="仿宋_GB2312" w:hint="eastAsia"/>
          <w:color w:val="auto"/>
          <w:sz w:val="32"/>
          <w:szCs w:val="32"/>
          <w:lang w:val="en-US" w:eastAsia="zh-CN"/>
          <w:highlight w:val="auto"/>
        </w:rPr>
      </w:pPr>
      <w:r>
        <w:rPr>
          <w:rFonts w:eastAsia="仿宋_GB2312" w:cs="仿宋_GB2312" w:hint="eastAsia"/>
          <w:color w:val="auto"/>
          <w:sz w:val="32"/>
          <w:szCs w:val="32"/>
          <w:lang w:val="en-US" w:eastAsia="zh-CN"/>
          <w:highlight w:val="auto"/>
        </w:rPr>
        <w:drawing>
          <wp:anchor distT="0" distB="0" distL="114300" distR="114300" simplePos="0" relativeHeight="27" behindDoc="0" locked="0" layoutInCell="1" hidden="0" allowOverlap="1">
            <wp:simplePos x="0" y="0"/>
            <wp:positionH relativeFrom="column">
              <wp:posOffset>125729</wp:posOffset>
            </wp:positionH>
            <wp:positionV relativeFrom="paragraph">
              <wp:posOffset>55879</wp:posOffset>
            </wp:positionV>
            <wp:extent cx="5256530" cy="2988310"/>
            <wp:effectExtent l="0" t="0" r="0" b="0"/>
            <wp:wrapNone/>
            <wp:docPr id="10" name="图表 5"/>
            <wp:cNvGraphicFramePr>
              <a:graphicFrameLocks noChangeAspect="0"/>
            </wp:cNvGraphicFramePr>
            <a:graphic>
              <a:graphicData uri="http://schemas.openxmlformats.org/drawingml/2006/chart">
                <c:chart xmlns:c="http://schemas.openxmlformats.org/drawingml/2006/chart" r:id="rId12"/>
              </a:graphicData>
            </a:graphic>
          </wp:anchor>
        </w:drawing>
      </w: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t>（图4：财政拨款收、支决算总计变动情况）（柱状图）</w:t>
      </w: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p>
    <w:p>
      <w:pPr>
        <w:spacing w:line="600" w:lineRule="exact"/>
        <w:ind w:firstLineChars="200" w:firstLine="640"/>
        <w:outlineLvl w:val="1"/>
        <w:rPr>
          <w:rFonts w:ascii="Times New Roman" w:eastAsia="黑体" w:hAnsi="Times New Roman" w:hint="eastAsia"/>
          <w:color w:val="auto"/>
          <w:sz w:val="32"/>
          <w:szCs w:val="32"/>
          <w:highlight w:val="auto"/>
        </w:rPr>
      </w:pPr>
      <w:bookmarkStart w:id="28" w:name="_Toc15396607"/>
      <w:bookmarkStart w:id="29" w:name="_Toc15377209"/>
      <w:bookmarkStart w:id="30" w:name="_Toc16018"/>
    </w:p>
    <w:p>
      <w:pPr>
        <w:spacing w:line="600" w:lineRule="exact"/>
        <w:ind w:firstLineChars="200" w:firstLine="640"/>
        <w:outlineLvl w:val="1"/>
        <w:rPr>
          <w:rStyle w:val="2Char"/>
          <w:rFonts w:ascii="Times New Roman" w:eastAsia="黑体" w:hAnsi="Times New Roman"/>
          <w:b w:val="0"/>
          <w:color w:val="auto"/>
          <w:highlight w:val="auto"/>
        </w:rPr>
      </w:pPr>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8"/>
      <w:bookmarkEnd w:id="29"/>
      <w:bookmarkEnd w:id="30"/>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1"/>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t>2025年度一般公共预算财政拨款支出29,726.51万元，占本年支出合计的99.78%。与上年度相比，一般公共预算财政拨款支出减少976.8万元，下降3.18%。主要变动原因：项目资金减少，二是厉行节约日常公用经费压减。</w:t>
      </w: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eastAsia="仿宋_GB2312" w:cs="仿宋_GB2312" w:hint="eastAsia"/>
          <w:color w:val="auto"/>
          <w:sz w:val="32"/>
          <w:szCs w:val="32"/>
          <w:lang w:val="en-US" w:eastAsia="zh-CN"/>
          <w:highlight w:val="auto"/>
        </w:rPr>
        <w:drawing>
          <wp:anchor distT="0" distB="0" distL="114300" distR="114300" simplePos="0" relativeHeight="29" behindDoc="0" locked="0" layoutInCell="1" hidden="0" allowOverlap="1">
            <wp:simplePos x="0" y="0"/>
            <wp:positionH relativeFrom="column">
              <wp:posOffset>173355</wp:posOffset>
            </wp:positionH>
            <wp:positionV relativeFrom="paragraph">
              <wp:posOffset>70485</wp:posOffset>
            </wp:positionV>
            <wp:extent cx="5256530" cy="2988310"/>
            <wp:effectExtent l="0" t="0" r="0" b="0"/>
            <wp:wrapNone/>
            <wp:docPr id="11" name="图表 7"/>
            <wp:cNvGraphicFramePr>
              <a:graphicFrameLocks noChangeAspect="0"/>
            </wp:cNvGraphicFramePr>
            <a:graphic>
              <a:graphicData uri="http://schemas.openxmlformats.org/drawingml/2006/chart">
                <c:chart xmlns:c="http://schemas.openxmlformats.org/drawingml/2006/chart" r:id="rId13"/>
              </a:graphicData>
            </a:graphic>
          </wp:anchor>
        </w:drawing>
      </w:r>
    </w:p>
    <w:p>
      <w:pPr>
        <w:spacing w:line="600" w:lineRule="exact"/>
        <w:ind w:firstLine="640"/>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eastAsia="仿宋_GB2312" w:cs="仿宋_GB2312" w:hint="eastAsia"/>
          <w:color w:val="auto"/>
          <w:sz w:val="32"/>
          <w:szCs w:val="32"/>
          <w:lang w:val="en-US" w:eastAsia="zh-CN"/>
          <w:highlight w:val="auto"/>
        </w:rPr>
      </w:pPr>
    </w:p>
    <w:p>
      <w:pPr>
        <w:pStyle w:val="37"/>
        <w:rPr>
          <w:rFonts w:eastAsia="仿宋_GB2312" w:cs="仿宋_GB2312" w:hint="eastAsia"/>
          <w:color w:val="auto"/>
          <w:sz w:val="32"/>
          <w:szCs w:val="32"/>
          <w:lang w:val="en-US" w:eastAsia="zh-CN"/>
          <w:highlight w:val="auto"/>
        </w:rPr>
      </w:pPr>
    </w:p>
    <w:p>
      <w:pPr>
        <w:rPr>
          <w:rFonts w:hint="eastAsia"/>
          <w:lang w:val="en-US" w:eastAsia="zh-CN"/>
        </w:rPr>
      </w:pPr>
    </w:p>
    <w:p>
      <w:pPr>
        <w:pStyle w:val="37"/>
        <w:rPr>
          <w:rFonts w:hint="eastAsia"/>
          <w:lang w:val="en-US" w:eastAsia="zh-CN"/>
        </w:rPr>
      </w:pPr>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t>（图5：一般公共预算财政拨款支出决算变动情况）（柱状图）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2"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2"/>
    </w:p>
    <w:p>
      <w:pPr>
        <w:pStyle w:val="15"/>
        <w:keepNext w:val="0"/>
        <w:keepLines w:val="0"/>
        <w:pageBreakBefore w:val="0"/>
        <w:widowControl w:val="0"/>
        <w:kinsoku w:val="0"/>
        <w:wordWrap/>
        <w:overflowPunct/>
        <w:topLinePunct w:val="0"/>
        <w:autoSpaceDE w:val="0"/>
        <w:autoSpaceDN w:val="0"/>
        <w:bidi w:val="0"/>
        <w:adjustRightInd w:val="0"/>
        <w:snapToGrid w:val="0"/>
        <w:spacing w:beforeLines="0" w:before="93" w:line="560" w:lineRule="exact"/>
        <w:ind w:firstLineChars="200" w:firstLine="640"/>
        <w:textAlignment w:val="auto"/>
        <w:rPr>
          <w:rFonts w:ascii="仿宋_GB2312" w:eastAsia="仿宋_GB2312" w:hint="eastAsia"/>
          <w:sz w:val="32"/>
          <w:szCs w:val="32"/>
          <w:lang w:val="en-US" w:eastAsia="zh-CN"/>
        </w:rPr>
      </w:pPr>
      <w:r>
        <w:rPr>
          <w:rFonts w:ascii="仿宋_GB2312" w:eastAsia="仿宋_GB2312" w:hint="eastAsia"/>
          <w:sz w:val="32"/>
          <w:szCs w:val="32"/>
          <w:lang w:val="en-US" w:eastAsia="zh-CN"/>
        </w:rPr>
        <w:drawing>
          <wp:anchor distT="0" distB="0" distL="114300" distR="114300" simplePos="0" relativeHeight="31" behindDoc="0" locked="0" layoutInCell="1" hidden="0" allowOverlap="1">
            <wp:simplePos x="0" y="0"/>
            <wp:positionH relativeFrom="column">
              <wp:posOffset>106680</wp:posOffset>
            </wp:positionH>
            <wp:positionV relativeFrom="paragraph">
              <wp:posOffset>1899920</wp:posOffset>
            </wp:positionV>
            <wp:extent cx="5256530" cy="2988309"/>
            <wp:effectExtent l="0" t="0" r="0" b="0"/>
            <wp:wrapNone/>
            <wp:docPr id="12" name="图表 8"/>
            <wp:cNvGraphicFramePr>
              <a:graphicFrameLocks noChangeAspect="0"/>
            </wp:cNvGraphicFramePr>
            <a:graphic>
              <a:graphicData uri="http://schemas.openxmlformats.org/drawingml/2006/chart">
                <c:chart xmlns:c="http://schemas.openxmlformats.org/drawingml/2006/chart" r:id="rId14"/>
              </a:graphicData>
            </a:graphic>
          </wp:anchor>
        </w:drawing>
      </w:r>
      <w:r>
        <w:rPr>
          <w:rFonts w:ascii="仿宋_GB2312" w:eastAsia="仿宋_GB2312" w:hint="eastAsia"/>
          <w:sz w:val="32"/>
          <w:szCs w:val="32"/>
          <w:lang w:val="en-US" w:eastAsia="zh-CN"/>
        </w:rPr>
        <w:t>2025年度一般公共预算财政拨款支出29,726.51万元，主要用于以下方面：公共安全支出（204）24,622.55万元，占比82.83%；社会保障和就业支出(208)2,557.28万元，占比8.6%；卫生健康支出(210)1,072.96万元，占比3.61%；住房保障支出(221)1,473.72万元，占比4.96%。</w:t>
      </w:r>
    </w:p>
    <w:p>
      <w:pPr>
        <w:pStyle w:val="37"/>
        <w:rPr>
          <w:rFonts w:ascii="仿宋_GB2312" w:eastAsia="仿宋_GB2312" w:hint="eastAsia"/>
          <w:sz w:val="32"/>
          <w:szCs w:val="32"/>
          <w:lang w:eastAsia="zh-CN"/>
        </w:rPr>
      </w:pPr>
    </w:p>
    <w:p>
      <w:pPr>
        <w:rPr>
          <w:rFonts w:hint="eastAsia"/>
          <w:lang w:val="en-US" w:eastAsia="zh-CN"/>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3"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4" w:name="_Toc15377444"/>
      <w:bookmarkStart w:id="35" w:name="_Toc15377213"/>
      <w:bookmarkStart w:id="36" w:name="_Toc15378460"/>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hint="eastAsia"/>
          <w:sz w:val="32"/>
          <w:szCs w:val="32"/>
          <w:lang w:val="en-US" w:eastAsia="zh-CN"/>
        </w:rPr>
        <w:t>29,726.51</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4"/>
      <w:bookmarkEnd w:id="35"/>
      <w:bookmarkEnd w:id="36"/>
    </w:p>
    <w:p>
      <w:pPr>
        <w:spacing w:line="600" w:lineRule="exact"/>
        <w:ind w:left="0" w:firstLineChars="200"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社会保障和就业</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204</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rPr>
        <w:t>24,622.55</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2.社会保障</w:t>
      </w:r>
      <w:r>
        <w:rPr>
          <w:rFonts w:ascii="仿宋_GB2312" w:eastAsia="仿宋_GB2312" w:hint="eastAsia"/>
          <w:sz w:val="32"/>
          <w:szCs w:val="32"/>
        </w:rPr>
        <w:t>和就业</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rPr>
        <w:t>2,557.28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卫生健康</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rPr>
        <w:t>1,072.96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w:t>
      </w:r>
      <w:r>
        <w:rPr>
          <w:rFonts w:ascii="仿宋_GB2312" w:eastAsia="仿宋_GB2312" w:hint="eastAsia"/>
          <w:sz w:val="32"/>
          <w:szCs w:val="32"/>
        </w:rPr>
        <w:t>住房保障</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仿宋_GB2312" w:eastAsia="仿宋_GB2312" w:hint="eastAsia"/>
          <w:sz w:val="32"/>
          <w:szCs w:val="32"/>
          <w:lang w:val="en-US" w:eastAsia="zh-CN"/>
        </w:rPr>
        <w:t>1,473.72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hint="eastAsia"/>
          <w:color w:val="auto"/>
          <w:kern w:val="2"/>
          <w:sz w:val="32"/>
          <w:szCs w:val="32"/>
          <w:lang w:val="en-US" w:eastAsia="zh-CN" w:bidi="ar-SA"/>
          <w:highlight w:val="auto"/>
        </w:rPr>
        <w:t>。</w:t>
      </w:r>
    </w:p>
    <w:p>
      <w:pPr>
        <w:tabs>
          <w:tab w:val="right" w:pos="8306"/>
        </w:tabs>
        <w:spacing w:line="600" w:lineRule="exact"/>
        <w:ind w:firstLine="640"/>
        <w:outlineLvl w:val="1"/>
        <w:rPr>
          <w:rStyle w:val="2Char"/>
          <w:rFonts w:ascii="Times New Roman" w:hAnsi="Times New Roman"/>
          <w:color w:val="auto"/>
          <w:highlight w:val="auto"/>
        </w:rPr>
      </w:pPr>
      <w:bookmarkStart w:id="37" w:name="_Toc15396608"/>
      <w:bookmarkStart w:id="38" w:name="_Toc15377214"/>
      <w:bookmarkStart w:id="39" w:name="_Toc9140"/>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7"/>
      <w:bookmarkEnd w:id="38"/>
      <w:bookmarkEnd w:id="39"/>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eastAsia="仿宋_GB2312" w:cs="仿宋_GB2312" w:hint="eastAsia"/>
          <w:color w:val="auto"/>
          <w:kern w:val="2"/>
          <w:sz w:val="32"/>
          <w:szCs w:val="32"/>
          <w:lang w:val="en-US" w:eastAsia="zh-CN" w:bidi="ar-SA"/>
          <w:highlight w:val="auto"/>
        </w:rPr>
        <w:t>2,800.11</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人员经费20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668.68万元，主要包括：基本工资、津贴补贴、奖金、伙食补助费、机关事业单位基本养老保险缴费、职业年金缴费、职工基本医疗保险缴费</w:t>
      </w:r>
      <w:r>
        <w:rPr>
          <w:rFonts w:eastAsia="仿宋_GB2312" w:cs="仿宋_GB2312" w:hint="eastAsia"/>
          <w:color w:val="auto"/>
          <w:kern w:val="2"/>
          <w:sz w:val="32"/>
          <w:szCs w:val="32"/>
          <w:lang w:val="en-US" w:eastAsia="zh-CN" w:bidi="ar-SA"/>
          <w:highlight w:val="auto"/>
        </w:rPr>
        <w:t>、公务员医疗补助缴费、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其他社会保障缴费、住房公积金</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其他工资福利支出、离休费、抚恤金、生活补助、医疗费补助、奖励金等。</w:t>
        <w:br/>
        <w:t>　　公用经费</w:t>
      </w:r>
      <w:r>
        <w:rPr>
          <w:rFonts w:eastAsia="仿宋_GB2312" w:cs="仿宋_GB2312" w:hint="eastAsia"/>
          <w:color w:val="auto"/>
          <w:kern w:val="2"/>
          <w:sz w:val="32"/>
          <w:szCs w:val="32"/>
          <w:lang w:val="en-US" w:eastAsia="zh-CN" w:bidi="ar-SA"/>
          <w:highlight w:val="auto"/>
        </w:rPr>
        <w:t>2,131.42</w:t>
      </w:r>
      <w:r>
        <w:rPr>
          <w:rFonts w:ascii="Times New Roman" w:eastAsia="仿宋_GB2312" w:cs="仿宋_GB2312" w:hAnsi="Times New Roman" w:hint="eastAsia"/>
          <w:color w:val="auto"/>
          <w:kern w:val="2"/>
          <w:sz w:val="32"/>
          <w:szCs w:val="32"/>
          <w:lang w:val="en-US" w:eastAsia="zh-CN" w:bidi="ar-SA"/>
          <w:highlight w:val="auto"/>
        </w:rPr>
        <w:t>万元，主要包括：办公费、印刷费、水费、电费、邮电费、物业管理费、差旅费、维修（护）费、租赁费、公务接待费、被装购置费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专用材料费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劳务费、委托业务费、工会经费、福利费、公务用车运行维护费、其他交通费、其他商品和服务支出、办公设备购置、专用设备购置、信息网络及软件购置更新等。</w:t>
      </w:r>
    </w:p>
    <w:p>
      <w:pPr>
        <w:tabs>
          <w:tab w:val="right" w:pos="8306"/>
        </w:tabs>
        <w:spacing w:line="600" w:lineRule="exact"/>
        <w:ind w:firstLine="640"/>
        <w:outlineLvl w:val="1"/>
        <w:rPr>
          <w:rStyle w:val="2Char"/>
          <w:rFonts w:ascii="Times New Roman" w:eastAsia="黑体" w:hAnsi="Times New Roman" w:hint="eastAsia"/>
          <w:b w:val="0"/>
          <w:color w:val="auto"/>
          <w:highlight w:val="auto"/>
        </w:rPr>
      </w:pPr>
      <w:bookmarkStart w:id="40" w:name="_Toc1673"/>
      <w:bookmarkStart w:id="41" w:name="_Toc15377215"/>
      <w:bookmarkStart w:id="42" w:name="_Toc15396609"/>
      <w:r>
        <w:rPr>
          <w:rStyle w:val="2Char"/>
          <w:rFonts w:ascii="Times New Roman" w:eastAsia="黑体" w:hAnsi="Times New Roman" w:hint="eastAsia"/>
          <w:b w:val="0"/>
          <w:color w:val="auto"/>
          <w:highlight w:val="auto"/>
        </w:rPr>
        <w:t>七、财政拨款“三公”经费支出决算情况说明</w:t>
      </w:r>
      <w:bookmarkEnd w:id="40"/>
      <w:bookmarkEnd w:id="41"/>
      <w:bookmarkEnd w:id="42"/>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3"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43"/>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宋体" w:hint="eastAsia"/>
          <w:sz w:val="32"/>
          <w:szCs w:val="32"/>
          <w:lang w:val="en-US" w:eastAsia="zh-CN"/>
        </w:rPr>
        <w:t>360.05</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75.46</w:t>
      </w:r>
      <w:r>
        <w:rPr>
          <w:rFonts w:ascii="Times New Roman" w:eastAsia="仿宋_GB2312" w:cs="仿宋_GB2312" w:hAnsi="Times New Roman" w:hint="eastAsia"/>
          <w:color w:val="auto"/>
          <w:kern w:val="2"/>
          <w:sz w:val="32"/>
          <w:szCs w:val="32"/>
          <w:lang w:val="en-US" w:eastAsia="zh-CN" w:bidi="ar-SA"/>
          <w:highlight w:val="auto"/>
        </w:rPr>
        <w:t>%，较上年度减少</w:t>
      </w:r>
      <w:r>
        <w:rPr>
          <w:rFonts w:eastAsia="仿宋_GB2312" w:cs="仿宋_GB2312" w:hint="eastAsia"/>
          <w:color w:val="auto"/>
          <w:kern w:val="2"/>
          <w:sz w:val="32"/>
          <w:szCs w:val="32"/>
          <w:lang w:val="en-US" w:eastAsia="zh-CN" w:bidi="ar-SA"/>
          <w:highlight w:val="auto"/>
        </w:rPr>
        <w:t>500.49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58.16</w:t>
      </w:r>
      <w:r>
        <w:rPr>
          <w:rFonts w:ascii="Times New Roman" w:eastAsia="仿宋_GB2312" w:cs="仿宋_GB2312" w:hAnsi="Times New Roman" w:hint="eastAsia"/>
          <w:color w:val="auto"/>
          <w:kern w:val="2"/>
          <w:sz w:val="32"/>
          <w:szCs w:val="32"/>
          <w:lang w:val="en-US" w:eastAsia="zh-CN" w:bidi="ar-SA"/>
          <w:highlight w:val="auto"/>
        </w:rPr>
        <w:t>%。决算数小于预算数的主要原因</w:t>
      </w:r>
      <w:r>
        <w:rPr>
          <w:rFonts w:eastAsia="仿宋_GB2312" w:cs="仿宋_GB2312" w:hint="eastAsia"/>
          <w:color w:val="auto"/>
          <w:kern w:val="2"/>
          <w:sz w:val="32"/>
          <w:szCs w:val="32"/>
          <w:lang w:val="en-US" w:eastAsia="zh-CN" w:bidi="ar-SA"/>
          <w:highlight w:val="auto"/>
        </w:rPr>
        <w:t>：2025年无公务用车购置费开支；厉行节约，减少公车用车运行费用开支。</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4"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4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%；公务用车购置及运行维护费支出决算359.72万元，占</w:t>
      </w:r>
      <w:r>
        <w:rPr>
          <w:rFonts w:eastAsia="仿宋_GB2312" w:cs="仿宋_GB2312" w:hint="eastAsia"/>
          <w:color w:val="auto"/>
          <w:kern w:val="2"/>
          <w:sz w:val="32"/>
          <w:szCs w:val="32"/>
          <w:lang w:val="en-US" w:eastAsia="zh-CN" w:bidi="ar-SA"/>
          <w:highlight w:val="auto"/>
        </w:rPr>
        <w:t>99.9</w:t>
      </w:r>
      <w:r>
        <w:rPr>
          <w:rFonts w:ascii="Times New Roman" w:eastAsia="仿宋_GB2312" w:cs="仿宋_GB2312" w:hAnsi="Times New Roman" w:hint="eastAsia"/>
          <w:color w:val="auto"/>
          <w:kern w:val="2"/>
          <w:sz w:val="32"/>
          <w:szCs w:val="32"/>
          <w:lang w:val="en-US" w:eastAsia="zh-CN" w:bidi="ar-SA"/>
          <w:highlight w:val="auto"/>
        </w:rPr>
        <w:t>%；公务接待费支出决算0.33万元，占</w:t>
      </w:r>
      <w:r>
        <w:rPr>
          <w:rFonts w:eastAsia="仿宋_GB2312" w:cs="仿宋_GB2312" w:hint="eastAsia"/>
          <w:color w:val="auto"/>
          <w:kern w:val="2"/>
          <w:sz w:val="32"/>
          <w:szCs w:val="32"/>
          <w:lang w:val="en-US" w:eastAsia="zh-CN" w:bidi="ar-SA"/>
          <w:highlight w:val="auto"/>
        </w:rPr>
        <w:t>0.1</w:t>
      </w:r>
      <w:r>
        <w:rPr>
          <w:rFonts w:ascii="Times New Roman" w:eastAsia="仿宋_GB2312" w:cs="仿宋_GB2312" w:hAnsi="Times New Roman" w:hint="eastAsia"/>
          <w:color w:val="auto"/>
          <w:kern w:val="2"/>
          <w:sz w:val="32"/>
          <w:szCs w:val="32"/>
          <w:lang w:val="en-US" w:eastAsia="zh-CN" w:bidi="ar-SA"/>
          <w:highlight w:val="auto"/>
        </w:rPr>
        <w:t>%。具体情况如下：</w:t>
      </w:r>
    </w:p>
    <w:p>
      <w:pPr>
        <w:pStyle w:val="37"/>
        <w:rPr>
          <w:rFonts w:ascii="Times New Roman" w:eastAsia="仿宋_GB2312" w:cs="仿宋_GB2312" w:hAnsi="Times New Roman" w:hint="eastAsia"/>
          <w:color w:val="auto"/>
          <w:kern w:val="2"/>
          <w:sz w:val="32"/>
          <w:szCs w:val="32"/>
          <w:lang w:val="en-US" w:eastAsia="zh-CN" w:bidi="ar-SA"/>
          <w:highlight w:val="auto"/>
        </w:rPr>
      </w:pPr>
      <w:r>
        <w:rPr>
          <w:rFonts w:hint="eastAsia"/>
          <w:lang w:val="en-US" w:eastAsia="zh-CN"/>
        </w:rPr>
        <w:drawing>
          <wp:anchor distT="0" distB="0" distL="114300" distR="114300" simplePos="0" relativeHeight="33" behindDoc="0" locked="0" layoutInCell="1" hidden="0" allowOverlap="1">
            <wp:simplePos x="0" y="0"/>
            <wp:positionH relativeFrom="column">
              <wp:posOffset>81280</wp:posOffset>
            </wp:positionH>
            <wp:positionV relativeFrom="paragraph">
              <wp:posOffset>17780</wp:posOffset>
            </wp:positionV>
            <wp:extent cx="5123180" cy="2807335"/>
            <wp:effectExtent l="0" t="0" r="0" b="0"/>
            <wp:wrapNone/>
            <wp:docPr id="13" name="图表 9"/>
            <wp:cNvGraphicFramePr>
              <a:graphicFrameLocks noChangeAspect="0"/>
            </wp:cNvGraphicFramePr>
            <a:graphic>
              <a:graphicData uri="http://schemas.openxmlformats.org/drawingml/2006/chart">
                <c:chart xmlns:c="http://schemas.openxmlformats.org/drawingml/2006/chart" r:id="rId15"/>
              </a:graphicData>
            </a:graphic>
          </wp:anchor>
        </w:drawing>
      </w:r>
    </w:p>
    <w:p>
      <w:pPr>
        <w:rPr>
          <w:rFonts w:ascii="Times New Roman" w:eastAsia="仿宋_GB2312" w:cs="仿宋_GB2312" w:hAnsi="Times New Roman" w:hint="eastAsia"/>
          <w:color w:val="auto"/>
          <w:kern w:val="2"/>
          <w:sz w:val="32"/>
          <w:szCs w:val="32"/>
          <w:lang w:val="en-US" w:eastAsia="zh-CN" w:bidi="ar-SA"/>
          <w:highlight w:val="auto"/>
        </w:rPr>
      </w:pPr>
    </w:p>
    <w:p>
      <w:pPr>
        <w:pStyle w:val="37"/>
        <w:rPr>
          <w:rFonts w:ascii="Times New Roman" w:eastAsia="仿宋_GB2312" w:cs="仿宋_GB2312" w:hAnsi="Times New Roman" w:hint="eastAsia"/>
          <w:color w:val="auto"/>
          <w:kern w:val="2"/>
          <w:sz w:val="32"/>
          <w:szCs w:val="32"/>
          <w:lang w:val="en-US" w:eastAsia="zh-CN" w:bidi="ar-SA"/>
          <w:highlight w:val="auto"/>
        </w:rPr>
      </w:pPr>
    </w:p>
    <w:p>
      <w:pPr>
        <w:rPr>
          <w:rFonts w:hint="eastAsia"/>
          <w:lang w:val="en-US" w:eastAsia="zh-CN"/>
        </w:rPr>
      </w:pPr>
    </w:p>
    <w:p>
      <w:pPr>
        <w:pStyle w:val="37"/>
        <w:rPr>
          <w:rFonts w:ascii="Times New Roman" w:eastAsia="仿宋_GB2312" w:cs="仿宋_GB2312" w:hAnsi="Times New Roman" w:hint="eastAsia"/>
          <w:color w:val="auto"/>
          <w:kern w:val="2"/>
          <w:sz w:val="32"/>
          <w:szCs w:val="32"/>
          <w:lang w:val="en-US" w:eastAsia="zh-CN" w:bidi="ar-SA"/>
          <w:highlight w:val="auto"/>
        </w:rPr>
      </w:pPr>
    </w:p>
    <w:p>
      <w:pPr>
        <w:rPr>
          <w:rFonts w:ascii="Times New Roman" w:eastAsia="仿宋_GB2312" w:cs="仿宋_GB2312" w:hAnsi="Times New Roman" w:hint="eastAsia"/>
          <w:color w:val="auto"/>
          <w:kern w:val="2"/>
          <w:sz w:val="32"/>
          <w:szCs w:val="32"/>
          <w:lang w:val="en-US" w:eastAsia="zh-CN" w:bidi="ar-SA"/>
          <w:highlight w:val="auto"/>
        </w:rPr>
      </w:pPr>
    </w:p>
    <w:p>
      <w:pPr>
        <w:pStyle w:val="37"/>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人。因公出国（境）支出决算</w:t>
      </w:r>
      <w:r>
        <w:rPr>
          <w:rFonts w:eastAsia="仿宋_GB2312" w:cs="仿宋_GB2312" w:hint="eastAsia"/>
          <w:color w:val="auto"/>
          <w:kern w:val="2"/>
          <w:sz w:val="32"/>
          <w:szCs w:val="32"/>
          <w:lang w:val="en-US" w:eastAsia="zh-CN" w:bidi="ar-SA"/>
          <w:highlight w:val="auto"/>
        </w:rPr>
        <w:t>与上年度持平。</w:t>
      </w:r>
    </w:p>
    <w:p>
      <w:pPr>
        <w:spacing w:line="600" w:lineRule="exact"/>
        <w:ind w:firstLine="640"/>
        <w:rPr>
          <w:rFonts w:eastAsia="仿宋_GB2312" w:cs="仿宋_GB2312"/>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Times New Roman" w:eastAsia="仿宋_GB2312" w:cs="仿宋_GB2312" w:hAnsi="Times New Roman" w:hint="eastAsia"/>
          <w:color w:val="auto"/>
          <w:kern w:val="2"/>
          <w:sz w:val="32"/>
          <w:szCs w:val="32"/>
          <w:lang w:val="en-US" w:eastAsia="zh-CN" w:bidi="ar-SA"/>
          <w:highlight w:val="auto"/>
        </w:rPr>
        <w:t>359.72</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82.69</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减少</w:t>
      </w:r>
      <w:r>
        <w:rPr>
          <w:rFonts w:eastAsia="仿宋_GB2312" w:cs="仿宋_GB2312" w:hint="eastAsia"/>
          <w:color w:val="auto"/>
          <w:kern w:val="2"/>
          <w:sz w:val="32"/>
          <w:szCs w:val="32"/>
          <w:lang w:val="en-US" w:eastAsia="zh-CN" w:bidi="ar-SA"/>
          <w:highlight w:val="auto"/>
        </w:rPr>
        <w:t>499.2</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58.12</w:t>
      </w:r>
      <w:r>
        <w:rPr>
          <w:rFonts w:ascii="Times New Roman" w:eastAsia="仿宋_GB2312" w:cs="仿宋_GB2312" w:hAnsi="Times New Roman" w:hint="eastAsia"/>
          <w:color w:val="auto"/>
          <w:kern w:val="2"/>
          <w:sz w:val="32"/>
          <w:szCs w:val="32"/>
          <w:lang w:val="en-US" w:eastAsia="zh-CN" w:bidi="ar-SA"/>
          <w:highlight w:val="auto"/>
        </w:rPr>
        <w:t>%。主要原因</w:t>
      </w:r>
      <w:r>
        <w:rPr>
          <w:rFonts w:eastAsia="仿宋_GB2312" w:cs="仿宋_GB2312" w:hint="eastAsia"/>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一是</w:t>
      </w:r>
      <w:r>
        <w:rPr>
          <w:rFonts w:eastAsia="仿宋_GB2312" w:cs="仿宋_GB2312" w:hint="eastAsia"/>
          <w:color w:val="auto"/>
          <w:kern w:val="2"/>
          <w:sz w:val="32"/>
          <w:szCs w:val="32"/>
          <w:lang w:val="en-US" w:eastAsia="zh-CN" w:bidi="ar-SA"/>
          <w:highlight w:val="auto"/>
        </w:rPr>
        <w:t>2025年公务用车购置费开支，</w:t>
      </w:r>
      <w:r>
        <w:rPr>
          <w:rFonts w:eastAsia="仿宋_GB2312" w:cs="仿宋_GB2312" w:hint="eastAsia"/>
          <w:b/>
          <w:bCs/>
          <w:color w:val="auto"/>
          <w:kern w:val="2"/>
          <w:sz w:val="32"/>
          <w:szCs w:val="32"/>
          <w:lang w:val="en-US" w:eastAsia="zh-CN" w:bidi="ar-SA"/>
          <w:highlight w:val="auto"/>
        </w:rPr>
        <w:t>二是</w:t>
      </w:r>
      <w:r>
        <w:rPr>
          <w:rFonts w:eastAsia="仿宋_GB2312" w:cs="仿宋_GB2312" w:hint="eastAsia"/>
          <w:color w:val="auto"/>
          <w:kern w:val="2"/>
          <w:sz w:val="32"/>
          <w:szCs w:val="32"/>
          <w:lang w:val="en-US" w:eastAsia="zh-CN" w:bidi="ar-SA"/>
          <w:highlight w:val="auto"/>
        </w:rPr>
        <w:t>厉行节约减少公车用车运行费用开支。</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122</w:t>
      </w:r>
      <w:r>
        <w:rPr>
          <w:rFonts w:ascii="Times New Roman" w:eastAsia="仿宋_GB2312" w:cs="仿宋_GB2312" w:hAnsi="Times New Roman" w:hint="eastAsia"/>
          <w:color w:val="auto"/>
          <w:kern w:val="2"/>
          <w:sz w:val="32"/>
          <w:szCs w:val="32"/>
          <w:lang w:val="en-US" w:eastAsia="zh-CN" w:bidi="ar-SA"/>
          <w:highlight w:val="auto"/>
        </w:rPr>
        <w:t>辆，其中：轿车15辆、越野车88辆、载客汽车19辆。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公务用车运行维护费支出359.72万元。主要用于</w:t>
      </w:r>
      <w:r>
        <w:rPr>
          <w:rFonts w:eastAsia="仿宋_GB2312" w:cs="仿宋_GB2312" w:hint="eastAsia"/>
          <w:color w:val="auto"/>
          <w:kern w:val="2"/>
          <w:sz w:val="32"/>
          <w:szCs w:val="32"/>
          <w:lang w:val="en-US" w:eastAsia="zh-CN" w:bidi="ar-SA"/>
          <w:highlight w:val="auto"/>
        </w:rPr>
        <w:t>开展办案、安保任务、应急处突、抢险救援等工作</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eastAsia="仿宋_GB2312" w:cs="仿宋_GB2312" w:hint="eastAsia"/>
          <w:b/>
          <w:bCs/>
          <w:color w:val="auto"/>
          <w:kern w:val="2"/>
          <w:sz w:val="32"/>
          <w:szCs w:val="32"/>
          <w:lang w:val="en-US" w:eastAsia="zh-CN" w:bidi="ar-SA"/>
          <w:highlight w:val="auto"/>
        </w:rPr>
        <w:t>0.33</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0.79</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1.29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79.44</w:t>
      </w:r>
      <w:r>
        <w:rPr>
          <w:rFonts w:ascii="Times New Roman" w:eastAsia="仿宋_GB2312" w:cs="仿宋_GB2312" w:hAnsi="Times New Roman" w:hint="eastAsia"/>
          <w:color w:val="auto"/>
          <w:kern w:val="2"/>
          <w:sz w:val="32"/>
          <w:szCs w:val="32"/>
          <w:lang w:val="en-US" w:eastAsia="zh-CN" w:bidi="ar-SA"/>
          <w:highlight w:val="auto"/>
        </w:rPr>
        <w:t>%。主要原因</w:t>
      </w:r>
      <w:r>
        <w:rPr>
          <w:rFonts w:eastAsia="仿宋_GB2312" w:cs="仿宋_GB2312" w:hint="eastAsia"/>
          <w:color w:val="auto"/>
          <w:kern w:val="2"/>
          <w:sz w:val="32"/>
          <w:szCs w:val="32"/>
          <w:lang w:val="en-US" w:eastAsia="zh-CN" w:bidi="ar-SA"/>
          <w:highlight w:val="auto"/>
        </w:rPr>
        <w:t>：厉行节俭，接待工作减少</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eastAsia="仿宋_GB2312" w:cs="仿宋_GB2312" w:hint="eastAsia"/>
          <w:color w:val="auto"/>
          <w:kern w:val="2"/>
          <w:sz w:val="32"/>
          <w:szCs w:val="32"/>
          <w:lang w:val="en-US" w:eastAsia="zh-CN" w:bidi="ar-SA"/>
          <w:highlight w:val="auto"/>
        </w:rPr>
        <w:t>0.33</w:t>
      </w:r>
      <w:r>
        <w:rPr>
          <w:rFonts w:ascii="Times New Roman" w:eastAsia="仿宋_GB2312" w:cs="仿宋_GB2312" w:hAnsi="Times New Roman" w:hint="eastAsia"/>
          <w:color w:val="auto"/>
          <w:kern w:val="2"/>
          <w:sz w:val="32"/>
          <w:szCs w:val="32"/>
          <w:lang w:val="en-US" w:eastAsia="zh-CN" w:bidi="ar-SA"/>
          <w:highlight w:val="auto"/>
        </w:rPr>
        <w:t>万元，主要用于用餐费等。国内公务接待</w:t>
      </w:r>
      <w:r>
        <w:rPr>
          <w:rFonts w:eastAsia="仿宋_GB2312" w:cs="仿宋_GB2312" w:hint="eastAsia"/>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批次，</w:t>
      </w:r>
      <w:r>
        <w:rPr>
          <w:rFonts w:eastAsia="仿宋_GB2312" w:cs="仿宋_GB2312" w:hint="eastAsia"/>
          <w:color w:val="auto"/>
          <w:kern w:val="2"/>
          <w:sz w:val="32"/>
          <w:szCs w:val="32"/>
          <w:lang w:val="en-US" w:eastAsia="zh-CN" w:bidi="ar-SA"/>
          <w:highlight w:val="auto"/>
        </w:rPr>
        <w:t>24</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0.33</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ascii="Times New Roman" w:eastAsia="仿宋_GB2312" w:cs="仿宋_GB2312" w:hAnsi="Times New Roman" w:hint="eastAsia"/>
          <w:sz w:val="32"/>
          <w:szCs w:val="32"/>
          <w:lang w:val="en-US" w:eastAsia="zh-CN"/>
        </w:rPr>
        <w:t>特警支队接待青海省公安厅赴特警支队考察学习8人，支出1,100.00元；政治部接待省公安厅挂职期满干部考察组6人，支出700.00元；政治部接待绵阳市公安局赴阿坝开展送教活动4人，支出696.90元；督察支队接待自贡市集中评查专项工作组6人，支出840.00元</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黑体" w:hAnsi="Times New Roman" w:hint="eastAsia"/>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外事接待支出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万元，外事接待</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批次，</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bookmarkStart w:id="45" w:name="_Toc15396610"/>
      <w:bookmarkStart w:id="46" w:name="_Toc15377218"/>
    </w:p>
    <w:p>
      <w:pPr>
        <w:spacing w:line="600" w:lineRule="exact"/>
        <w:ind w:firstLine="640"/>
        <w:outlineLvl w:val="1"/>
        <w:rPr>
          <w:rStyle w:val="2Char"/>
          <w:rFonts w:ascii="Times New Roman" w:eastAsia="黑体" w:hAnsi="Times New Roman"/>
          <w:color w:val="auto"/>
          <w:highlight w:val="auto"/>
        </w:rPr>
      </w:pPr>
      <w:bookmarkStart w:id="47" w:name="_Toc19980"/>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5"/>
      <w:bookmarkEnd w:id="46"/>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w:t>
      </w:r>
      <w:r>
        <w:rPr>
          <w:rFonts w:eastAsia="仿宋_GB2312" w:cs="仿宋_GB2312" w:hint="eastAsia"/>
          <w:color w:val="auto"/>
          <w:kern w:val="2"/>
          <w:sz w:val="32"/>
          <w:szCs w:val="32"/>
          <w:lang w:val="en-US" w:eastAsia="zh-CN" w:bidi="ar-SA"/>
          <w:highlight w:val="auto"/>
        </w:rPr>
        <w:t>与上年持平。</w:t>
      </w:r>
    </w:p>
    <w:p>
      <w:pPr>
        <w:spacing w:line="600" w:lineRule="exact"/>
        <w:ind w:left="630"/>
        <w:outlineLvl w:val="1"/>
        <w:rPr>
          <w:rStyle w:val="2Char"/>
          <w:rFonts w:ascii="Times New Roman" w:eastAsia="黑体" w:hAnsi="Times New Roman"/>
          <w:b w:val="0"/>
          <w:color w:val="auto"/>
          <w:highlight w:val="auto"/>
        </w:rPr>
      </w:pPr>
      <w:bookmarkStart w:id="48" w:name="_Toc15396611"/>
      <w:bookmarkStart w:id="49" w:name="_Toc15377219"/>
      <w:bookmarkStart w:id="50" w:name="_Toc29550"/>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8"/>
      <w:bookmarkEnd w:id="49"/>
      <w:bookmarkEnd w:id="50"/>
    </w:p>
    <w:p>
      <w:pPr>
        <w:spacing w:line="600" w:lineRule="exact"/>
        <w:ind w:firstLine="640"/>
        <w:rPr>
          <w:rFonts w:hint="eastAsia"/>
          <w:lang w:val="en-US" w:eastAsia="zh-CN"/>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w:t>
      </w:r>
      <w:r>
        <w:rPr>
          <w:rFonts w:eastAsia="仿宋_GB2312" w:cs="仿宋_GB2312" w:hint="eastAsia"/>
          <w:color w:val="auto"/>
          <w:kern w:val="2"/>
          <w:sz w:val="32"/>
          <w:szCs w:val="32"/>
          <w:lang w:val="en-US" w:eastAsia="zh-CN" w:bidi="ar-SA"/>
          <w:highlight w:val="auto"/>
        </w:rPr>
        <w:t>与上年持平。</w:t>
      </w:r>
    </w:p>
    <w:p>
      <w:pPr>
        <w:spacing w:line="600" w:lineRule="exact"/>
        <w:ind w:left="630"/>
        <w:outlineLvl w:val="1"/>
        <w:rPr>
          <w:rStyle w:val="2Char"/>
          <w:rFonts w:ascii="Times New Roman" w:eastAsia="黑体" w:hAnsi="Times New Roman" w:hint="eastAsia"/>
          <w:b w:val="0"/>
          <w:color w:val="auto"/>
          <w:highlight w:val="auto"/>
        </w:rPr>
      </w:pPr>
      <w:bookmarkStart w:id="51" w:name="_Toc15377221"/>
      <w:bookmarkStart w:id="52" w:name="_Toc27580"/>
      <w:bookmarkStart w:id="53" w:name="_Toc15396612"/>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51"/>
      <w:bookmarkEnd w:id="52"/>
      <w:bookmarkEnd w:id="53"/>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4" w:name="_Toc15377222"/>
      <w:r>
        <w:rPr>
          <w:rFonts w:ascii="Times New Roman" w:eastAsia="楷体_GB2312" w:cs="楷体_GB2312" w:hAnsi="Times New Roman" w:hint="eastAsia"/>
          <w:b/>
          <w:color w:val="auto"/>
          <w:sz w:val="32"/>
          <w:szCs w:val="32"/>
          <w:highlight w:val="auto"/>
        </w:rPr>
        <w:t>（一）机关运行经费支出情况</w:t>
      </w:r>
      <w:bookmarkEnd w:id="5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阿坝州公安局（本级）</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eastAsia="仿宋_GB2312" w:cs="仿宋_GB2312" w:hint="eastAsia"/>
          <w:color w:val="auto"/>
          <w:kern w:val="2"/>
          <w:sz w:val="32"/>
          <w:szCs w:val="32"/>
          <w:lang w:val="en-US" w:eastAsia="zh-CN" w:bidi="ar-SA"/>
          <w:highlight w:val="auto"/>
        </w:rPr>
        <w:t>2,131.42</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108.19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4.83</w:t>
      </w:r>
      <w:r>
        <w:rPr>
          <w:rFonts w:ascii="Times New Roman" w:eastAsia="仿宋_GB2312" w:cs="仿宋_GB2312" w:hAnsi="Times New Roman" w:hint="eastAsia"/>
          <w:color w:val="auto"/>
          <w:kern w:val="2"/>
          <w:sz w:val="32"/>
          <w:szCs w:val="32"/>
          <w:lang w:val="en-US" w:eastAsia="zh-CN" w:bidi="ar-SA"/>
          <w:highlight w:val="auto"/>
        </w:rPr>
        <w:t>%。主要原因</w:t>
      </w:r>
      <w:r>
        <w:rPr>
          <w:rFonts w:eastAsia="仿宋_GB2312" w:cs="仿宋_GB2312" w:hint="eastAsia"/>
          <w:color w:val="auto"/>
          <w:kern w:val="2"/>
          <w:sz w:val="32"/>
          <w:szCs w:val="32"/>
          <w:lang w:val="en-US" w:eastAsia="zh-CN" w:bidi="ar-SA"/>
          <w:highlight w:val="auto"/>
        </w:rPr>
        <w:t>:厉行节约减少机关日常公用运行费用开支</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5" w:name="_Toc15377223"/>
      <w:r>
        <w:rPr>
          <w:rFonts w:ascii="Times New Roman" w:eastAsia="楷体_GB2312" w:cs="楷体_GB2312" w:hAnsi="Times New Roman" w:hint="eastAsia"/>
          <w:b/>
          <w:color w:val="auto"/>
          <w:sz w:val="32"/>
          <w:szCs w:val="32"/>
          <w:highlight w:val="auto"/>
        </w:rPr>
        <w:t>（二）政府采购支出情况</w:t>
      </w:r>
      <w:bookmarkEnd w:id="5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阿坝州公安局（本级）</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eastAsia="仿宋_GB2312" w:cs="仿宋_GB2312" w:hint="eastAsia"/>
          <w:color w:val="auto"/>
          <w:kern w:val="2"/>
          <w:sz w:val="32"/>
          <w:szCs w:val="32"/>
          <w:lang w:val="en-US" w:eastAsia="zh-CN" w:bidi="ar-SA"/>
          <w:highlight w:val="auto"/>
        </w:rPr>
        <w:t>3,321.3</w:t>
      </w:r>
      <w:r>
        <w:rPr>
          <w:rFonts w:ascii="Times New Roman" w:eastAsia="仿宋_GB2312" w:cs="仿宋_GB2312" w:hAnsi="Times New Roman" w:hint="eastAsia"/>
          <w:color w:val="auto"/>
          <w:kern w:val="2"/>
          <w:sz w:val="32"/>
          <w:szCs w:val="32"/>
          <w:lang w:val="en-US" w:eastAsia="zh-CN" w:bidi="ar-SA"/>
          <w:highlight w:val="auto"/>
        </w:rPr>
        <w:t>万元，其中：政府采购货物支出2</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351.54万元、政府采购工程支出</w:t>
      </w:r>
      <w:r>
        <w:rPr>
          <w:rFonts w:eastAsia="仿宋_GB2312" w:cs="仿宋_GB2312" w:hint="eastAsia"/>
          <w:color w:val="auto"/>
          <w:kern w:val="2"/>
          <w:sz w:val="32"/>
          <w:szCs w:val="32"/>
          <w:lang w:val="en-US" w:eastAsia="zh-CN" w:bidi="ar-SA"/>
          <w:highlight w:val="auto"/>
        </w:rPr>
        <w:t>374.42</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eastAsia="仿宋_GB2312" w:cs="仿宋_GB2312" w:hint="eastAsia"/>
          <w:color w:val="auto"/>
          <w:kern w:val="2"/>
          <w:sz w:val="32"/>
          <w:szCs w:val="32"/>
          <w:lang w:val="en-US" w:eastAsia="zh-CN" w:bidi="ar-SA"/>
          <w:highlight w:val="auto"/>
        </w:rPr>
        <w:t>595.34</w:t>
      </w:r>
      <w:r>
        <w:rPr>
          <w:rFonts w:ascii="Times New Roman" w:eastAsia="仿宋_GB2312" w:cs="仿宋_GB2312" w:hAnsi="Times New Roman" w:hint="eastAsia"/>
          <w:color w:val="auto"/>
          <w:kern w:val="2"/>
          <w:sz w:val="32"/>
          <w:szCs w:val="32"/>
          <w:lang w:val="en-US" w:eastAsia="zh-CN" w:bidi="ar-SA"/>
          <w:highlight w:val="auto"/>
        </w:rPr>
        <w:t>万元。主要用于微户政系统运营服务外包项目</w:t>
      </w:r>
      <w:r>
        <w:rPr>
          <w:rFonts w:eastAsia="仿宋_GB2312" w:cs="仿宋_GB2312" w:hint="eastAsia"/>
          <w:color w:val="auto"/>
          <w:kern w:val="2"/>
          <w:sz w:val="32"/>
          <w:szCs w:val="32"/>
          <w:lang w:val="en-US" w:eastAsia="zh-CN" w:bidi="ar-SA"/>
          <w:highlight w:val="auto"/>
        </w:rPr>
        <w:t>、警犬犬粮及药品采购项目、物证鉴定所检验耗材采购、储备警用被装采购项目等</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eastAsia="仿宋_GB2312" w:cs="仿宋_GB2312" w:hint="eastAsia"/>
          <w:color w:val="auto"/>
          <w:kern w:val="2"/>
          <w:sz w:val="32"/>
          <w:szCs w:val="32"/>
          <w:lang w:val="en-US" w:eastAsia="zh-CN" w:bidi="ar-SA"/>
          <w:highlight w:val="auto"/>
        </w:rPr>
        <w:t>444.87</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eastAsia="仿宋_GB2312" w:cs="仿宋_GB2312" w:hint="eastAsia"/>
          <w:color w:val="auto"/>
          <w:kern w:val="2"/>
          <w:sz w:val="32"/>
          <w:szCs w:val="32"/>
          <w:lang w:val="en-US" w:eastAsia="zh-CN" w:bidi="ar-SA"/>
          <w:highlight w:val="auto"/>
        </w:rPr>
        <w:t>18.92</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eastAsia="仿宋_GB2312" w:cs="仿宋_GB2312" w:hint="eastAsia"/>
          <w:color w:val="auto"/>
          <w:kern w:val="2"/>
          <w:sz w:val="32"/>
          <w:szCs w:val="32"/>
          <w:lang w:val="en-US" w:eastAsia="zh-CN" w:bidi="ar-SA"/>
          <w:highlight w:val="auto"/>
        </w:rPr>
        <w:t>444.87</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eastAsia="仿宋_GB2312" w:cs="仿宋_GB2312" w:hint="eastAsia"/>
          <w:color w:val="auto"/>
          <w:kern w:val="2"/>
          <w:sz w:val="32"/>
          <w:szCs w:val="32"/>
          <w:lang w:val="en-US" w:eastAsia="zh-CN" w:bidi="ar-SA"/>
          <w:highlight w:val="auto"/>
        </w:rPr>
        <w:t>18.92</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6" w:name="_Toc15377224"/>
      <w:r>
        <w:rPr>
          <w:rFonts w:ascii="Times New Roman" w:eastAsia="楷体_GB2312" w:cs="楷体_GB2312" w:hAnsi="Times New Roman" w:hint="eastAsia"/>
          <w:b/>
          <w:color w:val="auto"/>
          <w:sz w:val="32"/>
          <w:szCs w:val="32"/>
          <w:highlight w:val="auto"/>
        </w:rPr>
        <w:t>（三）国有资产占有使用情况</w:t>
      </w:r>
      <w:bookmarkEnd w:id="56"/>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eastAsia="仿宋_GB2312" w:cs="仿宋_GB2312" w:hint="eastAsia"/>
          <w:color w:val="auto"/>
          <w:kern w:val="2"/>
          <w:sz w:val="32"/>
          <w:szCs w:val="32"/>
          <w:lang w:val="en-US" w:eastAsia="zh-CN" w:bidi="ar-SA"/>
          <w:highlight w:val="auto"/>
        </w:rPr>
        <w:t>阿坝州公安局（本级）</w:t>
      </w:r>
      <w:r>
        <w:rPr>
          <w:rFonts w:ascii="Times New Roman" w:eastAsia="仿宋_GB2312" w:cs="仿宋_GB2312" w:hAnsi="Times New Roman" w:hint="eastAsia"/>
          <w:color w:val="auto"/>
          <w:kern w:val="2"/>
          <w:sz w:val="32"/>
          <w:szCs w:val="32"/>
          <w:lang w:val="en-US" w:eastAsia="zh-CN" w:bidi="ar-SA"/>
          <w:highlight w:val="auto"/>
        </w:rPr>
        <w:t>共有车辆</w:t>
      </w:r>
      <w:r>
        <w:rPr>
          <w:rFonts w:eastAsia="仿宋_GB2312" w:cs="仿宋_GB2312" w:hint="eastAsia"/>
          <w:color w:val="auto"/>
          <w:kern w:val="2"/>
          <w:sz w:val="32"/>
          <w:szCs w:val="32"/>
          <w:lang w:val="en-US" w:eastAsia="zh-CN" w:bidi="ar-SA"/>
          <w:highlight w:val="auto"/>
        </w:rPr>
        <w:t>122</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eastAsia="仿宋_GB2312" w:cs="仿宋_GB2312" w:hint="eastAsia"/>
          <w:color w:val="auto"/>
          <w:kern w:val="2"/>
          <w:sz w:val="32"/>
          <w:szCs w:val="32"/>
          <w:lang w:val="en-US" w:eastAsia="zh-CN" w:bidi="ar-SA"/>
          <w:highlight w:val="auto"/>
        </w:rPr>
        <w:t>74</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eastAsia="仿宋_GB2312" w:cs="仿宋_GB2312" w:hint="eastAsia"/>
          <w:color w:val="auto"/>
          <w:kern w:val="2"/>
          <w:sz w:val="32"/>
          <w:szCs w:val="32"/>
          <w:lang w:val="en-US" w:eastAsia="zh-CN" w:bidi="ar-SA"/>
          <w:highlight w:val="auto"/>
        </w:rPr>
        <w:t>48</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eastAsia="仿宋_GB2312" w:cs="仿宋_GB2312" w:hint="eastAsia"/>
          <w:color w:val="auto"/>
          <w:kern w:val="2"/>
          <w:sz w:val="32"/>
          <w:szCs w:val="32"/>
          <w:lang w:val="en-US" w:eastAsia="zh-CN" w:bidi="ar-SA"/>
          <w:highlight w:val="auto"/>
        </w:rPr>
        <w:t>56</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eastAsia="仿宋_GB2312" w:cs="仿宋_GB2312" w:hint="eastAsia"/>
          <w:color w:val="auto"/>
          <w:kern w:val="2"/>
          <w:sz w:val="32"/>
          <w:szCs w:val="32"/>
          <w:lang w:val="en-US" w:eastAsia="zh-CN" w:bidi="ar-SA"/>
          <w:highlight w:val="auto"/>
        </w:rPr>
        <w:t>阿坝州公安局（本级）</w:t>
      </w:r>
      <w:r>
        <w:rPr>
          <w:rFonts w:ascii="Times New Roman" w:eastAsia="仿宋_GB2312" w:cs="仿宋_GB2312" w:hAnsi="Times New Roman" w:hint="eastAsia"/>
          <w:color w:val="auto"/>
          <w:kern w:val="2"/>
          <w:sz w:val="32"/>
          <w:szCs w:val="32"/>
          <w:lang w:val="en-US" w:eastAsia="zh-CN" w:bidi="ar-SA"/>
          <w:highlight w:val="auto"/>
        </w:rPr>
        <w:t>在2025年度，组织对</w:t>
      </w:r>
      <w:r>
        <w:rPr>
          <w:rFonts w:eastAsia="仿宋_GB2312" w:cs="仿宋_GB2312" w:hint="eastAsia"/>
          <w:color w:val="auto"/>
          <w:kern w:val="2"/>
          <w:sz w:val="32"/>
          <w:szCs w:val="32"/>
          <w:lang w:val="en-US" w:eastAsia="zh-CN" w:bidi="ar-SA"/>
          <w:highlight w:val="auto"/>
        </w:rPr>
        <w:t>车辆大修、特警基地基础设施维修改造、阿坝州公安局2025年视觉计算边缘节点算力扩容</w:t>
      </w:r>
      <w:r>
        <w:rPr>
          <w:rFonts w:ascii="Times New Roman" w:eastAsia="仿宋_GB2312" w:cs="仿宋_GB2312" w:hAnsi="Times New Roman" w:hint="eastAsia"/>
          <w:color w:val="auto"/>
          <w:kern w:val="2"/>
          <w:sz w:val="32"/>
          <w:szCs w:val="32"/>
          <w:lang w:val="en-US" w:eastAsia="zh-CN" w:bidi="ar-SA"/>
          <w:highlight w:val="auto"/>
        </w:rPr>
        <w:t>等</w:t>
      </w:r>
      <w:r>
        <w:rPr>
          <w:rFonts w:eastAsia="仿宋_GB2312" w:cs="仿宋_GB2312" w:hint="eastAsia"/>
          <w:color w:val="auto"/>
          <w:kern w:val="2"/>
          <w:sz w:val="32"/>
          <w:szCs w:val="32"/>
          <w:lang w:val="en-US" w:eastAsia="zh-CN" w:bidi="ar-SA"/>
          <w:highlight w:val="auto"/>
        </w:rPr>
        <w:t>58</w:t>
      </w:r>
      <w:r>
        <w:rPr>
          <w:rFonts w:ascii="Times New Roman" w:eastAsia="仿宋_GB2312" w:cs="仿宋_GB2312" w:hAnsi="Times New Roman" w:hint="eastAsia"/>
          <w:color w:val="auto"/>
          <w:kern w:val="2"/>
          <w:sz w:val="32"/>
          <w:szCs w:val="32"/>
          <w:lang w:val="en-US" w:eastAsia="zh-CN" w:bidi="ar-SA"/>
          <w:highlight w:val="auto"/>
        </w:rPr>
        <w:t>个项目涉及金额</w:t>
      </w:r>
      <w:r>
        <w:rPr>
          <w:rFonts w:ascii="仿宋_GB2312" w:eastAsia="仿宋_GB2312" w:hint="eastAsia"/>
          <w:sz w:val="32"/>
          <w:szCs w:val="32"/>
          <w:lang w:val="en-US" w:eastAsia="zh-CN"/>
        </w:rPr>
        <w:t>29,726.51</w:t>
      </w:r>
      <w:r>
        <w:rPr>
          <w:rFonts w:ascii="Times New Roman" w:eastAsia="仿宋_GB2312" w:cs="仿宋_GB2312" w:hAnsi="Times New Roman" w:hint="eastAsia"/>
          <w:color w:val="auto"/>
          <w:kern w:val="2"/>
          <w:sz w:val="32"/>
          <w:szCs w:val="32"/>
          <w:lang w:val="en-US" w:eastAsia="zh-CN" w:bidi="ar-SA"/>
          <w:highlight w:val="auto"/>
        </w:rPr>
        <w:t>万元开展了事前绩效评估，对</w:t>
      </w:r>
      <w:r>
        <w:rPr>
          <w:rFonts w:eastAsia="仿宋_GB2312" w:cs="仿宋_GB2312" w:hint="eastAsia"/>
          <w:color w:val="auto"/>
          <w:kern w:val="2"/>
          <w:sz w:val="32"/>
          <w:szCs w:val="32"/>
          <w:lang w:val="en-US" w:eastAsia="zh-CN" w:bidi="ar-SA"/>
          <w:highlight w:val="auto"/>
        </w:rPr>
        <w:t>58</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eastAsia="仿宋_GB2312" w:cs="仿宋_GB2312" w:hint="eastAsia"/>
          <w:color w:val="auto"/>
          <w:kern w:val="2"/>
          <w:sz w:val="32"/>
          <w:szCs w:val="32"/>
          <w:lang w:val="en-US" w:eastAsia="zh-CN" w:bidi="ar-SA"/>
          <w:highlight w:val="auto"/>
        </w:rPr>
        <w:t>58</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keepNext w:val="0"/>
        <w:keepLines w:val="0"/>
        <w:pageBreakBefore w:val="0"/>
        <w:widowControl w:val="0"/>
        <w:kinsoku w:val="0"/>
        <w:wordWrap/>
        <w:overflowPunct/>
        <w:topLinePunct w:val="0"/>
        <w:bidi w:val="0"/>
        <w:spacing w:line="576" w:lineRule="exact"/>
        <w:ind w:firstLineChars="200" w:firstLine="640"/>
        <w:jc w:val="both"/>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组织对2025年度一般公共预算等全面开展绩效自评，</w:t>
      </w:r>
      <w:r>
        <w:rPr>
          <w:rFonts w:ascii="仿宋_GB2312" w:eastAsia="仿宋_GB2312" w:cs="仿宋_GB2312" w:hint="eastAsia"/>
          <w:bCs/>
          <w:color w:val="000000"/>
          <w:kern w:val="0"/>
          <w:sz w:val="32"/>
          <w:szCs w:val="32"/>
          <w:lang w:val="en-US" w:eastAsia="zh-CN"/>
        </w:rPr>
        <w:t>按照绩效运行自行监控要求，自行监控2025年部门预算执行情况、目标实现情况，并发现存在的主要问题，形成相关整改措施及建议。阿坝州公安局部门各项资金的管理、核算符合相关制度规定，由于资金到位及时，确保了各顶工作的顺利开展，为我部门切实履行各项职责、全面完成各项目标任务奠定了保障基础，从预算项目绩效运行监控分析表、部门整体绩效运行监控分析表来看本单位绩效运行结果良好。</w:t>
      </w:r>
      <w:r>
        <w:rPr>
          <w:rFonts w:eastAsia="仿宋_GB2312" w:cs="仿宋_GB2312" w:hint="eastAsia"/>
          <w:color w:val="auto"/>
          <w:kern w:val="2"/>
          <w:sz w:val="32"/>
          <w:szCs w:val="32"/>
          <w:lang w:val="en-US" w:eastAsia="zh-CN" w:bidi="ar-SA"/>
          <w:highlight w:val="auto"/>
        </w:rPr>
        <w:t>通过项目实施</w:t>
      </w:r>
      <w:r>
        <w:rPr>
          <w:rFonts w:ascii="仿宋_GB2312" w:eastAsia="仿宋_GB2312" w:cs="仿宋_GB2312" w:hint="eastAsia"/>
          <w:bCs/>
          <w:color w:val="000000"/>
          <w:kern w:val="0"/>
          <w:sz w:val="32"/>
          <w:szCs w:val="32"/>
          <w:lang w:val="en-US" w:eastAsia="zh-CN"/>
        </w:rPr>
        <w:t>我局良好的完成了省公安厅、州委、州政府部署的各项工作，履行了公安机关职能，确保了人民幸福安居乐业，为全州创造和谐稳定的社会环境</w:t>
      </w:r>
      <w:r>
        <w:rPr>
          <w:rFonts w:ascii="Times New Roman" w:eastAsia="仿宋_GB2312" w:cs="仿宋_GB2312" w:hAnsi="Times New Roman" w:hint="eastAsia"/>
          <w:color w:val="auto"/>
          <w:kern w:val="2"/>
          <w:sz w:val="32"/>
          <w:szCs w:val="32"/>
          <w:lang w:val="en-US" w:eastAsia="zh-CN" w:bidi="ar-SA"/>
          <w:highlight w:val="auto"/>
        </w:rPr>
        <w:t>。</w:t>
      </w:r>
    </w:p>
    <w:p>
      <w:pPr>
        <w:keepNext w:val="0"/>
        <w:keepLines w:val="0"/>
        <w:pageBreakBefore w:val="0"/>
        <w:widowControl w:val="0"/>
        <w:kinsoku w:val="0"/>
        <w:wordWrap/>
        <w:overflowPunct/>
        <w:topLinePunct w:val="0"/>
        <w:bidi w:val="0"/>
        <w:spacing w:line="576" w:lineRule="exact"/>
        <w:ind w:firstLineChars="200" w:firstLine="640"/>
        <w:jc w:val="both"/>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形成特定工作经费、2024年省级财政林业草原专项资金</w:t>
      </w:r>
      <w:r>
        <w:rPr>
          <w:rFonts w:ascii="Times New Roman" w:eastAsia="仿宋_GB2312" w:cs="仿宋_GB2312" w:hAnsi="Times New Roman" w:hint="eastAsia"/>
          <w:color w:val="auto"/>
          <w:kern w:val="2"/>
          <w:sz w:val="32"/>
          <w:szCs w:val="32"/>
          <w:lang w:val="en-US" w:eastAsia="zh-CN" w:bidi="ar-SA"/>
          <w:highlight w:val="auto"/>
        </w:rPr>
        <w:t>等</w:t>
      </w:r>
      <w:r>
        <w:rPr>
          <w:rFonts w:eastAsia="仿宋_GB2312" w:cs="仿宋_GB2312" w:hint="eastAsia"/>
          <w:color w:val="auto"/>
          <w:kern w:val="2"/>
          <w:sz w:val="32"/>
          <w:szCs w:val="32"/>
          <w:lang w:val="en-US" w:eastAsia="zh-CN" w:bidi="ar-SA"/>
          <w:highlight w:val="auto"/>
        </w:rPr>
        <w:t>9个</w:t>
      </w:r>
      <w:r>
        <w:rPr>
          <w:rFonts w:ascii="Times New Roman" w:eastAsia="仿宋_GB2312" w:cs="仿宋_GB2312" w:hAnsi="Times New Roman" w:hint="eastAsia"/>
          <w:color w:val="auto"/>
          <w:kern w:val="2"/>
          <w:sz w:val="32"/>
          <w:szCs w:val="32"/>
          <w:lang w:val="en-US" w:eastAsia="zh-CN" w:bidi="ar-SA"/>
          <w:highlight w:val="auto"/>
        </w:rPr>
        <w:t>专项预算项目绩效自评报告</w:t>
      </w:r>
      <w:r>
        <w:rPr>
          <w:rFonts w:eastAsia="仿宋_GB2312" w:cs="仿宋_GB2312" w:hint="eastAsia"/>
          <w:color w:val="auto"/>
          <w:kern w:val="2"/>
          <w:sz w:val="32"/>
          <w:szCs w:val="32"/>
          <w:lang w:val="en-US" w:eastAsia="zh-CN" w:bidi="ar-SA"/>
          <w:highlight w:val="auto"/>
        </w:rPr>
        <w:t>。2024年省级财政林业草原专项资金</w:t>
      </w:r>
      <w:r>
        <w:rPr>
          <w:rFonts w:ascii="Times New Roman" w:eastAsia="仿宋_GB2312" w:cs="仿宋_GB2312" w:hAnsi="Times New Roman" w:hint="eastAsia"/>
          <w:color w:val="auto"/>
          <w:kern w:val="2"/>
          <w:sz w:val="32"/>
          <w:szCs w:val="32"/>
          <w:lang w:val="en-US" w:eastAsia="zh-CN" w:bidi="ar-SA"/>
          <w:highlight w:val="auto"/>
        </w:rPr>
        <w:t>专项预算项目绩效自评得分为</w:t>
      </w:r>
      <w:r>
        <w:rPr>
          <w:rFonts w:eastAsia="仿宋_GB2312" w:cs="仿宋_GB2312" w:hint="eastAsia"/>
          <w:color w:val="auto"/>
          <w:kern w:val="2"/>
          <w:sz w:val="32"/>
          <w:szCs w:val="32"/>
          <w:lang w:val="en-US" w:eastAsia="zh-CN" w:bidi="ar-SA"/>
          <w:highlight w:val="auto"/>
        </w:rPr>
        <w:t>81</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val="en-US" w:eastAsia="zh-CN" w:bidi="ar-SA"/>
          <w:highlight w:val="auto"/>
        </w:rPr>
        <w:t>项目设立决策程序</w:t>
      </w:r>
      <w:r>
        <w:rPr>
          <w:rFonts w:eastAsia="仿宋_GB2312" w:cs="仿宋_GB2312" w:hint="eastAsia"/>
          <w:color w:val="auto"/>
          <w:kern w:val="2"/>
          <w:sz w:val="32"/>
          <w:szCs w:val="32"/>
          <w:lang w:val="en-US" w:eastAsia="zh-CN" w:bidi="ar-SA"/>
          <w:highlight w:val="auto"/>
        </w:rPr>
        <w:t>较</w:t>
      </w:r>
      <w:r>
        <w:rPr>
          <w:rFonts w:eastAsia="仿宋_GB2312" w:cs="仿宋_GB2312"/>
          <w:color w:val="auto"/>
          <w:kern w:val="2"/>
          <w:sz w:val="32"/>
          <w:szCs w:val="32"/>
          <w:lang w:val="en-US" w:eastAsia="zh-CN" w:bidi="ar-SA"/>
          <w:highlight w:val="auto"/>
        </w:rPr>
        <w:t>严密</w:t>
      </w:r>
      <w:r>
        <w:rPr>
          <w:rFonts w:eastAsia="仿宋_GB2312" w:cs="仿宋_GB2312" w:hint="eastAsia"/>
          <w:color w:val="auto"/>
          <w:kern w:val="2"/>
          <w:sz w:val="32"/>
          <w:szCs w:val="32"/>
          <w:lang w:val="en-US" w:eastAsia="zh-CN" w:bidi="ar-SA"/>
          <w:highlight w:val="auto"/>
        </w:rPr>
        <w:t>、项目规划符合中央、州委、州政府有关决策部署安排，</w:t>
      </w:r>
      <w:r>
        <w:rPr>
          <w:rFonts w:eastAsia="仿宋_GB2312" w:cs="仿宋_GB2312"/>
          <w:color w:val="auto"/>
          <w:kern w:val="2"/>
          <w:sz w:val="32"/>
          <w:szCs w:val="32"/>
          <w:lang w:val="en-US" w:eastAsia="zh-CN" w:bidi="ar-SA"/>
          <w:highlight w:val="auto"/>
        </w:rPr>
        <w:t>资金管理办法等管理制度体系健全完善，不存在管理制度缺失、管理办法过期情况项目资金使用、拨付符合国家财经法规、财务管理制度及有关专项资金管理制度办法规定和审批程序，</w:t>
      </w:r>
      <w:r>
        <w:rPr>
          <w:rFonts w:eastAsia="仿宋_GB2312" w:cs="仿宋_GB2312" w:hint="eastAsia"/>
          <w:color w:val="auto"/>
          <w:kern w:val="2"/>
          <w:sz w:val="32"/>
          <w:szCs w:val="32"/>
          <w:lang w:val="en-US" w:eastAsia="zh-CN" w:bidi="ar-SA"/>
          <w:highlight w:val="auto"/>
        </w:rPr>
        <w:t>未</w:t>
      </w:r>
      <w:r>
        <w:rPr>
          <w:rFonts w:eastAsia="仿宋_GB2312" w:cs="仿宋_GB2312"/>
          <w:color w:val="auto"/>
          <w:kern w:val="2"/>
          <w:sz w:val="32"/>
          <w:szCs w:val="32"/>
          <w:lang w:val="en-US" w:eastAsia="zh-CN" w:bidi="ar-SA"/>
          <w:highlight w:val="auto"/>
        </w:rPr>
        <w:t>存在超范围、超标准、超进度使用专项资金，</w:t>
      </w:r>
      <w:r>
        <w:rPr>
          <w:rFonts w:eastAsia="仿宋_GB2312" w:cs="仿宋_GB2312" w:hint="eastAsia"/>
          <w:color w:val="auto"/>
          <w:kern w:val="2"/>
          <w:sz w:val="32"/>
          <w:szCs w:val="32"/>
          <w:lang w:val="en-US" w:eastAsia="zh-CN" w:bidi="ar-SA"/>
          <w:highlight w:val="auto"/>
        </w:rPr>
        <w:t>未</w:t>
      </w:r>
      <w:r>
        <w:rPr>
          <w:rFonts w:eastAsia="仿宋_GB2312" w:cs="仿宋_GB2312"/>
          <w:color w:val="auto"/>
          <w:kern w:val="2"/>
          <w:sz w:val="32"/>
          <w:szCs w:val="32"/>
          <w:lang w:val="en-US" w:eastAsia="zh-CN" w:bidi="ar-SA"/>
          <w:highlight w:val="auto"/>
        </w:rPr>
        <w:t>存在资金损失浪费、截留、挤占、挪用、虚列支出等情况，项目实施遵守相关法律法规</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绩效自评报告详见附件</w:t>
      </w:r>
      <w:r>
        <w:rPr>
          <w:rFonts w:eastAsia="仿宋_GB2312" w:cs="仿宋_GB2312" w:hint="eastAsia"/>
          <w:color w:val="auto"/>
          <w:kern w:val="2"/>
          <w:sz w:val="32"/>
          <w:szCs w:val="32"/>
          <w:lang w:val="en-US" w:eastAsia="zh-CN" w:bidi="ar-SA"/>
          <w:highlight w:val="auto"/>
        </w:rPr>
        <w:t>（其余8个项目均涉密，绩效自评报告不宜公开）</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7" w:name="_Toc29925"/>
      <w:bookmarkStart w:id="58" w:name="_Toc15396613"/>
      <w:bookmarkStart w:id="59" w:name="_Toc15377225"/>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7"/>
      <w:bookmarkEnd w:id="58"/>
      <w:bookmarkEnd w:id="59"/>
    </w:p>
    <w:p>
      <w:pPr>
        <w:spacing w:line="600" w:lineRule="exact"/>
        <w:jc w:val="left"/>
        <w:rPr>
          <w:rFonts w:ascii="Times New Roman" w:hAnsi="Times New Roman"/>
          <w:b/>
          <w:color w:val="auto"/>
          <w:sz w:val="44"/>
          <w:szCs w:val="44"/>
          <w:highlight w:val="auto"/>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bookmarkStart w:id="60"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仿宋_GB2312" w:eastAsia="仿宋_GB2312" w:hint="eastAsia"/>
          <w:color w:val="auto"/>
          <w:sz w:val="32"/>
          <w:szCs w:val="32"/>
        </w:rPr>
      </w:pPr>
      <w:r>
        <w:rPr>
          <w:rFonts w:ascii="Times New Roman" w:eastAsia="仿宋_GB2312" w:cs="仿宋_GB2312" w:hAnsi="Times New Roman" w:hint="eastAsia"/>
          <w:color w:val="auto"/>
          <w:kern w:val="2"/>
          <w:sz w:val="32"/>
          <w:szCs w:val="32"/>
          <w:lang w:val="en-US" w:eastAsia="zh-CN" w:bidi="ar-SA"/>
          <w:highlight w:val="auto"/>
        </w:rPr>
        <w:t>2.</w:t>
      </w:r>
      <w:r>
        <w:rPr>
          <w:rFonts w:ascii="仿宋_GB2312" w:eastAsia="仿宋_GB2312" w:hint="eastAsia"/>
          <w:color w:val="auto"/>
          <w:sz w:val="32"/>
          <w:szCs w:val="32"/>
        </w:rPr>
        <w:t>公共安全支出（204）：指</w:t>
      </w:r>
      <w:r>
        <w:rPr>
          <w:rFonts w:ascii="仿宋_GB2312" w:eastAsia="仿宋_GB2312" w:hint="eastAsia"/>
          <w:color w:val="auto"/>
          <w:sz w:val="32"/>
          <w:szCs w:val="32"/>
          <w:lang w:val="en-US" w:eastAsia="zh-CN"/>
        </w:rPr>
        <w:t>政府维护社会公共安全方面的支出</w:t>
      </w:r>
      <w:r>
        <w:rPr>
          <w:rFonts w:ascii="仿宋_GB2312" w:eastAsia="仿宋_GB2312" w:hint="eastAsia"/>
          <w:color w:val="auto"/>
          <w:sz w:val="32"/>
          <w:szCs w:val="32"/>
        </w:rPr>
        <w:t>。</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Chars="200"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color w:val="000000"/>
          <w:spacing w:val="-2"/>
          <w:kern w:val="0"/>
          <w:sz w:val="32"/>
          <w:szCs w:val="32"/>
        </w:rPr>
        <w:t>社会保障和就业支出</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208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：指政府在社会保障与就业方面的支出。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eastAsia="仿宋_GB2312" w:cs="仿宋_GB2312"/>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3.卫生健康支出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210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：指政府卫生健康方面的支出。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eastAsia="仿宋_GB2312" w:cs="仿宋_GB2312"/>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4.住房保障支出</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221</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：指政府用于住房方面的支出。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.基本支出：指为保障机构正常运转、完成日常工作任务而发生的人员支出和公用支出。</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6</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机关运行经费：为保障行政单位（含参照公务员法管理的事业单位）运行用于购买货物和服务的各项资金，包括办公费、印刷费、水费、电费、邮电费、物业管理费、差旅费、维修（护）费、租赁费、公务接待费、被装购置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专用材料费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劳务费、委托业务费、工会经费、福利费、公务用车运行维护费、其他交通费、其他商品和服务支出、办公设备购置、专用设备购置、信息网络及软件购置更新等。</w:t>
      </w:r>
    </w:p>
    <w:p>
      <w:pPr>
        <w:keepNext w:val="0"/>
        <w:keepLines w:val="0"/>
        <w:pageBreakBefore w:val="0"/>
        <w:widowControl w:val="0"/>
        <w:kinsoku w:val="0"/>
        <w:wordWrap/>
        <w:overflowPunct/>
        <w:topLinePunct w:val="0"/>
        <w:autoSpaceDE w:val="0"/>
        <w:autoSpaceDN w:val="0"/>
        <w:bidi w:val="0"/>
        <w:adjustRightInd w:val="0"/>
        <w:snapToGrid w:val="0"/>
        <w:spacing w:line="560" w:lineRule="exact"/>
        <w:textAlignment w:val="auto"/>
        <w:rPr>
          <w:rStyle w:val="1Char"/>
          <w:rFonts w:ascii="Times New Roman" w:eastAsia="方正小标宋简体" w:cs="方正小标宋简体" w:hAnsi="Times New Roman" w:hint="eastAsia"/>
          <w:b w:val="0"/>
          <w:bCs w:val="0"/>
          <w:color w:val="auto"/>
          <w:highlight w:val="auto"/>
        </w:rPr>
      </w:pPr>
      <w:bookmarkStart w:id="61" w:name="_Toc16607"/>
      <w:bookmarkStart w:id="62" w:name="_Toc15396614"/>
    </w:p>
    <w:p>
      <w:pPr>
        <w:keepNext w:val="0"/>
        <w:keepLines w:val="0"/>
        <w:pageBreakBefore w:val="0"/>
        <w:widowControl w:val="0"/>
        <w:kinsoku w:val="0"/>
        <w:wordWrap/>
        <w:overflowPunct/>
        <w:topLinePunct w:val="0"/>
        <w:autoSpaceDE w:val="0"/>
        <w:autoSpaceDN w:val="0"/>
        <w:bidi w:val="0"/>
        <w:adjustRightInd w:val="0"/>
        <w:snapToGrid w:val="0"/>
        <w:spacing w:line="560" w:lineRule="exact"/>
        <w:textAlignment w:val="auto"/>
        <w:rPr>
          <w:rStyle w:val="1Char"/>
          <w:rFonts w:ascii="Times New Roman" w:eastAsia="方正小标宋简体" w:cs="方正小标宋简体" w:hAnsi="Times New Roman" w:hint="eastAsia"/>
          <w:b w:val="0"/>
          <w:bCs w:val="0"/>
          <w:color w:val="auto"/>
          <w:highlight w:val="auto"/>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textAlignment w:val="auto"/>
        <w:rPr>
          <w:rStyle w:val="1Char"/>
          <w:rFonts w:ascii="Times New Roman" w:eastAsia="方正小标宋简体" w:cs="方正小标宋简体" w:hAnsi="Times New Roman" w:hint="eastAsia"/>
          <w:b w:val="0"/>
          <w:bCs w:val="0"/>
          <w:color w:val="auto"/>
          <w:highlight w:val="auto"/>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textAlignment w:val="auto"/>
        <w:rPr>
          <w:rStyle w:val="1Char"/>
          <w:rFonts w:ascii="Times New Roman" w:eastAsia="方正小标宋简体" w:cs="方正小标宋简体" w:hAnsi="Times New Roman" w:hint="eastAsia"/>
          <w:b w:val="0"/>
          <w:bCs w:val="0"/>
          <w:color w:val="auto"/>
          <w:highlight w:val="auto"/>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textAlignment w:val="auto"/>
        <w:rPr>
          <w:rStyle w:val="1Char"/>
          <w:rFonts w:ascii="Times New Roman" w:eastAsia="方正小标宋简体" w:cs="方正小标宋简体" w:hAnsi="Times New Roman"/>
          <w:b w:val="0"/>
          <w:bCs w:val="0"/>
          <w:color w:val="auto"/>
          <w:lang w:val="en-US" w:eastAsia="zh-CN"/>
          <w:highlight w:val="auto"/>
        </w:rPr>
        <w:sectPr>
          <w:headerReference w:type="default" r:id="rId7"/>
          <w:footerReference w:type="default" r:id="rId8"/>
          <w:pgSz w:w="11906" w:h="16838"/>
          <w:pgMar w:top="2098" w:right="1474" w:bottom="1984" w:left="1587" w:header="851" w:footer="992" w:gutter="0"/>
          <w:pgNumType w:fmt="numberInDash"/>
          <w:docGrid w:type="lines" w:linePitch="435" w:charSpace="0"/>
        </w:sectPr>
      </w:pPr>
    </w:p>
    <w:tbl>
      <w:tblPr>
        <w:jc w:val="left"/>
        <w:tblInd w:w="0" w:type="dxa"/>
        <w:tblW w:w="5000"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951"/>
        <w:gridCol w:w="1626"/>
        <w:gridCol w:w="1013"/>
        <w:gridCol w:w="1572"/>
        <w:gridCol w:w="911"/>
        <w:gridCol w:w="982"/>
        <w:gridCol w:w="931"/>
        <w:gridCol w:w="1488"/>
        <w:gridCol w:w="653"/>
        <w:gridCol w:w="844"/>
        <w:gridCol w:w="3094"/>
      </w:tblGrid>
      <w:tr>
        <w:trPr>
          <w:trHeight w:val="585"/>
        </w:trPr>
        <w:tc>
          <w:tcPr>
            <w:tcW w:w="5000" w:type="pct"/>
            <w:gridSpan w:val="11"/>
            <w:tcBorders>
              <w:top w:val="nil"/>
              <w:left w:val="nil"/>
              <w:bottom w:val="single" w:sz="4" w:space="0" w:color="auto"/>
              <w:right w:val="nil"/>
            </w:tcBorders>
            <w:shd w:val="clear" w:color="auto" w:fill="auto"/>
            <w:noWrap/>
            <w:vAlign w:val="center"/>
          </w:tcPr>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560" w:lineRule="exact"/>
              <w:jc w:val="center"/>
              <w:textAlignment w:val="auto"/>
              <w:rPr>
                <w:rFonts w:ascii="黑体" w:eastAsia="黑体" w:cs="黑体" w:hint="eastAsia"/>
                <w:b/>
                <w:bCs/>
                <w:i w:val="0"/>
                <w:iCs w:val="0"/>
                <w:color w:val="000000"/>
                <w:kern w:val="0"/>
                <w:sz w:val="30"/>
                <w:szCs w:val="30"/>
                <w:u w:val="none"/>
                <w:lang w:val="en-US" w:eastAsia="zh-CN"/>
              </w:rPr>
            </w:pPr>
            <w:r>
              <w:rPr>
                <w:rStyle w:val="1Char"/>
                <w:rFonts w:ascii="Times New Roman" w:eastAsia="方正小标宋简体" w:cs="方正小标宋简体" w:hAnsi="Times New Roman" w:hint="eastAsia"/>
                <w:b w:val="0"/>
                <w:bCs w:val="0"/>
                <w:color w:val="auto"/>
                <w:lang w:val="en-US" w:eastAsia="zh-CN"/>
                <w:highlight w:val="auto"/>
              </w:rPr>
              <w:t>附件</w:t>
            </w:r>
          </w:p>
        </w:tc>
      </w:tr>
      <w:tr>
        <w:trPr>
          <w:trHeight w:val="90"/>
        </w:trPr>
        <w:tc>
          <w:tcPr>
            <w:tcW w:w="5000" w:type="pct"/>
            <w:gridSpan w:val="11"/>
            <w:tcBorders>
              <w:top w:val="single" w:sz="4" w:space="0" w:color="auto"/>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86"/>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51320022T000000346817-微户政系统运营服务外包项目</w:t>
            </w:r>
          </w:p>
        </w:tc>
      </w:tr>
      <w:tr>
        <w:trPr>
          <w:trHeight w:val="512"/>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19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52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63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19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2159"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980"/>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9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实现户籍业务全流程办理“足不出户”；居住证办理、居住登记信息回执业务及门楼牌地址信息变更回执提供“足不出户”服务；实现户籍办理、居住证办理“只进一扇门”、“最多跑一次”，提高管理服务效能。      </w:t>
            </w:r>
          </w:p>
        </w:tc>
        <w:tc>
          <w:tcPr>
            <w:tcW w:w="2159"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 xml:space="preserve">实现户籍业务全流程办理“足不出户”；居住证办理、居住登记信息回执业务及门楼牌地址信息变更回执提供“足不出户”服务；实现户籍办理、居住证办理“只进一扇门”、“最多跑一次”，提高管理服务效能。      </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购买服务达到运维执行和保障作用，基于微信公众号，为群众提供可办理的户政业务事项，满足群众事前事中事后的全流程服务体验的需要，提供统一实名实人认证服务来进行可信实名制验证；提供EMS快递服务、支付服务等基础服务来实现群众办理户籍业务的”“一次不跑”和“足不出户”。</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9.85</w:t>
            </w:r>
          </w:p>
        </w:tc>
        <w:tc>
          <w:tcPr>
            <w:tcW w:w="10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该项目为2024年结转项目，年中调整预算，年底结余0.5万元由财政收回。</w:t>
            </w: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34.50</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5"/>
                <w:szCs w:val="15"/>
                <w:u w:val="none"/>
                <w:lang w:val="en-US" w:eastAsia="zh-CN"/>
              </w:rPr>
              <w:t>财政专户管理资金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0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系统维护数量</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保障系统正常运行</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系统运营服务年限</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提高管理服务效能</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办事群众满意度</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99</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办案民警满意度</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3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5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368"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88.85</w:t>
            </w:r>
          </w:p>
        </w:tc>
        <w:tc>
          <w:tcPr>
            <w:tcW w:w="10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该项目的实施实现了维护一套系统在一年内有效运行并有效提升管理服务效能目的，办事群众满意度达99%，办案民警满意度达98%，综合自评得分88.85分。</w:t>
            </w:r>
          </w:p>
        </w:tc>
      </w:tr>
      <w:tr>
        <w:trPr>
          <w:trHeight w:val="400"/>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在有效提升管理服务效能方面还需大力提升。</w:t>
            </w:r>
          </w:p>
        </w:tc>
      </w:tr>
      <w:tr>
        <w:trPr>
          <w:trHeight w:val="219"/>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通过大数据赋能等手段，加强系统作用。</w:t>
            </w:r>
          </w:p>
        </w:tc>
      </w:tr>
      <w:tr>
        <w:trPr>
          <w:trHeight w:val="286"/>
        </w:trPr>
        <w:tc>
          <w:tcPr>
            <w:tcW w:w="91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项目负责人：王晶</w:t>
            </w:r>
          </w:p>
        </w:tc>
        <w:tc>
          <w:tcPr>
            <w:tcW w:w="4083"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Pr>
        <w:pageBreakBefore w:val="0"/>
        <w:widowControl w:val="0"/>
        <w:kinsoku/>
        <w:overflowPunct/>
        <w:topLinePunct w:val="0"/>
        <w:autoSpaceDE/>
        <w:autoSpaceDN/>
        <w:bidi w:val="0"/>
        <w:ind w:firstLineChars="200" w:firstLine="420"/>
        <w:rPr>
          <w:rFonts w:eastAsia="黑体"/>
        </w:rPr>
      </w:pPr>
      <w:r>
        <w:rPr>
          <w:rFonts w:eastAsia="黑体"/>
        </w:rPr>
        <w:br w:type="page"/>
      </w:r>
    </w:p>
    <w:tbl>
      <w:tblPr>
        <w:jc w:val="left"/>
        <w:tblInd w:w="0" w:type="dxa"/>
        <w:tblW w:w="4998"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4"/>
        <w:gridCol w:w="1948"/>
        <w:gridCol w:w="1681"/>
        <w:gridCol w:w="2145"/>
        <w:gridCol w:w="498"/>
        <w:gridCol w:w="1585"/>
        <w:gridCol w:w="500"/>
        <w:gridCol w:w="1037"/>
        <w:gridCol w:w="481"/>
        <w:gridCol w:w="430"/>
        <w:gridCol w:w="3103"/>
      </w:tblGrid>
      <w:tr>
        <w:trPr>
          <w:trHeight w:val="286"/>
        </w:trPr>
        <w:tc>
          <w:tcPr>
            <w:tcW w:w="92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7"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51320022T000005474874-新春慰问金</w:t>
            </w:r>
          </w:p>
        </w:tc>
      </w:tr>
      <w:tr>
        <w:trPr>
          <w:trHeight w:val="512"/>
        </w:trPr>
        <w:tc>
          <w:tcPr>
            <w:tcW w:w="92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9"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通过春节期间走访、慰问离退休老干部、劳模、基层一下民警等人员，让他们感受到州公安局对他们的关心关爱，进一步提升幸福指数。</w:t>
            </w:r>
          </w:p>
        </w:tc>
        <w:tc>
          <w:tcPr>
            <w:tcW w:w="179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通过慰问13县市基层民辅警职工，让他们感受到州公安局对他们的关心关爱，进一步提升幸福指数。</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7"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通过慰问13县市基层民辅警职工，让他们感受到州公安局对他们的关心关爱，进一步提升幸福指数。</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年中财政局追加专项资金，年底财政收回2.19万元。</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慰问人数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50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被慰问人员走访率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慰问完成时间</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2025年6月</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提升社会经济效益</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提升公安民警幸福指数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有效提升民警幸福指数</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宋体" w:eastAsia="宋体" w:cs="宋体" w:hint="eastAsia"/>
                <w:i w:val="0"/>
                <w:iCs w:val="0"/>
                <w:color w:val="000000"/>
                <w:sz w:val="18"/>
                <w:szCs w:val="18"/>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有效提升民警幸福指数</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被慰问人员满意度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成本完成控制率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jc w:val="center"/>
              <w:rPr>
                <w:rFonts w:ascii="微软雅黑" w:eastAsia="微软雅黑" w:cs="微软雅黑" w:hint="eastAsia"/>
                <w:i/>
                <w:iCs/>
                <w:color w:val="000000"/>
                <w:sz w:val="16"/>
                <w:szCs w:val="16"/>
                <w:u w:val="none"/>
              </w:rPr>
            </w:pPr>
          </w:p>
        </w:tc>
      </w:tr>
      <w:tr>
        <w:trPr>
          <w:trHeight w:val="286"/>
        </w:trPr>
        <w:tc>
          <w:tcPr>
            <w:tcW w:w="3571"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2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通过慰问13县市基层民辅警职工，让他们感受到州公安局对他们的关心关爱，进一步提升幸福指数，综合自评得分85分。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慰问人数只达到了最低指标值，民警幸福指数还需提高。</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充分利用相关资金，慰问更多需要慰问的民辅警职工，并通过多种方式提高民警幸福指数。</w:t>
            </w:r>
          </w:p>
        </w:tc>
      </w:tr>
      <w:tr>
        <w:trPr>
          <w:trHeight w:val="286"/>
        </w:trPr>
        <w:tc>
          <w:tcPr>
            <w:tcW w:w="246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项目负责人：何捷苇</w:t>
            </w:r>
          </w:p>
        </w:tc>
        <w:tc>
          <w:tcPr>
            <w:tcW w:w="2539"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r>
        <w:trPr>
          <w:trHeight w:val="286"/>
        </w:trPr>
        <w:tc>
          <w:tcPr>
            <w:tcW w:w="92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7"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51320024T000010527535-阿坝州公安局提升改造项目</w:t>
            </w:r>
          </w:p>
        </w:tc>
      </w:tr>
      <w:tr>
        <w:trPr>
          <w:trHeight w:val="512"/>
        </w:trPr>
        <w:tc>
          <w:tcPr>
            <w:tcW w:w="92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9"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020"/>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该项目建设内容主要为维修整治提升改造，对阿坝藏族羌族自治州公安局办公楼坡屋面维修及更换瓦屋面，在办公楼局部屋顶增设文化活动室，在信息技术业务用房增设电梯，提升改造面积约 1800 平方米。</w:t>
            </w:r>
          </w:p>
        </w:tc>
        <w:tc>
          <w:tcPr>
            <w:tcW w:w="179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实现对阿坝藏族羌族自治州公安局办公楼坡屋面维修及更换瓦屋面，在办公楼局部屋顶增设文化活动室，在信息技术业务用房增设电梯。</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7"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通过前期论证，项目实施及验收完成安装电梯1部，建设280平方的楼顶文化活动室及168平方党史馆钢结构阳光棚内容。</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185.47</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185.47</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该项目为2024年结转项目，年中调整预算，年底结余0.82万元由财政收回。</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185.47</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185.47</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91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安装电梯</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部</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楼顶文化活动室</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282.2</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平方米</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282.2</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新建党史馆钢结构阳光棚</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168</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平方米</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168</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项目（工程）验收合格率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提升民警党史知晓度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宋体" w:eastAsia="宋体" w:cs="宋体" w:hint="eastAsia"/>
                <w:i w:val="0"/>
                <w:iCs w:val="0"/>
                <w:color w:val="000000"/>
                <w:sz w:val="18"/>
                <w:szCs w:val="18"/>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95</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286"/>
        </w:trPr>
        <w:tc>
          <w:tcPr>
            <w:tcW w:w="3571"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w:t>
            </w:r>
          </w:p>
        </w:tc>
        <w:tc>
          <w:tcPr>
            <w:tcW w:w="11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完成安装电梯1部，建设280平方的楼顶文化活动室及168平方党史馆钢结构阳光棚内容达到提升民警党史知晓度、办公人员满意度效果，自评得分89分。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因为</w:t>
            </w:r>
            <w:bookmarkStart w:id="63" w:name="_GoBack"/>
            <w:bookmarkEnd w:id="63"/>
            <w:r>
              <w:rPr>
                <w:rFonts w:ascii="微软雅黑" w:eastAsia="微软雅黑" w:cs="微软雅黑" w:hint="eastAsia"/>
                <w:i/>
                <w:iCs/>
                <w:color w:val="000000"/>
                <w:kern w:val="0"/>
                <w:sz w:val="16"/>
                <w:szCs w:val="16"/>
                <w:u w:val="none"/>
                <w:lang w:val="en-US" w:eastAsia="zh-CN"/>
              </w:rPr>
              <w:t>阿坝州冬季寒冷不宜施工，存在工程项目建设时间长的问题。</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督促建设部门抓紧第二季度和第三季度建设时间。</w:t>
            </w:r>
          </w:p>
        </w:tc>
      </w:tr>
      <w:tr>
        <w:trPr>
          <w:trHeight w:val="286"/>
        </w:trPr>
        <w:tc>
          <w:tcPr>
            <w:tcW w:w="246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项目负责人：梁爽</w:t>
            </w:r>
          </w:p>
        </w:tc>
        <w:tc>
          <w:tcPr>
            <w:tcW w:w="2539"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8"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38"/>
        <w:gridCol w:w="6"/>
        <w:gridCol w:w="1897"/>
        <w:gridCol w:w="51"/>
        <w:gridCol w:w="1594"/>
        <w:gridCol w:w="87"/>
        <w:gridCol w:w="2013"/>
        <w:gridCol w:w="132"/>
        <w:gridCol w:w="363"/>
        <w:gridCol w:w="135"/>
        <w:gridCol w:w="1420"/>
        <w:gridCol w:w="166"/>
        <w:gridCol w:w="500"/>
        <w:gridCol w:w="84"/>
        <w:gridCol w:w="953"/>
        <w:gridCol w:w="79"/>
        <w:gridCol w:w="402"/>
        <w:gridCol w:w="79"/>
        <w:gridCol w:w="351"/>
        <w:gridCol w:w="73"/>
        <w:gridCol w:w="3030"/>
      </w:tblGrid>
      <w:tr>
        <w:trPr>
          <w:trHeight w:val="286"/>
        </w:trPr>
        <w:tc>
          <w:tcPr>
            <w:tcW w:w="90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95" w:type="pct"/>
            <w:gridSpan w:val="1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51320024T000010581326-州公安局房屋维修</w:t>
            </w:r>
          </w:p>
        </w:tc>
      </w:tr>
      <w:tr>
        <w:trPr>
          <w:trHeight w:val="512"/>
        </w:trPr>
        <w:tc>
          <w:tcPr>
            <w:tcW w:w="90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8"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6" w:type="pct"/>
            <w:gridSpan w:val="2"/>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7"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8"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67"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8"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州公安局办公楼、信息技术大楼等房屋均不同程度存在屋面漏雨、地砖破损、墙面脱落、线路老化、下水道堵塞等问题，为保障公安机关正常运转，使公安民警全身心投入</w:t>
            </w:r>
            <w:r>
              <w:rPr>
                <w:rFonts w:ascii="宋体" w:cs="宋体" w:hint="eastAsia"/>
                <w:i w:val="0"/>
                <w:iCs w:val="0"/>
                <w:color w:val="000000"/>
                <w:kern w:val="0"/>
                <w:sz w:val="18"/>
                <w:szCs w:val="18"/>
                <w:u w:val="none"/>
                <w:lang w:val="en-US" w:eastAsia="zh-CN"/>
              </w:rPr>
              <w:t>工作</w:t>
            </w:r>
            <w:r>
              <w:rPr>
                <w:rFonts w:ascii="宋体" w:eastAsia="宋体" w:cs="宋体"/>
                <w:i w:val="0"/>
                <w:iCs w:val="0"/>
                <w:color w:val="000000"/>
                <w:kern w:val="0"/>
                <w:sz w:val="18"/>
                <w:szCs w:val="18"/>
                <w:u w:val="none"/>
                <w:lang w:val="en-US" w:eastAsia="zh-CN"/>
              </w:rPr>
              <w:t>、案侦等各项公安业务工作，拟开展房屋维修项目。</w:t>
            </w:r>
          </w:p>
        </w:tc>
        <w:tc>
          <w:tcPr>
            <w:tcW w:w="1767"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对州公安局办公楼、信息技术大楼等房屋屋面漏雨、地砖破损、墙面脱落、线路老化、下水道堵塞等问题进行处理，使公安民警全身心投入案侦等各项公安业务工作。</w:t>
            </w:r>
          </w:p>
        </w:tc>
      </w:tr>
      <w:tr>
        <w:trPr>
          <w:trHeight w:val="693"/>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95" w:type="pct"/>
            <w:gridSpan w:val="1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通过前期论证，项目实施及验收对屋面漏雨、地砖破损、墙面脱落、线路老化、下水道堵塞等问题进行处理。</w:t>
            </w:r>
          </w:p>
        </w:tc>
      </w:tr>
      <w:tr>
        <w:trPr>
          <w:trHeight w:val="361"/>
        </w:trPr>
        <w:tc>
          <w:tcPr>
            <w:tcW w:w="22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73.95</w:t>
            </w: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73.95</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07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该项目为2024年结转项目，年中调整预算。</w:t>
            </w:r>
          </w:p>
        </w:tc>
      </w:tr>
      <w:tr>
        <w:trPr>
          <w:trHeight w:val="391"/>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73.95</w:t>
            </w: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73.95</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994" w:type="pct"/>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2"/>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房屋维修数量</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座（处）</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维修房屋验收合格率</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宋体" w:eastAsia="宋体" w:cs="宋体" w:hint="eastAsia"/>
                <w:i w:val="0"/>
                <w:iCs w:val="0"/>
                <w:color w:val="000000"/>
                <w:sz w:val="18"/>
                <w:szCs w:val="18"/>
                <w:u w:val="none"/>
              </w:rPr>
            </w:pP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2025年9月</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保障公安工作顺利完成</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宋体" w:eastAsia="宋体" w:cs="宋体" w:hint="eastAsia"/>
                <w:i w:val="0"/>
                <w:iCs w:val="0"/>
                <w:color w:val="000000"/>
                <w:sz w:val="18"/>
                <w:szCs w:val="18"/>
                <w:u w:val="none"/>
              </w:rPr>
            </w:pP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提升阿坝公安形象</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宋体" w:eastAsia="宋体" w:cs="宋体" w:hint="eastAsia"/>
                <w:i w:val="0"/>
                <w:iCs w:val="0"/>
                <w:color w:val="000000"/>
                <w:sz w:val="18"/>
                <w:szCs w:val="18"/>
                <w:u w:val="none"/>
              </w:rPr>
            </w:pP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452"/>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办公民警满意度</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339"/>
        </w:trPr>
        <w:tc>
          <w:tcPr>
            <w:tcW w:w="22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6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ascii="微软雅黑" w:eastAsia="微软雅黑" w:cs="微软雅黑" w:hint="eastAsia"/>
                <w:i/>
                <w:iCs/>
                <w:color w:val="000000"/>
                <w:sz w:val="16"/>
                <w:szCs w:val="16"/>
                <w:u w:val="none"/>
              </w:rPr>
            </w:pPr>
          </w:p>
        </w:tc>
      </w:tr>
      <w:tr>
        <w:trPr>
          <w:trHeight w:val="286"/>
        </w:trPr>
        <w:tc>
          <w:tcPr>
            <w:tcW w:w="3599" w:type="pct"/>
            <w:gridSpan w:val="1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400" w:lineRule="exact"/>
              <w:rPr>
                <w:rFonts w:ascii="宋体" w:eastAsia="宋体" w:cs="宋体" w:hint="eastAsia"/>
                <w:i w:val="0"/>
                <w:iCs w:val="0"/>
                <w:color w:val="000000"/>
                <w:sz w:val="18"/>
                <w:szCs w:val="18"/>
                <w:u w:val="none"/>
              </w:rPr>
            </w:pPr>
          </w:p>
        </w:tc>
      </w:tr>
      <w:tr>
        <w:trPr>
          <w:trHeight w:val="603"/>
        </w:trPr>
        <w:tc>
          <w:tcPr>
            <w:tcW w:w="2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2" w:type="pct"/>
            <w:gridSpan w:val="2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对州公安局办公楼、信息技术大楼等房屋屋面漏雨、地砖破损、墙面脱落、线路老化、下水道堵塞等问题进行处理，有效保障公安工作顺利完成，提升阿坝公安形象，自评得分88分。</w:t>
            </w:r>
          </w:p>
        </w:tc>
      </w:tr>
      <w:tr>
        <w:trPr>
          <w:trHeight w:val="572"/>
        </w:trPr>
        <w:tc>
          <w:tcPr>
            <w:tcW w:w="2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2" w:type="pct"/>
            <w:gridSpan w:val="2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因为阿坝州冬季寒冷不宜施工，因此存在工程项目建设时间长的问题。</w:t>
            </w:r>
          </w:p>
        </w:tc>
      </w:tr>
      <w:tr>
        <w:trPr>
          <w:trHeight w:val="633"/>
        </w:trPr>
        <w:tc>
          <w:tcPr>
            <w:tcW w:w="22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2" w:type="pct"/>
            <w:gridSpan w:val="2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督促建设部门抓紧第二季度和第三季度建设时间。</w:t>
            </w:r>
          </w:p>
        </w:tc>
      </w:tr>
      <w:tr>
        <w:trPr>
          <w:trHeight w:val="286"/>
        </w:trPr>
        <w:tc>
          <w:tcPr>
            <w:tcW w:w="2412"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项目负责人：梁爽</w:t>
            </w:r>
          </w:p>
        </w:tc>
        <w:tc>
          <w:tcPr>
            <w:tcW w:w="2587" w:type="pct"/>
            <w:gridSpan w:val="1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r>
        <w:trPr>
          <w:trHeight w:val="286"/>
        </w:trPr>
        <w:tc>
          <w:tcPr>
            <w:tcW w:w="922"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7" w:type="pct"/>
            <w:gridSpan w:val="1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51320025T000012174554-新一代公安信息网网络租赁项目</w:t>
            </w:r>
          </w:p>
        </w:tc>
      </w:tr>
      <w:tr>
        <w:trPr>
          <w:trHeight w:val="512"/>
        </w:trPr>
        <w:tc>
          <w:tcPr>
            <w:tcW w:w="922"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9" w:type="pct"/>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7"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租用公安专用网络，保障全州公安三级信息网网络通畅，保障政令畅通，提升社会治安稳定。</w:t>
            </w:r>
          </w:p>
        </w:tc>
        <w:tc>
          <w:tcPr>
            <w:tcW w:w="1797"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租用公安专用网络，保障全州公安三级信息网网络通畅，保障政令畅通，提升社会治安稳定。</w:t>
            </w:r>
          </w:p>
        </w:tc>
      </w:tr>
      <w:tr>
        <w:trPr>
          <w:trHeight w:val="693"/>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7" w:type="pct"/>
            <w:gridSpan w:val="1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通过租用公安专用网络，保障全州公安三级信息网网络通畅，按季度支付资金。</w:t>
            </w:r>
          </w:p>
        </w:tc>
      </w:tr>
      <w:tr>
        <w:trPr>
          <w:trHeight w:val="361"/>
        </w:trPr>
        <w:tc>
          <w:tcPr>
            <w:tcW w:w="229"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143.40</w:t>
            </w: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143.40</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该资金为财政代管资金，该项目为州县共建项目。</w:t>
            </w:r>
          </w:p>
        </w:tc>
      </w:tr>
      <w:tr>
        <w:trPr>
          <w:trHeight w:val="391"/>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143.40</w:t>
            </w: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143.40</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91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4"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租用专线数量</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条</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15</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保障运行服务质量</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保障网络实时通畅率</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99</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租用后可持续租用年限</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3</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452"/>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使用网络满意度</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29"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社会成本指标</w:t>
            </w:r>
          </w:p>
        </w:tc>
        <w:tc>
          <w:tcPr>
            <w:tcW w:w="76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减少全州参与人员数量</w:t>
            </w:r>
          </w:p>
        </w:tc>
        <w:tc>
          <w:tcPr>
            <w:tcW w:w="175"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5</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286"/>
        </w:trPr>
        <w:tc>
          <w:tcPr>
            <w:tcW w:w="3571" w:type="pct"/>
            <w:gridSpan w:val="1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w:t>
            </w:r>
          </w:p>
        </w:tc>
        <w:tc>
          <w:tcPr>
            <w:tcW w:w="110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603"/>
        </w:trPr>
        <w:tc>
          <w:tcPr>
            <w:tcW w:w="22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租用公安专用网络，保障全州公安三级信息网网络通畅，保障政令畅通，提升社会治安稳定，自评得分87分。</w:t>
            </w:r>
          </w:p>
        </w:tc>
      </w:tr>
      <w:tr>
        <w:trPr>
          <w:trHeight w:val="572"/>
        </w:trPr>
        <w:tc>
          <w:tcPr>
            <w:tcW w:w="22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2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9"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FFFF00"/>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51320025T000012448831-2024年省级财政林业草原专项资金</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130"/>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卧龙自然保护区面积约20万公顷，其中森林覆盖面积达11.8万公顷，作为一线执法管理部门，卧龙分局同时承担着100余公里山路和60余公里乡村道路G350国道交通安全，工作战线长，任务重。运用便携式无人机管制设备能够快速有效地对非法入侵的无人机进行侦测、识别、干扰和打击，实现对特定区域的空域安全管控，有力保障公共安全和社会治安。</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运用便携式无人机管制设备能够快速有效地对非法入侵的无人机进行侦测、识别、干扰和打击，实现对特定区域的空域安全管控，有力保障公共安全和社会治安。</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该项目为2024年结转项目，年中调整预算，年底结余12.5万元由财政收回。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购买设备数量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验收时间</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2025年12月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提升辖区稳定</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持续打击无人机非法活动</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提升辖区群众安全感</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设备成本金额</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32</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购买1套无人机管制设备，实现对特定区域的空域安全管控，有力保障公共安全和社会治安，自评得分84分。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卧龙分局人员调动，导致项目推进脱节。</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明确并固定项目经办人员，督促项目推进。</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项目负责人：何勇</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51320025T000012521243-警犬犬粮及药品采购项目（2025））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按照公安部《进一步加强和改进警犬工作要求》文件要求，着力提升保障每条警犬正常的生活和工作，提高警犬的存活率，达到90%以上。更好服务案侦、安保、治安防范等工作。</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提升保障每条警犬正常的生活和工作，提高警犬的存活率，达到90%以上。更好服务案侦、安保、治安防范等工作。</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通过政府采购竞争性谈判方式采购警犬药品，相关过程包括抽取中介，中标，实施项目，验收，付款。</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38.59</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38.59</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根据实际采购支出，年中追减预算。</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38.59</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38.59</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购买犬粮数量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吨</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8</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犬粮验收合格率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2025年12月31日前</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2025年11月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警犬参与案侦、安保、治安防范等工作效率提升率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警犬存活率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训犬民警满意度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犬粮采购成本控制率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通过警犬犬粮及药品提购买，保障每条警犬正常的生活和工作，提高警犬的存活率，更好服务案侦、安保、治安防范等工作，自评得分90分。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项目负责人：周相儒</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p/>
    <w:p/>
    <w:p/>
    <w:p/>
    <w:tbl>
      <w:tblPr>
        <w:jc w:val="left"/>
        <w:tblInd w:w="0" w:type="dxa"/>
        <w:tblW w:w="4998"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1"/>
        <w:gridCol w:w="1942"/>
        <w:gridCol w:w="1678"/>
        <w:gridCol w:w="2142"/>
        <w:gridCol w:w="492"/>
        <w:gridCol w:w="1580"/>
        <w:gridCol w:w="492"/>
        <w:gridCol w:w="1034"/>
        <w:gridCol w:w="526"/>
        <w:gridCol w:w="430"/>
        <w:gridCol w:w="3095"/>
      </w:tblGrid>
      <w:tr>
        <w:trPr>
          <w:trHeight w:val="286"/>
        </w:trPr>
        <w:tc>
          <w:tcPr>
            <w:tcW w:w="91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8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51320025T000012521713-特警大型演练经费（2025）</w:t>
            </w:r>
          </w:p>
        </w:tc>
      </w:tr>
      <w:tr>
        <w:trPr>
          <w:trHeight w:val="512"/>
        </w:trPr>
        <w:tc>
          <w:tcPr>
            <w:tcW w:w="91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7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7"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4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7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808"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356"/>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7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为进一步检验我州维护稳定和应急处置能力，切实提升各反恐力量应对突发案（事）件的能力和水平，特警支队每年举行不少于1次的大型演练活动。大型演练经费保障特警支队在演练任务过程中车辆、人员、装备、后勤保障等一系列项目的正常进行，进一步加强阿坝特警队正规化建设，保障公安特警作为反恐处突、维护社会稳定的不可替代的重要力量。 </w:t>
            </w:r>
          </w:p>
        </w:tc>
        <w:tc>
          <w:tcPr>
            <w:tcW w:w="1808"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 xml:space="preserve">特警支队每年举行不少于1次的大型演练活动，保障特警支队在演练任务过程中车辆、人员、装备、后勤保障等一系列项目的正常进行，进一步加强阿坝特警队正规化建设，保障公安特警作为反恐处突、维护社会稳定的不可替代的重要力量。 </w:t>
            </w:r>
          </w:p>
        </w:tc>
      </w:tr>
      <w:tr>
        <w:trPr>
          <w:trHeight w:val="693"/>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8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通过开展1次大型演练，进一步加强阿坝特警队正规化建设，保障公安特警作为反恐处突、维护社会稳定的不可替代的重要力量。 </w:t>
            </w:r>
          </w:p>
        </w:tc>
      </w:tr>
      <w:tr>
        <w:trPr>
          <w:trHeight w:val="361"/>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91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rPr>
                <w:rFonts w:ascii="黑体" w:eastAsia="黑体" w:cs="黑体" w:hint="eastAsia"/>
                <w:i/>
                <w:iCs/>
                <w:color w:val="000000"/>
                <w:sz w:val="18"/>
                <w:szCs w:val="18"/>
                <w:u w:val="none"/>
              </w:rPr>
            </w:pPr>
          </w:p>
        </w:tc>
      </w:tr>
      <w:tr>
        <w:trPr>
          <w:trHeight w:val="391"/>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91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购买演练装备数量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件</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25</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演练参与人数</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人/次</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120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演练装备验收合格率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2025年11月15日前完成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宋体" w:eastAsia="宋体" w:cs="宋体" w:hint="eastAsia"/>
                <w:i w:val="0"/>
                <w:iCs w:val="0"/>
                <w:color w:val="000000"/>
                <w:sz w:val="18"/>
                <w:szCs w:val="18"/>
                <w:u w:val="none"/>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2025年10月</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保障公安特警工作发展</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显萫提升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宋体" w:eastAsia="宋体" w:cs="宋体" w:hint="eastAsia"/>
                <w:i w:val="0"/>
                <w:iCs w:val="0"/>
                <w:color w:val="000000"/>
                <w:sz w:val="18"/>
                <w:szCs w:val="18"/>
                <w:u w:val="none"/>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显萫提升</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特警队伍突发、应急事件处置及时率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参演人员满意度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286"/>
        </w:trPr>
        <w:tc>
          <w:tcPr>
            <w:tcW w:w="3558"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rPr>
                <w:rFonts w:ascii="宋体" w:eastAsia="宋体" w:cs="宋体" w:hint="eastAsia"/>
                <w:i w:val="0"/>
                <w:iCs w:val="0"/>
                <w:color w:val="000000"/>
                <w:sz w:val="18"/>
                <w:szCs w:val="18"/>
                <w:u w:val="none"/>
              </w:rPr>
            </w:pPr>
          </w:p>
        </w:tc>
      </w:tr>
      <w:tr>
        <w:trPr>
          <w:trHeight w:val="573"/>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通过开展1次大型演练，进一步加强阿坝特警队正规化建设，保障公安特警作为反恐处突、维护社会稳定的不可替代的重要力量。，自评得分90分。</w:t>
            </w:r>
          </w:p>
        </w:tc>
      </w:tr>
      <w:tr>
        <w:trPr>
          <w:trHeight w:val="572"/>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5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项目负责人：泽准</w:t>
            </w:r>
          </w:p>
        </w:tc>
        <w:tc>
          <w:tcPr>
            <w:tcW w:w="2546"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tbl>
      <w:tblPr>
        <w:jc w:val="left"/>
        <w:tblInd w:w="0" w:type="dxa"/>
        <w:tblW w:w="4996"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35"/>
        <w:gridCol w:w="1942"/>
        <w:gridCol w:w="1678"/>
        <w:gridCol w:w="2141"/>
        <w:gridCol w:w="537"/>
        <w:gridCol w:w="1537"/>
        <w:gridCol w:w="599"/>
        <w:gridCol w:w="930"/>
        <w:gridCol w:w="525"/>
        <w:gridCol w:w="430"/>
        <w:gridCol w:w="3094"/>
      </w:tblGrid>
      <w:tr>
        <w:trPr>
          <w:trHeight w:val="286"/>
        </w:trPr>
        <w:tc>
          <w:tcPr>
            <w:tcW w:w="91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82"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51320025T000012523632-特警取暖费（2025）</w:t>
            </w:r>
          </w:p>
        </w:tc>
      </w:tr>
      <w:tr>
        <w:trPr>
          <w:trHeight w:val="625"/>
        </w:trPr>
        <w:tc>
          <w:tcPr>
            <w:tcW w:w="91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1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30"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4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1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71"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582"/>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1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阿坝州公安局特警支队肩负着处突、防暴、安保、抢险救灾、重要守护等任务。特警支队自成立以来，始终战斗在维护稳定、抢险救灾等工作一线上，为了维护全州社会和谐稳定，起到了重要作用。特警支队是半军事化管理，所有特警统一住宿，统一管理，统一就餐。良好的餐厅、寝室和公共区域的生活设施，为特警支队5000平方米办公场所、集中住宿场所提供取暖保障,能使特警队员们置身其中，舒适安全的尽享特警支队这个大集体的温暖，在封闭的环境中加强工作的积极性和集体作战的战斗力。</w:t>
            </w:r>
          </w:p>
        </w:tc>
        <w:tc>
          <w:tcPr>
            <w:tcW w:w="1771"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保障阿坝大队2025-2026年冬季集中供暖费，能使特警队员们置身其中，舒适安全的尽享特警支队这个大集体的温暖，在封闭的环境中加强工作的积极性和集体作战的战斗力。</w:t>
            </w:r>
          </w:p>
        </w:tc>
      </w:tr>
      <w:tr>
        <w:trPr>
          <w:trHeight w:val="605"/>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82"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通过支付阿坝大队暖气费，保障阿坝大队民警工作效率，改善工作环境。</w:t>
            </w:r>
          </w:p>
        </w:tc>
      </w:tr>
      <w:tr>
        <w:trPr>
          <w:trHeight w:val="361"/>
        </w:trPr>
        <w:tc>
          <w:tcPr>
            <w:tcW w:w="2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16.72</w:t>
            </w:r>
          </w:p>
        </w:tc>
        <w:tc>
          <w:tcPr>
            <w:tcW w:w="9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16.72</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年底结余1.28万元，财政收回。</w:t>
            </w:r>
          </w:p>
        </w:tc>
      </w:tr>
      <w:tr>
        <w:trPr>
          <w:trHeight w:val="391"/>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16.72</w:t>
            </w:r>
          </w:p>
        </w:tc>
        <w:tc>
          <w:tcPr>
            <w:tcW w:w="9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16.72</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5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2"/>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供暖面积</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平方米</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5000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取暖效果保障评级</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宋体" w:eastAsia="宋体" w:cs="宋体" w:hint="eastAsia"/>
                <w:i w:val="0"/>
                <w:iCs w:val="0"/>
                <w:color w:val="000000"/>
                <w:sz w:val="18"/>
                <w:szCs w:val="18"/>
                <w:u w:val="none"/>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完成时限</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宋体" w:eastAsia="宋体" w:cs="宋体" w:hint="eastAsia"/>
                <w:i w:val="0"/>
                <w:iCs w:val="0"/>
                <w:color w:val="000000"/>
                <w:sz w:val="18"/>
                <w:szCs w:val="18"/>
                <w:u w:val="none"/>
              </w:rPr>
            </w:pP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2025年12月</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冬季训练任务完成率提升</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取暖系统可持续使用年限</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452"/>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取暖民警满意度</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339"/>
        </w:trPr>
        <w:tc>
          <w:tcPr>
            <w:tcW w:w="22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ascii="微软雅黑" w:eastAsia="微软雅黑" w:cs="微软雅黑" w:hint="eastAsia"/>
                <w:i/>
                <w:iCs/>
                <w:color w:val="000000"/>
                <w:sz w:val="16"/>
                <w:szCs w:val="16"/>
                <w:u w:val="none"/>
              </w:rPr>
            </w:pPr>
          </w:p>
        </w:tc>
      </w:tr>
      <w:tr>
        <w:trPr>
          <w:trHeight w:val="286"/>
        </w:trPr>
        <w:tc>
          <w:tcPr>
            <w:tcW w:w="3558"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w:t>
            </w:r>
          </w:p>
        </w:tc>
        <w:tc>
          <w:tcPr>
            <w:tcW w:w="110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rPr>
                <w:rFonts w:ascii="宋体" w:eastAsia="宋体" w:cs="宋体" w:hint="eastAsia"/>
                <w:i w:val="0"/>
                <w:iCs w:val="0"/>
                <w:color w:val="000000"/>
                <w:sz w:val="18"/>
                <w:szCs w:val="18"/>
                <w:u w:val="none"/>
              </w:rPr>
            </w:pPr>
          </w:p>
        </w:tc>
      </w:tr>
      <w:tr>
        <w:trPr>
          <w:trHeight w:val="603"/>
        </w:trPr>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通过支付阿坝大队暖气费，保障阿坝大队民警工作效率，改善工作环境，自评得分88分。</w:t>
            </w:r>
          </w:p>
        </w:tc>
      </w:tr>
      <w:tr>
        <w:trPr>
          <w:trHeight w:val="572"/>
        </w:trPr>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项目负责人：泽准</w:t>
            </w:r>
          </w:p>
        </w:tc>
        <w:tc>
          <w:tcPr>
            <w:tcW w:w="2532"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91"/>
        <w:gridCol w:w="495"/>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51320025T000012524154-特警生活补助（2025）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通过生活补助保障特警队员高强度、高难度、高精度的体能、技能、战术训练和勤务备战等需要，确保了队员们的身体素质、训练质量、技能水平和战斗能力。</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通过保障特警阿坝大队、马尔康大队、若尔盖大队等每月的伙食费支出，进一步提升战力，为维护社会稳定贡献阿坝力量。</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通过对特警基地就餐的民警补助50元一天的方式，提高伙食质量，达到爱警暖警的目的。</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299.92</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299.92</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年底结余0.08万元，财政收回。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299.92</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299.92</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保障民警数量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450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生活补助发放准确率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2025-12-30前完成</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2025年10月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提升特警战斗能力等级</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高</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高</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人均生活补助标准控制</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元/人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通过对特警基地就餐的民警补助50元一天的方式，提高伙食质量，达到爱警暖警的目的，自评得分94分。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项目负责人：泽准</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tbl>
      <w:tblPr>
        <w:jc w:val="left"/>
        <w:tblInd w:w="0" w:type="dxa"/>
        <w:tblW w:w="4996"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15"/>
        <w:gridCol w:w="1888"/>
        <w:gridCol w:w="1633"/>
        <w:gridCol w:w="2079"/>
        <w:gridCol w:w="672"/>
        <w:gridCol w:w="1366"/>
        <w:gridCol w:w="874"/>
        <w:gridCol w:w="969"/>
        <w:gridCol w:w="525"/>
        <w:gridCol w:w="430"/>
        <w:gridCol w:w="2995"/>
      </w:tblGrid>
      <w:tr>
        <w:trPr>
          <w:trHeight w:val="286"/>
        </w:trPr>
        <w:tc>
          <w:tcPr>
            <w:tcW w:w="89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108"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51320025T000012525040-特警训练被装采购（2025）</w:t>
            </w:r>
          </w:p>
        </w:tc>
      </w:tr>
      <w:tr>
        <w:trPr>
          <w:trHeight w:val="512"/>
        </w:trPr>
        <w:tc>
          <w:tcPr>
            <w:tcW w:w="89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5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44"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0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1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5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0"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356"/>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5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提高了训练热情，强化了训练保障，推动了公安特警队伍的整体素质和实战能力的快速提升，为阿坝特警充分发挥职能作用奠定了坚实基础。阿坝州公安局特警支队按照“以训练带管理、以训练强素质、以训练促建设、以训练铸尖兵”的指导思想，坚持从难从严，苦练精兵, 通过购置不少于200套训练服装和装备，强化了训练保障，提升特警200名特警队员的整体素质和实战能力，为特警充分发挥职能作用奠定了坚实基础。</w:t>
            </w:r>
          </w:p>
        </w:tc>
        <w:tc>
          <w:tcPr>
            <w:tcW w:w="1750"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通过购置不少于200套训练服装和装备，强化了训练保障，提升特警200名特警队员的整体素质和实战能力，为特警充分发挥职能作用奠定了坚实基础。</w:t>
            </w:r>
          </w:p>
        </w:tc>
      </w:tr>
      <w:tr>
        <w:trPr>
          <w:trHeight w:val="693"/>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108"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通过政府采购方式，采购特警训练被装，保障特警训练效果，为特警充分发挥职能作用奠定了坚实基础。</w:t>
            </w:r>
          </w:p>
        </w:tc>
      </w:tr>
      <w:tr>
        <w:trPr>
          <w:trHeight w:val="361"/>
        </w:trPr>
        <w:tc>
          <w:tcPr>
            <w:tcW w:w="21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6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年底结余1.5万元，财政收回。</w:t>
            </w:r>
          </w:p>
        </w:tc>
      </w:tr>
      <w:tr>
        <w:trPr>
          <w:trHeight w:val="391"/>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03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1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8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保障人数</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250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1130"/>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采购被装数量</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个（台、套、件、辆）</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250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被装验收合格率</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项目完成时间</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2025-12-30前完成</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2025年9月</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提升特警实战能力</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使用民警满意度</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1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93"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8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w:t>
            </w:r>
          </w:p>
        </w:tc>
        <w:tc>
          <w:tcPr>
            <w:tcW w:w="10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8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采购特警训练被装，保障特警训练效果，为特警充分发挥职能作用奠定了坚实基础，自评得分92分。</w:t>
            </w:r>
          </w:p>
        </w:tc>
      </w:tr>
      <w:tr>
        <w:trPr>
          <w:trHeight w:val="572"/>
        </w:trPr>
        <w:tc>
          <w:tcPr>
            <w:tcW w:w="2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8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8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5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项目负责人：泽准</w:t>
            </w:r>
          </w:p>
        </w:tc>
        <w:tc>
          <w:tcPr>
            <w:tcW w:w="254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51320025T000012526118-信息中心运维服务（2025）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该项目的实施，有效保障信息中心日常运维，备份易损已坏件，保障全州网络运行正常。</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通过运维，有效保障数据储存及信息中心运转。</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通过政府采购，聘用专业公司对信息中心进行运维服务，实现数据保存及正常运转。</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30.84</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30.84</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追加州本级信息化建设项目，年底结余19.16万元，财政收回。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30.84</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30.84</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运行、维护服务器数量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保障系统稳定性</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2025年12月底之前完成</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2025年12月底之前完成</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保障全州网络运行正常</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系统使用年限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长期使用</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长期使用</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网络使用民警满意度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通过政府采购，聘用专业公司对信息中心进行运维服务，实现数据保存及正常运转，自评得分89分。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51320025T000012526997-视频会议系统运维服务（2025）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根据实际工作需求，阿坝州公安局按招标合同支付系统运维服务费，以确保所有会议正常开展。</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根据实际工作需求，阿坝州公安局按招标合同支付系统运维服务费，以确保所有会议正常开展。</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通过政府采购实现视频运维，保障会议正常开展。</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28.80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28.80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28.80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28.80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保障视频会议次数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场次</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传输数据准确率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问题解决平均时长</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小时</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故障响应率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提升视频会议系统稳定性</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参会人员满意度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实现视频运维，保障会议正常开展，自评得分93分。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tbl>
      <w:tblPr>
        <w:jc w:val="left"/>
        <w:tblInd w:w="93"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999"/>
        <w:gridCol w:w="1152"/>
        <w:gridCol w:w="1208"/>
        <w:gridCol w:w="1208"/>
        <w:gridCol w:w="1208"/>
        <w:gridCol w:w="1208"/>
        <w:gridCol w:w="1208"/>
        <w:gridCol w:w="1105"/>
        <w:gridCol w:w="1105"/>
        <w:gridCol w:w="1105"/>
        <w:gridCol w:w="2461"/>
      </w:tblGrid>
      <w:tr>
        <w:trPr>
          <w:trHeight w:val="286"/>
        </w:trPr>
        <w:tc>
          <w:tcPr>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51320025T000012546492-大数据治理维护（2025）</w:t>
            </w:r>
          </w:p>
        </w:tc>
      </w:tr>
      <w:tr>
        <w:trPr>
          <w:trHeight w:val="512"/>
        </w:trPr>
        <w:tc>
          <w:tcPr>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该项目旨在提高数据质量、可用性、安全性和一致性，以支撑业务解决数据价值最大化，提升数据准确性、完整性、一致性、实效性、可访问性、操作性。</w:t>
            </w:r>
          </w:p>
        </w:tc>
        <w:tc>
          <w:tcPr>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实现提高数据质量、可用性、安全性和一致性，以支撑业务解决数据价值最大化，提升数据准确性、完整性、一致性、实效性、可访问性、操作性。</w:t>
            </w:r>
          </w:p>
        </w:tc>
      </w:tr>
      <w:tr>
        <w:trPr>
          <w:trHeight w:val="693"/>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通过对大数据治理进行维护，实现提高数据质量、可用性、安全性等目的，为数据分析提供支撑。</w:t>
            </w:r>
          </w:p>
        </w:tc>
      </w:tr>
      <w:tr>
        <w:trPr>
          <w:trHeight w:val="361"/>
        </w:trPr>
        <w:tc>
          <w:tcPr>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16.50</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16.50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追加州本级信息化建设项目，年底结余3.3万元，财政收回。</w:t>
            </w:r>
          </w:p>
        </w:tc>
      </w:tr>
      <w:tr>
        <w:trPr>
          <w:trHeight w:val="391"/>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16.50</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16.50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整合数据量</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类</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数据准确率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数据传输及时率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提升系统稳定性</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提升问题解决效率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用户满意度</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286"/>
        </w:trPr>
        <w:tc>
          <w:tcPr>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w:t>
            </w:r>
          </w:p>
        </w:tc>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603"/>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通过对大数据治理进行维护，实现提高数据质量、可用性、安全性等目的，为数据分析提供支撑，自评得分88分。</w:t>
            </w:r>
          </w:p>
        </w:tc>
      </w:tr>
      <w:tr>
        <w:trPr>
          <w:trHeight w:val="572"/>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p/>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51320025T000012546562-PDT系统运维（2025）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对PDT系统开展运维服务，确保PDT使用正常。</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对PDT系统开展运维服务，确保PDT使用正常。</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通过支付全年PDT运维服务费，实现PDT系统正常使用，发挥系统作用。</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维护系统数量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套</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提升通信质量清晰度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故障维修及时率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提升系统稳定性</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提升系统使用年限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用户满意度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通过支付全年PDT运维服务费，实现PDT系统正常使用，发挥系统作用，自评得分92分。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51320025T000012546576-信息系统等级保护测评（2025）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按照信息化系统《网络安全等级保护基本要求》，对阿坝公安智能接处警系统和大数据实战特色应用系统开展等保测评。</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按照信息化系统《网络安全等级保护基本要求》，完成对阿坝公安智能接处警系统和大数据实战特色应用系统开展等保测评。</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通过对信息系统开展等级保护测评，实现提升系统稳定性，减少安全风险。</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11.20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11.20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追加州本级信息化建设项目，年底结余12.8万元，财政收回。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11.20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11.20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安全风险解决及时率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提升系统稳定性</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测评系统数量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提升系统使用年限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减少安全风险</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明显减少</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明显减少</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使用民警满意度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通过对信息系统开展等级保护测评，实现提升系统稳定性，减少安全风险，自评得分83分。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因建设部门对预算缺乏认识，导致年底结余较多。</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指导建设部门完成预算精准设置，减少年底结余。</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4"/>
        <w:gridCol w:w="1909"/>
        <w:gridCol w:w="1656"/>
        <w:gridCol w:w="2106"/>
        <w:gridCol w:w="492"/>
        <w:gridCol w:w="1560"/>
        <w:gridCol w:w="720"/>
        <w:gridCol w:w="1029"/>
        <w:gridCol w:w="475"/>
        <w:gridCol w:w="430"/>
        <w:gridCol w:w="3034"/>
      </w:tblGrid>
      <w:tr>
        <w:trPr>
          <w:trHeight w:val="286"/>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51320025T000012565738-物证鉴定所检验耗材采购（2025）</w:t>
            </w:r>
          </w:p>
        </w:tc>
      </w:tr>
      <w:tr>
        <w:trPr>
          <w:trHeight w:val="512"/>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5"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0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6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4"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通过物证鉴定提升案件侦破率，为案件侦办提供科学依据，达到检出率达75%以上，入库率达100%以上目的。</w:t>
            </w:r>
          </w:p>
        </w:tc>
        <w:tc>
          <w:tcPr>
            <w:tcW w:w="176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通过物证鉴定提升案件侦破率，为案件侦办提供科学依据，达到检出率达75%以上，入库率达100%。</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通过支付物证鉴定所需耗材采购费，完成物证鉴定，提高案件侦破率。</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49.16</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49.16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年底结余0.84万元由财政收回。</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49.16</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49.16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1130"/>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8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检验耗材采购数量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个（台、套、件、辆）</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受理案件数量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起</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检出率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样品入库率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2025年8月</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提升案件侦破率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送检民警满意度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采购成本控制率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98"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通过支付物证鉴定所需耗材采购费，完成物证鉴定，提高案件侦破率，自评得分93分。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2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项目负责人：赫金</w:t>
            </w:r>
          </w:p>
        </w:tc>
        <w:tc>
          <w:tcPr>
            <w:tcW w:w="257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51320025T000012566100-教育培训经费（2025）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通过开展专业技能、法律法规等培训，培训民警500人次，促进全州公安队伍革命化、规范化、专业化、职业化建设，全面提升全州公安民辅警履职能力，促进执法公正、维护社会公平正义。</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通过开展专业技能、法律法规等培训，培训民警500人次，促进全州公安队伍革命化、规范化、专业化、职业化建设，全面提升全州公安民辅警履职能力，促进执法公正、维护社会公平正义。</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通过开展培训，提升公安战斗力，全面提升全州公安民辅警履职能力，促进执法公正、维护社会公平正义。</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年底结余3.7万元，财政收回。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培训人数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课程内容合规率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培训合格率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培训计划按期完成率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促进执法公正度提升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提升民警整体素质：好、一般、差</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提升民警整体素质</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提升民警整体素质</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培训知识运用率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参训人员满意度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通过开展培训，提升公安战斗力，全面提升全州公安民辅警履职能力，促进执法公正、维护社会公平正义，自评得分88分。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因公安工作特殊性，突发任务较多，培训计划按期完成率较低。</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针对公安工作特点，设置培训计划备选方案。</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项目负责人：俄波旺措</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51320025T000012566466-车辆大修（2025）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对3辆执法执勤车辆进行大修，提高安全性能，确保驾驶人员、乘车人员安全。</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对3辆执法执勤车辆进行大修，提高安全性能，确保驾驶人员、乘车人员安全。</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对3辆执法执勤车辆进行大修，提高安全性能，确保驾驶人员、乘车人员安全。</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年底结余5.5万元，财政收回。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大修车辆数量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辆</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3</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大修车辆返工率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维修车辆验收合格率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车辆安全性能达标率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车辆使用寿命延长年限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乘车人员满意度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96</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96</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驾驶人员满意度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96</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96</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对3辆执法执勤车辆进行大修，提高安全性能，确保驾驶人员、乘车人员安全，自评得分90分。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项目负责人：张建斌</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51320025T000012566980-购买社会服务（2025）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130"/>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了保障局机关及驻外部门办公区域安全、整洁，需对办公范围内的保洁服务、秩序服务、绿化养护、食堂管理服务、水电维护、车辆驾驶服务等购买社会服务能够有利于民警拥有良好的办公环境，提高办公舒适度，提高工作专注度。也在一定程度上提供就业岗位，有效带动20余人就业，促进地区经济发展，优化资源配置，提高资源利用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保障局机关及驻外部门办公区域安全、整洁，需对办公范围内的保洁服务、秩序服务、绿化养护、食堂管理服务、水电维护、车辆驾驶服务等购买社会服务能够有利于民警拥有良好的办公环境，提高办公舒适度，提高工作专注度。也在一定程度上提供就业岗位，有效带动20余人就业，促进地区经济发展，优化资源配置。</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通过政府采购方式招标，对物业管理服务进行综合打分，根据提供服务质量进行资金支付。</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黑体" w:eastAsia="黑体" w:cs="黑体" w:hint="eastAsia"/>
                <w:i/>
                <w:iCs/>
                <w:color w:val="000000"/>
                <w:sz w:val="18"/>
                <w:szCs w:val="18"/>
                <w:u w:val="none"/>
              </w:rPr>
            </w:pP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服务部门数量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物业管理人员数量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服务项目完整率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服务年限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新增就业岗位数量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营造良好办公环境</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好、一般、差</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保障局机关及驻外部门办公区域安全、整洁，需对办公范围内的保洁服务、秩序服务、绿化养护、食堂管理服务、水电维护、车辆驾驶服务等购买社会服务能够有利于民警拥有良好的办公环境，提高办公舒适度，提高工作专注度。也在一定程度上提供就业岗位，有效带动20余人就业，自评得分93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项目负责人：王初阳</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7"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1"/>
        <w:gridCol w:w="1948"/>
        <w:gridCol w:w="1678"/>
        <w:gridCol w:w="2142"/>
        <w:gridCol w:w="683"/>
        <w:gridCol w:w="1405"/>
        <w:gridCol w:w="635"/>
        <w:gridCol w:w="905"/>
        <w:gridCol w:w="481"/>
        <w:gridCol w:w="430"/>
        <w:gridCol w:w="3103"/>
      </w:tblGrid>
      <w:tr>
        <w:trPr>
          <w:trHeight w:val="286"/>
        </w:trPr>
        <w:tc>
          <w:tcPr>
            <w:tcW w:w="92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8"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51320025T000012609359-公安业务费（2025）</w:t>
            </w:r>
          </w:p>
        </w:tc>
      </w:tr>
      <w:tr>
        <w:trPr>
          <w:trHeight w:val="512"/>
        </w:trPr>
        <w:tc>
          <w:tcPr>
            <w:tcW w:w="921"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21"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49"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58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我局民警、职工共685人、辅警123人，面对我州敏感节点、重大节日，需要较强的安保力量的情况，我局通过抽调各县市民警、特警开展相关安保工作，加强安保力量，面临着抽调人员多，任务重，时间长的现实情况，日常公用经费满足不了我局业务开支。为了保障敏感节点、重大节日的安保工作顺利进行，有力打击违法犯罪行为，推动“平安阿坝”的建设，成立公安业务费项目是必须必要的，通过加强安保工作和打击违法犯罪，有效维护社会治安稳定，提升群众安全感。</w:t>
            </w:r>
          </w:p>
        </w:tc>
        <w:tc>
          <w:tcPr>
            <w:tcW w:w="1749"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保障敏感节点、重大节日的安保工作顺利进行，有力打击违法犯罪行为，推动“平安阿坝”的建设，加强安保工作和打击违法犯罪，有效维护社会治安稳定，提升群众安全感。</w:t>
            </w:r>
          </w:p>
        </w:tc>
      </w:tr>
      <w:tr>
        <w:trPr>
          <w:trHeight w:val="693"/>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8"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通过保障奖励金和差旅费等支出，加强安保工作和打击违法犯罪，有效维护社会治安稳定，提升群众安全感。</w:t>
            </w:r>
          </w:p>
        </w:tc>
      </w:tr>
      <w:tr>
        <w:trPr>
          <w:trHeight w:val="361"/>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黑体" w:eastAsia="黑体" w:cs="黑体" w:hint="eastAsia"/>
                <w:i/>
                <w:iCs/>
                <w:color w:val="000000"/>
                <w:sz w:val="18"/>
                <w:szCs w:val="18"/>
                <w:u w:val="none"/>
              </w:rPr>
            </w:pPr>
          </w:p>
        </w:tc>
      </w:tr>
      <w:tr>
        <w:trPr>
          <w:trHeight w:val="391"/>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6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保障民警数量</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办理案件数量</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件</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重大案件破获率</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群众安全度提升</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社会大局稳定度</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好、一般、差</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好</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办案民警满意度</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2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2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1"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w:t>
            </w:r>
          </w:p>
        </w:tc>
        <w:tc>
          <w:tcPr>
            <w:tcW w:w="11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通过保障奖励金和差旅费等支出，加强安保工作和打击违法犯罪，有效维护社会治安稳定，提升群众安全感，自评得分87分。</w:t>
            </w:r>
          </w:p>
        </w:tc>
      </w:tr>
      <w:tr>
        <w:trPr>
          <w:trHeight w:val="572"/>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5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项目负责人：林兴金</w:t>
            </w:r>
          </w:p>
        </w:tc>
        <w:tc>
          <w:tcPr>
            <w:tcW w:w="2476"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51320025T000012611231-网络租赁及维护（2025）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为确保公安机关正常的办公、信息传输需要，保障公安机关各项业务工作正常运转，需开展公安专网、经侦专网、高清视频指挥系统、技侦专网、网侦专网、治安四大网络、备选线路等专线的租赁维护。</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保障公安机关各项业务工作正常运转，需开展公安专网、经侦专网、高清视频指挥系统、技侦专网、网侦专网、治安四大网络、备选线路等专线的租赁维护。</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保障公安机关各项业务工作正常运转，开展公安专网、经侦专网、高清视频指挥系统、技侦专网、网侦专网、治安四大网络、备选线路等专线的租赁维护。</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38.37</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38.37</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年中财政局追加专项资金，年底财政收回61.63万元。</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38.37</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38.37</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租赁网络数量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条</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保障网络畅通</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提高视频清晰度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保障公安工作正常运转</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有效保障</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办公人员满意度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保障公安机关各项业务工作正常运转，开展公安专网、经侦专网、高清视频指挥系统、技侦专网、网侦专网、治安四大网络、备选线路等专线的租赁维护，自评得分83分。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因建设部门对预算缺乏认识，导致年底结余较多。</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指导建设部门完成预算精准设置，减少年底结余。</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项目负责人：何登卫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4"/>
        <w:gridCol w:w="1909"/>
        <w:gridCol w:w="1656"/>
        <w:gridCol w:w="2103"/>
        <w:gridCol w:w="492"/>
        <w:gridCol w:w="1560"/>
        <w:gridCol w:w="720"/>
        <w:gridCol w:w="1029"/>
        <w:gridCol w:w="475"/>
        <w:gridCol w:w="430"/>
        <w:gridCol w:w="3037"/>
      </w:tblGrid>
      <w:tr>
        <w:trPr>
          <w:trHeight w:val="286"/>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51320025T000012611881-州公安局房屋维修（2025）</w:t>
            </w:r>
          </w:p>
        </w:tc>
      </w:tr>
      <w:tr>
        <w:trPr>
          <w:trHeight w:val="512"/>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5"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02"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68"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130"/>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州公安局机关及驻外部门办公楼、信息技术大楼等房屋均不同程度存在屋面漏雨、地砖破损、墙面脱落、线路老化、下水道堵塞等问题，为保障公安机关正常运转，使公安民警全身心投入</w:t>
            </w:r>
            <w:r>
              <w:rPr>
                <w:rFonts w:ascii="宋体" w:cs="宋体" w:hint="eastAsia"/>
                <w:i w:val="0"/>
                <w:iCs w:val="0"/>
                <w:color w:val="000000"/>
                <w:kern w:val="0"/>
                <w:sz w:val="18"/>
                <w:szCs w:val="18"/>
                <w:u w:val="none"/>
                <w:lang w:val="en-US" w:eastAsia="zh-CN"/>
              </w:rPr>
              <w:t>ww</w:t>
            </w:r>
            <w:r>
              <w:rPr>
                <w:rFonts w:ascii="宋体" w:eastAsia="宋体" w:cs="宋体"/>
                <w:i w:val="0"/>
                <w:iCs w:val="0"/>
                <w:color w:val="000000"/>
                <w:kern w:val="0"/>
                <w:sz w:val="18"/>
                <w:szCs w:val="18"/>
                <w:u w:val="none"/>
                <w:lang w:val="en-US" w:eastAsia="zh-CN"/>
              </w:rPr>
              <w:t>、案侦等各项公安业务工作，计划实施维修工程，通过维修改造，明显改善办公环境，延长房屋使用寿命5年以上，保障民警办案效率。</w:t>
            </w:r>
          </w:p>
        </w:tc>
        <w:tc>
          <w:tcPr>
            <w:tcW w:w="1768"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对屋面漏雨、地砖破损、墙面脱落、线路老化、下水道堵塞等问题进行处理，为保障公安机关正常运转，使公安民警全身心投入ww、案侦等各项公安业务工作，计划实施维修工程，通过维修改造，明显改善办公环境，延长房屋使用寿命5年以上，保障民警办案效率。</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对屋面漏雨、地砖破损、墙面脱落、线路老化、下水道堵塞等问题进行处理，保障公安机关正常运转，</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56.34</w:t>
            </w: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56.34</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由于卧龙分局两个派出所划转到汶川县，年底结余113.66万元，财政收回。</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56.34</w:t>
            </w: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56.34</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86"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维修项目验收合格率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材料合格率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办公环境改善程度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维修后使用年限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办公民警满意度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97"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76</w:t>
            </w:r>
          </w:p>
        </w:tc>
        <w:tc>
          <w:tcPr>
            <w:tcW w:w="10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对屋面漏雨、地砖破损、墙面脱落、线路老化、下水道堵塞等问题进行处理，保障公安机关正常运转，该项目自评得分76分，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由于卧龙分局两个派出所划转到汶川县，年底结余较多，</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因及时调整预算，减少年底结余。</w:t>
            </w:r>
          </w:p>
        </w:tc>
      </w:tr>
      <w:tr>
        <w:trPr>
          <w:trHeight w:val="286"/>
        </w:trPr>
        <w:tc>
          <w:tcPr>
            <w:tcW w:w="242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项目负责人：梁爽</w:t>
            </w:r>
          </w:p>
        </w:tc>
        <w:tc>
          <w:tcPr>
            <w:tcW w:w="2579"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4"/>
        <w:gridCol w:w="1909"/>
        <w:gridCol w:w="1659"/>
        <w:gridCol w:w="2106"/>
        <w:gridCol w:w="495"/>
        <w:gridCol w:w="1560"/>
        <w:gridCol w:w="720"/>
        <w:gridCol w:w="1029"/>
        <w:gridCol w:w="475"/>
        <w:gridCol w:w="430"/>
        <w:gridCol w:w="3028"/>
      </w:tblGrid>
      <w:tr>
        <w:trPr>
          <w:trHeight w:val="286"/>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51320025T000012612885-交管大数据业务技术用房（2025）</w:t>
            </w:r>
          </w:p>
        </w:tc>
      </w:tr>
      <w:tr>
        <w:trPr>
          <w:trHeight w:val="512"/>
        </w:trPr>
        <w:tc>
          <w:tcPr>
            <w:tcW w:w="90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5"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39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6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130"/>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6"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解决全州道路交通安全管理调度指挥能力落后等瓶颈问题，有效运用大数据高效组织指挥交通，全面提升道路交通管理和事故预防能力，全面提升现有道路交通能力，满足新形势下公安交通管理工作新需要，更好服务于全州全域旅游发展，阿坝州发展和改革委员会同意新建阿坝公安交管大数据指挥中心业务技术用房建设项目。</w:t>
            </w:r>
          </w:p>
        </w:tc>
        <w:tc>
          <w:tcPr>
            <w:tcW w:w="176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新建阿坝公安交管大数据指挥中心业务技术用房建设项目，按工程进度完成监理费、勘察服务费及农民工工资等支出。</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91"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通过政府采购建设该项目，按工程进度申请资金拨付，完成该项目建设。</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463.80</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463.80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由于未完成竣工结算，年底结转剩余项目资金。</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1,400.00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279.56</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279.56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184.24</w:t>
            </w: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184.24</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85"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完成建设数量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项目验收合格率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由于该项目工程量大，竣工结算暂未完成。</w:t>
            </w: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道路通行效率提升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提升事故预防能力</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办公人员满意度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60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79</w:t>
            </w:r>
          </w:p>
        </w:tc>
        <w:tc>
          <w:tcPr>
            <w:tcW w:w="10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通过政府采购建设该项目，按工程进度申请资金拨付，完成该项目建设，但由于该项目工程量大，竣工结算暂未完成。年底申请结转资金，自评得分79分。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由于该项目工程量大，竣工结算暂未完成。</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针对项目工程量大的情况，应设置更完善的绩效目标。</w:t>
            </w:r>
          </w:p>
        </w:tc>
      </w:tr>
      <w:tr>
        <w:trPr>
          <w:trHeight w:val="286"/>
        </w:trPr>
        <w:tc>
          <w:tcPr>
            <w:tcW w:w="2423"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项目负责人：徐林</w:t>
            </w:r>
          </w:p>
        </w:tc>
        <w:tc>
          <w:tcPr>
            <w:tcW w:w="2576"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51320025T000012615739-96110反诈预警劝阻专线及AI人工智能预警系统运营升级服务</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运用AI智能向全州潜在电信网络诈骗受害者拨打反诈预警电话，作反诈宣传，降低全州电信网络诈骗案件的发案数和减少人民群众在电信网络诈骗案件中的损失数，全力守护人民群众的钱袋子。</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运用AI智能向全州潜在电信网络诈骗受害者拨打反诈预警电话，作反诈宣传，降低全州电信网络诈骗案件的发案数和减少人民群众在电信网络诈骗案件中的损失数，全力守护人民群众的钱袋子。</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按季度支付运维费，完成项目建设。</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6.75</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6.75</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该项目为运维项目，按合同支付，年底结余37.84万元，申请财政结转。</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6.75</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6.75</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拨打反诈宣传电话数量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个</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发送反诈宣传短信数量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万条</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短信发送及时率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2024年12月底前完成</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2024年12月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降低网络诈骗案件发生</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明显降低</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明显降低</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受益群众满意度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83</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按季度支付运维费，完成项目建设，实现反诈短信发送及时率95%，自评得分84分。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因建设部门对预算缺乏认识，导致年底结余较多。</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指导建设部门完成预算精准设置，减少年底结余。</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项目负责人：罗佳鑫</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51320025T000012808437-物证鉴定所2025年仪器维护保养费（2025）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35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的实施，能提高涉案视频的现场采集、分析，能从海量的视频中设定，智能发现嫌疑人和车辆等线索，无需侦察人员全视频观看，节省时效的同时实现可不转码浓缩检索、可万能播放，可对图像清晰化处理等。是视频侦察取证的重要设备，目前公安部和省公安厅已将视频侦察纳入大比武。通过保障5套以上物证仪器的维护费用，达到设备正常运转，提高案件侦查效率和破案能力。</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通过保障5套以上物证仪器的维护费用，达到设备正常运转，提高案件侦查效率和破案能力。</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通过保障5套以上物证仪器的维护费用，达到设备正常运转，提高案件侦查效率和破案能力。</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45.00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21.95</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21.95</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年底结余23.05万元，财政收回。</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45.00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21.95</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21.95</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维护仪器数量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设备年故障次数</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维护设备合格率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故障响应时间</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小时</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24</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案件平均处理时间缩短率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案件侦破率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送检民警满意度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维修费用金额</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21.95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建设部门预算不精准</w:t>
            </w: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通过保障5套以上物证仪器的维护费用，达到设备正常运转，提高案件侦查效率和破案能力，自评得分81分。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因建设部门对预算缺乏认识，导致年底结余较多。</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指导建设部门完成预算精准设置，减少年底结余。</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项目负责人：赫金</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51320025T000012808652-监管支队监控指挥中心维护费（2025）</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该项目的实施，有效完善监管监控指挥中心运行，确保部、省、州监管部门能随时巡查到各监所。</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该项目的实施，有效完善监管监控指挥中心运行，确保部、省、州监管部门能随时巡查到各监所。</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支付运维费，实现有效完善监管监控指挥中心运行，能随时巡查到各监所作用。</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追加州本级信息化建设项目。</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维护设备数量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套</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2025年12月底前完成</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设备维护合格率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维护设备正常运行</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有效维护</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有效维护</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提升监管巡查能力</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监所民警满意度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支付运维费，实现有效完善监管监控指挥中心运行，能随时巡查到各监所作用，自评得分90分。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项目负责人：那娃</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4"/>
        <w:gridCol w:w="1906"/>
        <w:gridCol w:w="1653"/>
        <w:gridCol w:w="2103"/>
        <w:gridCol w:w="492"/>
        <w:gridCol w:w="1575"/>
        <w:gridCol w:w="720"/>
        <w:gridCol w:w="1026"/>
        <w:gridCol w:w="475"/>
        <w:gridCol w:w="430"/>
        <w:gridCol w:w="3031"/>
      </w:tblGrid>
      <w:tr>
        <w:trPr>
          <w:trHeight w:val="286"/>
        </w:trPr>
        <w:tc>
          <w:tcPr>
            <w:tcW w:w="90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92"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51320025T000012810016-特警基地基础设施维修改造项目（2025）</w:t>
            </w:r>
          </w:p>
        </w:tc>
      </w:tr>
      <w:tr>
        <w:trPr>
          <w:trHeight w:val="512"/>
        </w:trPr>
        <w:tc>
          <w:tcPr>
            <w:tcW w:w="907"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32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5"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0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7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32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6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327"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通过对各驻训基地的基础设施进行一次全面、系统的维修改造，在保障基础设施安全可用、队员正常生活的同时，进一步提高队伍</w:t>
            </w:r>
            <w:r>
              <w:rPr>
                <w:rFonts w:ascii="宋体" w:cs="黑体" w:hint="eastAsia"/>
                <w:i w:val="0"/>
                <w:iCs w:val="0"/>
                <w:color w:val="000000"/>
                <w:kern w:val="0"/>
                <w:sz w:val="18"/>
                <w:szCs w:val="18"/>
                <w:u w:val="none"/>
                <w:lang w:val="en-US" w:eastAsia="zh-CN"/>
              </w:rPr>
              <w:t>练</w:t>
            </w:r>
            <w:r>
              <w:rPr>
                <w:rFonts w:ascii="宋体" w:eastAsia="宋体" w:cs="宋体"/>
                <w:i w:val="0"/>
                <w:iCs w:val="0"/>
                <w:color w:val="000000"/>
                <w:kern w:val="0"/>
                <w:sz w:val="18"/>
                <w:szCs w:val="18"/>
                <w:u w:val="none"/>
                <w:lang w:val="en-US" w:eastAsia="zh-CN"/>
              </w:rPr>
              <w:t>兵备战能力和训练水平。</w:t>
            </w:r>
          </w:p>
        </w:tc>
        <w:tc>
          <w:tcPr>
            <w:tcW w:w="176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对各驻训基地的基础设施进行一次全面、系统的维修改造，在保障基础设施安全可用、队员正常生活的同时，进一步提高队伍练兵备战能力和训练水平。</w:t>
            </w:r>
          </w:p>
        </w:tc>
      </w:tr>
      <w:tr>
        <w:trPr>
          <w:trHeight w:val="693"/>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92"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通过政府采购建设该项目，按工程进度申请资金拨付，完成该项目建设。</w:t>
            </w:r>
          </w:p>
        </w:tc>
      </w:tr>
      <w:tr>
        <w:trPr>
          <w:trHeight w:val="361"/>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257.72</w:t>
            </w: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257.72</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年底剩余642.28万元，已申请结转。</w:t>
            </w:r>
          </w:p>
        </w:tc>
      </w:tr>
      <w:tr>
        <w:trPr>
          <w:trHeight w:val="39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257.72</w:t>
            </w: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257.72</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9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维修房屋数量</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座（处）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按工程进度支付预付款，部分还未验收。</w:t>
            </w: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2025-12-30前完成</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8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队伍实战训练达标率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8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特警驻训保障水平提升率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452"/>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特警满意度</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2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4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99"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69</w:t>
            </w:r>
          </w:p>
        </w:tc>
        <w:tc>
          <w:tcPr>
            <w:tcW w:w="10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通过政府采购建设该项目，按工程进度申请资金拨付，完成该项目建设，项目自评得分69分。</w:t>
            </w:r>
          </w:p>
        </w:tc>
      </w:tr>
      <w:tr>
        <w:trPr>
          <w:trHeight w:val="572"/>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部分项目建设部门未明确项目专门经办人员，存在项目推进脱节情况。</w:t>
            </w:r>
          </w:p>
        </w:tc>
      </w:tr>
      <w:tr>
        <w:trPr>
          <w:trHeight w:val="633"/>
        </w:trPr>
        <w:tc>
          <w:tcPr>
            <w:tcW w:w="22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7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明确并固定项目经办人员，督促项目推进。</w:t>
            </w:r>
          </w:p>
        </w:tc>
      </w:tr>
      <w:tr>
        <w:trPr>
          <w:trHeight w:val="286"/>
        </w:trPr>
        <w:tc>
          <w:tcPr>
            <w:tcW w:w="241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项目负责人：泽准</w:t>
            </w:r>
          </w:p>
        </w:tc>
        <w:tc>
          <w:tcPr>
            <w:tcW w:w="2581"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
    <w:p/>
    <w:tbl>
      <w:tblPr>
        <w:jc w:val="left"/>
        <w:tblInd w:w="0" w:type="dxa"/>
        <w:tblW w:w="4999"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47"/>
        <w:gridCol w:w="1948"/>
        <w:gridCol w:w="1684"/>
        <w:gridCol w:w="2148"/>
        <w:gridCol w:w="495"/>
        <w:gridCol w:w="1589"/>
        <w:gridCol w:w="498"/>
        <w:gridCol w:w="1035"/>
        <w:gridCol w:w="478"/>
        <w:gridCol w:w="430"/>
        <w:gridCol w:w="3104"/>
      </w:tblGrid>
      <w:tr>
        <w:trPr>
          <w:trHeight w:val="286"/>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51320025T000014060465-储备警用被装采购项目</w:t>
            </w:r>
          </w:p>
        </w:tc>
      </w:tr>
      <w:tr>
        <w:trPr>
          <w:trHeight w:val="512"/>
        </w:trPr>
        <w:tc>
          <w:tcPr>
            <w:tcW w:w="92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州公安局部门</w:t>
            </w:r>
          </w:p>
        </w:tc>
        <w:tc>
          <w:tcPr>
            <w:tcW w:w="368" w:type="pct"/>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州公安局</w:t>
            </w:r>
          </w:p>
        </w:tc>
      </w:tr>
      <w:tr>
        <w:trPr>
          <w:trHeight w:val="286"/>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708"/>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根据我局警用被装库存少、年限久导致服装褪色、掉色等问题，申请购买寒区多功能服、作训服、作战服、作训鞋、作战鞋等警用被装，提高民警的战斗力和防护力。</w:t>
            </w:r>
          </w:p>
        </w:tc>
        <w:tc>
          <w:tcPr>
            <w:tcW w:w="179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购买寒区多功能服、作训服、作战服、作训鞋、作战鞋等警用被装，提高民警的战斗力和防护力。</w:t>
            </w:r>
          </w:p>
        </w:tc>
      </w:tr>
      <w:tr>
        <w:trPr>
          <w:trHeight w:val="693"/>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07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购买寒区多功能服、作训服、作战服、作训鞋、作战鞋等警用被装，提高民警的战斗力和防护力。</w:t>
            </w:r>
          </w:p>
        </w:tc>
      </w:tr>
      <w:tr>
        <w:trPr>
          <w:trHeight w:val="361"/>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该项目资金为财政代管资金。</w:t>
            </w:r>
          </w:p>
        </w:tc>
      </w:tr>
      <w:tr>
        <w:trPr>
          <w:trHeight w:val="39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97.00%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918"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10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23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购买被装数量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批</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保障民警数量</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被装验收合格率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提升民警防护力</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宋体" w:eastAsia="宋体" w:cs="宋体" w:hint="eastAsia"/>
                <w:i w:val="0"/>
                <w:iCs w:val="0"/>
                <w:color w:val="000000"/>
                <w:sz w:val="18"/>
                <w:szCs w:val="18"/>
                <w:u w:val="none"/>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有效提升</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使用民警满意度</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339"/>
        </w:trPr>
        <w:tc>
          <w:tcPr>
            <w:tcW w:w="23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成本控制率</w:t>
            </w:r>
          </w:p>
        </w:tc>
        <w:tc>
          <w:tcPr>
            <w:tcW w:w="1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微软雅黑" w:eastAsia="微软雅黑" w:cs="微软雅黑" w:hint="eastAsia"/>
                <w:i/>
                <w:iCs/>
                <w:color w:val="000000"/>
                <w:sz w:val="16"/>
                <w:szCs w:val="16"/>
                <w:u w:val="none"/>
              </w:rPr>
            </w:pPr>
          </w:p>
        </w:tc>
      </w:tr>
      <w:tr>
        <w:trPr>
          <w:trHeight w:val="286"/>
        </w:trPr>
        <w:tc>
          <w:tcPr>
            <w:tcW w:w="3572"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1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91</w:t>
            </w:r>
          </w:p>
        </w:tc>
        <w:tc>
          <w:tcPr>
            <w:tcW w:w="11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80" w:lineRule="exact"/>
              <w:rPr>
                <w:rFonts w:ascii="宋体" w:eastAsia="宋体" w:cs="宋体" w:hint="eastAsia"/>
                <w:i w:val="0"/>
                <w:iCs w:val="0"/>
                <w:color w:val="000000"/>
                <w:sz w:val="18"/>
                <w:szCs w:val="18"/>
                <w:u w:val="none"/>
              </w:rPr>
            </w:pPr>
          </w:p>
        </w:tc>
      </w:tr>
      <w:tr>
        <w:trPr>
          <w:trHeight w:val="60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购买寒区多功能服、作训服、作战服、作训鞋、作战鞋等警用被装，提高民警的战斗力和防护力，自评得分91分。</w:t>
            </w:r>
          </w:p>
        </w:tc>
      </w:tr>
      <w:tr>
        <w:trPr>
          <w:trHeight w:val="572"/>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633"/>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769"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无。</w:t>
            </w:r>
          </w:p>
        </w:tc>
      </w:tr>
      <w:tr>
        <w:trPr>
          <w:trHeight w:val="286"/>
        </w:trPr>
        <w:tc>
          <w:tcPr>
            <w:tcW w:w="2462"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项目负责人：王初阳</w:t>
            </w:r>
          </w:p>
        </w:tc>
        <w:tc>
          <w:tcPr>
            <w:tcW w:w="2537"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财务负责人：娜斯基</w:t>
            </w:r>
          </w:p>
        </w:tc>
      </w:tr>
    </w:tbl>
    <w:p/>
    <w:p/>
    <w:p>
      <w:pPr>
        <w:rPr>
          <w:rFonts w:ascii="仿宋_GB2312" w:eastAsia="仿宋_GB2312" w:cs="仿宋_GB2312" w:hint="eastAsia"/>
          <w:b w:val="0"/>
          <w:bCs w:val="0"/>
          <w:sz w:val="32"/>
          <w:szCs w:val="32"/>
          <w:lang w:val="en-US" w:eastAsia="zh-CN"/>
        </w:rPr>
        <w:sectPr>
          <w:footerReference w:type="default" r:id="rId16"/>
          <w:pgSz w:w="16838" w:h="11906" w:orient="landscape"/>
          <w:pgMar w:top="1800" w:right="1440" w:bottom="1800" w:left="1440" w:header="851" w:footer="992" w:gutter="0"/>
          <w:pgNumType/>
          <w:docGrid w:type="lines" w:linePitch="312" w:charSpace="0"/>
        </w:sectPr>
      </w:pPr>
      <w:r>
        <w:rPr>
          <w:rFonts w:ascii="仿宋_GB2312" w:eastAsia="仿宋_GB2312" w:cs="仿宋_GB2312" w:hint="eastAsia"/>
          <w:b w:val="0"/>
          <w:bCs w:val="0"/>
          <w:sz w:val="32"/>
          <w:szCs w:val="32"/>
          <w:lang w:val="en-US" w:eastAsia="zh-CN"/>
        </w:rPr>
        <w:t>(其余项目涉密，</w:t>
      </w:r>
      <w:r>
        <w:rPr>
          <w:rFonts w:ascii="仿宋_GB2312" w:eastAsia="仿宋_GB2312" w:cs="仿宋_GB2312" w:hint="eastAsia"/>
          <w:b w:val="0"/>
          <w:bCs w:val="0"/>
          <w:i w:val="0"/>
          <w:iCs w:val="0"/>
          <w:color w:val="000000"/>
          <w:kern w:val="0"/>
          <w:sz w:val="32"/>
          <w:szCs w:val="32"/>
          <w:u w:val="none"/>
          <w:lang w:val="en-US" w:eastAsia="zh-CN"/>
        </w:rPr>
        <w:t>项目支出绩效自评表不宜公开）</w:t>
      </w:r>
    </w:p>
    <w:p>
      <w:pPr>
        <w:pStyle w:val="15"/>
        <w:rPr>
          <w:rFonts w:ascii="Times New Roman" w:eastAsia="黑体" w:cs="黑体" w:hAnsi="Times New Roman" w:hint="eastAsia"/>
          <w:color w:val="auto"/>
          <w:sz w:val="32"/>
          <w:szCs w:val="32"/>
          <w:lang w:val="en-US" w:eastAsia="zh-CN"/>
          <w:highlight w:val="auto"/>
        </w:rPr>
      </w:pPr>
      <w:bookmarkEnd w:id="61"/>
      <w:bookmarkEnd w:id="62"/>
      <w:r>
        <w:rPr>
          <w:rFonts w:ascii="Times New Roman" w:eastAsia="黑体" w:cs="黑体" w:hAnsi="Times New Roman" w:hint="eastAsia"/>
          <w:color w:val="auto"/>
          <w:kern w:val="0"/>
          <w:sz w:val="32"/>
          <w:szCs w:val="32"/>
          <w:shd w:val="clear" w:color="auto" w:fill="FFFFFF"/>
          <w:lang w:val="zh-CN"/>
          <w:highlight w:val="auto"/>
        </w:rPr>
        <w:t>附件</w:t>
      </w:r>
      <w:r>
        <w:rPr>
          <w:rFonts w:ascii="Times New Roman" w:eastAsia="黑体" w:cs="黑体" w:hAnsi="Times New Roman" w:hint="eastAsia"/>
          <w:color w:val="auto"/>
          <w:kern w:val="0"/>
          <w:sz w:val="32"/>
          <w:szCs w:val="32"/>
          <w:shd w:val="clear" w:color="auto" w:fill="FFFFFF"/>
          <w:lang w:val="en-US" w:eastAsia="zh-CN"/>
          <w:highlight w:val="auto"/>
        </w:rPr>
        <w:t>2</w:t>
      </w:r>
    </w:p>
    <w:p>
      <w:pPr>
        <w:pStyle w:val="35"/>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方正小标宋简体" w:hAnsi="Times New Roman" w:hint="eastAsia"/>
          <w:color w:val="auto"/>
          <w:kern w:val="2"/>
          <w:sz w:val="44"/>
          <w:szCs w:val="44"/>
          <w:lang w:val="en-US" w:eastAsia="zh-CN"/>
          <w:highlight w:val="auto"/>
        </w:rPr>
      </w:pPr>
    </w:p>
    <w:p>
      <w:pPr>
        <w:pStyle w:val="35"/>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Times New Roman" w:hAnsi="Times New Roman"/>
          <w:color w:val="auto"/>
          <w:kern w:val="2"/>
          <w:sz w:val="44"/>
          <w:szCs w:val="44"/>
          <w:lang w:val="en-US" w:eastAsia="zh-CN"/>
          <w:highlight w:val="auto"/>
        </w:rPr>
      </w:pPr>
      <w:r>
        <w:rPr>
          <w:rFonts w:ascii="Times New Roman" w:eastAsia="方正小标宋简体" w:cs="Times New Roman" w:hAnsi="Times New Roman"/>
          <w:color w:val="auto"/>
          <w:kern w:val="2"/>
          <w:sz w:val="44"/>
          <w:szCs w:val="44"/>
          <w:lang w:val="en-US" w:eastAsia="zh-CN"/>
          <w:highlight w:val="auto"/>
        </w:rPr>
        <w:t>2024年省级财政林业草原专项资金</w:t>
      </w:r>
    </w:p>
    <w:p>
      <w:pPr>
        <w:pStyle w:val="35"/>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Times New Roman" w:hAnsi="Times New Roman"/>
          <w:color w:val="auto"/>
          <w:kern w:val="2"/>
          <w:sz w:val="44"/>
          <w:szCs w:val="44"/>
          <w:lang w:val="en-US" w:eastAsia="zh-CN"/>
          <w:highlight w:val="auto"/>
        </w:rPr>
      </w:pPr>
      <w:r>
        <w:rPr>
          <w:rFonts w:ascii="Times New Roman" w:eastAsia="方正小标宋简体" w:cs="Times New Roman" w:hAnsi="Times New Roman"/>
          <w:color w:val="auto"/>
          <w:kern w:val="2"/>
          <w:sz w:val="44"/>
          <w:szCs w:val="44"/>
          <w:lang w:val="en-US" w:eastAsia="zh-CN"/>
          <w:highlight w:val="auto"/>
        </w:rPr>
        <w:t>专项预算绩效自评报告</w:t>
      </w:r>
    </w:p>
    <w:p>
      <w:pPr>
        <w:pStyle w:val="35"/>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Times New Roman" w:cs="Times New Roman" w:hAnsi="Times New Roman"/>
          <w:color w:val="auto"/>
          <w:kern w:val="2"/>
          <w:sz w:val="32"/>
          <w:szCs w:val="32"/>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一、项目概况</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b/>
          <w:color w:val="auto"/>
          <w:sz w:val="32"/>
          <w:szCs w:val="32"/>
          <w:u w:val="none"/>
          <w:lang w:val="zh-CN"/>
          <w:highlight w:val="auto"/>
        </w:rPr>
        <w:t>（一）设立背景及基本情况。</w:t>
      </w:r>
      <w:r>
        <w:rPr>
          <w:rFonts w:ascii="Times New Roman" w:eastAsia="仿宋_GB2312" w:cs="仿宋_GB2312" w:hAnsi="Times New Roman"/>
          <w:color w:val="auto"/>
          <w:kern w:val="2"/>
          <w:sz w:val="32"/>
          <w:szCs w:val="32"/>
          <w:lang w:val="en-US" w:eastAsia="zh-CN" w:bidi="ar-SA"/>
          <w:highlight w:val="auto"/>
        </w:rPr>
        <w:t>《阿坝州财政局、大熊猫国家公园阿坝管理分局关于下达2024年省级财政林业草原专项资金预算（第三批）国家公园补助资金的通知》（阿州财资环【2024】35号）下达资金</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eastAsia="仿宋_GB2312" w:cs="Times New Roman" w:hAnsi="Times New Roman"/>
          <w:color w:val="auto"/>
          <w:kern w:val="0"/>
          <w:sz w:val="32"/>
          <w:szCs w:val="32"/>
          <w:u w:val="none"/>
          <w:shd w:val="clear" w:color="auto" w:fill="FFFFFF"/>
          <w:lang w:val="zh-CN" w:eastAsia="zh-CN"/>
          <w:highlight w:val="auto"/>
        </w:rPr>
      </w:pPr>
      <w:r>
        <w:rPr>
          <w:rFonts w:ascii="Times New Roman" w:eastAsia="楷体_GB2312" w:cs="Times New Roman" w:hAnsi="Times New Roman"/>
          <w:b/>
          <w:color w:val="auto"/>
          <w:sz w:val="32"/>
          <w:szCs w:val="32"/>
          <w:u w:val="none"/>
          <w:lang w:val="zh-CN"/>
          <w:highlight w:val="auto"/>
        </w:rPr>
        <w:t>（二）</w:t>
      </w:r>
      <w:r>
        <w:rPr>
          <w:rFonts w:ascii="Times New Roman" w:eastAsia="楷体_GB2312" w:cs="Times New Roman" w:hAnsi="Times New Roman"/>
          <w:b/>
          <w:color w:val="auto"/>
          <w:sz w:val="32"/>
          <w:szCs w:val="32"/>
          <w:u w:val="none"/>
          <w:lang w:val="en-US" w:eastAsia="zh-CN"/>
          <w:highlight w:val="auto"/>
        </w:rPr>
        <w:t>实施目的及支持方向。</w:t>
      </w:r>
      <w:r>
        <w:rPr>
          <w:rFonts w:ascii="Times New Roman" w:eastAsia="仿宋_GB2312" w:cs="仿宋_GB2312" w:hAnsi="Times New Roman" w:hint="eastAsia"/>
          <w:color w:val="auto"/>
          <w:kern w:val="2"/>
          <w:sz w:val="32"/>
          <w:szCs w:val="32"/>
          <w:lang w:val="en-US" w:eastAsia="zh-CN" w:bidi="ar-SA"/>
          <w:highlight w:val="auto"/>
        </w:rPr>
        <w:t>运用相关科技手段提高林业保护能力，支持对</w:t>
      </w:r>
      <w:r>
        <w:rPr>
          <w:rFonts w:ascii="Times New Roman" w:eastAsia="仿宋_GB2312" w:cs="仿宋_GB2312" w:hAnsi="Times New Roman"/>
          <w:color w:val="auto"/>
          <w:kern w:val="2"/>
          <w:sz w:val="32"/>
          <w:szCs w:val="32"/>
          <w:lang w:val="en-US" w:eastAsia="zh-CN" w:bidi="ar-SA"/>
          <w:highlight w:val="auto"/>
        </w:rPr>
        <w:t>卧龙自然保护区森林</w:t>
      </w:r>
      <w:r>
        <w:rPr>
          <w:rFonts w:ascii="Times New Roman" w:eastAsia="仿宋_GB2312" w:cs="仿宋_GB2312" w:hAnsi="Times New Roman" w:hint="eastAsia"/>
          <w:color w:val="auto"/>
          <w:kern w:val="2"/>
          <w:sz w:val="32"/>
          <w:szCs w:val="32"/>
          <w:lang w:val="en-US" w:eastAsia="zh-CN" w:bidi="ar-SA"/>
          <w:highlight w:val="auto"/>
        </w:rPr>
        <w:t>保护</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b/>
          <w:color w:val="auto"/>
          <w:sz w:val="32"/>
          <w:szCs w:val="32"/>
          <w:u w:val="none"/>
          <w:lang w:val="zh-CN" w:eastAsia="zh-CN"/>
          <w:highlight w:val="auto"/>
        </w:rPr>
        <w:t>（三）</w:t>
      </w:r>
      <w:r>
        <w:rPr>
          <w:rFonts w:ascii="Times New Roman" w:eastAsia="楷体_GB2312" w:cs="Times New Roman" w:hAnsi="Times New Roman"/>
          <w:b/>
          <w:color w:val="auto"/>
          <w:sz w:val="32"/>
          <w:szCs w:val="32"/>
          <w:u w:val="none"/>
          <w:lang w:val="en-US" w:eastAsia="zh-CN"/>
          <w:highlight w:val="auto"/>
        </w:rPr>
        <w:t>预算安排及分配管理</w:t>
      </w:r>
      <w:r>
        <w:rPr>
          <w:rFonts w:ascii="Times New Roman" w:eastAsia="楷体_GB2312" w:cs="Times New Roman" w:hAnsi="Times New Roman"/>
          <w:b/>
          <w:color w:val="auto"/>
          <w:sz w:val="32"/>
          <w:szCs w:val="32"/>
          <w:u w:val="none"/>
          <w:lang w:val="zh-CN" w:eastAsia="zh-CN"/>
          <w:highlight w:val="auto"/>
        </w:rPr>
        <w:t>。</w:t>
      </w:r>
      <w:r>
        <w:rPr>
          <w:rFonts w:ascii="Times New Roman" w:eastAsia="仿宋_GB2312" w:cs="仿宋_GB2312" w:hAnsi="Times New Roman" w:hint="eastAsia"/>
          <w:color w:val="auto"/>
          <w:kern w:val="2"/>
          <w:sz w:val="32"/>
          <w:szCs w:val="32"/>
          <w:lang w:val="en-US" w:eastAsia="zh-CN" w:bidi="ar-SA"/>
          <w:highlight w:val="auto"/>
        </w:rPr>
        <w:t>按照卧龙分局据实填报需求进行预算安排</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eastAsia="楷体_GB2312" w:cs="Times New Roman" w:hAnsi="Times New Roman"/>
          <w:b/>
          <w:color w:val="auto"/>
          <w:sz w:val="32"/>
          <w:szCs w:val="32"/>
          <w:u w:val="none"/>
          <w:lang w:val="zh-CN" w:eastAsia="zh-CN"/>
          <w:highlight w:val="auto"/>
        </w:rPr>
      </w:pPr>
      <w:r>
        <w:rPr>
          <w:rFonts w:ascii="Times New Roman" w:eastAsia="楷体_GB2312" w:cs="Times New Roman" w:hAnsi="Times New Roman"/>
          <w:b/>
          <w:color w:val="auto"/>
          <w:sz w:val="32"/>
          <w:szCs w:val="32"/>
          <w:u w:val="none"/>
          <w:lang w:val="zh-CN" w:eastAsia="zh-CN"/>
          <w:highlight w:val="auto"/>
        </w:rPr>
        <w:t>（四）项目绩效目标设置。</w:t>
      </w:r>
    </w:p>
    <w:tbl>
      <w:tblPr>
        <w:jc w:val="left"/>
        <w:tblInd w:w="0" w:type="dxa"/>
        <w:tblW w:w="4997"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98"/>
        <w:gridCol w:w="1493"/>
        <w:gridCol w:w="1291"/>
        <w:gridCol w:w="1647"/>
        <w:gridCol w:w="378"/>
        <w:gridCol w:w="1220"/>
        <w:gridCol w:w="378"/>
        <w:gridCol w:w="793"/>
        <w:gridCol w:w="366"/>
        <w:gridCol w:w="331"/>
      </w:tblGrid>
      <w:tr>
        <w:trPr>
          <w:trHeight w:val="452"/>
        </w:trPr>
        <w:tc>
          <w:tcPr>
            <w:tcW w:w="296"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购买设备数量</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hint="eastAsia"/>
                <w:i/>
                <w:iCs/>
                <w:color w:val="000000"/>
                <w:kern w:val="0"/>
                <w:sz w:val="16"/>
                <w:szCs w:val="16"/>
                <w:u w:val="none"/>
                <w:lang w:val="en-US" w:eastAsia="zh-CN"/>
              </w:rPr>
              <w:t>1</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98</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验收时间</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2025年12月底前</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2025年12月</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val="restar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提升辖区稳定</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vMerge/>
            <w:tcBorders>
              <w:top w:val="single" w:sz="4" w:space="0" w:color="000000"/>
              <w:left w:val="single" w:sz="4" w:space="0" w:color="000000"/>
              <w:bottom w:val="single" w:sz="4" w:space="0" w:color="000000"/>
              <w:right w:val="single" w:sz="4" w:space="0" w:color="000000"/>
            </w:tcBorders>
            <w:noWrap/>
            <w:vAlign w:val="center"/>
          </w:tcP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持续打击无人机非法活动</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持续打击</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452"/>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提升辖区群众安全感</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jc w:val="center"/>
              <w:rPr>
                <w:rFonts w:ascii="宋体" w:eastAsia="宋体" w:cs="宋体" w:hint="eastAsia"/>
                <w:i w:val="0"/>
                <w:iCs w:val="0"/>
                <w:color w:val="000000"/>
                <w:sz w:val="18"/>
                <w:szCs w:val="18"/>
                <w:u w:val="none"/>
              </w:rPr>
            </w:pP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r>
      <w:tr>
        <w:trPr>
          <w:trHeight w:val="339"/>
        </w:trPr>
        <w:tc>
          <w:tcPr>
            <w:tcW w:w="296" w:type="pct"/>
            <w:vMerge/>
            <w:tcBorders>
              <w:top w:val="single" w:sz="4" w:space="0" w:color="000000"/>
              <w:left w:val="single" w:sz="4" w:space="0" w:color="000000"/>
              <w:bottom w:val="single" w:sz="4" w:space="0" w:color="000000"/>
              <w:right w:val="single" w:sz="4" w:space="0" w:color="000000"/>
            </w:tcBorders>
            <w:noWrap/>
            <w:vAlign w:val="center"/>
          </w:tcPr>
          <w:p/>
        </w:tc>
        <w:tc>
          <w:tcPr>
            <w:tcW w:w="88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76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980"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设备成本金额</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6"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32</w:t>
            </w:r>
          </w:p>
        </w:tc>
        <w:tc>
          <w:tcPr>
            <w:tcW w:w="225"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72"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19.5</w:t>
            </w:r>
          </w:p>
        </w:tc>
        <w:tc>
          <w:tcPr>
            <w:tcW w:w="218"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97" w:type="pct"/>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r>
    </w:tbl>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rPr>
          <w:rFonts w:ascii="Times New Roman" w:cs="Times New Roman" w:hAnsi="Times New Roman"/>
          <w:color w:val="auto"/>
          <w:kern w:val="0"/>
          <w:sz w:val="32"/>
          <w:szCs w:val="32"/>
          <w:u w:val="none"/>
          <w:shd w:val="clear" w:color="auto" w:fill="FFFFFF"/>
          <w:lang w:val="zh-CN" w:eastAsia="zh-CN"/>
          <w:highlight w:val="auto"/>
        </w:rPr>
      </w:pP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（一）评价目的。</w:t>
      </w:r>
      <w:r>
        <w:rPr>
          <w:rFonts w:ascii="Times New Roman" w:eastAsia="仿宋_GB2312" w:cs="仿宋_GB2312" w:hAnsi="Times New Roman"/>
          <w:color w:val="auto"/>
          <w:kern w:val="2"/>
          <w:sz w:val="32"/>
          <w:szCs w:val="32"/>
          <w:lang w:val="en-US" w:eastAsia="zh-CN" w:bidi="ar-SA"/>
          <w:highlight w:val="auto"/>
        </w:rPr>
        <w:t>通过项目绩效自评要实现</w:t>
      </w:r>
      <w:r>
        <w:rPr>
          <w:rFonts w:ascii="Times New Roman" w:eastAsia="仿宋_GB2312" w:cs="仿宋_GB2312" w:hAnsi="Times New Roman" w:hint="eastAsia"/>
          <w:color w:val="auto"/>
          <w:kern w:val="2"/>
          <w:sz w:val="32"/>
          <w:szCs w:val="32"/>
          <w:lang w:val="en-US" w:eastAsia="zh-CN" w:bidi="ar-SA"/>
          <w:highlight w:val="auto"/>
        </w:rPr>
        <w:t>提高专项预算项目资金使用率、规范资金使用的目的</w:t>
      </w:r>
      <w:r>
        <w:rPr>
          <w:rFonts w:ascii="Times New Roman" w:eastAsia="仿宋_GB2312" w:cs="仿宋_GB2312" w:hAnsi="Times New Roman"/>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（二）预设问题及评价重点。</w:t>
      </w:r>
      <w:r>
        <w:rPr>
          <w:rFonts w:ascii="Times New Roman" w:eastAsia="仿宋_GB2312" w:cs="仿宋_GB2312" w:hAnsi="Times New Roman"/>
          <w:color w:val="auto"/>
          <w:kern w:val="2"/>
          <w:sz w:val="32"/>
          <w:szCs w:val="32"/>
          <w:lang w:val="en-US" w:eastAsia="zh-CN" w:bidi="ar-SA"/>
          <w:highlight w:val="auto"/>
        </w:rPr>
        <w:t>按照</w:t>
      </w:r>
      <w:r>
        <w:rPr>
          <w:rFonts w:ascii="Times New Roman" w:eastAsia="仿宋_GB2312" w:cs="仿宋_GB2312" w:hAnsi="Times New Roman" w:hint="eastAsia"/>
          <w:color w:val="auto"/>
          <w:kern w:val="2"/>
          <w:sz w:val="32"/>
          <w:szCs w:val="32"/>
          <w:lang w:val="en-US" w:eastAsia="zh-CN" w:bidi="ar-SA"/>
          <w:highlight w:val="auto"/>
        </w:rPr>
        <w:t>项目决策、管理、实施和结果；用途、程序、标准合规性；人民群众及使用民警满意度</w:t>
      </w:r>
      <w:r>
        <w:rPr>
          <w:rFonts w:ascii="Times New Roman" w:eastAsia="仿宋_GB2312" w:cs="仿宋_GB2312" w:hAnsi="Times New Roman"/>
          <w:color w:val="auto"/>
          <w:kern w:val="2"/>
          <w:sz w:val="32"/>
          <w:szCs w:val="32"/>
          <w:lang w:val="en-US" w:eastAsia="zh-CN" w:bidi="ar-SA"/>
          <w:highlight w:val="auto"/>
        </w:rPr>
        <w:t>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（三）评价选点。</w:t>
      </w:r>
      <w:r>
        <w:rPr>
          <w:rFonts w:ascii="Times New Roman" w:eastAsia="仿宋_GB2312" w:cs="仿宋_GB2312" w:hAnsi="Times New Roman" w:hint="eastAsia"/>
          <w:color w:val="auto"/>
          <w:kern w:val="2"/>
          <w:sz w:val="32"/>
          <w:szCs w:val="32"/>
          <w:lang w:val="en-US" w:eastAsia="zh-CN" w:bidi="ar-SA"/>
          <w:highlight w:val="auto"/>
        </w:rPr>
        <w:t>州本级及州主管部门。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Times New Roman" w:hAnsi="Times New Roman" w:hint="eastAsia"/>
          <w:szCs w:val="32"/>
          <w:lang w:eastAsia="zh-CN"/>
        </w:rPr>
      </w:pPr>
      <w:r>
        <w:rPr>
          <w:rFonts w:ascii="Times New Roman" w:eastAsia="楷体_GB2312" w:cs="Times New Roman" w:hAnsi="Times New Roman"/>
          <w:b/>
          <w:color w:val="auto"/>
          <w:sz w:val="32"/>
          <w:szCs w:val="32"/>
          <w:u w:val="none"/>
          <w:lang w:val="zh-CN"/>
          <w:highlight w:val="auto"/>
        </w:rPr>
        <w:t>（四）评价方法。</w:t>
      </w:r>
      <w:r>
        <w:rPr>
          <w:rFonts w:ascii="Times New Roman" w:eastAsia="仿宋_GB2312" w:cs="仿宋_GB2312" w:hAnsi="Times New Roman"/>
          <w:color w:val="auto"/>
          <w:kern w:val="2"/>
          <w:sz w:val="32"/>
          <w:szCs w:val="32"/>
          <w:lang w:val="en-US" w:eastAsia="zh-CN" w:bidi="ar-SA"/>
          <w:highlight w:val="auto"/>
        </w:rPr>
        <w:t>采用单位自评法</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（五）评价组织。</w:t>
      </w:r>
      <w:r>
        <w:rPr>
          <w:rFonts w:ascii="Times New Roman" w:eastAsia="仿宋_GB2312" w:cs="仿宋_GB2312" w:hAnsi="Times New Roman"/>
          <w:color w:val="auto"/>
          <w:kern w:val="2"/>
          <w:sz w:val="32"/>
          <w:szCs w:val="32"/>
          <w:lang w:val="en-US" w:eastAsia="zh-CN" w:bidi="ar-SA"/>
          <w:highlight w:val="auto"/>
        </w:rPr>
        <w:t>评价组人员</w:t>
      </w:r>
      <w:r>
        <w:rPr>
          <w:rFonts w:ascii="Times New Roman" w:eastAsia="仿宋_GB2312" w:cs="仿宋_GB2312" w:hAnsi="Times New Roman" w:hint="eastAsia"/>
          <w:color w:val="auto"/>
          <w:kern w:val="2"/>
          <w:sz w:val="32"/>
          <w:szCs w:val="32"/>
          <w:lang w:val="en-US" w:eastAsia="zh-CN" w:bidi="ar-SA"/>
          <w:highlight w:val="auto"/>
        </w:rPr>
        <w:t>由警务保障科</w:t>
      </w:r>
      <w:r>
        <w:rPr>
          <w:rFonts w:ascii="Times New Roman" w:eastAsia="仿宋_GB2312" w:cs="仿宋_GB2312" w:hAnsi="Times New Roman"/>
          <w:color w:val="auto"/>
          <w:kern w:val="2"/>
          <w:sz w:val="32"/>
          <w:szCs w:val="32"/>
          <w:lang w:val="en-US" w:eastAsia="zh-CN" w:bidi="ar-SA"/>
          <w:highlight w:val="auto"/>
        </w:rPr>
        <w:t>构成。</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en-US" w:eastAsia="zh-CN"/>
          <w:highlight w:val="auto"/>
        </w:rPr>
        <w:t>三、绩效分析</w:t>
      </w:r>
      <w:r>
        <w:rPr>
          <w:rFonts w:ascii="Times New Roman" w:eastAsia="黑体" w:cs="Times New Roman" w:hAnsi="Times New Roman"/>
          <w:sz w:val="32"/>
          <w:szCs w:val="32"/>
          <w:lang w:val="zh-CN" w:eastAsia="zh-CN"/>
          <w:highlight w:val="auto"/>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楷体_GB2312" w:cs="Times New Roman" w:hAnsi="Times New Roman"/>
          <w:b/>
          <w:color w:val="auto"/>
          <w:sz w:val="32"/>
          <w:szCs w:val="32"/>
          <w:u w:val="none"/>
          <w:lang w:val="en-US" w:eastAsia="zh-CN"/>
          <w:highlight w:val="auto"/>
        </w:rPr>
      </w:pPr>
      <w:r>
        <w:rPr>
          <w:rFonts w:ascii="Times New Roman" w:eastAsia="楷体_GB2312" w:cs="Times New Roman" w:hAnsi="Times New Roman"/>
          <w:b/>
          <w:color w:val="auto"/>
          <w:sz w:val="32"/>
          <w:szCs w:val="32"/>
          <w:u w:val="none"/>
          <w:lang w:val="zh-CN"/>
          <w:highlight w:val="auto"/>
        </w:rPr>
        <w:t>（一）</w:t>
      </w:r>
      <w:r>
        <w:rPr>
          <w:rFonts w:ascii="Times New Roman" w:eastAsia="楷体_GB2312" w:cs="Times New Roman" w:hAnsi="Times New Roman"/>
          <w:b/>
          <w:color w:val="auto"/>
          <w:sz w:val="32"/>
          <w:szCs w:val="32"/>
          <w:u w:val="none"/>
          <w:lang w:val="en-US" w:eastAsia="zh-CN"/>
          <w:highlight w:val="auto"/>
        </w:rPr>
        <w:t>通用指标</w:t>
      </w:r>
      <w:r>
        <w:rPr>
          <w:rFonts w:ascii="Times New Roman" w:eastAsia="楷体_GB2312" w:cs="Times New Roman" w:hAnsi="Times New Roman"/>
          <w:b/>
          <w:color w:val="auto"/>
          <w:sz w:val="32"/>
          <w:szCs w:val="32"/>
          <w:u w:val="none"/>
          <w:lang w:val="zh-CN"/>
          <w:highlight w:val="auto"/>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1.项目决策。</w:t>
      </w:r>
      <w:r>
        <w:rPr>
          <w:rFonts w:ascii="Times New Roman" w:eastAsia="仿宋_GB2312" w:cs="仿宋_GB2312" w:hAnsi="Times New Roman"/>
          <w:color w:val="auto"/>
          <w:kern w:val="2"/>
          <w:sz w:val="32"/>
          <w:szCs w:val="32"/>
          <w:lang w:val="en-US" w:eastAsia="zh-CN" w:bidi="ar-SA"/>
          <w:highlight w:val="auto"/>
        </w:rPr>
        <w:t>项目设立决策程序</w:t>
      </w:r>
      <w:r>
        <w:rPr>
          <w:rFonts w:ascii="Times New Roman" w:eastAsia="仿宋_GB2312" w:cs="仿宋_GB2312" w:hAnsi="Times New Roman" w:hint="eastAsia"/>
          <w:color w:val="auto"/>
          <w:kern w:val="2"/>
          <w:sz w:val="32"/>
          <w:szCs w:val="32"/>
          <w:lang w:val="en-US" w:eastAsia="zh-CN" w:bidi="ar-SA"/>
          <w:highlight w:val="auto"/>
        </w:rPr>
        <w:t>较</w:t>
      </w:r>
      <w:r>
        <w:rPr>
          <w:rFonts w:ascii="Times New Roman" w:eastAsia="仿宋_GB2312" w:cs="仿宋_GB2312" w:hAnsi="Times New Roman"/>
          <w:color w:val="auto"/>
          <w:kern w:val="2"/>
          <w:sz w:val="32"/>
          <w:szCs w:val="32"/>
          <w:lang w:val="en-US" w:eastAsia="zh-CN" w:bidi="ar-SA"/>
          <w:highlight w:val="auto"/>
        </w:rPr>
        <w:t>严密</w:t>
      </w:r>
      <w:r>
        <w:rPr>
          <w:rFonts w:ascii="Times New Roman" w:eastAsia="仿宋_GB2312" w:cs="仿宋_GB2312" w:hAnsi="Times New Roman" w:hint="eastAsia"/>
          <w:color w:val="auto"/>
          <w:kern w:val="2"/>
          <w:sz w:val="32"/>
          <w:szCs w:val="32"/>
          <w:lang w:val="en-US" w:eastAsia="zh-CN" w:bidi="ar-SA"/>
          <w:highlight w:val="auto"/>
        </w:rPr>
        <w:t>，但存在</w:t>
      </w:r>
      <w:r>
        <w:rPr>
          <w:rFonts w:ascii="Times New Roman" w:eastAsia="仿宋_GB2312" w:cs="仿宋_GB2312" w:hAnsi="Times New Roman"/>
          <w:color w:val="auto"/>
          <w:kern w:val="2"/>
          <w:sz w:val="32"/>
          <w:szCs w:val="32"/>
          <w:lang w:val="en-US" w:eastAsia="zh-CN" w:bidi="ar-SA"/>
          <w:highlight w:val="auto"/>
        </w:rPr>
        <w:t>调整延续等方面</w:t>
      </w:r>
      <w:r>
        <w:rPr>
          <w:rFonts w:ascii="Times New Roman" w:eastAsia="仿宋_GB2312" w:cs="仿宋_GB2312" w:hAnsi="Times New Roman" w:hint="eastAsia"/>
          <w:color w:val="auto"/>
          <w:kern w:val="2"/>
          <w:sz w:val="32"/>
          <w:szCs w:val="32"/>
          <w:lang w:val="en-US" w:eastAsia="zh-CN" w:bidi="ar-SA"/>
          <w:highlight w:val="auto"/>
        </w:rPr>
        <w:t>不太严密情况，得3分；</w:t>
      </w:r>
      <w:r>
        <w:rPr>
          <w:rFonts w:ascii="Times New Roman" w:eastAsia="仿宋_GB2312" w:cs="仿宋_GB2312" w:hAnsi="Times New Roman"/>
          <w:color w:val="auto"/>
          <w:kern w:val="2"/>
          <w:sz w:val="32"/>
          <w:szCs w:val="32"/>
          <w:lang w:val="en-US" w:eastAsia="zh-CN" w:bidi="ar-SA"/>
          <w:highlight w:val="auto"/>
        </w:rPr>
        <w:t>项目规划符合中央、州委、州政府有关决策部署安排，得1分；充分评估论证项目立项必要性、前瞻性、合理性和可行性，得3分。</w:t>
      </w:r>
      <w:r>
        <w:rPr>
          <w:rFonts w:ascii="Times New Roman" w:eastAsia="仿宋_GB2312" w:cs="仿宋_GB2312" w:hAnsi="Times New Roman" w:hint="eastAsia"/>
          <w:color w:val="auto"/>
          <w:kern w:val="2"/>
          <w:sz w:val="32"/>
          <w:szCs w:val="32"/>
          <w:lang w:val="en-US" w:eastAsia="zh-CN" w:bidi="ar-SA"/>
          <w:highlight w:val="auto"/>
        </w:rPr>
        <w:t>但</w:t>
      </w:r>
      <w:r>
        <w:rPr>
          <w:rFonts w:ascii="Times New Roman" w:eastAsia="仿宋_GB2312" w:cs="仿宋_GB2312" w:hAnsi="Times New Roman"/>
          <w:color w:val="auto"/>
          <w:kern w:val="2"/>
          <w:sz w:val="32"/>
          <w:szCs w:val="32"/>
          <w:lang w:val="en-US" w:eastAsia="zh-CN" w:bidi="ar-SA"/>
          <w:highlight w:val="auto"/>
        </w:rPr>
        <w:t>项目总体绩效目标设置合理性的偏离度＞30%，不得分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属于政府支持范围，且符合财政事权支出责任划分规定，得1分；资金投向与项目总体规划、相关行业事业发展相匹配，得1分；聚焦重大任务、重点领域、重点环节和重点项目，体现“集中财力办大事”原则，避免“撒胡椒面”，得3分</w:t>
      </w:r>
      <w:r>
        <w:rPr>
          <w:rFonts w:ascii="Times New Roman" w:eastAsia="仿宋_GB2312" w:cs="仿宋_GB2312" w:hAnsi="Times New Roman" w:hint="eastAsia"/>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2.项目管理。</w:t>
      </w:r>
      <w:r>
        <w:rPr>
          <w:rFonts w:ascii="Times New Roman" w:eastAsia="仿宋_GB2312" w:cs="仿宋_GB2312" w:hAnsi="Times New Roman"/>
          <w:color w:val="auto"/>
          <w:kern w:val="2"/>
          <w:sz w:val="32"/>
          <w:szCs w:val="32"/>
          <w:lang w:val="en-US" w:eastAsia="zh-CN" w:bidi="ar-SA"/>
          <w:highlight w:val="auto"/>
        </w:rPr>
        <w:t>资金管理办法等管理制度体系健全完善，不存在管理制度缺失、管理办法过期情况，得2分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项目法：建设项目储备库，得2分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明确项目申报审核程序，按规定程序履行项目审批，得2分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资金分配是否严格按管理办法执行，决策程序是否符合管理要求，及时高效，得</w:t>
      </w:r>
      <w:r>
        <w:rPr>
          <w:rFonts w:ascii="Times New Roman" w:eastAsia="仿宋_GB2312" w:cs="仿宋_GB2312" w:hAnsi="Times New Roman" w:hint="eastAsia"/>
          <w:color w:val="auto"/>
          <w:kern w:val="2"/>
          <w:sz w:val="32"/>
          <w:szCs w:val="32"/>
          <w:lang w:val="en-US" w:eastAsia="zh-CN" w:bidi="ar-SA"/>
          <w:highlight w:val="auto"/>
        </w:rPr>
        <w:t>2</w:t>
      </w:r>
      <w:r>
        <w:rPr>
          <w:rFonts w:ascii="Times New Roman" w:eastAsia="仿宋_GB2312" w:cs="仿宋_GB2312" w:hAnsi="Times New Roman"/>
          <w:color w:val="auto"/>
          <w:kern w:val="2"/>
          <w:sz w:val="32"/>
          <w:szCs w:val="32"/>
          <w:lang w:val="en-US" w:eastAsia="zh-CN" w:bidi="ar-SA"/>
          <w:highlight w:val="auto"/>
        </w:rPr>
        <w:t>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项目按中州要求全面完成绩效目标（含事前评估）、绩效评价、以前年度问题整改等预算绩效管理工作，得</w:t>
      </w:r>
      <w:r>
        <w:rPr>
          <w:rFonts w:ascii="Times New Roman" w:eastAsia="仿宋_GB2312" w:cs="仿宋_GB2312" w:hAnsi="Times New Roman" w:hint="eastAsia"/>
          <w:color w:val="auto"/>
          <w:kern w:val="2"/>
          <w:sz w:val="32"/>
          <w:szCs w:val="32"/>
          <w:lang w:val="en-US" w:eastAsia="zh-CN" w:bidi="ar-SA"/>
          <w:highlight w:val="auto"/>
        </w:rPr>
        <w:t>3</w:t>
      </w:r>
      <w:r>
        <w:rPr>
          <w:rFonts w:ascii="Times New Roman" w:eastAsia="仿宋_GB2312" w:cs="仿宋_GB2312" w:hAnsi="Times New Roman"/>
          <w:color w:val="auto"/>
          <w:kern w:val="2"/>
          <w:sz w:val="32"/>
          <w:szCs w:val="32"/>
          <w:lang w:val="en-US" w:eastAsia="zh-CN" w:bidi="ar-SA"/>
          <w:highlight w:val="auto"/>
        </w:rPr>
        <w:t>分</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州级部门对市县主管部门预算绩效管理要求到位，存在对市县资金分配和项目管理指导力度不够的情况，对市县开展评价、监督、指导等工作，得</w:t>
      </w:r>
      <w:r>
        <w:rPr>
          <w:rFonts w:ascii="Times New Roman" w:eastAsia="仿宋_GB2312" w:cs="仿宋_GB2312" w:hAnsi="Times New Roman" w:hint="eastAsia"/>
          <w:color w:val="auto"/>
          <w:kern w:val="2"/>
          <w:sz w:val="32"/>
          <w:szCs w:val="32"/>
          <w:lang w:val="en-US" w:eastAsia="zh-CN" w:bidi="ar-SA"/>
          <w:highlight w:val="auto"/>
        </w:rPr>
        <w:t>1</w:t>
      </w:r>
      <w:r>
        <w:rPr>
          <w:rFonts w:ascii="Times New Roman" w:eastAsia="仿宋_GB2312" w:cs="仿宋_GB2312" w:hAnsi="Times New Roman"/>
          <w:color w:val="auto"/>
          <w:kern w:val="2"/>
          <w:sz w:val="32"/>
          <w:szCs w:val="32"/>
          <w:lang w:val="en-US" w:eastAsia="zh-CN" w:bidi="ar-SA"/>
          <w:highlight w:val="auto"/>
        </w:rPr>
        <w:t>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3.项目实施。</w:t>
      </w:r>
      <w:r>
        <w:rPr>
          <w:rFonts w:ascii="Times New Roman" w:eastAsia="仿宋_GB2312" w:cs="仿宋_GB2312" w:hAnsi="Times New Roman"/>
          <w:color w:val="auto"/>
          <w:kern w:val="2"/>
          <w:sz w:val="32"/>
          <w:szCs w:val="32"/>
          <w:lang w:val="en-US" w:eastAsia="zh-CN" w:bidi="ar-SA"/>
          <w:highlight w:val="auto"/>
        </w:rPr>
        <w:t>财政资金拨付率100%</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单位资金使用率</w:t>
      </w:r>
      <w:r>
        <w:rPr>
          <w:rFonts w:ascii="Times New Roman" w:eastAsia="仿宋_GB2312" w:cs="仿宋_GB2312" w:hAnsi="Times New Roman" w:hint="eastAsia"/>
          <w:color w:val="auto"/>
          <w:kern w:val="2"/>
          <w:sz w:val="32"/>
          <w:szCs w:val="32"/>
          <w:lang w:val="en-US" w:eastAsia="zh-CN" w:bidi="ar-SA"/>
          <w:highlight w:val="auto"/>
        </w:rPr>
        <w:t>50%，</w:t>
      </w:r>
      <w:r>
        <w:rPr>
          <w:rFonts w:ascii="Times New Roman" w:eastAsia="仿宋_GB2312" w:cs="仿宋_GB2312" w:hAnsi="Times New Roman"/>
          <w:color w:val="auto"/>
          <w:kern w:val="2"/>
          <w:sz w:val="32"/>
          <w:szCs w:val="32"/>
          <w:lang w:val="en-US" w:eastAsia="zh-CN" w:bidi="ar-SA"/>
          <w:highlight w:val="auto"/>
        </w:rPr>
        <w:t>该项指标得分</w:t>
      </w:r>
      <w:r>
        <w:rPr>
          <w:rFonts w:ascii="Times New Roman" w:eastAsia="仿宋_GB2312" w:cs="仿宋_GB2312" w:hAnsi="Times New Roman" w:hint="eastAsia"/>
          <w:color w:val="auto"/>
          <w:kern w:val="2"/>
          <w:sz w:val="32"/>
          <w:szCs w:val="32"/>
          <w:lang w:val="en-US" w:eastAsia="zh-CN" w:bidi="ar-SA"/>
          <w:highlight w:val="auto"/>
        </w:rPr>
        <w:t>3.5分</w:t>
      </w:r>
      <w:r>
        <w:rPr>
          <w:rFonts w:ascii="Times New Roman" w:eastAsia="仿宋_GB2312" w:cs="仿宋_GB2312" w:hAnsi="Times New Roman"/>
          <w:color w:val="auto"/>
          <w:kern w:val="2"/>
          <w:sz w:val="32"/>
          <w:szCs w:val="32"/>
          <w:lang w:val="en-US" w:eastAsia="zh-CN" w:bidi="ar-SA"/>
          <w:highlight w:val="auto"/>
        </w:rPr>
        <w:t>。项目资金使用、拨付符合国家财经法规、财务管理制度及有关专项资金管理制度办法规定和审批程序，</w:t>
      </w:r>
      <w:r>
        <w:rPr>
          <w:rFonts w:ascii="Times New Roman" w:eastAsia="仿宋_GB2312" w:cs="仿宋_GB2312" w:hAnsi="Times New Roman" w:hint="eastAsia"/>
          <w:color w:val="auto"/>
          <w:kern w:val="2"/>
          <w:sz w:val="32"/>
          <w:szCs w:val="32"/>
          <w:lang w:val="en-US" w:eastAsia="zh-CN" w:bidi="ar-SA"/>
          <w:highlight w:val="auto"/>
        </w:rPr>
        <w:t>未</w:t>
      </w:r>
      <w:r>
        <w:rPr>
          <w:rFonts w:ascii="Times New Roman" w:eastAsia="仿宋_GB2312" w:cs="仿宋_GB2312" w:hAnsi="Times New Roman"/>
          <w:color w:val="auto"/>
          <w:kern w:val="2"/>
          <w:sz w:val="32"/>
          <w:szCs w:val="32"/>
          <w:lang w:val="en-US" w:eastAsia="zh-CN" w:bidi="ar-SA"/>
          <w:highlight w:val="auto"/>
        </w:rPr>
        <w:t>存在超范围、超标准、超进度使用专项资金，</w:t>
      </w:r>
      <w:r>
        <w:rPr>
          <w:rFonts w:ascii="Times New Roman" w:eastAsia="仿宋_GB2312" w:cs="仿宋_GB2312" w:hAnsi="Times New Roman" w:hint="eastAsia"/>
          <w:color w:val="auto"/>
          <w:kern w:val="2"/>
          <w:sz w:val="32"/>
          <w:szCs w:val="32"/>
          <w:lang w:val="en-US" w:eastAsia="zh-CN" w:bidi="ar-SA"/>
          <w:highlight w:val="auto"/>
        </w:rPr>
        <w:t>未</w:t>
      </w:r>
      <w:r>
        <w:rPr>
          <w:rFonts w:ascii="Times New Roman" w:eastAsia="仿宋_GB2312" w:cs="仿宋_GB2312" w:hAnsi="Times New Roman"/>
          <w:color w:val="auto"/>
          <w:kern w:val="2"/>
          <w:sz w:val="32"/>
          <w:szCs w:val="32"/>
          <w:lang w:val="en-US" w:eastAsia="zh-CN" w:bidi="ar-SA"/>
          <w:highlight w:val="auto"/>
        </w:rPr>
        <w:t>存在资金损失浪费、截留、挤占、挪用、虚列支出等情况，项目实施遵守相关法律法规，</w:t>
      </w:r>
      <w:r>
        <w:rPr>
          <w:rFonts w:ascii="Times New Roman" w:eastAsia="仿宋_GB2312" w:cs="仿宋_GB2312" w:hAnsi="Times New Roman" w:hint="eastAsia"/>
          <w:color w:val="auto"/>
          <w:kern w:val="2"/>
          <w:sz w:val="32"/>
          <w:szCs w:val="32"/>
          <w:lang w:val="en-US" w:eastAsia="zh-CN" w:bidi="ar-SA"/>
          <w:highlight w:val="auto"/>
        </w:rPr>
        <w:t>得分2分</w:t>
      </w:r>
      <w:r>
        <w:rPr>
          <w:rFonts w:ascii="Times New Roman" w:eastAsia="仿宋_GB2312" w:cs="仿宋_GB2312" w:hAnsi="Times New Roman"/>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b/>
          <w:bCs/>
          <w:color w:val="auto"/>
          <w:kern w:val="2"/>
          <w:sz w:val="32"/>
          <w:szCs w:val="32"/>
          <w:lang w:val="en-US" w:eastAsia="zh-CN" w:bidi="ar-SA"/>
          <w:highlight w:val="auto"/>
        </w:rPr>
        <w:t>4.项目结果。</w:t>
      </w:r>
      <w:r>
        <w:rPr>
          <w:rFonts w:ascii="Times New Roman" w:eastAsia="仿宋_GB2312" w:cs="仿宋_GB2312" w:hAnsi="Times New Roman"/>
          <w:color w:val="auto"/>
          <w:kern w:val="2"/>
          <w:sz w:val="32"/>
          <w:szCs w:val="32"/>
          <w:lang w:val="en-US" w:eastAsia="zh-CN" w:bidi="ar-SA"/>
          <w:highlight w:val="auto"/>
        </w:rPr>
        <w:t>项目完成预期目标，实施结果与</w:t>
      </w:r>
      <w:r>
        <w:rPr>
          <w:rFonts w:ascii="Times New Roman" w:eastAsia="仿宋_GB2312" w:cs="仿宋_GB2312" w:hAnsi="Times New Roman" w:hint="eastAsia"/>
          <w:color w:val="auto"/>
          <w:kern w:val="2"/>
          <w:sz w:val="32"/>
          <w:szCs w:val="32"/>
          <w:lang w:val="en-US" w:eastAsia="zh-CN" w:bidi="ar-SA"/>
          <w:highlight w:val="auto"/>
        </w:rPr>
        <w:t>部分</w:t>
      </w:r>
      <w:r>
        <w:rPr>
          <w:rFonts w:ascii="Times New Roman" w:eastAsia="仿宋_GB2312" w:cs="仿宋_GB2312" w:hAnsi="Times New Roman"/>
          <w:color w:val="auto"/>
          <w:kern w:val="2"/>
          <w:sz w:val="32"/>
          <w:szCs w:val="32"/>
          <w:lang w:val="en-US" w:eastAsia="zh-CN" w:bidi="ar-SA"/>
          <w:highlight w:val="auto"/>
        </w:rPr>
        <w:t>绩效目标相匹配，</w:t>
      </w:r>
      <w:r>
        <w:rPr>
          <w:rFonts w:ascii="Times New Roman" w:eastAsia="仿宋_GB2312" w:cs="仿宋_GB2312" w:hAnsi="Times New Roman" w:hint="eastAsia"/>
          <w:color w:val="auto"/>
          <w:kern w:val="2"/>
          <w:sz w:val="32"/>
          <w:szCs w:val="32"/>
          <w:lang w:val="en-US" w:eastAsia="zh-CN" w:bidi="ar-SA"/>
          <w:highlight w:val="auto"/>
        </w:rPr>
        <w:t>得分5分；</w:t>
      </w:r>
      <w:r>
        <w:rPr>
          <w:rFonts w:ascii="Times New Roman" w:eastAsia="仿宋_GB2312" w:cs="仿宋_GB2312" w:hAnsi="Times New Roman"/>
          <w:color w:val="auto"/>
          <w:kern w:val="2"/>
          <w:sz w:val="32"/>
          <w:szCs w:val="32"/>
          <w:lang w:val="en-US" w:eastAsia="zh-CN" w:bidi="ar-SA"/>
          <w:highlight w:val="auto"/>
        </w:rPr>
        <w:t>项目实际完成时间</w:t>
      </w:r>
      <w:r>
        <w:rPr>
          <w:rFonts w:ascii="Times New Roman" w:eastAsia="仿宋_GB2312" w:cs="仿宋_GB2312" w:hAnsi="Times New Roman" w:hint="eastAsia"/>
          <w:color w:val="auto"/>
          <w:kern w:val="2"/>
          <w:sz w:val="32"/>
          <w:szCs w:val="32"/>
          <w:lang w:val="en-US" w:eastAsia="zh-CN" w:bidi="ar-SA"/>
          <w:highlight w:val="auto"/>
        </w:rPr>
        <w:t>2025年12月份，计划时间相同，得分2.5分。</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rPr>
          <w:rFonts w:ascii="Times New Roman" w:eastAsia="楷体_GB2312" w:cs="Times New Roman" w:hAnsi="Times New Roman"/>
          <w:b/>
          <w:color w:val="auto"/>
          <w:sz w:val="32"/>
          <w:szCs w:val="32"/>
          <w:u w:val="none"/>
          <w:lang w:val="zh-CN" w:eastAsia="zh-CN"/>
          <w:highlight w:val="auto"/>
        </w:rPr>
      </w:pPr>
      <w:r>
        <w:rPr>
          <w:rFonts w:ascii="Times New Roman" w:eastAsia="楷体_GB2312" w:cs="Times New Roman" w:hAnsi="Times New Roman"/>
          <w:b/>
          <w:color w:val="auto"/>
          <w:sz w:val="32"/>
          <w:szCs w:val="32"/>
          <w:u w:val="none"/>
          <w:lang w:val="zh-CN" w:eastAsia="zh-CN"/>
          <w:highlight w:val="auto"/>
        </w:rPr>
        <w:t>（二）</w:t>
      </w:r>
      <w:r>
        <w:rPr>
          <w:rFonts w:ascii="Times New Roman" w:eastAsia="楷体_GB2312" w:cs="Times New Roman" w:hAnsi="Times New Roman"/>
          <w:b/>
          <w:color w:val="auto"/>
          <w:sz w:val="32"/>
          <w:szCs w:val="32"/>
          <w:u w:val="none"/>
          <w:lang w:val="en-US" w:eastAsia="zh-CN"/>
          <w:highlight w:val="auto"/>
        </w:rPr>
        <w:t>专用指标</w:t>
      </w:r>
      <w:r>
        <w:rPr>
          <w:rFonts w:ascii="Times New Roman" w:eastAsia="楷体_GB2312" w:cs="Times New Roman" w:hAnsi="Times New Roman"/>
          <w:b/>
          <w:color w:val="auto"/>
          <w:sz w:val="32"/>
          <w:szCs w:val="32"/>
          <w:u w:val="none"/>
          <w:lang w:val="zh-CN" w:eastAsia="zh-CN"/>
          <w:highlight w:val="auto"/>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Chars="200" w:firstLine="640"/>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该项目专用指标为</w:t>
      </w:r>
      <w:r>
        <w:rPr>
          <w:rFonts w:ascii="Times New Roman" w:eastAsia="仿宋_GB2312" w:cs="仿宋_GB2312" w:hAnsi="Times New Roman"/>
          <w:b/>
          <w:bCs/>
          <w:color w:val="auto"/>
          <w:kern w:val="2"/>
          <w:sz w:val="32"/>
          <w:szCs w:val="32"/>
          <w:lang w:val="zh-CN" w:eastAsia="zh-CN" w:bidi="ar-SA"/>
          <w:highlight w:val="auto"/>
        </w:rPr>
        <w:t>行政运转</w:t>
      </w:r>
      <w:r>
        <w:rPr>
          <w:rFonts w:ascii="Times New Roman" w:eastAsia="仿宋_GB2312" w:cs="仿宋_GB2312" w:hAnsi="Times New Roman"/>
          <w:b/>
          <w:bCs/>
          <w:color w:val="auto"/>
          <w:kern w:val="2"/>
          <w:sz w:val="32"/>
          <w:szCs w:val="32"/>
          <w:lang w:val="en-US" w:eastAsia="zh-CN" w:bidi="ar-SA"/>
          <w:highlight w:val="auto"/>
        </w:rPr>
        <w:t>类</w:t>
      </w:r>
      <w:r>
        <w:rPr>
          <w:rFonts w:ascii="Times New Roman" w:eastAsia="仿宋_GB2312" w:cs="仿宋_GB2312" w:hAnsi="Times New Roman"/>
          <w:b/>
          <w:bCs/>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该项目实施</w:t>
      </w:r>
      <w:r>
        <w:rPr>
          <w:rFonts w:ascii="Times New Roman" w:eastAsia="仿宋_GB2312" w:cs="仿宋_GB2312" w:hAnsi="Times New Roman"/>
          <w:color w:val="auto"/>
          <w:kern w:val="2"/>
          <w:sz w:val="32"/>
          <w:szCs w:val="32"/>
          <w:lang w:val="zh-CN" w:eastAsia="zh-CN" w:bidi="ar-SA"/>
          <w:highlight w:val="auto"/>
        </w:rPr>
        <w:t>按规定用途、适用范围进行本</w:t>
      </w:r>
      <w:r>
        <w:rPr>
          <w:rFonts w:ascii="Times New Roman" w:eastAsia="仿宋_GB2312" w:cs="仿宋_GB2312" w:hAnsi="Times New Roman" w:hint="eastAsia"/>
          <w:color w:val="auto"/>
          <w:kern w:val="2"/>
          <w:sz w:val="32"/>
          <w:szCs w:val="32"/>
          <w:lang w:val="en-US" w:eastAsia="zh-CN" w:bidi="ar-SA"/>
          <w:highlight w:val="auto"/>
        </w:rPr>
        <w:t>部门</w:t>
      </w:r>
      <w:r>
        <w:rPr>
          <w:rFonts w:ascii="Times New Roman" w:eastAsia="仿宋_GB2312" w:cs="仿宋_GB2312" w:hAnsi="Times New Roman"/>
          <w:color w:val="auto"/>
          <w:kern w:val="2"/>
          <w:sz w:val="32"/>
          <w:szCs w:val="32"/>
          <w:lang w:val="zh-CN" w:eastAsia="zh-CN" w:bidi="ar-SA"/>
          <w:highlight w:val="auto"/>
        </w:rPr>
        <w:t>专项资金分配</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资金管理程序符合专项资金管理要求</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资金分配标准符合专项资金管理要求</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得分10分</w:t>
      </w:r>
      <w:r>
        <w:rPr>
          <w:rFonts w:ascii="Times New Roman" w:eastAsia="仿宋_GB2312" w:cs="仿宋_GB2312" w:hAnsi="Times New Roman" w:hint="eastAsia"/>
          <w:color w:val="auto"/>
          <w:kern w:val="2"/>
          <w:sz w:val="32"/>
          <w:szCs w:val="32"/>
          <w:lang w:val="zh-CN" w:eastAsia="zh-CN" w:bidi="ar-SA"/>
          <w:highlight w:val="auto"/>
        </w:rPr>
        <w:t>。</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color w:val="auto"/>
          <w:sz w:val="32"/>
          <w:szCs w:val="32"/>
          <w:u w:val="none"/>
          <w:lang w:val="zh-CN"/>
          <w:highlight w:val="auto"/>
        </w:rPr>
        <w:t>（三）</w:t>
      </w:r>
      <w:r>
        <w:rPr>
          <w:rFonts w:ascii="Times New Roman" w:eastAsia="楷体_GB2312" w:cs="Times New Roman" w:hAnsi="Times New Roman"/>
          <w:b/>
          <w:color w:val="auto"/>
          <w:sz w:val="32"/>
          <w:szCs w:val="32"/>
          <w:u w:val="none"/>
          <w:lang w:val="en-US" w:eastAsia="zh-CN"/>
          <w:highlight w:val="auto"/>
        </w:rPr>
        <w:t>个性指标</w:t>
      </w:r>
      <w:r>
        <w:rPr>
          <w:rFonts w:ascii="Times New Roman" w:eastAsia="楷体_GB2312" w:cs="Times New Roman" w:hAnsi="Times New Roman"/>
          <w:b/>
          <w:color w:val="auto"/>
          <w:sz w:val="32"/>
          <w:szCs w:val="32"/>
          <w:u w:val="none"/>
          <w:lang w:val="zh-CN"/>
          <w:highlight w:val="auto"/>
        </w:rPr>
        <w:t>绩效分析。</w:t>
      </w:r>
      <w:r>
        <w:rPr>
          <w:rFonts w:ascii="Times New Roman" w:eastAsia="仿宋_GB2312" w:cs="仿宋_GB2312" w:hAnsi="Times New Roman"/>
          <w:color w:val="auto"/>
          <w:kern w:val="2"/>
          <w:sz w:val="32"/>
          <w:szCs w:val="32"/>
          <w:lang w:val="zh-CN" w:eastAsia="zh-CN" w:bidi="ar-SA"/>
          <w:highlight w:val="auto"/>
        </w:rPr>
        <w:t>根据项目个性自行设定人民群众满意度&gt;95%</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color w:val="auto"/>
          <w:kern w:val="2"/>
          <w:sz w:val="32"/>
          <w:szCs w:val="32"/>
          <w:lang w:val="zh-CN" w:eastAsia="zh-CN" w:bidi="ar-SA"/>
          <w:highlight w:val="auto"/>
        </w:rPr>
        <w:t>使用民警满意度&gt;95%指标，反映该项指标执行完成情况</w:t>
      </w:r>
      <w:r>
        <w:rPr>
          <w:rFonts w:ascii="Times New Roman" w:eastAsia="仿宋_GB2312" w:cs="仿宋_GB2312" w:hAnsi="Times New Roman" w:hint="eastAsia"/>
          <w:color w:val="auto"/>
          <w:kern w:val="2"/>
          <w:sz w:val="32"/>
          <w:szCs w:val="32"/>
          <w:lang w:val="zh-CN"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得分14分</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en-US" w:eastAsia="zh-CN"/>
          <w:highlight w:val="auto"/>
        </w:rPr>
      </w:pPr>
      <w:r>
        <w:rPr>
          <w:rFonts w:ascii="Times New Roman" w:eastAsia="黑体" w:cs="Times New Roman" w:hAnsi="Times New Roman"/>
          <w:sz w:val="32"/>
          <w:szCs w:val="32"/>
          <w:lang w:val="en-US" w:eastAsia="zh-CN"/>
          <w:highlight w:val="auto"/>
        </w:rPr>
        <w:t>四、评价结论</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2024年省级财政林业草原专项资金</w:t>
      </w:r>
      <w:r>
        <w:rPr>
          <w:rFonts w:ascii="Times New Roman" w:eastAsia="仿宋_GB2312" w:cs="仿宋_GB2312" w:hAnsi="Times New Roman"/>
          <w:color w:val="auto"/>
          <w:kern w:val="2"/>
          <w:sz w:val="32"/>
          <w:szCs w:val="32"/>
          <w:lang w:val="en-US" w:eastAsia="zh-CN" w:bidi="ar-SA"/>
          <w:highlight w:val="auto"/>
        </w:rPr>
        <w:t>专项预算项目绩效自评总分</w:t>
      </w:r>
      <w:r>
        <w:rPr>
          <w:rFonts w:ascii="Times New Roman" w:eastAsia="仿宋_GB2312" w:cs="仿宋_GB2312" w:hAnsi="Times New Roman" w:hint="eastAsia"/>
          <w:color w:val="auto"/>
          <w:kern w:val="2"/>
          <w:sz w:val="32"/>
          <w:szCs w:val="32"/>
          <w:lang w:val="en-US" w:eastAsia="zh-CN" w:bidi="ar-SA"/>
          <w:highlight w:val="auto"/>
        </w:rPr>
        <w:t>81分，其中通用指标绩效自评得分37分，专用指标绩效自评得分30分，个性指标绩效自评得分14分</w:t>
      </w:r>
      <w:r>
        <w:rPr>
          <w:rFonts w:ascii="Times New Roman" w:eastAsia="仿宋_GB2312" w:cs="仿宋_GB2312" w:hAnsi="Times New Roman"/>
          <w:color w:val="auto"/>
          <w:kern w:val="2"/>
          <w:sz w:val="32"/>
          <w:szCs w:val="32"/>
          <w:lang w:val="zh-CN" w:eastAsia="zh-CN" w:bidi="ar-SA"/>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五、存在主要问题</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该</w:t>
      </w:r>
      <w:r>
        <w:rPr>
          <w:rFonts w:ascii="Times New Roman" w:eastAsia="仿宋_GB2312" w:cs="仿宋_GB2312" w:hAnsi="Times New Roman"/>
          <w:color w:val="auto"/>
          <w:kern w:val="2"/>
          <w:sz w:val="32"/>
          <w:szCs w:val="32"/>
          <w:lang w:val="en-US" w:eastAsia="zh-CN" w:bidi="ar-SA"/>
          <w:highlight w:val="auto"/>
        </w:rPr>
        <w:t>专项预算项目绩效自评发现</w:t>
      </w:r>
      <w:r>
        <w:rPr>
          <w:rFonts w:ascii="Times New Roman" w:eastAsia="仿宋_GB2312" w:cs="仿宋_GB2312" w:hAnsi="Times New Roman" w:hint="eastAsia"/>
          <w:color w:val="auto"/>
          <w:kern w:val="2"/>
          <w:sz w:val="32"/>
          <w:szCs w:val="32"/>
          <w:lang w:val="en-US" w:eastAsia="zh-CN" w:bidi="ar-SA"/>
          <w:highlight w:val="auto"/>
        </w:rPr>
        <w:t>存在绩效目标设置偏离度较高，项目预算执行进度较慢</w:t>
      </w:r>
      <w:r>
        <w:rPr>
          <w:rFonts w:ascii="Times New Roman" w:eastAsia="仿宋_GB2312" w:cs="仿宋_GB2312" w:hAnsi="Times New Roman"/>
          <w:color w:val="auto"/>
          <w:kern w:val="2"/>
          <w:sz w:val="32"/>
          <w:szCs w:val="32"/>
          <w:lang w:val="en-US" w:eastAsia="zh-CN" w:bidi="ar-SA"/>
          <w:highlight w:val="auto"/>
        </w:rPr>
        <w:t>问题。</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textAlignment w:val="auto"/>
        <w:rPr>
          <w:rFonts w:ascii="Times New Roman" w:eastAsia="黑体" w:cs="Times New Roman" w:hAnsi="Times New Roman"/>
          <w:sz w:val="32"/>
          <w:szCs w:val="32"/>
          <w:lang w:val="zh-CN" w:eastAsia="zh-CN"/>
          <w:highlight w:val="auto"/>
        </w:rPr>
      </w:pPr>
      <w:r>
        <w:rPr>
          <w:rFonts w:ascii="Times New Roman" w:eastAsia="黑体" w:cs="Times New Roman" w:hAnsi="Times New Roman"/>
          <w:sz w:val="32"/>
          <w:szCs w:val="32"/>
          <w:lang w:val="zh-CN" w:eastAsia="zh-CN"/>
          <w:highlight w:val="auto"/>
        </w:rPr>
        <w:t>六、改进建议</w:t>
      </w:r>
    </w:p>
    <w:p>
      <w:pPr>
        <w:tabs>
          <w:tab w:val="left" w:pos="1911"/>
        </w:tabs>
        <w:jc w:val="left"/>
        <w:rPr>
          <w:rFonts w:ascii="Times New Roman" w:eastAsia="仿宋_GB2312" w:cs="仿宋_GB2312" w:hAnsi="Times New Roman"/>
          <w:color w:val="auto"/>
          <w:kern w:val="2"/>
          <w:sz w:val="32"/>
          <w:szCs w:val="32"/>
          <w:lang w:eastAsia="zh-CN" w:bidi="ar-SA"/>
          <w:highlight w:val="auto"/>
        </w:rPr>
      </w:pPr>
      <w:r>
        <w:rPr>
          <w:rFonts w:ascii="Times New Roman" w:eastAsia="仿宋_GB2312" w:cs="Times New Roman" w:hAnsi="Times New Roman"/>
          <w:color w:val="auto"/>
          <w:kern w:val="0"/>
          <w:sz w:val="32"/>
          <w:szCs w:val="32"/>
          <w:u w:val="none"/>
          <w:shd w:val="clear" w:color="auto" w:fill="FFFFFF"/>
          <w:lang w:val="zh-CN" w:eastAsia="zh-CN"/>
          <w:highlight w:val="auto"/>
        </w:rPr>
        <w:t xml:space="preserve"> </w:t>
      </w:r>
      <w:r>
        <w:rPr>
          <w:rFonts w:ascii="Times New Roman" w:cs="Times New Roman" w:hAnsi="Times New Roman"/>
          <w:b w:val="0"/>
          <w:bCs w:val="0"/>
          <w:kern w:val="0"/>
          <w:position w:val="0"/>
          <w:sz w:val="32"/>
          <w:szCs w:val="32"/>
          <w:lang w:val="en-US" w:eastAsia="zh-CN" w:bidi="ar-SA"/>
          <w:highlight w:val="auto"/>
        </w:rPr>
        <w:t xml:space="preserve">   </w:t>
      </w:r>
      <w:r>
        <w:rPr>
          <w:rFonts w:ascii="Times New Roman" w:eastAsia="仿宋_GB2312" w:cs="仿宋_GB2312" w:hAnsi="Times New Roman" w:hint="eastAsia"/>
          <w:color w:val="auto"/>
          <w:kern w:val="2"/>
          <w:sz w:val="32"/>
          <w:szCs w:val="32"/>
          <w:lang w:val="en-US" w:eastAsia="zh-CN" w:bidi="ar-SA"/>
          <w:highlight w:val="auto"/>
        </w:rPr>
        <w:t>针对存在的主要问题，一是要加强对建设部门绩效目标设置的指导，定期督促建设部门根据实际情况完成绩效目标调整；二是督促建设部门明确项目经办人员并定期报告项目建设情况。</w:t>
      </w:r>
      <w:bookmarkStart w:id="64" w:name="_Hlk110546638"/>
    </w:p>
    <w:p>
      <w:pPr>
        <w:keepNext w:val="0"/>
        <w:keepLines w:val="0"/>
        <w:pageBreakBefore w:val="0"/>
        <w:widowControl w:val="0"/>
        <w:kinsoku/>
        <w:wordWrap/>
        <w:overflowPunct/>
        <w:topLinePunct w:val="0"/>
        <w:autoSpaceDE/>
        <w:autoSpaceDN/>
        <w:bidi w:val="0"/>
        <w:spacing w:line="578" w:lineRule="exact"/>
        <w:textAlignment w:val="auto"/>
        <w:outlineLvl w:val="9"/>
        <w:rPr>
          <w:rFonts w:ascii="Times New Roman" w:eastAsia="仿宋_GB2312" w:cs="仿宋_GB2312" w:hAnsi="Times New Roman" w:hint="eastAsia"/>
          <w:b/>
          <w:bCs/>
          <w:kern w:val="0"/>
          <w:position w:val="0"/>
          <w:sz w:val="32"/>
          <w:szCs w:val="32"/>
          <w:lang w:val="en-US" w:eastAsia="zh-CN" w:bidi="ar-SA"/>
          <w:highlight w:val="auto"/>
        </w:rPr>
      </w:pPr>
      <w:bookmarkEnd w:id="64"/>
      <w:r>
        <w:rPr>
          <w:rFonts w:ascii="Times New Roman" w:eastAsia="仿宋_GB2312" w:cs="仿宋_GB2312" w:hAnsi="Times New Roman" w:hint="eastAsia"/>
          <w:b/>
          <w:bCs/>
          <w:kern w:val="0"/>
          <w:position w:val="0"/>
          <w:sz w:val="32"/>
          <w:szCs w:val="32"/>
          <w:lang w:val="en-US" w:eastAsia="zh-CN" w:bidi="ar-SA"/>
          <w:highlight w:val="auto"/>
        </w:rPr>
        <w:t>（</w:t>
      </w:r>
      <w:r>
        <w:rPr>
          <w:rFonts w:eastAsia="仿宋_GB2312" w:cs="仿宋_GB2312" w:hint="eastAsia"/>
          <w:b/>
          <w:bCs/>
          <w:kern w:val="0"/>
          <w:position w:val="0"/>
          <w:sz w:val="32"/>
          <w:szCs w:val="32"/>
          <w:lang w:val="en-US" w:eastAsia="zh-CN" w:bidi="ar-SA"/>
          <w:highlight w:val="auto"/>
        </w:rPr>
        <w:t>其余8个专项预算项目均涉密，绩效自评报告不宜公开</w:t>
      </w:r>
      <w:r>
        <w:rPr>
          <w:rFonts w:ascii="Times New Roman" w:eastAsia="仿宋_GB2312" w:cs="仿宋_GB2312" w:hAnsi="Times New Roman" w:hint="eastAsia"/>
          <w:b/>
          <w:bCs/>
          <w:kern w:val="0"/>
          <w:position w:val="0"/>
          <w:sz w:val="32"/>
          <w:szCs w:val="32"/>
          <w:lang w:val="en-US" w:eastAsia="zh-CN" w:bidi="ar-SA"/>
          <w:highlight w:val="auto"/>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65"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pStyle w:val="1"/>
        <w:ind w:firstLineChars="500" w:firstLine="2200"/>
        <w:jc w:val="both"/>
        <w:rPr>
          <w:rFonts w:ascii="Times New Roman" w:eastAsia="仿宋" w:hAnsi="Times New Roman" w:hint="eastAsia"/>
          <w:b w:val="0"/>
          <w:color w:val="auto"/>
          <w:highlight w:val="auto"/>
        </w:rPr>
      </w:pPr>
      <w:bookmarkStart w:id="66" w:name="_Toc11650"/>
      <w:r>
        <w:rPr>
          <w:rStyle w:val="1Char"/>
          <w:rFonts w:ascii="Times New Roman" w:eastAsia="方正小标宋简体" w:cs="方正小标宋简体" w:hAnsi="Times New Roman" w:hint="eastAsia"/>
          <w:b w:val="0"/>
          <w:bCs w:val="0"/>
          <w:color w:val="auto"/>
          <w:highlight w:val="auto"/>
        </w:rPr>
        <w:t>第五部分 附表</w:t>
      </w:r>
      <w:bookmarkStart w:id="67" w:name="_Toc15396619"/>
      <w:bookmarkEnd w:id="60"/>
      <w:bookmarkEnd w:id="65"/>
      <w:bookmarkEnd w:id="6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6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8" w:name="_Toc15396620"/>
      <w:r>
        <w:rPr>
          <w:rFonts w:ascii="Times New Roman" w:eastAsia="仿宋_GB2312" w:cs="仿宋_GB2312" w:hAnsi="Times New Roman" w:hint="eastAsia"/>
          <w:color w:val="auto"/>
          <w:sz w:val="32"/>
          <w:szCs w:val="32"/>
          <w:highlight w:val="auto"/>
        </w:rPr>
        <w:t>二、收入决算表</w:t>
      </w:r>
      <w:bookmarkEnd w:id="6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9" w:name="_Toc15396621"/>
      <w:r>
        <w:rPr>
          <w:rFonts w:ascii="Times New Roman" w:eastAsia="仿宋_GB2312" w:cs="仿宋_GB2312" w:hAnsi="Times New Roman" w:hint="eastAsia"/>
          <w:color w:val="auto"/>
          <w:sz w:val="32"/>
          <w:szCs w:val="32"/>
          <w:highlight w:val="auto"/>
        </w:rPr>
        <w:t>三、支出决算表</w:t>
      </w:r>
      <w:bookmarkEnd w:id="6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0" w:name="_Toc15396622"/>
      <w:r>
        <w:rPr>
          <w:rFonts w:ascii="Times New Roman" w:eastAsia="仿宋_GB2312" w:cs="仿宋_GB2312" w:hAnsi="Times New Roman" w:hint="eastAsia"/>
          <w:color w:val="auto"/>
          <w:sz w:val="32"/>
          <w:szCs w:val="32"/>
          <w:highlight w:val="auto"/>
        </w:rPr>
        <w:t>四、财政拨款收入支出决算总表</w:t>
      </w:r>
      <w:bookmarkEnd w:id="7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1" w:name="_Toc15396623"/>
      <w:r>
        <w:rPr>
          <w:rFonts w:ascii="Times New Roman" w:eastAsia="仿宋_GB2312" w:cs="仿宋_GB2312" w:hAnsi="Times New Roman" w:hint="eastAsia"/>
          <w:color w:val="auto"/>
          <w:sz w:val="32"/>
          <w:szCs w:val="32"/>
          <w:highlight w:val="auto"/>
        </w:rPr>
        <w:t>五、财政拨款支出决算明细表</w:t>
      </w:r>
      <w:bookmarkStart w:id="72" w:name="_Toc15396624"/>
      <w:bookmarkEnd w:id="7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7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3" w:name="_Toc15396625"/>
      <w:r>
        <w:rPr>
          <w:rFonts w:ascii="Times New Roman" w:eastAsia="仿宋_GB2312" w:cs="仿宋_GB2312" w:hAnsi="Times New Roman" w:hint="eastAsia"/>
          <w:color w:val="auto"/>
          <w:sz w:val="32"/>
          <w:szCs w:val="32"/>
          <w:highlight w:val="auto"/>
        </w:rPr>
        <w:t>七、一般公共预算财政拨款支出决算明细表</w:t>
      </w:r>
      <w:bookmarkEnd w:id="7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4" w:name="_Toc15396626"/>
      <w:r>
        <w:rPr>
          <w:rFonts w:ascii="Times New Roman" w:eastAsia="仿宋_GB2312" w:cs="仿宋_GB2312" w:hAnsi="Times New Roman" w:hint="eastAsia"/>
          <w:color w:val="auto"/>
          <w:sz w:val="32"/>
          <w:szCs w:val="32"/>
          <w:highlight w:val="auto"/>
        </w:rPr>
        <w:t>八、一般公共预算财政拨款基本支出决算表</w:t>
      </w:r>
      <w:bookmarkEnd w:id="7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5" w:name="_Toc15396627"/>
      <w:r>
        <w:rPr>
          <w:rFonts w:ascii="Times New Roman" w:eastAsia="仿宋_GB2312" w:cs="仿宋_GB2312" w:hAnsi="Times New Roman" w:hint="eastAsia"/>
          <w:color w:val="auto"/>
          <w:sz w:val="32"/>
          <w:szCs w:val="32"/>
          <w:highlight w:val="auto"/>
        </w:rPr>
        <w:t>九、一般公共预算财政拨款项目支出决算表</w:t>
      </w:r>
      <w:bookmarkEnd w:id="7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6" w:name="_Toc15396628"/>
      <w:r>
        <w:rPr>
          <w:rFonts w:ascii="Times New Roman" w:eastAsia="仿宋_GB2312" w:cs="仿宋_GB2312" w:hAnsi="Times New Roman" w:hint="eastAsia"/>
          <w:color w:val="auto"/>
          <w:sz w:val="32"/>
          <w:szCs w:val="32"/>
          <w:highlight w:val="auto"/>
        </w:rPr>
        <w:t>十、</w:t>
      </w:r>
      <w:bookmarkEnd w:id="76"/>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7" w:name="_Toc15396629"/>
      <w:r>
        <w:rPr>
          <w:rFonts w:ascii="Times New Roman" w:eastAsia="仿宋_GB2312" w:cs="仿宋_GB2312" w:hAnsi="Times New Roman" w:hint="eastAsia"/>
          <w:color w:val="auto"/>
          <w:sz w:val="32"/>
          <w:szCs w:val="32"/>
          <w:highlight w:val="auto"/>
        </w:rPr>
        <w:t>十一、</w:t>
      </w:r>
      <w:bookmarkEnd w:id="77"/>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78" w:name="_Toc15396630"/>
      <w:r>
        <w:rPr>
          <w:rFonts w:ascii="Times New Roman" w:eastAsia="仿宋_GB2312" w:cs="仿宋_GB2312" w:hAnsi="Times New Roman" w:hint="eastAsia"/>
          <w:color w:val="auto"/>
          <w:sz w:val="32"/>
          <w:szCs w:val="32"/>
          <w:highlight w:val="auto"/>
        </w:rPr>
        <w:t>十二、</w:t>
      </w:r>
      <w:bookmarkEnd w:id="78"/>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79" w:name="_Toc15396631"/>
      <w:r>
        <w:rPr>
          <w:rFonts w:ascii="Times New Roman" w:eastAsia="仿宋_GB2312" w:cs="仿宋_GB2312" w:hAnsi="Times New Roman" w:hint="eastAsia"/>
          <w:color w:val="auto"/>
          <w:sz w:val="32"/>
          <w:szCs w:val="32"/>
          <w:highlight w:val="auto"/>
        </w:rPr>
        <w:t>十三、</w:t>
      </w:r>
      <w:bookmarkEnd w:id="79"/>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宋体">
    <w:panose1 w:val="02010600030101010101"/>
    <w:charset w:val="7A"/>
    <w:family w:val="auto"/>
    <w:pitch w:val="variable"/>
    <w:sig w:usb0="000002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微软雅黑">
    <w:altName w:val="宋体"/>
    <w:panose1 w:val="020B0503020204020204"/>
    <w:charset w:val="86"/>
    <w:family w:val="auto"/>
    <w:pitch w:val="variable"/>
    <w:sig w:usb0="80000287" w:usb1="2ACF3C50" w:usb2="00000016" w:usb3="00000000" w:csb0="0004001F" w:csb1="00000000"/>
  </w:font>
  <w:font w:name="仿宋">
    <w:panose1 w:val="02010609060101010101"/>
    <w:charset w:val="86"/>
    <w:family w:val="modern"/>
    <w:pitch w:val="variable"/>
    <w:sig w:usb0="800002BF" w:usb1="38CF7CFA" w:usb2="00000016" w:usb3="00000000" w:csb0="00040001"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0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r>
      <w:rPr>
        <w:sz w:val="18"/>
      </w:rPr>
      <mc:AlternateContent>
        <mc:Choice Requires="wps">
          <w:drawing>
            <wp:anchor distT="0" distB="0" distL="114298" distR="114298" simplePos="0" relativeHeight="37" behindDoc="0" locked="0" layoutInCell="1" hidden="0" allowOverlap="1">
              <wp:simplePos x="0" y="0"/>
              <wp:positionH relativeFrom="margin">
                <wp:align>right</wp:align>
              </wp:positionH>
              <wp:positionV relativeFrom="paragraph">
                <wp:posOffset>0</wp:posOffset>
              </wp:positionV>
              <wp:extent cx="57150" cy="131559"/>
              <wp:effectExtent l="0" t="0" r="0" b="0"/>
              <wp:wrapNone/>
              <wp:docPr id="1" name="文本框 4"/>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2">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4 3" o:spid="_x0000_s3" filled="f" stroked="f" strokeweight="0.5pt" style="position:absolute;margin-left:0.0pt;margin-top:0.0pt;width:4.5pt;height:10.359pt;z-index:37;mso-position-horizontal:right;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19"/>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pPr>
    <w:r>
      <mc:AlternateContent>
        <mc:Choice Requires="wps">
          <w:drawing>
            <wp:anchor distT="0" distB="0" distL="114298" distR="114298" simplePos="0" relativeHeight="39" behindDoc="0" locked="0" layoutInCell="1" hidden="0" allowOverlap="1">
              <wp:simplePos x="0" y="0"/>
              <wp:positionH relativeFrom="margin">
                <wp:align>outside</wp:align>
              </wp:positionH>
              <wp:positionV relativeFrom="paragraph">
                <wp:posOffset>0</wp:posOffset>
              </wp:positionV>
              <wp:extent cx="721360" cy="383737"/>
              <wp:effectExtent l="0" t="0" r="0" b="0"/>
              <wp:wrapNone/>
              <wp:docPr id="4" name="文本框 6"/>
              <wp:cNvGraphicFramePr>
                <a:graphicFrameLocks noChangeAspect="0"/>
              </wp:cNvGraphicFramePr>
              <a:graphic>
                <a:graphicData uri="http://schemas.microsoft.com/office/word/2010/wordprocessingShape">
                  <wps:wsp>
                    <wps:cNvSpPr/>
                    <wps:spPr>
                      <a:xfrm rot="0">
                        <a:off x="0" y="0"/>
                        <a:ext cx="721360" cy="383737"/>
                      </a:xfrm>
                      <a:prstGeom prst="rect"/>
                      <a:noFill/>
                      <a:ln w="6350" cmpd="sng" cap="flat">
                        <a:noFill/>
                        <a:prstDash val="solid"/>
                        <a:round/>
                      </a:ln>
                    </wps:spPr>
                    <wps:txbx id="5">
                      <w:txbxContent>
                        <w:p>
                          <w:pPr>
                            <w:pStyle w:val="19"/>
                            <w:tabs>
                              <w:tab w:val="center" w:pos="4153"/>
                              <w:tab w:val="right" w:pos="8306"/>
                            </w:tabs>
                            <w:ind w:rightChars="141" w:right="296"/>
                            <w:jc w:val="right"/>
                            <w:rPr>
                              <w:rFonts w:ascii="宋体"/>
                              <w:sz w:val="28"/>
                              <w:szCs w:val="28"/>
                            </w:rPr>
                          </w:pPr>
                          <w:r>
                            <w:rPr>
                              <w:rFonts w:ascii="宋体"/>
                              <w:sz w:val="28"/>
                              <w:szCs w:val="28"/>
                            </w:rPr>
                            <w:fldChar w:fldCharType="begin"/>
                          </w:r>
                          <w:r>
                            <w:rPr>
                              <w:rFonts w:ascii="宋体"/>
                              <w:sz w:val="28"/>
                              <w:szCs w:val="28"/>
                            </w:rPr>
                            <w:instrText>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6 -</w:t>
                          </w:r>
                          <w:r>
                            <w:rPr>
                              <w:rFonts w:ascii="宋体"/>
                              <w:sz w:val="28"/>
                              <w:szCs w:val="28"/>
                            </w:rPr>
                            <w:fldChar w:fldCharType="end"/>
                          </w:r>
                        </w:p>
                        <w:p/>
                      </w:txbxContent>
                    </wps:txbx>
                    <wps:bodyPr vert="horz" wrap="none" lIns="0" tIns="0" rIns="0" bIns="0" anchor="t" anchorCtr="0" upright="0">
                      <a:spAutoFit/>
                    </wps:bodyPr>
                  </wps:wsp>
                </a:graphicData>
              </a:graphic>
            </wp:anchor>
          </w:drawing>
        </mc:Choice>
        <mc:Fallback>
          <w:pict>
            <v:shape type="#_x0000_t202" id="文本框 6 6" o:spid="_x0000_s6" filled="f" stroked="f" strokeweight="0.5pt" style="position:absolute;margin-left:-0.0024261104pt;margin-top:0.0pt;width:56.800007pt;height:30.215513pt;z-index:39;mso-position-horizontal:outside;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19"/>
                      <w:tabs>
                        <w:tab w:val="center" w:pos="4153"/>
                        <w:tab w:val="right" w:pos="8306"/>
                      </w:tabs>
                      <w:ind w:rightChars="141" w:right="296"/>
                      <w:jc w:val="right"/>
                      <w:rPr>
                        <w:rFonts w:ascii="宋体"/>
                        <w:sz w:val="28"/>
                        <w:szCs w:val="28"/>
                      </w:rPr>
                    </w:pPr>
                    <w:r>
                      <w:rPr>
                        <w:rFonts w:ascii="宋体"/>
                        <w:sz w:val="28"/>
                        <w:szCs w:val="28"/>
                      </w:rPr>
                      <w:fldChar w:fldCharType="begin"/>
                    </w:r>
                    <w:r>
                      <w:rPr>
                        <w:rFonts w:ascii="宋体"/>
                        <w:sz w:val="28"/>
                        <w:szCs w:val="28"/>
                      </w:rPr>
                      <w:instrText>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6 -</w:t>
                    </w:r>
                    <w:r>
                      <w:rPr>
                        <w:rFonts w:ascii="宋体"/>
                        <w:sz w:val="28"/>
                        <w:szCs w:val="28"/>
                      </w:rPr>
                      <w:fldChar w:fldCharType="end"/>
                    </w:r>
                  </w:p>
                  <w:p/>
                </w:txbxContent>
              </v:textbox>
            </v:shape>
          </w:pict>
        </mc:Fallback>
      </mc:AlternateContent>
    </w: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r>
      <w:rPr>
        <w:sz w:val="18"/>
      </w:rPr>
      <mc:AlternateContent>
        <mc:Choice Requires="wps">
          <w:drawing>
            <wp:anchor distT="0" distB="0" distL="114298" distR="114298" simplePos="0" relativeHeight="35" behindDoc="0" locked="0" layoutInCell="1" hidden="0" allowOverlap="1">
              <wp:simplePos x="0" y="0"/>
              <wp:positionH relativeFrom="margin">
                <wp:align>right</wp:align>
              </wp:positionH>
              <wp:positionV relativeFrom="paragraph">
                <wp:posOffset>0</wp:posOffset>
              </wp:positionV>
              <wp:extent cx="114300" cy="131559"/>
              <wp:effectExtent l="0" t="0" r="0" b="0"/>
              <wp:wrapNone/>
              <wp:docPr id="14" name="文本框 14"/>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15">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4 16" o:spid="_x0000_s16" filled="f" stroked="f" strokeweight="0.5pt" style="position:absolute;margin-left:0.0pt;margin-top:0.0pt;width:9.000046pt;height:10.358989pt;z-index:35;mso-position-horizontal:right;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19"/>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8B73E3A"/>
    <w:multiLevelType w:val="singleLevel"/>
    <w:tmpl w:val="D8B73E3A"/>
    <w:lvl w:ilvl="0">
      <w:start w:val="4"/>
      <w:numFmt w:val="chineseCounting"/>
      <w:lvlRestart w:val="0"/>
      <w:suff w:val="space"/>
      <w:lvlText w:val="第%1部分"/>
      <w:lvlJc w:val="left"/>
      <w:pPr>
        <w:ind w:left="0" w:hanging="0"/>
      </w:pPr>
      <w:rPr>
        <w:rFonts w:hint="eastAsia"/>
        <w:sz w:val="44"/>
        <w:szCs w:val="44"/>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5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pPr>
      <w:spacing w:after="120"/>
      <w:ind w:leftChars="200" w:left="200"/>
    </w:pPr>
    <w:rPr>
      <w:rFonts w:ascii="仿宋_GB2312" w:hAnsi="仿宋_GB2312"/>
      <w:szCs w:val="32"/>
    </w:rPr>
  </w:style>
  <w:style w:type="paragraph" w:styleId="17">
    <w:name w:val="toc 3"/>
    <w:basedOn w:val="0"/>
    <w:next w:val="0"/>
    <w:pPr>
      <w:tabs>
        <w:tab w:val="right" w:leader="dot" w:pos="8296"/>
      </w:tabs>
      <w:ind w:leftChars="400" w:left="400"/>
    </w:pPr>
  </w:style>
  <w:style w:type="paragraph" w:styleId="18">
    <w:name w:val="Balloon Text"/>
    <w:basedOn w:val="0"/>
    <w:rPr>
      <w:sz w:val="18"/>
      <w:szCs w:val="18"/>
    </w:rPr>
  </w:style>
  <w:style w:type="paragraph" w:styleId="19">
    <w:name w:val="footer"/>
    <w:basedOn w:val="0"/>
    <w:pPr>
      <w:tabs>
        <w:tab w:val="center" w:pos="4153"/>
        <w:tab w:val="right" w:pos="8306"/>
      </w:tabs>
      <w:snapToGrid w:val="0"/>
      <w:jc w:val="left"/>
    </w:pPr>
    <w:rPr>
      <w:rFonts w:ascii="Calibri" w:hAnsi="Calibri"/>
      <w:kern w:val="0"/>
      <w:sz w:val="18"/>
      <w:szCs w:val="18"/>
    </w:rPr>
  </w:style>
  <w:style w:type="paragraph" w:styleId="20">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1">
    <w:name w:val="toc 1"/>
    <w:basedOn w:val="0"/>
    <w:next w:val="0"/>
    <w:pPr>
      <w:tabs>
        <w:tab w:val="right" w:leader="dot" w:pos="8296"/>
      </w:tabs>
      <w:spacing w:before="93"/>
      <w:jc w:val="center"/>
    </w:pPr>
    <w:rPr>
      <w:rFonts w:ascii="仿宋" w:eastAsia="仿宋"/>
      <w:sz w:val="28"/>
      <w:szCs w:val="28"/>
    </w:rPr>
  </w:style>
  <w:style w:type="paragraph" w:styleId="22">
    <w:name w:val="footnote text"/>
    <w:basedOn w:val="0"/>
    <w:next w:val="23"/>
    <w:pPr>
      <w:snapToGrid w:val="0"/>
      <w:jc w:val="left"/>
    </w:pPr>
    <w:rPr>
      <w:sz w:val="18"/>
      <w:szCs w:val="18"/>
    </w:rPr>
  </w:style>
  <w:style w:type="paragraph" w:styleId="23">
    <w:name w:val="Body Text First Indent 2"/>
    <w:basedOn w:val="16"/>
    <w:pPr>
      <w:ind w:firstLineChars="200" w:firstLine="200"/>
    </w:p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7"/>
    <w:pPr>
      <w:widowControl w:val="0"/>
      <w:jc w:val="both"/>
    </w:pPr>
    <w:rPr>
      <w:rFonts w:ascii="Times New Roman" w:eastAsia="宋体" w:cs="Times New Roman" w:hAnsi="Times New Roman"/>
      <w:kern w:val="2"/>
      <w:sz w:val="21"/>
      <w:szCs w:val="20"/>
      <w:lang w:val="en-US" w:eastAsia="zh-CN"/>
    </w:rPr>
  </w:style>
  <w:style w:type="paragraph" w:customStyle="1" w:styleId="37">
    <w:name w:val="正文-公1"/>
    <w:basedOn w:val="36"/>
    <w:next w:val="0"/>
    <w:pPr>
      <w:ind w:firstLineChars="200" w:firstLine="2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header" Target="header3.xml"/><Relationship Id="rId8" Type="http://schemas.openxmlformats.org/officeDocument/2006/relationships/footer" Target="footer4.xml"/><Relationship Id="rId9" Type="http://schemas.openxmlformats.org/officeDocument/2006/relationships/chart" Target="charts/chart1.xml"/><Relationship Id="rId10" Type="http://schemas.openxmlformats.org/officeDocument/2006/relationships/chart" Target="charts/chart2.xml"/><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chart" Target="charts/chart5.xml"/><Relationship Id="rId14" Type="http://schemas.openxmlformats.org/officeDocument/2006/relationships/chart" Target="charts/chart6.xml"/><Relationship Id="rId15" Type="http://schemas.openxmlformats.org/officeDocument/2006/relationships/chart" Target="charts/chart7.xml"/><Relationship Id="rId16" Type="http://schemas.openxmlformats.org/officeDocument/2006/relationships/footer" Target="footer5.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收入、支出决算总计变动图</a:t>
            </a:r>
          </a:p>
        </c:rich>
      </c:tx>
      <c:layout/>
      <c:overlay val="0"/>
      <c:spPr>
        <a:noFill/>
        <a:ln>
          <a:noFill/>
        </a:ln>
      </c:spPr>
    </c:title>
    <c:autoTitleDeleted val="1"/>
    <c:plotArea>
      <c:layout/>
      <c:barChart>
        <c:barDir val="col"/>
        <c:grouping val="clustered"/>
        <c:varyColors val="0"/>
        <c:ser>
          <c:idx val="0"/>
          <c:order val="0"/>
          <c:tx>
            <c:strRef>
              <c:f>'Sheet1'!$A$2</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'Sheet1'!$B$1:$C$1</c:f>
              <c:strCache>
                <c:ptCount val="2"/>
                <c:pt idx="0">
                  <c:v>收入决算数</c:v>
                </c:pt>
                <c:pt idx="1">
                  <c:v>支出决算数</c:v>
                </c:pt>
              </c:strCache>
            </c:strRef>
          </c:cat>
          <c:val>
            <c:numRef>
              <c:f>'Sheet1'!$B$2:$C$2</c:f>
              <c:numCache>
                <c:formatCode>General</c:formatCode>
                <c:ptCount val="2"/>
                <c:pt idx="0">
                  <c:v>30717.25</c:v>
                </c:pt>
                <c:pt idx="1">
                  <c:v>30711.65</c:v>
                </c:pt>
              </c:numCache>
            </c:numRef>
          </c:val>
        </c:ser>
        <c:ser>
          <c:idx val="1"/>
          <c:order val="1"/>
          <c:tx>
            <c:strRef>
              <c:f>'Sheet1'!$A$3</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'Sheet1'!$B$1:$C$1</c:f>
              <c:strCache>
                <c:ptCount val="2"/>
                <c:pt idx="0">
                  <c:v>收入决算数</c:v>
                </c:pt>
                <c:pt idx="1">
                  <c:v>支出决算数</c:v>
                </c:pt>
              </c:strCache>
            </c:strRef>
          </c:cat>
          <c:val>
            <c:numRef>
              <c:f>'Sheet1'!$B$3:$C$3</c:f>
              <c:numCache>
                <c:formatCode>#,##0.00</c:formatCode>
                <c:ptCount val="2"/>
                <c:pt idx="0">
                  <c:v>29738.51</c:v>
                </c:pt>
                <c:pt idx="1">
                  <c:v>29790.01</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27000.0"/>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majorUnit val="400.0"/>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收入决算结构图</a:t>
            </a:r>
          </a:p>
        </c:rich>
      </c:tx>
      <c:layout/>
      <c:overlay val="0"/>
      <c:spPr>
        <a:noFill/>
        <a:ln>
          <a:noFill/>
        </a:ln>
      </c:spPr>
    </c:title>
    <c:autoTitleDeleted val="1"/>
    <c:plotArea>
      <c:layout/>
      <c:pieChart>
        <c:varyColors val="1"/>
        <c:ser>
          <c:idx val="0"/>
          <c:order val="0"/>
          <c:tx>
            <c:strRef>
              <c:f>'Sheet1 (2)'!$B$1</c:f>
              <c:strCache>
                <c:ptCount val="1"/>
                <c:pt idx="0">
                  <c:v>收入决算数</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1026537"/>
                  <c:y val="-0.1531165"/>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(2)'!$A$2:$A$3</c:f>
              <c:strCache>
                <c:ptCount val="2"/>
                <c:pt idx="0">
                  <c:v>一般公共预算收入</c:v>
                </c:pt>
                <c:pt idx="1">
                  <c:v>其他收入</c:v>
                </c:pt>
              </c:strCache>
            </c:strRef>
          </c:cat>
          <c:val>
            <c:numRef>
              <c:f>'Sheet1 (2)'!$B$2:$B$3</c:f>
              <c:numCache>
                <c:formatCode>#,##0.00</c:formatCode>
                <c:ptCount val="2"/>
                <c:pt idx="0">
                  <c:v>29726.51</c:v>
                </c:pt>
                <c:pt idx="1">
                  <c:v>12.0</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支出决算结构图</a:t>
            </a:r>
          </a:p>
        </c:rich>
      </c:tx>
      <c:layout/>
      <c:overlay val="0"/>
      <c:spPr>
        <a:noFill/>
        <a:ln>
          <a:noFill/>
        </a:ln>
      </c:spPr>
    </c:title>
    <c:autoTitleDeleted val="1"/>
    <c:plotArea>
      <c:layout/>
      <c:pieChart>
        <c:varyColors val="1"/>
        <c:ser>
          <c:idx val="0"/>
          <c:order val="0"/>
          <c:tx>
            <c:strRef>
              <c:f>'Sheet1 (3)'!$B$1</c:f>
              <c:strCache>
                <c:ptCount val="1"/>
                <c:pt idx="0">
                  <c:v>支出决算数</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9603769"/>
                  <c:y val="-0.11474713"/>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1"/>
              <c:layout>
                <c:manualLayout>
                  <c:x val="0.0533806"/>
                  <c:y val="0.07759631"/>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(3)'!$A$2:$A$3</c:f>
              <c:strCache>
                <c:ptCount val="2"/>
                <c:pt idx="0">
                  <c:v>基本支出</c:v>
                </c:pt>
                <c:pt idx="1">
                  <c:v>项目支出</c:v>
                </c:pt>
              </c:strCache>
            </c:strRef>
          </c:cat>
          <c:val>
            <c:numRef>
              <c:f>'Sheet1 (3)'!$B$2:$B$3</c:f>
              <c:numCache>
                <c:formatCode>#,##0.00</c:formatCode>
                <c:ptCount val="2"/>
                <c:pt idx="0">
                  <c:v>22800.11</c:v>
                </c:pt>
                <c:pt idx="1">
                  <c:v>6929.4</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财政拨款收、支决算总计变动图</a:t>
            </a:r>
          </a:p>
        </c:rich>
      </c:tx>
      <c:layout/>
      <c:overlay val="0"/>
      <c:spPr>
        <a:noFill/>
        <a:ln>
          <a:noFill/>
        </a:ln>
      </c:spPr>
    </c:title>
    <c:autoTitleDeleted val="1"/>
    <c:plotArea>
      <c:layout/>
      <c:barChart>
        <c:barDir val="col"/>
        <c:grouping val="clustered"/>
        <c:varyColors val="0"/>
        <c:ser>
          <c:idx val="0"/>
          <c:order val="0"/>
          <c:tx>
            <c:strRef>
              <c:f>'Sheet1 (4)'!$B$1</c:f>
              <c:strCache>
                <c:ptCount val="1"/>
                <c:pt idx="0">
                  <c:v>2024年</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财政拨款收入决算数</c:v>
                </c:pt>
                <c:pt idx="1">
                  <c:v>财政拨款支出决算数</c:v>
                </c:pt>
              </c:strCache>
            </c:strRef>
          </c:cat>
          <c:val>
            <c:numRef>
              <c:f>'Sheet1 (4)'!$B$2:$B$3</c:f>
              <c:numCache>
                <c:formatCode>General</c:formatCode>
                <c:ptCount val="2"/>
                <c:pt idx="0">
                  <c:v>30703.3</c:v>
                </c:pt>
                <c:pt idx="1">
                  <c:v>30703.3</c:v>
                </c:pt>
              </c:numCache>
            </c:numRef>
          </c:val>
        </c:ser>
        <c:ser>
          <c:idx val="1"/>
          <c:order val="1"/>
          <c:tx>
            <c:strRef>
              <c:f>'Sheet1 (4)'!$C$1</c:f>
              <c:strCache>
                <c:ptCount val="1"/>
                <c:pt idx="0">
                  <c:v>2025年</c:v>
                </c:pt>
              </c:strCache>
            </c:strRef>
          </c:tx>
          <c:spPr>
            <a:solidFill>
              <a:srgbClr val="C0504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财政拨款收入决算数</c:v>
                </c:pt>
                <c:pt idx="1">
                  <c:v>财政拨款支出决算数</c:v>
                </c:pt>
              </c:strCache>
            </c:strRef>
          </c:cat>
          <c:val>
            <c:numRef>
              <c:f>'Sheet1 (4)'!$C$2:$C$3</c:f>
              <c:numCache>
                <c:formatCode>#,##0.00</c:formatCode>
                <c:ptCount val="2"/>
                <c:pt idx="0">
                  <c:v>29726.51</c:v>
                </c:pt>
                <c:pt idx="1">
                  <c:v>29726.51</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26000.0"/>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majorUnit val="500.0"/>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一般公共预算财政拨款支出决算变动图</a:t>
            </a:r>
          </a:p>
        </c:rich>
      </c:tx>
      <c:layout/>
      <c:overlay val="0"/>
      <c:spPr>
        <a:noFill/>
        <a:ln>
          <a:noFill/>
        </a:ln>
      </c:spPr>
    </c:title>
    <c:autoTitleDeleted val="1"/>
    <c:plotArea>
      <c:layout/>
      <c:barChart>
        <c:barDir val="col"/>
        <c:grouping val="clustered"/>
        <c:varyColors val="0"/>
        <c:ser>
          <c:idx val="0"/>
          <c:order val="0"/>
          <c:tx>
            <c:strRef>
              <c:f>'Sheet1 (5)'!$A$2</c:f>
              <c:strCache>
                <c:ptCount val="1"/>
                <c:pt idx="0">
                  <c:v>一般公共预算财政拨款支出决算数</c:v>
                </c:pt>
              </c:strCache>
            </c:strRef>
          </c:tx>
          <c:spPr>
            <a:solidFill>
              <a:srgbClr val="558ED5"/>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(5)'!$B$1:$C$1</c:f>
              <c:strCache>
                <c:ptCount val="2"/>
                <c:pt idx="0">
                  <c:v>2024年</c:v>
                </c:pt>
                <c:pt idx="1">
                  <c:v>2025年</c:v>
                </c:pt>
              </c:strCache>
            </c:strRef>
          </c:cat>
          <c:val>
            <c:numRef>
              <c:f>'Sheet1 (5)'!$B$2:$C$2</c:f>
              <c:numCache>
                <c:formatCode>#,##0.00</c:formatCode>
                <c:ptCount val="2"/>
                <c:pt idx="0">
                  <c:v>30703.3</c:v>
                </c:pt>
                <c:pt idx="1">
                  <c:v>29726.51</c:v>
                </c:pt>
              </c:numCache>
            </c:numRef>
          </c:val>
        </c:ser>
        <c:overlap val="-28"/>
        <c:gapWidth val="246"/>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26000.0"/>
        </c:scaling>
        <c:delete val="0"/>
        <c:axPos val="l"/>
        <c:majorGridlines>
          <c:spPr>
            <a:ln w="6350">
              <a:solidFill>
                <a:srgbClr val="E6E6E6"/>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majorUnit val="500.0"/>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a:t>
            </a:r>
          </a:p>
        </c:rich>
      </c:tx>
      <c:layout/>
      <c:overlay val="0"/>
      <c:spPr>
        <a:noFill/>
        <a:ln>
          <a:noFill/>
        </a:ln>
      </c:spPr>
    </c:title>
    <c:autoTitleDeleted val="0"/>
    <c:plotArea>
      <c:layout/>
      <c:pieChart>
        <c:varyColors val="1"/>
        <c:ser>
          <c:idx val="0"/>
          <c:order val="0"/>
          <c:tx>
            <c:strRef>
              <c:f>'Sheet1 (6)'!$B$1</c:f>
              <c:strCache>
                <c:ptCount val="1"/>
                <c:pt idx="0">
                  <c:v>一般公共预算财政拨款支出</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8335347"/>
                  <c:y val="-0.13705908"/>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1"/>
              <c:layout>
                <c:manualLayout>
                  <c:x val="-0.014074343"/>
                  <c:y val="0.055150133"/>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2"/>
              <c:layout>
                <c:manualLayout>
                  <c:x val="-0.0596597"/>
                  <c:y val="0.011083497"/>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3"/>
              <c:layout>
                <c:manualLayout>
                  <c:x val="0.11437451"/>
                  <c:y val="0.011277585"/>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(6)'!$A$2:$A$5</c:f>
              <c:strCache>
                <c:ptCount val="4"/>
                <c:pt idx="0">
                  <c:v>公共安全支出</c:v>
                </c:pt>
                <c:pt idx="1">
                  <c:v>社会保障和就业支出</c:v>
                </c:pt>
                <c:pt idx="2">
                  <c:v>卫生健康支出</c:v>
                </c:pt>
                <c:pt idx="3">
                  <c:v>住房保障支出</c:v>
                </c:pt>
              </c:strCache>
            </c:strRef>
          </c:cat>
          <c:val>
            <c:numRef>
              <c:f>'Sheet1 (6)'!$B$2:$B$5</c:f>
              <c:numCache>
                <c:formatCode>_ * #,##0.00_ ;_ * -#,##0.00_ ;_ * "-"??_ ;_ @_ </c:formatCode>
                <c:ptCount val="4"/>
                <c:pt idx="0">
                  <c:v>24622.55</c:v>
                </c:pt>
                <c:pt idx="1">
                  <c:v>2557.28</c:v>
                </c:pt>
                <c:pt idx="2">
                  <c:v>1072.96</c:v>
                </c:pt>
                <c:pt idx="3">
                  <c:v>1473.72</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1" i="0" u="none" strike="noStrike" baseline="0">
                <a:solidFill>
                  <a:srgbClr val="404040"/>
                </a:solidFill>
                <a:latin typeface="Times New Roman"/>
                <a:ea typeface="宋体"/>
                <a:cs typeface="Lucida Sans"/>
              </a:rPr>
              <a:t>财政拨款</a:t>
            </a:r>
            <a:r>
              <a:rPr lang="zh-CN" sz="1400" b="1" i="0" u="none" strike="noStrike" baseline="0">
                <a:solidFill>
                  <a:srgbClr val="404040"/>
                </a:solidFill>
                <a:latin typeface="Times New Roman"/>
                <a:ea typeface="宋体"/>
                <a:cs typeface="Lucida Sans"/>
              </a:rPr>
              <a:t>“</a:t>
            </a:r>
            <a:r>
              <a:rPr lang="zh-CN" sz="1400" b="1" i="0" u="none" strike="noStrike" baseline="0">
                <a:solidFill>
                  <a:srgbClr val="404040"/>
                </a:solidFill>
                <a:latin typeface="Times New Roman"/>
                <a:ea typeface="宋体"/>
                <a:cs typeface="Lucida Sans"/>
              </a:rPr>
              <a:t>三公</a:t>
            </a:r>
            <a:r>
              <a:rPr lang="zh-CN" sz="1400" b="1" i="0" u="none" strike="noStrike" baseline="0">
                <a:solidFill>
                  <a:srgbClr val="404040"/>
                </a:solidFill>
                <a:latin typeface="Times New Roman"/>
                <a:ea typeface="宋体"/>
                <a:cs typeface="Lucida Sans"/>
              </a:rPr>
              <a:t>”</a:t>
            </a:r>
            <a:r>
              <a:rPr lang="zh-CN" sz="1400" b="1" i="0" u="none" strike="noStrike" baseline="0">
                <a:solidFill>
                  <a:srgbClr val="404040"/>
                </a:solidFill>
                <a:latin typeface="Times New Roman"/>
                <a:ea typeface="宋体"/>
                <a:cs typeface="Lucida Sans"/>
              </a:rPr>
              <a:t>经费支出结构图</a:t>
            </a:r>
          </a:p>
        </c:rich>
      </c:tx>
      <c:layout/>
      <c:overlay val="0"/>
      <c:spPr>
        <a:noFill/>
        <a:ln>
          <a:noFill/>
        </a:ln>
      </c:spPr>
    </c:title>
    <c:autoTitleDeleted val="1"/>
    <c:plotArea>
      <c:layout/>
      <c:pieChart>
        <c:varyColors val="1"/>
        <c:ser>
          <c:idx val="0"/>
          <c:order val="0"/>
          <c:tx>
            <c:strRef>
              <c:f>'Sheet1 (7)'!$A$2</c:f>
              <c:strCache>
                <c:ptCount val="1"/>
                <c:pt idx="0">
                  <c:v>“三公”经费支出</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00%" sourceLinked="0"/>
            <c:dLbl>
              <c:idx val="0"/>
              <c:layout>
                <c:manualLayout>
                  <c:x val="-0.044620723"/>
                  <c:y val="0.0"/>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1"/>
              <c:layout>
                <c:manualLayout>
                  <c:x val="7.570058E-4"/>
                  <c:y val="-0.16285908"/>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dLbl>
              <c:idx val="2"/>
              <c:layout>
                <c:manualLayout>
                  <c:x val="0.09977945"/>
                  <c:y val="0.008644244"/>
                </c:manualLayout>
              </c:layout>
              <c:numFmt formatCode="0.00%" sourceLinked="0"/>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Ref>
              <c:f>'Sheet1 (7)'!$B$1:$D$1</c:f>
              <c:strCache>
                <c:ptCount val="3"/>
                <c:pt idx="0">
                  <c:v>因公出国（境）费</c:v>
                </c:pt>
                <c:pt idx="1">
                  <c:v>公务用车购置及运行维护费</c:v>
                </c:pt>
                <c:pt idx="2">
                  <c:v>公务接待费</c:v>
                </c:pt>
              </c:strCache>
            </c:strRef>
          </c:cat>
          <c:val>
            <c:numRef>
              <c:f>'Sheet1 (7)'!$B$2:$D$2</c:f>
              <c:numCache>
                <c:formatCode>General</c:formatCode>
                <c:ptCount val="3"/>
                <c:pt idx="0">
                  <c:v>0.0</c:v>
                </c:pt>
                <c:pt idx="1">
                  <c:v>359.72</c:v>
                </c:pt>
                <c:pt idx="2">
                  <c:v>0.33</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233</TotalTime>
  <Application>Yozo_Office27021597764231179</Application>
  <Pages>79</Pages>
  <Words>27567</Words>
  <Characters>32009</Characters>
  <Lines>6043</Lines>
  <Paragraphs>4216</Paragraphs>
  <CharactersWithSpaces>32124</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2026-09-15T20:31:03Z</cp:lastPrinted>
  <dcterms:created xsi:type="dcterms:W3CDTF">2020-08-08T17:49:00Z</dcterms:created>
  <dcterms:modified xsi:type="dcterms:W3CDTF">2026-09-16T09:41:03Z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2052-12.1.0.21541</vt:lpwstr>
  </property>
  <property fmtid="{D5CDD505-2E9C-101B-9397-08002B2CF9AE}" pid="3" name="ICV">
    <vt:lpwstr>3BF536824C220DA3E40E8B68BA118B1C_42</vt:lpwstr>
  </property>
  <property fmtid="{D5CDD505-2E9C-101B-9397-08002B2CF9AE}" pid="4" name="KSOTemplateDocerSaveRecord">
    <vt:lpwstr>eyJoZGlkIjoiMzMzNTllZjc0YmYzNWYzYTkzYWY5ZWNmNDk3ZjY3M2IiLCJ1c2VySWQiOiI0NDIwNDI4OTEifQ==</vt:lpwstr>
  </property>
</Properties>
</file>