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rPr>
          <w:rFonts w:ascii="华文仿宋" w:eastAsia="华文仿宋"/>
          <w:sz w:val="32"/>
          <w:szCs w:val="32"/>
        </w:rPr>
      </w:pPr>
      <w:bookmarkStart w:id="0" w:name="_Toc15396597"/>
      <w:bookmarkStart w:id="1" w:name="_Toc15377425"/>
      <w:bookmarkStart w:id="2" w:name="_Toc15396475"/>
      <w:bookmarkStart w:id="3" w:name="_Toc15378441"/>
      <w:bookmarkStart w:id="4" w:name="_Toc15377193"/>
      <w:bookmarkStart w:id="5" w:name="_Toc15306267"/>
    </w:p>
    <w:p>
      <w:pPr>
        <w:spacing w:line="600" w:lineRule="exact"/>
        <w:jc w:val="center"/>
        <w:rPr>
          <w:rFonts w:ascii="华文仿宋" w:eastAsia="华文仿宋"/>
          <w:sz w:val="32"/>
          <w:szCs w:val="32"/>
        </w:rPr>
      </w:pPr>
    </w:p>
    <w:p>
      <w:pPr>
        <w:spacing w:line="600" w:lineRule="exact"/>
        <w:jc w:val="center"/>
        <w:rPr>
          <w:rFonts w:ascii="华文仿宋" w:eastAsia="华文仿宋"/>
          <w:sz w:val="32"/>
          <w:szCs w:val="32"/>
        </w:rPr>
      </w:pPr>
    </w:p>
    <w:p>
      <w:pPr>
        <w:spacing w:line="600" w:lineRule="exact"/>
        <w:jc w:val="center"/>
        <w:rPr>
          <w:rFonts w:ascii="华文仿宋" w:eastAsia="华文仿宋"/>
          <w:sz w:val="52"/>
          <w:szCs w:val="52"/>
        </w:rPr>
      </w:pPr>
    </w:p>
    <w:p>
      <w:pPr>
        <w:adjustRightInd w:val="0"/>
        <w:snapToGrid w:val="0"/>
        <w:spacing w:line="360" w:lineRule="auto"/>
        <w:jc w:val="center"/>
        <w:outlineLvl w:val="0"/>
        <w:rPr>
          <w:rFonts w:ascii="方正小标宋简体" w:eastAsia="方正小标宋简体" w:cs="方正小标宋简体"/>
          <w:sz w:val="52"/>
          <w:szCs w:val="52"/>
        </w:rPr>
      </w:pPr>
      <w:bookmarkStart w:id="6" w:name="_Toc25801"/>
      <w:r>
        <w:rPr>
          <w:rFonts w:ascii="方正小标宋简体" w:eastAsia="方正小标宋简体" w:cs="方正小标宋简体" w:hint="eastAsia"/>
          <w:sz w:val="52"/>
          <w:szCs w:val="52"/>
        </w:rPr>
        <w:t>202</w:t>
      </w:r>
      <w:r>
        <w:rPr>
          <w:rFonts w:ascii="方正小标宋简体" w:eastAsia="方正小标宋简体" w:cs="方正小标宋简体" w:hint="eastAsia"/>
          <w:sz w:val="52"/>
          <w:szCs w:val="52"/>
          <w:lang w:val="en-US" w:eastAsia="zh-CN"/>
        </w:rPr>
        <w:t>5</w:t>
      </w:r>
      <w:r>
        <w:rPr>
          <w:rFonts w:ascii="方正小标宋简体" w:eastAsia="方正小标宋简体" w:cs="方正小标宋简体" w:hint="eastAsia"/>
          <w:sz w:val="52"/>
          <w:szCs w:val="52"/>
        </w:rPr>
        <w:t>年度</w:t>
      </w:r>
      <w:bookmarkEnd w:id="0"/>
      <w:bookmarkEnd w:id="1"/>
      <w:bookmarkEnd w:id="2"/>
      <w:bookmarkEnd w:id="3"/>
      <w:bookmarkEnd w:id="4"/>
      <w:bookmarkEnd w:id="6"/>
    </w:p>
    <w:p>
      <w:pPr>
        <w:adjustRightInd w:val="0"/>
        <w:snapToGrid w:val="0"/>
        <w:spacing w:line="360" w:lineRule="auto"/>
        <w:jc w:val="center"/>
        <w:outlineLvl w:val="0"/>
        <w:rPr>
          <w:rFonts w:ascii="方正小标宋简体" w:eastAsia="方正小标宋简体" w:cs="方正小标宋简体"/>
          <w:sz w:val="52"/>
          <w:szCs w:val="52"/>
        </w:rPr>
      </w:pPr>
      <w:bookmarkStart w:id="7" w:name="_Toc19059"/>
      <w:bookmarkStart w:id="8" w:name="_Toc15378442"/>
      <w:bookmarkStart w:id="9" w:name="_Toc15377426"/>
      <w:bookmarkStart w:id="10" w:name="_Toc15377194"/>
      <w:bookmarkStart w:id="11" w:name="_Toc15396476"/>
      <w:bookmarkStart w:id="12" w:name="_Toc15396598"/>
      <w:r>
        <w:rPr>
          <w:rFonts w:ascii="方正小标宋简体" w:eastAsia="方正小标宋简体" w:cs="方正小标宋简体" w:hint="eastAsia"/>
          <w:sz w:val="52"/>
          <w:szCs w:val="52"/>
        </w:rPr>
        <w:t>阿坝州</w:t>
      </w:r>
      <w:bookmarkStart w:id="13" w:name="_Toc15306268"/>
      <w:bookmarkEnd w:id="5"/>
      <w:r>
        <w:rPr>
          <w:rFonts w:ascii="方正小标宋简体" w:eastAsia="方正小标宋简体" w:cs="方正小标宋简体" w:hint="eastAsia"/>
          <w:sz w:val="52"/>
          <w:szCs w:val="52"/>
        </w:rPr>
        <w:t>公安局交通</w:t>
      </w:r>
      <w:r>
        <w:rPr>
          <w:rFonts w:ascii="方正小标宋简体" w:eastAsia="方正小标宋简体" w:cs="方正小标宋简体"/>
          <w:sz w:val="52"/>
          <w:szCs w:val="52"/>
        </w:rPr>
        <w:t>管理</w:t>
      </w:r>
      <w:r>
        <w:rPr>
          <w:rFonts w:ascii="方正小标宋简体" w:eastAsia="方正小标宋简体" w:cs="方正小标宋简体" w:hint="eastAsia"/>
          <w:sz w:val="52"/>
          <w:szCs w:val="52"/>
        </w:rPr>
        <w:t>支队</w:t>
      </w:r>
      <w:bookmarkEnd w:id="7"/>
    </w:p>
    <w:p>
      <w:pPr>
        <w:adjustRightInd w:val="0"/>
        <w:snapToGrid w:val="0"/>
        <w:spacing w:line="360" w:lineRule="auto"/>
        <w:jc w:val="center"/>
        <w:outlineLvl w:val="0"/>
        <w:rPr>
          <w:rFonts w:ascii="方正小标宋简体" w:eastAsia="方正小标宋简体" w:cs="方正小标宋简体"/>
          <w:sz w:val="52"/>
          <w:szCs w:val="52"/>
        </w:rPr>
      </w:pPr>
      <w:bookmarkStart w:id="14" w:name="_Toc28723"/>
      <w:r>
        <w:rPr>
          <w:rFonts w:ascii="方正小标宋简体" w:eastAsia="方正小标宋简体" w:cs="方正小标宋简体" w:hint="eastAsia"/>
          <w:sz w:val="52"/>
          <w:szCs w:val="52"/>
        </w:rPr>
        <w:t>单位决算</w:t>
      </w:r>
      <w:bookmarkEnd w:id="8"/>
      <w:bookmarkEnd w:id="9"/>
      <w:bookmarkEnd w:id="10"/>
      <w:bookmarkEnd w:id="11"/>
      <w:bookmarkEnd w:id="12"/>
      <w:bookmarkEnd w:id="13"/>
      <w:bookmarkEnd w:id="14"/>
    </w:p>
    <w:p>
      <w:pPr>
        <w:pStyle w:val="15"/>
        <w:spacing w:beforeLines="0" w:before="93"/>
        <w:rPr>
          <w:rFonts w:ascii="华文仿宋" w:eastAsia="华文仿宋"/>
          <w:sz w:val="32"/>
          <w:szCs w:val="32"/>
        </w:rPr>
      </w:pPr>
    </w:p>
    <w:p>
      <w:pPr>
        <w:pStyle w:val="15"/>
        <w:spacing w:beforeLines="0" w:before="93"/>
        <w:rPr>
          <w:rFonts w:ascii="华文仿宋" w:eastAsia="华文仿宋"/>
          <w:sz w:val="32"/>
          <w:szCs w:val="32"/>
        </w:rPr>
      </w:pPr>
    </w:p>
    <w:p>
      <w:pPr>
        <w:pStyle w:val="15"/>
        <w:spacing w:beforeLines="0" w:before="93"/>
        <w:rPr>
          <w:rFonts w:ascii="华文仿宋" w:eastAsia="华文仿宋"/>
          <w:sz w:val="32"/>
          <w:szCs w:val="32"/>
        </w:rPr>
      </w:pPr>
      <w:r>
        <w:rPr>
          <w:rFonts w:ascii="华文仿宋" w:eastAsia="华文仿宋" w:hint="eastAsia"/>
          <w:sz w:val="32"/>
          <w:szCs w:val="32"/>
        </w:rPr>
        <w:t xml:space="preserve"> </w:t>
      </w:r>
    </w:p>
    <w:p>
      <w:pPr>
        <w:pStyle w:val="15"/>
        <w:spacing w:beforeLines="0" w:before="93"/>
        <w:rPr>
          <w:rFonts w:ascii="华文仿宋" w:eastAsia="华文仿宋"/>
          <w:sz w:val="32"/>
          <w:szCs w:val="32"/>
        </w:rPr>
      </w:pPr>
    </w:p>
    <w:p>
      <w:pPr>
        <w:pStyle w:val="15"/>
        <w:spacing w:beforeLines="0" w:before="93"/>
        <w:rPr>
          <w:rFonts w:ascii="华文仿宋" w:eastAsia="华文仿宋"/>
          <w:sz w:val="32"/>
          <w:szCs w:val="32"/>
        </w:rPr>
      </w:pPr>
    </w:p>
    <w:p>
      <w:pPr>
        <w:pStyle w:val="15"/>
        <w:spacing w:beforeLines="0" w:before="93"/>
        <w:rPr>
          <w:rFonts w:ascii="华文仿宋" w:eastAsia="华文仿宋"/>
          <w:sz w:val="32"/>
          <w:szCs w:val="32"/>
        </w:rPr>
      </w:pPr>
    </w:p>
    <w:p>
      <w:pPr>
        <w:pStyle w:val="15"/>
        <w:spacing w:beforeLines="0" w:before="93"/>
        <w:rPr>
          <w:rFonts w:ascii="华文仿宋" w:eastAsia="华文仿宋"/>
          <w:sz w:val="32"/>
          <w:szCs w:val="32"/>
        </w:rPr>
      </w:pPr>
    </w:p>
    <w:p>
      <w:pPr>
        <w:pStyle w:val="15"/>
        <w:spacing w:beforeLines="0" w:before="93"/>
        <w:rPr>
          <w:rFonts w:ascii="华文仿宋" w:eastAsia="华文仿宋"/>
          <w:sz w:val="32"/>
          <w:szCs w:val="32"/>
        </w:rPr>
      </w:pPr>
    </w:p>
    <w:p>
      <w:pPr>
        <w:pStyle w:val="15"/>
        <w:spacing w:beforeLines="0" w:before="93"/>
        <w:rPr>
          <w:rFonts w:ascii="华文仿宋" w:eastAsia="华文仿宋"/>
          <w:sz w:val="32"/>
          <w:szCs w:val="32"/>
        </w:rPr>
      </w:pPr>
    </w:p>
    <w:p>
      <w:pPr>
        <w:widowControl/>
        <w:jc w:val="center"/>
        <w:rPr>
          <w:rFonts w:ascii="华文仿宋" w:eastAsia="华文仿宋" w:cs="仿宋_GB2312"/>
          <w:sz w:val="32"/>
          <w:szCs w:val="32"/>
        </w:rPr>
      </w:pPr>
      <w:r>
        <w:rPr>
          <w:rFonts w:ascii="华文仿宋" w:eastAsia="华文仿宋" w:cs="仿宋_GB2312" w:hint="eastAsia"/>
          <w:sz w:val="32"/>
          <w:szCs w:val="32"/>
        </w:rPr>
        <w:t>已经保密审查、内容审定，同意对外公开</w:t>
      </w:r>
    </w:p>
    <w:p>
      <w:pPr>
        <w:pStyle w:val="20"/>
        <w:tabs>
          <w:tab w:val="right" w:leader="dot" w:pos="8296"/>
        </w:tabs>
        <w:rPr>
          <w:rFonts w:ascii="黑体" w:eastAsia="黑体" w:cs="黑体"/>
          <w:b/>
          <w:bCs/>
        </w:rPr>
        <w:sectPr>
          <w:headerReference w:type="default" r:id="rId2"/>
          <w:footerReference w:type="default" r:id="rId3"/>
          <w:pgSz w:w="11906" w:h="16838"/>
          <w:pgMar w:top="1440" w:right="1800" w:bottom="1440" w:left="1800" w:header="851" w:footer="992" w:gutter="0"/>
          <w:pgNumType w:start="1"/>
          <w:titlePg/>
          <w:docGrid w:type="lines" w:linePitch="312" w:charSpace="0"/>
        </w:sectPr>
      </w:pPr>
    </w:p>
    <w:sdt>
      <w:sdtPr>
        <w:rPr>
          <w:rFonts w:ascii="黑体" w:eastAsia="黑体" w:cs="黑体" w:hint="eastAsia"/>
          <w:b/>
          <w:bCs/>
          <w:sz w:val="32"/>
          <w:szCs w:val="32"/>
        </w:rPr>
        <w:id w:val="-2072511853"/>
        <w15:color w:val="DBDBDB"/>
        <w:docPartObj>
          <w:docPartGallery w:val="Table of Contents"/>
          <w:docPartUnique/>
        </w:docPartObj>
      </w:sdtPr>
      <w:sdtEndPr>
        <w:rPr>
          <w:rFonts w:ascii="Arial" w:cs="Times New Roman" w:hAnsi="Arial"/>
          <w:sz w:val="24"/>
          <w:szCs w:val="28"/>
        </w:rPr>
      </w:sdtEndPr>
      <w:sdtContent>
        <w:p>
          <w:pPr>
            <w:pStyle w:val="20"/>
            <w:tabs>
              <w:tab w:val="right" w:leader="dot" w:pos="8296"/>
            </w:tabs>
            <w:rPr>
              <w:rFonts w:ascii="黑体" w:eastAsia="黑体" w:cs="黑体"/>
              <w:b/>
              <w:bCs/>
              <w:sz w:val="32"/>
              <w:szCs w:val="32"/>
            </w:rPr>
          </w:pPr>
          <w:r>
            <w:rPr>
              <w:rFonts w:ascii="黑体" w:eastAsia="黑体" w:cs="黑体" w:hint="eastAsia"/>
              <w:b/>
              <w:bCs/>
              <w:sz w:val="32"/>
              <w:szCs w:val="32"/>
            </w:rPr>
            <w:t>目 录</w:t>
          </w:r>
        </w:p>
        <w:p>
          <w:pPr>
            <w:pStyle w:val="20"/>
            <w:tabs>
              <w:tab w:val="right" w:leader="dot" w:pos="8296"/>
            </w:tabs>
          </w:pPr>
          <w:r>
            <w:rPr>
              <w:rFonts w:ascii="黑体" w:eastAsia="黑体" w:cs="黑体" w:hint="eastAsia"/>
              <w:b/>
              <w:bCs/>
              <w:sz w:val="32"/>
              <w:szCs w:val="32"/>
            </w:rPr>
            <w:t>公开时间：202</w:t>
          </w:r>
          <w:r>
            <w:rPr>
              <w:rFonts w:ascii="黑体" w:eastAsia="黑体" w:cs="黑体" w:hint="eastAsia"/>
              <w:b/>
              <w:bCs/>
              <w:sz w:val="32"/>
              <w:szCs w:val="32"/>
              <w:lang w:val="en-US" w:eastAsia="zh-CN"/>
            </w:rPr>
            <w:t>6</w:t>
          </w:r>
          <w:r>
            <w:rPr>
              <w:rFonts w:ascii="黑体" w:eastAsia="黑体" w:cs="黑体" w:hint="eastAsia"/>
              <w:b/>
              <w:bCs/>
              <w:sz w:val="32"/>
              <w:szCs w:val="32"/>
            </w:rPr>
            <w:t>年9月</w:t>
          </w:r>
          <w:r>
            <w:rPr>
              <w:rFonts w:ascii="黑体" w:eastAsia="黑体" w:cs="黑体" w:hint="eastAsia"/>
              <w:b/>
              <w:bCs/>
              <w:sz w:val="32"/>
              <w:szCs w:val="32"/>
              <w:lang w:val="en-US" w:eastAsia="zh-CN"/>
            </w:rPr>
            <w:t>10</w:t>
          </w:r>
          <w:r>
            <w:rPr>
              <w:rFonts w:ascii="黑体" w:eastAsia="黑体" w:cs="黑体" w:hint="eastAsia"/>
              <w:b/>
              <w:bCs/>
              <w:sz w:val="32"/>
              <w:szCs w:val="32"/>
            </w:rPr>
            <w:t>日</w:t>
          </w:r>
          <w:r>
            <w:fldChar w:fldCharType="begin"/>
          </w:r>
          <w:r>
            <w:instrText xml:space="preserve">TOC \o "1-3" \h \u </w:instrText>
          </w:r>
          <w:r>
            <w:fldChar w:fldCharType="separate"/>
          </w:r>
        </w:p>
        <w:p>
          <w:pPr>
            <w:pStyle w:val="20"/>
            <w:tabs>
              <w:tab w:val="clear" w:pos="8296"/>
              <w:tab w:val="right" w:leader="dot" w:pos="8306"/>
            </w:tabs>
            <w:rPr>
              <w:rFonts w:ascii="黑体" w:eastAsia="黑体" w:cs="黑体"/>
              <w:sz w:val="32"/>
              <w:szCs w:val="32"/>
            </w:rPr>
          </w:pPr>
          <w:r>
            <w:fldChar w:fldCharType="begin"/>
          </w:r>
          <w:r>
            <w:instrText xml:space="preserve"> HYPERLINK \l "_Toc14635" </w:instrText>
          </w:r>
          <w:r>
            <w:fldChar w:fldCharType="separate"/>
          </w:r>
          <w:r>
            <w:rPr>
              <w:rFonts w:ascii="黑体" w:eastAsia="黑体" w:cs="黑体" w:hint="eastAsia"/>
              <w:bCs/>
              <w:sz w:val="32"/>
              <w:szCs w:val="32"/>
            </w:rPr>
            <w:t>第一部分 单位概况</w:t>
          </w:r>
          <w:r>
            <w:rPr>
              <w:rFonts w:ascii="黑体" w:eastAsia="黑体" w:cs="黑体" w:hint="eastAsia"/>
              <w:sz w:val="32"/>
              <w:szCs w:val="32"/>
            </w:rPr>
            <w:tab/>
          </w:r>
          <w:r>
            <w:rPr>
              <w:rFonts w:ascii="黑体" w:eastAsia="黑体" w:cs="黑体" w:hint="eastAsia"/>
              <w:sz w:val="32"/>
              <w:szCs w:val="32"/>
            </w:rPr>
            <w:fldChar w:fldCharType="begin"/>
          </w:r>
          <w:r>
            <w:rPr>
              <w:rFonts w:ascii="黑体" w:eastAsia="黑体" w:cs="黑体" w:hint="eastAsia"/>
              <w:sz w:val="32"/>
              <w:szCs w:val="32"/>
            </w:rPr>
            <w:instrText xml:space="preserve"> PAGEREF _Toc14635 \h </w:instrText>
          </w:r>
          <w:r>
            <w:rPr>
              <w:rFonts w:ascii="黑体" w:eastAsia="黑体" w:cs="黑体" w:hint="eastAsia"/>
              <w:sz w:val="32"/>
              <w:szCs w:val="32"/>
            </w:rPr>
            <w:fldChar w:fldCharType="separate"/>
          </w:r>
          <w:r>
            <w:rPr>
              <w:rFonts w:ascii="黑体" w:eastAsia="黑体" w:cs="黑体" w:hint="eastAsia"/>
              <w:sz w:val="32"/>
              <w:szCs w:val="32"/>
            </w:rPr>
            <w:t>1</w:t>
          </w:r>
          <w:r>
            <w:rPr>
              <w:rFonts w:ascii="黑体" w:eastAsia="黑体" w:cs="黑体" w:hint="eastAsia"/>
              <w:sz w:val="32"/>
              <w:szCs w:val="32"/>
            </w:rPr>
            <w:fldChar w:fldCharType="end"/>
          </w:r>
          <w:r>
            <w:rPr>
              <w:rFonts w:ascii="黑体" w:eastAsia="黑体" w:cs="黑体" w:hint="eastAsia"/>
              <w:sz w:val="32"/>
              <w:szCs w:val="32"/>
            </w:rPr>
            <w:fldChar w:fldCharType="end"/>
          </w:r>
        </w:p>
        <w:p>
          <w:pPr>
            <w:pStyle w:val="21"/>
            <w:tabs>
              <w:tab w:val="clear" w:pos="8296"/>
              <w:tab w:val="right" w:leader="dot" w:pos="8306"/>
            </w:tabs>
            <w:rPr>
              <w:rFonts w:ascii="黑体" w:eastAsia="黑体" w:cs="黑体"/>
              <w:sz w:val="32"/>
              <w:szCs w:val="32"/>
            </w:rPr>
          </w:pPr>
          <w:r>
            <w:fldChar w:fldCharType="begin"/>
          </w:r>
          <w:r>
            <w:instrText xml:space="preserve"> HYPERLINK \l "_Toc13383" </w:instrText>
          </w:r>
          <w:r>
            <w:fldChar w:fldCharType="separate"/>
          </w:r>
          <w:r>
            <w:rPr>
              <w:rFonts w:ascii="黑体" w:eastAsia="黑体" w:cs="黑体" w:hint="eastAsia"/>
              <w:sz w:val="32"/>
              <w:szCs w:val="32"/>
            </w:rPr>
            <w:t>一、 部门职责</w:t>
            <w:tab/>
          </w:r>
          <w:r>
            <w:rPr>
              <w:rFonts w:ascii="黑体" w:eastAsia="黑体" w:cs="黑体" w:hint="eastAsia"/>
              <w:sz w:val="32"/>
              <w:szCs w:val="32"/>
            </w:rPr>
            <w:fldChar w:fldCharType="begin"/>
          </w:r>
          <w:r>
            <w:rPr>
              <w:rFonts w:ascii="黑体" w:eastAsia="黑体" w:cs="黑体" w:hint="eastAsia"/>
              <w:sz w:val="32"/>
              <w:szCs w:val="32"/>
            </w:rPr>
            <w:instrText xml:space="preserve"> PAGEREF _Toc13383 \h </w:instrText>
          </w:r>
          <w:r>
            <w:rPr>
              <w:rFonts w:ascii="黑体" w:eastAsia="黑体" w:cs="黑体" w:hint="eastAsia"/>
              <w:sz w:val="32"/>
              <w:szCs w:val="32"/>
            </w:rPr>
            <w:fldChar w:fldCharType="separate"/>
          </w:r>
          <w:r>
            <w:rPr>
              <w:rFonts w:ascii="黑体" w:eastAsia="黑体" w:cs="黑体" w:hint="eastAsia"/>
              <w:sz w:val="32"/>
              <w:szCs w:val="32"/>
            </w:rPr>
            <w:t>1</w:t>
          </w:r>
          <w:r>
            <w:rPr>
              <w:rFonts w:ascii="黑体" w:eastAsia="黑体" w:cs="黑体" w:hint="eastAsia"/>
              <w:sz w:val="32"/>
              <w:szCs w:val="32"/>
            </w:rPr>
            <w:fldChar w:fldCharType="end"/>
          </w:r>
          <w:r>
            <w:rPr>
              <w:rFonts w:ascii="黑体" w:eastAsia="黑体" w:cs="黑体" w:hint="eastAsia"/>
              <w:sz w:val="32"/>
              <w:szCs w:val="32"/>
            </w:rPr>
            <w:fldChar w:fldCharType="end"/>
          </w:r>
        </w:p>
        <w:p>
          <w:pPr>
            <w:pStyle w:val="21"/>
            <w:tabs>
              <w:tab w:val="clear" w:pos="8296"/>
              <w:tab w:val="right" w:leader="dot" w:pos="8306"/>
            </w:tabs>
            <w:rPr>
              <w:rFonts w:ascii="黑体" w:eastAsia="黑体" w:cs="黑体"/>
              <w:sz w:val="32"/>
              <w:szCs w:val="32"/>
            </w:rPr>
          </w:pPr>
          <w:r>
            <w:fldChar w:fldCharType="begin"/>
          </w:r>
          <w:r>
            <w:instrText xml:space="preserve"> HYPERLINK \l "_Toc29399" </w:instrText>
          </w:r>
          <w:r>
            <w:fldChar w:fldCharType="separate"/>
          </w:r>
          <w:r>
            <w:rPr>
              <w:rFonts w:ascii="黑体" w:eastAsia="黑体" w:cs="黑体" w:hint="eastAsia"/>
              <w:sz w:val="32"/>
              <w:szCs w:val="32"/>
            </w:rPr>
            <w:t>二、 机构设置</w:t>
            <w:tab/>
          </w:r>
          <w:r>
            <w:rPr>
              <w:rFonts w:ascii="黑体" w:eastAsia="黑体" w:cs="黑体" w:hint="eastAsia"/>
              <w:sz w:val="32"/>
              <w:szCs w:val="32"/>
            </w:rPr>
            <w:fldChar w:fldCharType="begin"/>
          </w:r>
          <w:r>
            <w:rPr>
              <w:rFonts w:ascii="黑体" w:eastAsia="黑体" w:cs="黑体" w:hint="eastAsia"/>
              <w:sz w:val="32"/>
              <w:szCs w:val="32"/>
            </w:rPr>
            <w:instrText xml:space="preserve"> PAGEREF _Toc29399 \h </w:instrText>
          </w:r>
          <w:r>
            <w:rPr>
              <w:rFonts w:ascii="黑体" w:eastAsia="黑体" w:cs="黑体" w:hint="eastAsia"/>
              <w:sz w:val="32"/>
              <w:szCs w:val="32"/>
            </w:rPr>
            <w:fldChar w:fldCharType="separate"/>
          </w:r>
          <w:r>
            <w:rPr>
              <w:rFonts w:ascii="黑体" w:eastAsia="黑体" w:cs="黑体" w:hint="eastAsia"/>
              <w:sz w:val="32"/>
              <w:szCs w:val="32"/>
            </w:rPr>
            <w:t>1</w:t>
          </w:r>
          <w:r>
            <w:rPr>
              <w:rFonts w:ascii="黑体" w:eastAsia="黑体" w:cs="黑体" w:hint="eastAsia"/>
              <w:sz w:val="32"/>
              <w:szCs w:val="32"/>
            </w:rPr>
            <w:fldChar w:fldCharType="end"/>
          </w:r>
          <w:r>
            <w:rPr>
              <w:rFonts w:ascii="黑体" w:eastAsia="黑体" w:cs="黑体" w:hint="eastAsia"/>
              <w:sz w:val="32"/>
              <w:szCs w:val="32"/>
            </w:rPr>
            <w:fldChar w:fldCharType="end"/>
          </w:r>
        </w:p>
        <w:p>
          <w:pPr>
            <w:pStyle w:val="20"/>
            <w:tabs>
              <w:tab w:val="clear" w:pos="8296"/>
              <w:tab w:val="right" w:leader="dot" w:pos="8306"/>
            </w:tabs>
            <w:rPr>
              <w:rFonts w:ascii="黑体" w:eastAsia="黑体" w:cs="黑体"/>
              <w:sz w:val="32"/>
              <w:szCs w:val="32"/>
            </w:rPr>
          </w:pPr>
          <w:r>
            <w:fldChar w:fldCharType="begin"/>
          </w:r>
          <w:r>
            <w:instrText xml:space="preserve"> HYPERLINK \l "_Toc20905" </w:instrText>
          </w:r>
          <w:r>
            <w:fldChar w:fldCharType="separate"/>
          </w:r>
          <w:r>
            <w:rPr>
              <w:rFonts w:ascii="黑体" w:eastAsia="黑体" w:cs="黑体" w:hint="eastAsia"/>
              <w:bCs/>
              <w:sz w:val="32"/>
              <w:szCs w:val="32"/>
            </w:rPr>
            <w:t>第二部分 202</w:t>
          </w:r>
          <w:r>
            <w:rPr>
              <w:rFonts w:ascii="黑体" w:eastAsia="黑体" w:cs="黑体" w:hint="eastAsia"/>
              <w:bCs/>
              <w:sz w:val="32"/>
              <w:szCs w:val="32"/>
              <w:lang w:val="en-US" w:eastAsia="zh-CN"/>
            </w:rPr>
            <w:t>5</w:t>
          </w:r>
          <w:r>
            <w:rPr>
              <w:rFonts w:ascii="黑体" w:eastAsia="黑体" w:cs="黑体" w:hint="eastAsia"/>
              <w:bCs/>
              <w:sz w:val="32"/>
              <w:szCs w:val="32"/>
            </w:rPr>
            <w:t>年度部门决算情况说明</w:t>
          </w:r>
          <w:r>
            <w:rPr>
              <w:rFonts w:ascii="黑体" w:eastAsia="黑体" w:cs="黑体" w:hint="eastAsia"/>
              <w:sz w:val="32"/>
              <w:szCs w:val="32"/>
            </w:rPr>
            <w:tab/>
          </w:r>
          <w:r>
            <w:rPr>
              <w:rFonts w:ascii="黑体" w:eastAsia="黑体" w:cs="黑体" w:hint="eastAsia"/>
              <w:sz w:val="32"/>
              <w:szCs w:val="32"/>
            </w:rPr>
            <w:fldChar w:fldCharType="begin"/>
          </w:r>
          <w:r>
            <w:rPr>
              <w:rFonts w:ascii="黑体" w:eastAsia="黑体" w:cs="黑体" w:hint="eastAsia"/>
              <w:sz w:val="32"/>
              <w:szCs w:val="32"/>
            </w:rPr>
            <w:instrText xml:space="preserve"> PAGEREF _Toc20905 \h </w:instrText>
          </w:r>
          <w:r>
            <w:rPr>
              <w:rFonts w:ascii="黑体" w:eastAsia="黑体" w:cs="黑体" w:hint="eastAsia"/>
              <w:sz w:val="32"/>
              <w:szCs w:val="32"/>
            </w:rPr>
            <w:fldChar w:fldCharType="separate"/>
          </w:r>
          <w:r>
            <w:rPr>
              <w:rFonts w:ascii="黑体" w:eastAsia="黑体" w:cs="黑体" w:hint="eastAsia"/>
              <w:sz w:val="32"/>
              <w:szCs w:val="32"/>
            </w:rPr>
            <w:t>3</w:t>
          </w:r>
          <w:r>
            <w:rPr>
              <w:rFonts w:ascii="黑体" w:eastAsia="黑体" w:cs="黑体" w:hint="eastAsia"/>
              <w:sz w:val="32"/>
              <w:szCs w:val="32"/>
            </w:rPr>
            <w:fldChar w:fldCharType="end"/>
          </w:r>
          <w:r>
            <w:rPr>
              <w:rFonts w:ascii="黑体" w:eastAsia="黑体" w:cs="黑体" w:hint="eastAsia"/>
              <w:sz w:val="32"/>
              <w:szCs w:val="32"/>
            </w:rPr>
            <w:fldChar w:fldCharType="end"/>
          </w:r>
        </w:p>
        <w:p>
          <w:pPr>
            <w:pStyle w:val="21"/>
            <w:tabs>
              <w:tab w:val="clear" w:pos="8296"/>
              <w:tab w:val="right" w:leader="dot" w:pos="8306"/>
            </w:tabs>
            <w:rPr>
              <w:rFonts w:ascii="黑体" w:eastAsia="黑体" w:cs="黑体"/>
              <w:sz w:val="32"/>
              <w:szCs w:val="32"/>
            </w:rPr>
          </w:pPr>
          <w:r>
            <w:fldChar w:fldCharType="begin"/>
          </w:r>
          <w:r>
            <w:instrText xml:space="preserve"> HYPERLINK \l "_Toc10016" </w:instrText>
          </w:r>
          <w:r>
            <w:fldChar w:fldCharType="separate"/>
          </w:r>
          <w:r>
            <w:rPr>
              <w:rFonts w:ascii="黑体" w:eastAsia="黑体" w:cs="黑体" w:hint="eastAsia"/>
              <w:sz w:val="32"/>
              <w:szCs w:val="32"/>
            </w:rPr>
            <w:t>一、 收入支出决算总体情况说明</w:t>
            <w:tab/>
          </w:r>
          <w:r>
            <w:rPr>
              <w:rFonts w:ascii="黑体" w:eastAsia="黑体" w:cs="黑体" w:hint="eastAsia"/>
              <w:sz w:val="32"/>
              <w:szCs w:val="32"/>
            </w:rPr>
            <w:fldChar w:fldCharType="begin"/>
          </w:r>
          <w:r>
            <w:rPr>
              <w:rFonts w:ascii="黑体" w:eastAsia="黑体" w:cs="黑体" w:hint="eastAsia"/>
              <w:sz w:val="32"/>
              <w:szCs w:val="32"/>
            </w:rPr>
            <w:instrText xml:space="preserve"> PAGEREF _Toc10016 \h </w:instrText>
          </w:r>
          <w:r>
            <w:rPr>
              <w:rFonts w:ascii="黑体" w:eastAsia="黑体" w:cs="黑体" w:hint="eastAsia"/>
              <w:sz w:val="32"/>
              <w:szCs w:val="32"/>
            </w:rPr>
            <w:fldChar w:fldCharType="separate"/>
          </w:r>
          <w:r>
            <w:rPr>
              <w:rFonts w:ascii="黑体" w:eastAsia="黑体" w:cs="黑体" w:hint="eastAsia"/>
              <w:sz w:val="32"/>
              <w:szCs w:val="32"/>
            </w:rPr>
            <w:t>3</w:t>
          </w:r>
          <w:r>
            <w:rPr>
              <w:rFonts w:ascii="黑体" w:eastAsia="黑体" w:cs="黑体" w:hint="eastAsia"/>
              <w:sz w:val="32"/>
              <w:szCs w:val="32"/>
            </w:rPr>
            <w:fldChar w:fldCharType="end"/>
          </w:r>
          <w:r>
            <w:rPr>
              <w:rFonts w:ascii="黑体" w:eastAsia="黑体" w:cs="黑体" w:hint="eastAsia"/>
              <w:sz w:val="32"/>
              <w:szCs w:val="32"/>
            </w:rPr>
            <w:fldChar w:fldCharType="end"/>
          </w:r>
        </w:p>
        <w:p>
          <w:pPr>
            <w:pStyle w:val="21"/>
            <w:tabs>
              <w:tab w:val="clear" w:pos="8296"/>
              <w:tab w:val="right" w:leader="dot" w:pos="8306"/>
            </w:tabs>
            <w:rPr>
              <w:rFonts w:ascii="黑体" w:eastAsia="黑体" w:cs="黑体"/>
              <w:sz w:val="32"/>
              <w:szCs w:val="32"/>
            </w:rPr>
          </w:pPr>
          <w:r>
            <w:fldChar w:fldCharType="begin"/>
          </w:r>
          <w:r>
            <w:instrText xml:space="preserve"> HYPERLINK \l "_Toc19625" </w:instrText>
          </w:r>
          <w:r>
            <w:fldChar w:fldCharType="separate"/>
          </w:r>
          <w:r>
            <w:rPr>
              <w:rFonts w:ascii="黑体" w:eastAsia="黑体" w:cs="黑体" w:hint="eastAsia"/>
              <w:sz w:val="32"/>
              <w:szCs w:val="32"/>
            </w:rPr>
            <w:t>二、 收入决算情况说明</w:t>
            <w:tab/>
          </w:r>
          <w:r>
            <w:rPr>
              <w:rFonts w:ascii="黑体" w:eastAsia="黑体" w:cs="黑体" w:hint="eastAsia"/>
              <w:sz w:val="32"/>
              <w:szCs w:val="32"/>
            </w:rPr>
            <w:fldChar w:fldCharType="begin"/>
          </w:r>
          <w:r>
            <w:rPr>
              <w:rFonts w:ascii="黑体" w:eastAsia="黑体" w:cs="黑体" w:hint="eastAsia"/>
              <w:sz w:val="32"/>
              <w:szCs w:val="32"/>
            </w:rPr>
            <w:instrText xml:space="preserve"> PAGEREF _Toc19625 \h </w:instrText>
          </w:r>
          <w:r>
            <w:rPr>
              <w:rFonts w:ascii="黑体" w:eastAsia="黑体" w:cs="黑体" w:hint="eastAsia"/>
              <w:sz w:val="32"/>
              <w:szCs w:val="32"/>
            </w:rPr>
            <w:fldChar w:fldCharType="separate"/>
          </w:r>
          <w:r>
            <w:rPr>
              <w:rFonts w:ascii="黑体" w:eastAsia="黑体" w:cs="黑体" w:hint="eastAsia"/>
              <w:sz w:val="32"/>
              <w:szCs w:val="32"/>
            </w:rPr>
            <w:t>3</w:t>
          </w:r>
          <w:r>
            <w:rPr>
              <w:rFonts w:ascii="黑体" w:eastAsia="黑体" w:cs="黑体" w:hint="eastAsia"/>
              <w:sz w:val="32"/>
              <w:szCs w:val="32"/>
            </w:rPr>
            <w:fldChar w:fldCharType="end"/>
          </w:r>
          <w:r>
            <w:rPr>
              <w:rFonts w:ascii="黑体" w:eastAsia="黑体" w:cs="黑体" w:hint="eastAsia"/>
              <w:sz w:val="32"/>
              <w:szCs w:val="32"/>
            </w:rPr>
            <w:fldChar w:fldCharType="end"/>
          </w:r>
        </w:p>
        <w:p>
          <w:pPr>
            <w:pStyle w:val="21"/>
            <w:tabs>
              <w:tab w:val="clear" w:pos="8296"/>
              <w:tab w:val="right" w:leader="dot" w:pos="8306"/>
            </w:tabs>
            <w:rPr>
              <w:rFonts w:ascii="黑体" w:eastAsia="黑体" w:cs="黑体"/>
              <w:sz w:val="32"/>
              <w:szCs w:val="32"/>
            </w:rPr>
          </w:pPr>
          <w:r>
            <w:fldChar w:fldCharType="begin"/>
          </w:r>
          <w:r>
            <w:instrText xml:space="preserve"> HYPERLINK \l "_Toc14132" </w:instrText>
          </w:r>
          <w:r>
            <w:fldChar w:fldCharType="separate"/>
          </w:r>
          <w:r>
            <w:rPr>
              <w:rFonts w:ascii="黑体" w:eastAsia="黑体" w:cs="黑体" w:hint="eastAsia"/>
              <w:sz w:val="32"/>
              <w:szCs w:val="32"/>
            </w:rPr>
            <w:t>三、 支出决算情况说明</w:t>
            <w:tab/>
          </w:r>
          <w:r>
            <w:rPr>
              <w:rFonts w:ascii="黑体" w:eastAsia="黑体" w:cs="黑体" w:hint="eastAsia"/>
              <w:sz w:val="32"/>
              <w:szCs w:val="32"/>
            </w:rPr>
            <w:fldChar w:fldCharType="begin"/>
          </w:r>
          <w:r>
            <w:rPr>
              <w:rFonts w:ascii="黑体" w:eastAsia="黑体" w:cs="黑体" w:hint="eastAsia"/>
              <w:sz w:val="32"/>
              <w:szCs w:val="32"/>
            </w:rPr>
            <w:instrText xml:space="preserve"> PAGEREF _Toc14132 \h </w:instrText>
          </w:r>
          <w:r>
            <w:rPr>
              <w:rFonts w:ascii="黑体" w:eastAsia="黑体" w:cs="黑体" w:hint="eastAsia"/>
              <w:sz w:val="32"/>
              <w:szCs w:val="32"/>
            </w:rPr>
            <w:fldChar w:fldCharType="separate"/>
          </w:r>
          <w:r>
            <w:rPr>
              <w:rFonts w:ascii="黑体" w:eastAsia="黑体" w:cs="黑体" w:hint="eastAsia"/>
              <w:sz w:val="32"/>
              <w:szCs w:val="32"/>
            </w:rPr>
            <w:t>4</w:t>
          </w:r>
          <w:r>
            <w:rPr>
              <w:rFonts w:ascii="黑体" w:eastAsia="黑体" w:cs="黑体" w:hint="eastAsia"/>
              <w:sz w:val="32"/>
              <w:szCs w:val="32"/>
            </w:rPr>
            <w:fldChar w:fldCharType="end"/>
          </w:r>
          <w:r>
            <w:rPr>
              <w:rFonts w:ascii="黑体" w:eastAsia="黑体" w:cs="黑体" w:hint="eastAsia"/>
              <w:sz w:val="32"/>
              <w:szCs w:val="32"/>
            </w:rPr>
            <w:fldChar w:fldCharType="end"/>
          </w:r>
        </w:p>
        <w:p>
          <w:pPr>
            <w:pStyle w:val="21"/>
            <w:tabs>
              <w:tab w:val="clear" w:pos="8296"/>
              <w:tab w:val="right" w:leader="dot" w:pos="8306"/>
            </w:tabs>
            <w:rPr>
              <w:rFonts w:ascii="黑体" w:eastAsia="黑体" w:cs="黑体"/>
              <w:sz w:val="32"/>
              <w:szCs w:val="32"/>
            </w:rPr>
          </w:pPr>
          <w:r>
            <w:fldChar w:fldCharType="begin"/>
          </w:r>
          <w:r>
            <w:instrText xml:space="preserve"> HYPERLINK \l "_Toc16213" </w:instrText>
          </w:r>
          <w:r>
            <w:fldChar w:fldCharType="separate"/>
          </w:r>
          <w:r>
            <w:rPr>
              <w:rFonts w:ascii="黑体" w:eastAsia="黑体" w:cs="黑体" w:hint="eastAsia"/>
              <w:sz w:val="32"/>
              <w:szCs w:val="32"/>
            </w:rPr>
            <w:t>四、 财政拨款收入支出决算总体情况说明</w:t>
            <w:tab/>
          </w:r>
          <w:r>
            <w:rPr>
              <w:rFonts w:ascii="黑体" w:eastAsia="黑体" w:cs="黑体" w:hint="eastAsia"/>
              <w:sz w:val="32"/>
              <w:szCs w:val="32"/>
            </w:rPr>
            <w:fldChar w:fldCharType="begin"/>
          </w:r>
          <w:r>
            <w:rPr>
              <w:rFonts w:ascii="黑体" w:eastAsia="黑体" w:cs="黑体" w:hint="eastAsia"/>
              <w:sz w:val="32"/>
              <w:szCs w:val="32"/>
            </w:rPr>
            <w:instrText xml:space="preserve"> PAGEREF _Toc16213 \h </w:instrText>
          </w:r>
          <w:r>
            <w:rPr>
              <w:rFonts w:ascii="黑体" w:eastAsia="黑体" w:cs="黑体" w:hint="eastAsia"/>
              <w:sz w:val="32"/>
              <w:szCs w:val="32"/>
            </w:rPr>
            <w:fldChar w:fldCharType="separate"/>
          </w:r>
          <w:r>
            <w:rPr>
              <w:rFonts w:ascii="黑体" w:eastAsia="黑体" w:cs="黑体" w:hint="eastAsia"/>
              <w:sz w:val="32"/>
              <w:szCs w:val="32"/>
            </w:rPr>
            <w:t>5</w:t>
          </w:r>
          <w:r>
            <w:rPr>
              <w:rFonts w:ascii="黑体" w:eastAsia="黑体" w:cs="黑体" w:hint="eastAsia"/>
              <w:sz w:val="32"/>
              <w:szCs w:val="32"/>
            </w:rPr>
            <w:fldChar w:fldCharType="end"/>
          </w:r>
          <w:r>
            <w:rPr>
              <w:rFonts w:ascii="黑体" w:eastAsia="黑体" w:cs="黑体" w:hint="eastAsia"/>
              <w:sz w:val="32"/>
              <w:szCs w:val="32"/>
            </w:rPr>
            <w:fldChar w:fldCharType="end"/>
          </w:r>
        </w:p>
        <w:p>
          <w:pPr>
            <w:pStyle w:val="21"/>
            <w:tabs>
              <w:tab w:val="clear" w:pos="8296"/>
              <w:tab w:val="right" w:leader="dot" w:pos="8306"/>
            </w:tabs>
            <w:rPr>
              <w:rFonts w:ascii="黑体" w:eastAsia="黑体" w:cs="黑体"/>
              <w:sz w:val="32"/>
              <w:szCs w:val="32"/>
            </w:rPr>
          </w:pPr>
          <w:r>
            <w:fldChar w:fldCharType="begin"/>
          </w:r>
          <w:r>
            <w:instrText xml:space="preserve"> HYPERLINK \l "_Toc1049" </w:instrText>
          </w:r>
          <w:r>
            <w:fldChar w:fldCharType="separate"/>
          </w:r>
          <w:r>
            <w:rPr>
              <w:rFonts w:ascii="黑体" w:eastAsia="黑体" w:cs="黑体" w:hint="eastAsia"/>
              <w:sz w:val="32"/>
              <w:szCs w:val="32"/>
            </w:rPr>
            <w:t>五、 一般公共预算财政拨款支出决算情况说明</w:t>
            <w:tab/>
          </w:r>
          <w:r>
            <w:rPr>
              <w:rFonts w:ascii="黑体" w:eastAsia="黑体" w:cs="黑体" w:hint="eastAsia"/>
              <w:sz w:val="32"/>
              <w:szCs w:val="32"/>
            </w:rPr>
            <w:fldChar w:fldCharType="begin"/>
          </w:r>
          <w:r>
            <w:rPr>
              <w:rFonts w:ascii="黑体" w:eastAsia="黑体" w:cs="黑体" w:hint="eastAsia"/>
              <w:sz w:val="32"/>
              <w:szCs w:val="32"/>
            </w:rPr>
            <w:instrText xml:space="preserve"> PAGEREF _Toc1049 \h </w:instrText>
          </w:r>
          <w:r>
            <w:rPr>
              <w:rFonts w:ascii="黑体" w:eastAsia="黑体" w:cs="黑体" w:hint="eastAsia"/>
              <w:sz w:val="32"/>
              <w:szCs w:val="32"/>
            </w:rPr>
            <w:fldChar w:fldCharType="separate"/>
          </w:r>
          <w:r>
            <w:rPr>
              <w:rFonts w:ascii="黑体" w:eastAsia="黑体" w:cs="黑体" w:hint="eastAsia"/>
              <w:sz w:val="32"/>
              <w:szCs w:val="32"/>
            </w:rPr>
            <w:t>5</w:t>
          </w:r>
          <w:r>
            <w:rPr>
              <w:rFonts w:ascii="黑体" w:eastAsia="黑体" w:cs="黑体" w:hint="eastAsia"/>
              <w:sz w:val="32"/>
              <w:szCs w:val="32"/>
            </w:rPr>
            <w:fldChar w:fldCharType="end"/>
          </w:r>
          <w:r>
            <w:rPr>
              <w:rFonts w:ascii="黑体" w:eastAsia="黑体" w:cs="黑体" w:hint="eastAsia"/>
              <w:sz w:val="32"/>
              <w:szCs w:val="32"/>
            </w:rPr>
            <w:fldChar w:fldCharType="end"/>
          </w:r>
        </w:p>
        <w:p>
          <w:pPr>
            <w:pStyle w:val="16"/>
            <w:tabs>
              <w:tab w:val="clear" w:pos="8296"/>
              <w:tab w:val="right" w:leader="dot" w:pos="8306"/>
            </w:tabs>
            <w:rPr>
              <w:rFonts w:ascii="黑体" w:eastAsia="黑体" w:cs="黑体"/>
              <w:sz w:val="28"/>
              <w:szCs w:val="28"/>
            </w:rPr>
          </w:pPr>
          <w:r>
            <w:fldChar w:fldCharType="begin"/>
          </w:r>
          <w:r>
            <w:instrText xml:space="preserve"> HYPERLINK \l "_Toc16641" </w:instrText>
          </w:r>
          <w:r>
            <w:fldChar w:fldCharType="separate"/>
          </w:r>
          <w:r>
            <w:rPr>
              <w:rFonts w:ascii="黑体" w:eastAsia="黑体" w:cs="黑体" w:hint="eastAsia"/>
              <w:sz w:val="28"/>
              <w:szCs w:val="28"/>
            </w:rPr>
            <w:t>（一）一般公共预算财政拨款支出决算总体情况</w:t>
            <w:tab/>
          </w:r>
          <w:r>
            <w:rPr>
              <w:rFonts w:ascii="黑体" w:eastAsia="黑体" w:cs="黑体" w:hint="eastAsia"/>
              <w:sz w:val="28"/>
              <w:szCs w:val="28"/>
            </w:rPr>
            <w:fldChar w:fldCharType="begin"/>
          </w:r>
          <w:r>
            <w:rPr>
              <w:rFonts w:ascii="黑体" w:eastAsia="黑体" w:cs="黑体" w:hint="eastAsia"/>
              <w:sz w:val="28"/>
              <w:szCs w:val="28"/>
            </w:rPr>
            <w:instrText xml:space="preserve"> PAGEREF _Toc16641 \h </w:instrText>
          </w:r>
          <w:r>
            <w:rPr>
              <w:rFonts w:ascii="黑体" w:eastAsia="黑体" w:cs="黑体" w:hint="eastAsia"/>
              <w:sz w:val="28"/>
              <w:szCs w:val="28"/>
            </w:rPr>
            <w:fldChar w:fldCharType="separate"/>
          </w:r>
          <w:r>
            <w:rPr>
              <w:rFonts w:ascii="黑体" w:eastAsia="黑体" w:cs="黑体" w:hint="eastAsia"/>
              <w:sz w:val="28"/>
              <w:szCs w:val="28"/>
            </w:rPr>
            <w:t>5</w:t>
          </w:r>
          <w:r>
            <w:rPr>
              <w:rFonts w:ascii="黑体" w:eastAsia="黑体" w:cs="黑体" w:hint="eastAsia"/>
              <w:sz w:val="28"/>
              <w:szCs w:val="28"/>
            </w:rPr>
            <w:fldChar w:fldCharType="end"/>
          </w:r>
          <w:r>
            <w:rPr>
              <w:rFonts w:ascii="黑体" w:eastAsia="黑体" w:cs="黑体" w:hint="eastAsia"/>
              <w:sz w:val="28"/>
              <w:szCs w:val="28"/>
            </w:rPr>
            <w:fldChar w:fldCharType="end"/>
          </w:r>
        </w:p>
        <w:p>
          <w:pPr>
            <w:pStyle w:val="16"/>
            <w:tabs>
              <w:tab w:val="clear" w:pos="8296"/>
              <w:tab w:val="right" w:leader="dot" w:pos="8306"/>
            </w:tabs>
            <w:rPr>
              <w:rFonts w:ascii="黑体" w:eastAsia="黑体" w:cs="黑体"/>
              <w:sz w:val="28"/>
              <w:szCs w:val="28"/>
            </w:rPr>
          </w:pPr>
          <w:r>
            <w:fldChar w:fldCharType="begin"/>
          </w:r>
          <w:r>
            <w:instrText xml:space="preserve"> HYPERLINK \l "_Toc16538" </w:instrText>
          </w:r>
          <w:r>
            <w:fldChar w:fldCharType="separate"/>
          </w:r>
          <w:r>
            <w:rPr>
              <w:rFonts w:ascii="黑体" w:eastAsia="黑体" w:cs="黑体" w:hint="eastAsia"/>
              <w:sz w:val="28"/>
              <w:szCs w:val="28"/>
            </w:rPr>
            <w:t>（二）一般公共预算财政拨款支出决算结构情况</w:t>
            <w:tab/>
          </w:r>
          <w:r>
            <w:rPr>
              <w:rFonts w:ascii="黑体" w:eastAsia="黑体" w:cs="黑体" w:hint="eastAsia"/>
              <w:sz w:val="28"/>
              <w:szCs w:val="28"/>
            </w:rPr>
            <w:fldChar w:fldCharType="begin"/>
          </w:r>
          <w:r>
            <w:rPr>
              <w:rFonts w:ascii="黑体" w:eastAsia="黑体" w:cs="黑体" w:hint="eastAsia"/>
              <w:sz w:val="28"/>
              <w:szCs w:val="28"/>
            </w:rPr>
            <w:instrText xml:space="preserve"> PAGEREF _Toc16538 \h </w:instrText>
          </w:r>
          <w:r>
            <w:rPr>
              <w:rFonts w:ascii="黑体" w:eastAsia="黑体" w:cs="黑体" w:hint="eastAsia"/>
              <w:sz w:val="28"/>
              <w:szCs w:val="28"/>
            </w:rPr>
            <w:fldChar w:fldCharType="separate"/>
          </w:r>
          <w:r>
            <w:rPr>
              <w:rFonts w:ascii="黑体" w:eastAsia="黑体" w:cs="黑体" w:hint="eastAsia"/>
              <w:sz w:val="28"/>
              <w:szCs w:val="28"/>
            </w:rPr>
            <w:t>6</w:t>
          </w:r>
          <w:r>
            <w:rPr>
              <w:rFonts w:ascii="黑体" w:eastAsia="黑体" w:cs="黑体" w:hint="eastAsia"/>
              <w:sz w:val="28"/>
              <w:szCs w:val="28"/>
            </w:rPr>
            <w:fldChar w:fldCharType="end"/>
          </w:r>
          <w:r>
            <w:rPr>
              <w:rFonts w:ascii="黑体" w:eastAsia="黑体" w:cs="黑体" w:hint="eastAsia"/>
              <w:sz w:val="28"/>
              <w:szCs w:val="28"/>
            </w:rPr>
            <w:fldChar w:fldCharType="end"/>
          </w:r>
        </w:p>
        <w:p>
          <w:pPr>
            <w:pStyle w:val="16"/>
            <w:tabs>
              <w:tab w:val="clear" w:pos="8296"/>
              <w:tab w:val="right" w:leader="dot" w:pos="8306"/>
            </w:tabs>
            <w:rPr>
              <w:rFonts w:ascii="黑体" w:eastAsia="黑体" w:cs="黑体"/>
              <w:sz w:val="28"/>
              <w:szCs w:val="28"/>
            </w:rPr>
          </w:pPr>
          <w:r>
            <w:fldChar w:fldCharType="begin"/>
          </w:r>
          <w:r>
            <w:instrText xml:space="preserve"> HYPERLINK \l "_Toc22287" </w:instrText>
          </w:r>
          <w:r>
            <w:fldChar w:fldCharType="separate"/>
          </w:r>
          <w:r>
            <w:rPr>
              <w:rFonts w:ascii="黑体" w:eastAsia="黑体" w:cs="黑体" w:hint="eastAsia"/>
              <w:sz w:val="28"/>
              <w:szCs w:val="28"/>
            </w:rPr>
            <w:t>（三）一般公共预算财政拨款支出决算具体情况</w:t>
            <w:tab/>
          </w:r>
          <w:r>
            <w:rPr>
              <w:rFonts w:ascii="黑体" w:eastAsia="黑体" w:cs="黑体" w:hint="eastAsia"/>
              <w:sz w:val="28"/>
              <w:szCs w:val="28"/>
            </w:rPr>
            <w:fldChar w:fldCharType="begin"/>
          </w:r>
          <w:r>
            <w:rPr>
              <w:rFonts w:ascii="黑体" w:eastAsia="黑体" w:cs="黑体" w:hint="eastAsia"/>
              <w:sz w:val="28"/>
              <w:szCs w:val="28"/>
            </w:rPr>
            <w:instrText xml:space="preserve"> PAGEREF _Toc22287 \h </w:instrText>
          </w:r>
          <w:r>
            <w:rPr>
              <w:rFonts w:ascii="黑体" w:eastAsia="黑体" w:cs="黑体" w:hint="eastAsia"/>
              <w:sz w:val="28"/>
              <w:szCs w:val="28"/>
            </w:rPr>
            <w:fldChar w:fldCharType="separate"/>
          </w:r>
          <w:r>
            <w:rPr>
              <w:rFonts w:ascii="黑体" w:eastAsia="黑体" w:cs="黑体" w:hint="eastAsia"/>
              <w:sz w:val="28"/>
              <w:szCs w:val="28"/>
            </w:rPr>
            <w:t>7</w:t>
          </w:r>
          <w:r>
            <w:rPr>
              <w:rFonts w:ascii="黑体" w:eastAsia="黑体" w:cs="黑体" w:hint="eastAsia"/>
              <w:sz w:val="28"/>
              <w:szCs w:val="28"/>
            </w:rPr>
            <w:fldChar w:fldCharType="end"/>
          </w:r>
          <w:r>
            <w:rPr>
              <w:rFonts w:ascii="黑体" w:eastAsia="黑体" w:cs="黑体" w:hint="eastAsia"/>
              <w:sz w:val="28"/>
              <w:szCs w:val="28"/>
            </w:rPr>
            <w:fldChar w:fldCharType="end"/>
          </w:r>
        </w:p>
        <w:p>
          <w:pPr>
            <w:pStyle w:val="21"/>
            <w:tabs>
              <w:tab w:val="clear" w:pos="8296"/>
              <w:tab w:val="right" w:leader="dot" w:pos="8306"/>
            </w:tabs>
            <w:rPr>
              <w:rFonts w:ascii="黑体" w:eastAsia="黑体" w:cs="黑体"/>
              <w:sz w:val="32"/>
              <w:szCs w:val="32"/>
            </w:rPr>
          </w:pPr>
          <w:r>
            <w:fldChar w:fldCharType="begin"/>
          </w:r>
          <w:r>
            <w:instrText xml:space="preserve"> HYPERLINK \l "_Toc27491" </w:instrText>
          </w:r>
          <w:r>
            <w:fldChar w:fldCharType="separate"/>
          </w:r>
          <w:r>
            <w:rPr>
              <w:rFonts w:ascii="黑体" w:eastAsia="黑体" w:cs="黑体" w:hint="eastAsia"/>
              <w:sz w:val="32"/>
              <w:szCs w:val="32"/>
            </w:rPr>
            <w:t>六、 一般公共预算财政拨款基本支出决算情况说明</w:t>
            <w:tab/>
          </w:r>
          <w:r>
            <w:rPr>
              <w:rFonts w:ascii="黑体" w:eastAsia="黑体" w:cs="黑体" w:hint="eastAsia"/>
              <w:sz w:val="32"/>
              <w:szCs w:val="32"/>
            </w:rPr>
            <w:fldChar w:fldCharType="begin"/>
          </w:r>
          <w:r>
            <w:rPr>
              <w:rFonts w:ascii="黑体" w:eastAsia="黑体" w:cs="黑体" w:hint="eastAsia"/>
              <w:sz w:val="32"/>
              <w:szCs w:val="32"/>
            </w:rPr>
            <w:instrText xml:space="preserve"> PAGEREF _Toc27491 \h </w:instrText>
          </w:r>
          <w:r>
            <w:rPr>
              <w:rFonts w:ascii="黑体" w:eastAsia="黑体" w:cs="黑体" w:hint="eastAsia"/>
              <w:sz w:val="32"/>
              <w:szCs w:val="32"/>
            </w:rPr>
            <w:fldChar w:fldCharType="separate"/>
          </w:r>
          <w:r>
            <w:rPr>
              <w:rFonts w:ascii="黑体" w:eastAsia="黑体" w:cs="黑体" w:hint="eastAsia"/>
              <w:sz w:val="32"/>
              <w:szCs w:val="32"/>
            </w:rPr>
            <w:t>8</w:t>
          </w:r>
          <w:r>
            <w:rPr>
              <w:rFonts w:ascii="黑体" w:eastAsia="黑体" w:cs="黑体" w:hint="eastAsia"/>
              <w:sz w:val="32"/>
              <w:szCs w:val="32"/>
            </w:rPr>
            <w:fldChar w:fldCharType="end"/>
          </w:r>
          <w:r>
            <w:rPr>
              <w:rFonts w:ascii="黑体" w:eastAsia="黑体" w:cs="黑体" w:hint="eastAsia"/>
              <w:sz w:val="32"/>
              <w:szCs w:val="32"/>
            </w:rPr>
            <w:fldChar w:fldCharType="end"/>
          </w:r>
        </w:p>
        <w:p>
          <w:pPr>
            <w:pStyle w:val="21"/>
            <w:tabs>
              <w:tab w:val="clear" w:pos="8296"/>
              <w:tab w:val="right" w:leader="dot" w:pos="8306"/>
            </w:tabs>
            <w:rPr>
              <w:rFonts w:ascii="黑体" w:eastAsia="黑体" w:cs="黑体"/>
              <w:sz w:val="32"/>
              <w:szCs w:val="32"/>
            </w:rPr>
          </w:pPr>
          <w:r>
            <w:fldChar w:fldCharType="begin"/>
          </w:r>
          <w:r>
            <w:instrText xml:space="preserve"> HYPERLINK \l "_Toc8448" </w:instrText>
          </w:r>
          <w:r>
            <w:fldChar w:fldCharType="separate"/>
          </w:r>
          <w:r>
            <w:rPr>
              <w:rFonts w:ascii="黑体" w:eastAsia="黑体" w:cs="黑体" w:hint="eastAsia"/>
              <w:sz w:val="32"/>
              <w:szCs w:val="32"/>
            </w:rPr>
            <w:t>七、 财政拨款“三公”经费支出决算情况说明</w:t>
            <w:tab/>
          </w:r>
          <w:r>
            <w:rPr>
              <w:rFonts w:ascii="黑体" w:eastAsia="黑体" w:cs="黑体" w:hint="eastAsia"/>
              <w:sz w:val="32"/>
              <w:szCs w:val="32"/>
            </w:rPr>
            <w:fldChar w:fldCharType="begin"/>
          </w:r>
          <w:r>
            <w:rPr>
              <w:rFonts w:ascii="黑体" w:eastAsia="黑体" w:cs="黑体" w:hint="eastAsia"/>
              <w:sz w:val="32"/>
              <w:szCs w:val="32"/>
            </w:rPr>
            <w:instrText xml:space="preserve"> PAGEREF _Toc8448 \h </w:instrText>
          </w:r>
          <w:r>
            <w:rPr>
              <w:rFonts w:ascii="黑体" w:eastAsia="黑体" w:cs="黑体" w:hint="eastAsia"/>
              <w:sz w:val="32"/>
              <w:szCs w:val="32"/>
            </w:rPr>
            <w:fldChar w:fldCharType="separate"/>
          </w:r>
          <w:r>
            <w:rPr>
              <w:rFonts w:ascii="黑体" w:eastAsia="黑体" w:cs="黑体" w:hint="eastAsia"/>
              <w:sz w:val="32"/>
              <w:szCs w:val="32"/>
            </w:rPr>
            <w:t>9</w:t>
          </w:r>
          <w:r>
            <w:rPr>
              <w:rFonts w:ascii="黑体" w:eastAsia="黑体" w:cs="黑体" w:hint="eastAsia"/>
              <w:sz w:val="32"/>
              <w:szCs w:val="32"/>
            </w:rPr>
            <w:fldChar w:fldCharType="end"/>
          </w:r>
          <w:r>
            <w:rPr>
              <w:rFonts w:ascii="黑体" w:eastAsia="黑体" w:cs="黑体" w:hint="eastAsia"/>
              <w:sz w:val="32"/>
              <w:szCs w:val="32"/>
            </w:rPr>
            <w:fldChar w:fldCharType="end"/>
          </w:r>
        </w:p>
        <w:p>
          <w:pPr>
            <w:pStyle w:val="16"/>
            <w:tabs>
              <w:tab w:val="clear" w:pos="8296"/>
              <w:tab w:val="right" w:leader="dot" w:pos="8306"/>
            </w:tabs>
            <w:rPr>
              <w:rFonts w:ascii="黑体" w:eastAsia="黑体" w:cs="黑体"/>
              <w:sz w:val="28"/>
              <w:szCs w:val="28"/>
            </w:rPr>
          </w:pPr>
          <w:r>
            <w:fldChar w:fldCharType="begin"/>
          </w:r>
          <w:r>
            <w:instrText xml:space="preserve"> HYPERLINK \l "_Toc31567" </w:instrText>
          </w:r>
          <w:r>
            <w:fldChar w:fldCharType="separate"/>
          </w:r>
          <w:r>
            <w:rPr>
              <w:rFonts w:ascii="黑体" w:eastAsia="黑体" w:cs="黑体" w:hint="eastAsia"/>
              <w:sz w:val="28"/>
              <w:szCs w:val="28"/>
            </w:rPr>
            <w:t>（一）“三公”经费财政拨款支出决算总体情况说明</w:t>
            <w:tab/>
          </w:r>
          <w:r>
            <w:rPr>
              <w:rFonts w:ascii="黑体" w:eastAsia="黑体" w:cs="黑体" w:hint="eastAsia"/>
              <w:sz w:val="28"/>
              <w:szCs w:val="28"/>
            </w:rPr>
            <w:fldChar w:fldCharType="begin"/>
          </w:r>
          <w:r>
            <w:rPr>
              <w:rFonts w:ascii="黑体" w:eastAsia="黑体" w:cs="黑体" w:hint="eastAsia"/>
              <w:sz w:val="28"/>
              <w:szCs w:val="28"/>
            </w:rPr>
            <w:instrText xml:space="preserve"> PAGEREF _Toc31567 \h </w:instrText>
          </w:r>
          <w:r>
            <w:rPr>
              <w:rFonts w:ascii="黑体" w:eastAsia="黑体" w:cs="黑体" w:hint="eastAsia"/>
              <w:sz w:val="28"/>
              <w:szCs w:val="28"/>
            </w:rPr>
            <w:fldChar w:fldCharType="separate"/>
          </w:r>
          <w:r>
            <w:rPr>
              <w:rFonts w:ascii="黑体" w:eastAsia="黑体" w:cs="黑体" w:hint="eastAsia"/>
              <w:sz w:val="28"/>
              <w:szCs w:val="28"/>
            </w:rPr>
            <w:t>9</w:t>
          </w:r>
          <w:r>
            <w:rPr>
              <w:rFonts w:ascii="黑体" w:eastAsia="黑体" w:cs="黑体" w:hint="eastAsia"/>
              <w:sz w:val="28"/>
              <w:szCs w:val="28"/>
            </w:rPr>
            <w:fldChar w:fldCharType="end"/>
          </w:r>
          <w:r>
            <w:rPr>
              <w:rFonts w:ascii="黑体" w:eastAsia="黑体" w:cs="黑体" w:hint="eastAsia"/>
              <w:sz w:val="28"/>
              <w:szCs w:val="28"/>
            </w:rPr>
            <w:fldChar w:fldCharType="end"/>
          </w:r>
        </w:p>
        <w:p>
          <w:pPr>
            <w:pStyle w:val="16"/>
            <w:tabs>
              <w:tab w:val="clear" w:pos="8296"/>
              <w:tab w:val="right" w:leader="dot" w:pos="8306"/>
            </w:tabs>
            <w:rPr>
              <w:rFonts w:ascii="黑体" w:eastAsia="黑体" w:cs="黑体"/>
              <w:sz w:val="28"/>
              <w:szCs w:val="28"/>
            </w:rPr>
          </w:pPr>
          <w:r>
            <w:fldChar w:fldCharType="begin"/>
          </w:r>
          <w:r>
            <w:instrText xml:space="preserve"> HYPERLINK \l "_Toc16922" </w:instrText>
          </w:r>
          <w:r>
            <w:fldChar w:fldCharType="separate"/>
          </w:r>
          <w:r>
            <w:rPr>
              <w:rFonts w:ascii="黑体" w:eastAsia="黑体" w:cs="黑体" w:hint="eastAsia"/>
              <w:sz w:val="28"/>
              <w:szCs w:val="28"/>
            </w:rPr>
            <w:t>（二）“三公”经费财政拨款支出决算具体情况说明</w:t>
            <w:tab/>
          </w:r>
          <w:r>
            <w:rPr>
              <w:rFonts w:ascii="黑体" w:eastAsia="黑体" w:cs="黑体" w:hint="eastAsia"/>
              <w:sz w:val="28"/>
              <w:szCs w:val="28"/>
            </w:rPr>
            <w:fldChar w:fldCharType="begin"/>
          </w:r>
          <w:r>
            <w:rPr>
              <w:rFonts w:ascii="黑体" w:eastAsia="黑体" w:cs="黑体" w:hint="eastAsia"/>
              <w:sz w:val="28"/>
              <w:szCs w:val="28"/>
            </w:rPr>
            <w:instrText xml:space="preserve"> PAGEREF _Toc16922 \h </w:instrText>
          </w:r>
          <w:r>
            <w:rPr>
              <w:rFonts w:ascii="黑体" w:eastAsia="黑体" w:cs="黑体" w:hint="eastAsia"/>
              <w:sz w:val="28"/>
              <w:szCs w:val="28"/>
            </w:rPr>
            <w:fldChar w:fldCharType="separate"/>
          </w:r>
          <w:r>
            <w:rPr>
              <w:rFonts w:ascii="黑体" w:eastAsia="黑体" w:cs="黑体" w:hint="eastAsia"/>
              <w:sz w:val="28"/>
              <w:szCs w:val="28"/>
            </w:rPr>
            <w:t>9</w:t>
          </w:r>
          <w:r>
            <w:rPr>
              <w:rFonts w:ascii="黑体" w:eastAsia="黑体" w:cs="黑体" w:hint="eastAsia"/>
              <w:sz w:val="28"/>
              <w:szCs w:val="28"/>
            </w:rPr>
            <w:fldChar w:fldCharType="end"/>
          </w:r>
          <w:r>
            <w:rPr>
              <w:rFonts w:ascii="黑体" w:eastAsia="黑体" w:cs="黑体" w:hint="eastAsia"/>
              <w:sz w:val="28"/>
              <w:szCs w:val="28"/>
            </w:rPr>
            <w:fldChar w:fldCharType="end"/>
          </w:r>
        </w:p>
        <w:p>
          <w:pPr>
            <w:pStyle w:val="21"/>
            <w:tabs>
              <w:tab w:val="clear" w:pos="8296"/>
              <w:tab w:val="right" w:leader="dot" w:pos="8306"/>
            </w:tabs>
            <w:rPr>
              <w:rFonts w:ascii="黑体" w:eastAsia="黑体" w:cs="黑体"/>
              <w:sz w:val="32"/>
              <w:szCs w:val="32"/>
            </w:rPr>
          </w:pPr>
          <w:r>
            <w:fldChar w:fldCharType="begin"/>
          </w:r>
          <w:r>
            <w:instrText xml:space="preserve"> HYPERLINK \l "_Toc22274" </w:instrText>
          </w:r>
          <w:r>
            <w:fldChar w:fldCharType="separate"/>
          </w:r>
          <w:r>
            <w:rPr>
              <w:rFonts w:ascii="黑体" w:eastAsia="黑体" w:cs="黑体" w:hint="eastAsia"/>
              <w:sz w:val="32"/>
              <w:szCs w:val="32"/>
            </w:rPr>
            <w:t>八、 政府性基金预算支出决算情况说明</w:t>
            <w:tab/>
          </w:r>
          <w:r>
            <w:rPr>
              <w:rFonts w:ascii="黑体" w:eastAsia="黑体" w:cs="黑体" w:hint="eastAsia"/>
              <w:sz w:val="32"/>
              <w:szCs w:val="32"/>
            </w:rPr>
            <w:fldChar w:fldCharType="begin"/>
          </w:r>
          <w:r>
            <w:rPr>
              <w:rFonts w:ascii="黑体" w:eastAsia="黑体" w:cs="黑体" w:hint="eastAsia"/>
              <w:sz w:val="32"/>
              <w:szCs w:val="32"/>
            </w:rPr>
            <w:instrText xml:space="preserve"> PAGEREF _Toc22274 \h </w:instrText>
          </w:r>
          <w:r>
            <w:rPr>
              <w:rFonts w:ascii="黑体" w:eastAsia="黑体" w:cs="黑体" w:hint="eastAsia"/>
              <w:sz w:val="32"/>
              <w:szCs w:val="32"/>
            </w:rPr>
            <w:fldChar w:fldCharType="separate"/>
          </w:r>
          <w:r>
            <w:rPr>
              <w:rFonts w:ascii="黑体" w:eastAsia="黑体" w:cs="黑体" w:hint="eastAsia"/>
              <w:sz w:val="32"/>
              <w:szCs w:val="32"/>
            </w:rPr>
            <w:t>10</w:t>
          </w:r>
          <w:r>
            <w:rPr>
              <w:rFonts w:ascii="黑体" w:eastAsia="黑体" w:cs="黑体" w:hint="eastAsia"/>
              <w:sz w:val="32"/>
              <w:szCs w:val="32"/>
            </w:rPr>
            <w:fldChar w:fldCharType="end"/>
          </w:r>
          <w:r>
            <w:rPr>
              <w:rFonts w:ascii="黑体" w:eastAsia="黑体" w:cs="黑体" w:hint="eastAsia"/>
              <w:sz w:val="32"/>
              <w:szCs w:val="32"/>
            </w:rPr>
            <w:fldChar w:fldCharType="end"/>
          </w:r>
        </w:p>
        <w:p>
          <w:pPr>
            <w:pStyle w:val="21"/>
            <w:tabs>
              <w:tab w:val="clear" w:pos="8296"/>
              <w:tab w:val="right" w:leader="dot" w:pos="8306"/>
            </w:tabs>
            <w:rPr>
              <w:rFonts w:ascii="黑体" w:eastAsia="黑体" w:cs="黑体"/>
              <w:sz w:val="32"/>
              <w:szCs w:val="32"/>
            </w:rPr>
          </w:pPr>
          <w:r>
            <w:fldChar w:fldCharType="begin"/>
          </w:r>
          <w:r>
            <w:instrText xml:space="preserve"> HYPERLINK \l "_Toc23842" </w:instrText>
          </w:r>
          <w:r>
            <w:fldChar w:fldCharType="separate"/>
          </w:r>
          <w:r>
            <w:rPr>
              <w:rFonts w:ascii="黑体" w:eastAsia="黑体" w:cs="黑体" w:hint="eastAsia"/>
              <w:sz w:val="32"/>
              <w:szCs w:val="32"/>
            </w:rPr>
            <w:t>九、 国有资本经营预算支出决算情况说明</w:t>
            <w:tab/>
          </w:r>
          <w:r>
            <w:rPr>
              <w:rFonts w:ascii="黑体" w:eastAsia="黑体" w:cs="黑体" w:hint="eastAsia"/>
              <w:sz w:val="32"/>
              <w:szCs w:val="32"/>
            </w:rPr>
            <w:fldChar w:fldCharType="begin"/>
          </w:r>
          <w:r>
            <w:rPr>
              <w:rFonts w:ascii="黑体" w:eastAsia="黑体" w:cs="黑体" w:hint="eastAsia"/>
              <w:sz w:val="32"/>
              <w:szCs w:val="32"/>
            </w:rPr>
            <w:instrText xml:space="preserve"> PAGEREF _Toc23842 \h </w:instrText>
          </w:r>
          <w:r>
            <w:rPr>
              <w:rFonts w:ascii="黑体" w:eastAsia="黑体" w:cs="黑体" w:hint="eastAsia"/>
              <w:sz w:val="32"/>
              <w:szCs w:val="32"/>
            </w:rPr>
            <w:fldChar w:fldCharType="separate"/>
          </w:r>
          <w:r>
            <w:rPr>
              <w:rFonts w:ascii="黑体" w:eastAsia="黑体" w:cs="黑体" w:hint="eastAsia"/>
              <w:sz w:val="32"/>
              <w:szCs w:val="32"/>
            </w:rPr>
            <w:t>10</w:t>
          </w:r>
          <w:r>
            <w:rPr>
              <w:rFonts w:ascii="黑体" w:eastAsia="黑体" w:cs="黑体" w:hint="eastAsia"/>
              <w:sz w:val="32"/>
              <w:szCs w:val="32"/>
            </w:rPr>
            <w:fldChar w:fldCharType="end"/>
          </w:r>
          <w:r>
            <w:rPr>
              <w:rFonts w:ascii="黑体" w:eastAsia="黑体" w:cs="黑体" w:hint="eastAsia"/>
              <w:sz w:val="32"/>
              <w:szCs w:val="32"/>
            </w:rPr>
            <w:fldChar w:fldCharType="end"/>
          </w:r>
        </w:p>
        <w:p>
          <w:pPr>
            <w:pStyle w:val="21"/>
            <w:tabs>
              <w:tab w:val="clear" w:pos="8296"/>
              <w:tab w:val="right" w:leader="dot" w:pos="8306"/>
            </w:tabs>
            <w:rPr>
              <w:rFonts w:ascii="黑体" w:eastAsia="黑体" w:cs="黑体"/>
              <w:sz w:val="32"/>
              <w:szCs w:val="32"/>
            </w:rPr>
          </w:pPr>
          <w:r>
            <w:fldChar w:fldCharType="begin"/>
          </w:r>
          <w:r>
            <w:instrText xml:space="preserve"> HYPERLINK \l "_Toc14893" </w:instrText>
          </w:r>
          <w:r>
            <w:fldChar w:fldCharType="separate"/>
          </w:r>
          <w:r>
            <w:rPr>
              <w:rFonts w:ascii="黑体" w:eastAsia="黑体" w:cs="黑体" w:hint="eastAsia"/>
              <w:sz w:val="32"/>
              <w:szCs w:val="32"/>
            </w:rPr>
            <w:t>十、 其他重要事项的情况说明</w:t>
            <w:tab/>
          </w:r>
          <w:r>
            <w:rPr>
              <w:rFonts w:ascii="黑体" w:eastAsia="黑体" w:cs="黑体" w:hint="eastAsia"/>
              <w:sz w:val="32"/>
              <w:szCs w:val="32"/>
            </w:rPr>
            <w:fldChar w:fldCharType="begin"/>
          </w:r>
          <w:r>
            <w:rPr>
              <w:rFonts w:ascii="黑体" w:eastAsia="黑体" w:cs="黑体" w:hint="eastAsia"/>
              <w:sz w:val="32"/>
              <w:szCs w:val="32"/>
            </w:rPr>
            <w:instrText xml:space="preserve"> PAGEREF _Toc14893 \h </w:instrText>
          </w:r>
          <w:r>
            <w:rPr>
              <w:rFonts w:ascii="黑体" w:eastAsia="黑体" w:cs="黑体" w:hint="eastAsia"/>
              <w:sz w:val="32"/>
              <w:szCs w:val="32"/>
            </w:rPr>
            <w:fldChar w:fldCharType="separate"/>
          </w:r>
          <w:r>
            <w:rPr>
              <w:rFonts w:ascii="黑体" w:eastAsia="黑体" w:cs="黑体" w:hint="eastAsia"/>
              <w:sz w:val="32"/>
              <w:szCs w:val="32"/>
            </w:rPr>
            <w:t>10</w:t>
          </w:r>
          <w:r>
            <w:rPr>
              <w:rFonts w:ascii="黑体" w:eastAsia="黑体" w:cs="黑体" w:hint="eastAsia"/>
              <w:sz w:val="32"/>
              <w:szCs w:val="32"/>
            </w:rPr>
            <w:fldChar w:fldCharType="end"/>
          </w:r>
          <w:r>
            <w:rPr>
              <w:rFonts w:ascii="黑体" w:eastAsia="黑体" w:cs="黑体" w:hint="eastAsia"/>
              <w:sz w:val="32"/>
              <w:szCs w:val="32"/>
            </w:rPr>
            <w:fldChar w:fldCharType="end"/>
          </w:r>
        </w:p>
        <w:p>
          <w:pPr>
            <w:pStyle w:val="16"/>
            <w:tabs>
              <w:tab w:val="clear" w:pos="8296"/>
              <w:tab w:val="right" w:leader="dot" w:pos="8306"/>
            </w:tabs>
            <w:rPr>
              <w:rFonts w:ascii="黑体" w:eastAsia="黑体" w:cs="黑体"/>
              <w:sz w:val="28"/>
              <w:szCs w:val="28"/>
            </w:rPr>
          </w:pPr>
          <w:r>
            <w:fldChar w:fldCharType="begin"/>
          </w:r>
          <w:r>
            <w:instrText xml:space="preserve"> HYPERLINK \l "_Toc23290" </w:instrText>
          </w:r>
          <w:r>
            <w:fldChar w:fldCharType="separate"/>
          </w:r>
          <w:r>
            <w:rPr>
              <w:rFonts w:ascii="黑体" w:eastAsia="黑体" w:cs="黑体" w:hint="eastAsia"/>
              <w:sz w:val="28"/>
              <w:szCs w:val="28"/>
            </w:rPr>
            <w:t>（一）机关运行经费支出情况</w:t>
            <w:tab/>
          </w:r>
          <w:r>
            <w:rPr>
              <w:rFonts w:ascii="黑体" w:eastAsia="黑体" w:cs="黑体" w:hint="eastAsia"/>
              <w:sz w:val="28"/>
              <w:szCs w:val="28"/>
            </w:rPr>
            <w:fldChar w:fldCharType="begin"/>
          </w:r>
          <w:r>
            <w:rPr>
              <w:rFonts w:ascii="黑体" w:eastAsia="黑体" w:cs="黑体" w:hint="eastAsia"/>
              <w:sz w:val="28"/>
              <w:szCs w:val="28"/>
            </w:rPr>
            <w:instrText xml:space="preserve"> PAGEREF _Toc23290 \h </w:instrText>
          </w:r>
          <w:r>
            <w:rPr>
              <w:rFonts w:ascii="黑体" w:eastAsia="黑体" w:cs="黑体" w:hint="eastAsia"/>
              <w:sz w:val="28"/>
              <w:szCs w:val="28"/>
            </w:rPr>
            <w:fldChar w:fldCharType="separate"/>
          </w:r>
          <w:r>
            <w:rPr>
              <w:rFonts w:ascii="黑体" w:eastAsia="黑体" w:cs="黑体" w:hint="eastAsia"/>
              <w:sz w:val="28"/>
              <w:szCs w:val="28"/>
            </w:rPr>
            <w:t>10</w:t>
          </w:r>
          <w:r>
            <w:rPr>
              <w:rFonts w:ascii="黑体" w:eastAsia="黑体" w:cs="黑体" w:hint="eastAsia"/>
              <w:sz w:val="28"/>
              <w:szCs w:val="28"/>
            </w:rPr>
            <w:fldChar w:fldCharType="end"/>
          </w:r>
          <w:r>
            <w:rPr>
              <w:rFonts w:ascii="黑体" w:eastAsia="黑体" w:cs="黑体" w:hint="eastAsia"/>
              <w:sz w:val="28"/>
              <w:szCs w:val="28"/>
            </w:rPr>
            <w:fldChar w:fldCharType="end"/>
          </w:r>
        </w:p>
        <w:p>
          <w:pPr>
            <w:pStyle w:val="16"/>
            <w:tabs>
              <w:tab w:val="clear" w:pos="8296"/>
              <w:tab w:val="right" w:leader="dot" w:pos="8306"/>
            </w:tabs>
            <w:rPr>
              <w:rFonts w:ascii="黑体" w:eastAsia="黑体" w:cs="黑体"/>
              <w:sz w:val="28"/>
              <w:szCs w:val="28"/>
            </w:rPr>
          </w:pPr>
          <w:r>
            <w:fldChar w:fldCharType="begin"/>
          </w:r>
          <w:r>
            <w:instrText xml:space="preserve"> HYPERLINK \l "_Toc32316" </w:instrText>
          </w:r>
          <w:r>
            <w:fldChar w:fldCharType="separate"/>
          </w:r>
          <w:r>
            <w:rPr>
              <w:rFonts w:ascii="黑体" w:eastAsia="黑体" w:cs="黑体" w:hint="eastAsia"/>
              <w:sz w:val="28"/>
              <w:szCs w:val="28"/>
            </w:rPr>
            <w:t>（二）政府采购支出情况</w:t>
            <w:tab/>
          </w:r>
          <w:r>
            <w:rPr>
              <w:rFonts w:ascii="黑体" w:eastAsia="黑体" w:cs="黑体" w:hint="eastAsia"/>
              <w:sz w:val="28"/>
              <w:szCs w:val="28"/>
            </w:rPr>
            <w:fldChar w:fldCharType="begin"/>
          </w:r>
          <w:r>
            <w:rPr>
              <w:rFonts w:ascii="黑体" w:eastAsia="黑体" w:cs="黑体" w:hint="eastAsia"/>
              <w:sz w:val="28"/>
              <w:szCs w:val="28"/>
            </w:rPr>
            <w:instrText xml:space="preserve"> PAGEREF _Toc32316 \h </w:instrText>
          </w:r>
          <w:r>
            <w:rPr>
              <w:rFonts w:ascii="黑体" w:eastAsia="黑体" w:cs="黑体" w:hint="eastAsia"/>
              <w:sz w:val="28"/>
              <w:szCs w:val="28"/>
            </w:rPr>
            <w:fldChar w:fldCharType="separate"/>
          </w:r>
          <w:r>
            <w:rPr>
              <w:rFonts w:ascii="黑体" w:eastAsia="黑体" w:cs="黑体" w:hint="eastAsia"/>
              <w:sz w:val="28"/>
              <w:szCs w:val="28"/>
            </w:rPr>
            <w:t>11</w:t>
          </w:r>
          <w:r>
            <w:rPr>
              <w:rFonts w:ascii="黑体" w:eastAsia="黑体" w:cs="黑体" w:hint="eastAsia"/>
              <w:sz w:val="28"/>
              <w:szCs w:val="28"/>
            </w:rPr>
            <w:fldChar w:fldCharType="end"/>
          </w:r>
          <w:r>
            <w:rPr>
              <w:rFonts w:ascii="黑体" w:eastAsia="黑体" w:cs="黑体" w:hint="eastAsia"/>
              <w:sz w:val="28"/>
              <w:szCs w:val="28"/>
            </w:rPr>
            <w:fldChar w:fldCharType="end"/>
          </w:r>
        </w:p>
        <w:p>
          <w:pPr>
            <w:pStyle w:val="16"/>
            <w:tabs>
              <w:tab w:val="clear" w:pos="8296"/>
              <w:tab w:val="right" w:leader="dot" w:pos="8306"/>
            </w:tabs>
            <w:rPr>
              <w:rFonts w:ascii="黑体" w:eastAsia="黑体" w:cs="黑体"/>
              <w:sz w:val="28"/>
              <w:szCs w:val="28"/>
            </w:rPr>
          </w:pPr>
          <w:r>
            <w:fldChar w:fldCharType="begin"/>
          </w:r>
          <w:r>
            <w:instrText xml:space="preserve"> HYPERLINK \l "_Toc15142" </w:instrText>
          </w:r>
          <w:r>
            <w:fldChar w:fldCharType="separate"/>
          </w:r>
          <w:r>
            <w:rPr>
              <w:rFonts w:ascii="黑体" w:eastAsia="黑体" w:cs="黑体" w:hint="eastAsia"/>
              <w:sz w:val="28"/>
              <w:szCs w:val="28"/>
            </w:rPr>
            <w:t>（三）国有资产占有使用情况</w:t>
            <w:tab/>
          </w:r>
          <w:r>
            <w:rPr>
              <w:rFonts w:ascii="黑体" w:eastAsia="黑体" w:cs="黑体" w:hint="eastAsia"/>
              <w:sz w:val="28"/>
              <w:szCs w:val="28"/>
            </w:rPr>
            <w:fldChar w:fldCharType="begin"/>
          </w:r>
          <w:r>
            <w:rPr>
              <w:rFonts w:ascii="黑体" w:eastAsia="黑体" w:cs="黑体" w:hint="eastAsia"/>
              <w:sz w:val="28"/>
              <w:szCs w:val="28"/>
            </w:rPr>
            <w:instrText xml:space="preserve"> PAGEREF _Toc15142 \h </w:instrText>
          </w:r>
          <w:r>
            <w:rPr>
              <w:rFonts w:ascii="黑体" w:eastAsia="黑体" w:cs="黑体" w:hint="eastAsia"/>
              <w:sz w:val="28"/>
              <w:szCs w:val="28"/>
            </w:rPr>
            <w:fldChar w:fldCharType="separate"/>
          </w:r>
          <w:r>
            <w:rPr>
              <w:rFonts w:ascii="黑体" w:eastAsia="黑体" w:cs="黑体" w:hint="eastAsia"/>
              <w:sz w:val="28"/>
              <w:szCs w:val="28"/>
            </w:rPr>
            <w:t>11</w:t>
          </w:r>
          <w:r>
            <w:rPr>
              <w:rFonts w:ascii="黑体" w:eastAsia="黑体" w:cs="黑体" w:hint="eastAsia"/>
              <w:sz w:val="28"/>
              <w:szCs w:val="28"/>
            </w:rPr>
            <w:fldChar w:fldCharType="end"/>
          </w:r>
          <w:r>
            <w:rPr>
              <w:rFonts w:ascii="黑体" w:eastAsia="黑体" w:cs="黑体" w:hint="eastAsia"/>
              <w:sz w:val="28"/>
              <w:szCs w:val="28"/>
            </w:rPr>
            <w:fldChar w:fldCharType="end"/>
          </w:r>
        </w:p>
        <w:p>
          <w:pPr>
            <w:pStyle w:val="16"/>
            <w:tabs>
              <w:tab w:val="clear" w:pos="8296"/>
              <w:tab w:val="right" w:leader="dot" w:pos="8306"/>
            </w:tabs>
            <w:rPr>
              <w:rFonts w:ascii="黑体" w:eastAsia="黑体" w:cs="黑体"/>
              <w:sz w:val="28"/>
              <w:szCs w:val="28"/>
            </w:rPr>
          </w:pPr>
          <w:r>
            <w:fldChar w:fldCharType="begin"/>
          </w:r>
          <w:r>
            <w:instrText xml:space="preserve"> HYPERLINK \l "_Toc10565" </w:instrText>
          </w:r>
          <w:r>
            <w:fldChar w:fldCharType="separate"/>
          </w:r>
          <w:r>
            <w:rPr>
              <w:rFonts w:ascii="黑体" w:eastAsia="黑体" w:cs="黑体" w:hint="eastAsia"/>
              <w:sz w:val="28"/>
              <w:szCs w:val="28"/>
            </w:rPr>
            <w:t>（四）预算绩效管理情况</w:t>
            <w:tab/>
          </w:r>
          <w:r>
            <w:rPr>
              <w:rFonts w:ascii="黑体" w:eastAsia="黑体" w:cs="黑体" w:hint="eastAsia"/>
              <w:sz w:val="28"/>
              <w:szCs w:val="28"/>
            </w:rPr>
            <w:fldChar w:fldCharType="begin"/>
          </w:r>
          <w:r>
            <w:rPr>
              <w:rFonts w:ascii="黑体" w:eastAsia="黑体" w:cs="黑体" w:hint="eastAsia"/>
              <w:sz w:val="28"/>
              <w:szCs w:val="28"/>
            </w:rPr>
            <w:instrText xml:space="preserve"> PAGEREF _Toc10565 \h </w:instrText>
          </w:r>
          <w:r>
            <w:rPr>
              <w:rFonts w:ascii="黑体" w:eastAsia="黑体" w:cs="黑体" w:hint="eastAsia"/>
              <w:sz w:val="28"/>
              <w:szCs w:val="28"/>
            </w:rPr>
            <w:fldChar w:fldCharType="separate"/>
          </w:r>
          <w:r>
            <w:rPr>
              <w:rFonts w:ascii="黑体" w:eastAsia="黑体" w:cs="黑体" w:hint="eastAsia"/>
              <w:sz w:val="28"/>
              <w:szCs w:val="28"/>
            </w:rPr>
            <w:t>11</w:t>
          </w:r>
          <w:r>
            <w:rPr>
              <w:rFonts w:ascii="黑体" w:eastAsia="黑体" w:cs="黑体" w:hint="eastAsia"/>
              <w:sz w:val="28"/>
              <w:szCs w:val="28"/>
            </w:rPr>
            <w:fldChar w:fldCharType="end"/>
          </w:r>
          <w:r>
            <w:rPr>
              <w:rFonts w:ascii="黑体" w:eastAsia="黑体" w:cs="黑体" w:hint="eastAsia"/>
              <w:sz w:val="28"/>
              <w:szCs w:val="28"/>
            </w:rPr>
            <w:fldChar w:fldCharType="end"/>
          </w:r>
        </w:p>
        <w:p>
          <w:pPr>
            <w:pStyle w:val="20"/>
            <w:tabs>
              <w:tab w:val="clear" w:pos="8296"/>
              <w:tab w:val="right" w:leader="dot" w:pos="8306"/>
            </w:tabs>
            <w:rPr>
              <w:rFonts w:ascii="黑体" w:eastAsia="黑体" w:cs="黑体"/>
              <w:sz w:val="32"/>
              <w:szCs w:val="32"/>
            </w:rPr>
          </w:pPr>
          <w:r>
            <w:fldChar w:fldCharType="begin"/>
          </w:r>
          <w:r>
            <w:instrText xml:space="preserve"> HYPERLINK \l "_Toc25989" </w:instrText>
          </w:r>
          <w:r>
            <w:fldChar w:fldCharType="separate"/>
          </w:r>
          <w:r>
            <w:rPr>
              <w:rFonts w:ascii="黑体" w:eastAsia="黑体" w:cs="黑体" w:hint="eastAsia"/>
              <w:bCs/>
              <w:sz w:val="32"/>
              <w:szCs w:val="32"/>
            </w:rPr>
            <w:t>第三部分 名词解释</w:t>
          </w:r>
          <w:r>
            <w:rPr>
              <w:rFonts w:ascii="黑体" w:eastAsia="黑体" w:cs="黑体" w:hint="eastAsia"/>
              <w:sz w:val="32"/>
              <w:szCs w:val="32"/>
            </w:rPr>
            <w:tab/>
          </w:r>
          <w:r>
            <w:rPr>
              <w:rFonts w:ascii="黑体" w:eastAsia="黑体" w:cs="黑体" w:hint="eastAsia"/>
              <w:sz w:val="32"/>
              <w:szCs w:val="32"/>
            </w:rPr>
            <w:fldChar w:fldCharType="begin"/>
          </w:r>
          <w:r>
            <w:rPr>
              <w:rFonts w:ascii="黑体" w:eastAsia="黑体" w:cs="黑体" w:hint="eastAsia"/>
              <w:sz w:val="32"/>
              <w:szCs w:val="32"/>
            </w:rPr>
            <w:instrText xml:space="preserve"> PAGEREF _Toc25989 \h </w:instrText>
          </w:r>
          <w:r>
            <w:rPr>
              <w:rFonts w:ascii="黑体" w:eastAsia="黑体" w:cs="黑体" w:hint="eastAsia"/>
              <w:sz w:val="32"/>
              <w:szCs w:val="32"/>
            </w:rPr>
            <w:fldChar w:fldCharType="separate"/>
          </w:r>
          <w:r>
            <w:rPr>
              <w:rFonts w:ascii="黑体" w:eastAsia="黑体" w:cs="黑体" w:hint="eastAsia"/>
              <w:sz w:val="32"/>
              <w:szCs w:val="32"/>
            </w:rPr>
            <w:t>12</w:t>
          </w:r>
          <w:r>
            <w:rPr>
              <w:rFonts w:ascii="黑体" w:eastAsia="黑体" w:cs="黑体" w:hint="eastAsia"/>
              <w:sz w:val="32"/>
              <w:szCs w:val="32"/>
            </w:rPr>
            <w:fldChar w:fldCharType="end"/>
          </w:r>
          <w:r>
            <w:rPr>
              <w:rFonts w:ascii="黑体" w:eastAsia="黑体" w:cs="黑体" w:hint="eastAsia"/>
              <w:sz w:val="32"/>
              <w:szCs w:val="32"/>
            </w:rPr>
            <w:fldChar w:fldCharType="end"/>
          </w:r>
        </w:p>
        <w:p>
          <w:pPr>
            <w:pStyle w:val="20"/>
            <w:tabs>
              <w:tab w:val="clear" w:pos="8296"/>
              <w:tab w:val="right" w:leader="dot" w:pos="8306"/>
            </w:tabs>
            <w:rPr>
              <w:rFonts w:ascii="黑体" w:eastAsia="黑体" w:cs="黑体"/>
              <w:sz w:val="32"/>
              <w:szCs w:val="32"/>
            </w:rPr>
          </w:pPr>
          <w:r>
            <w:fldChar w:fldCharType="begin"/>
          </w:r>
          <w:r>
            <w:instrText xml:space="preserve"> HYPERLINK \l "_Toc32092" </w:instrText>
          </w:r>
          <w:r>
            <w:fldChar w:fldCharType="separate"/>
          </w:r>
          <w:r>
            <w:rPr>
              <w:rFonts w:ascii="黑体" w:eastAsia="黑体" w:cs="黑体" w:hint="eastAsia"/>
              <w:bCs/>
              <w:sz w:val="32"/>
              <w:szCs w:val="32"/>
            </w:rPr>
            <w:t>第四部分 附件</w:t>
          </w:r>
          <w:r>
            <w:rPr>
              <w:rFonts w:ascii="黑体" w:eastAsia="黑体" w:cs="黑体" w:hint="eastAsia"/>
              <w:sz w:val="32"/>
              <w:szCs w:val="32"/>
            </w:rPr>
            <w:tab/>
          </w:r>
          <w:r>
            <w:rPr>
              <w:rFonts w:ascii="黑体" w:eastAsia="黑体" w:cs="黑体" w:hint="eastAsia"/>
              <w:sz w:val="32"/>
              <w:szCs w:val="32"/>
            </w:rPr>
            <w:fldChar w:fldCharType="begin"/>
          </w:r>
          <w:r>
            <w:rPr>
              <w:rFonts w:ascii="黑体" w:eastAsia="黑体" w:cs="黑体" w:hint="eastAsia"/>
              <w:sz w:val="32"/>
              <w:szCs w:val="32"/>
            </w:rPr>
            <w:instrText xml:space="preserve"> PAGEREF _Toc32092 \h </w:instrText>
          </w:r>
          <w:r>
            <w:rPr>
              <w:rFonts w:ascii="黑体" w:eastAsia="黑体" w:cs="黑体" w:hint="eastAsia"/>
              <w:sz w:val="32"/>
              <w:szCs w:val="32"/>
            </w:rPr>
            <w:fldChar w:fldCharType="separate"/>
          </w:r>
          <w:r>
            <w:rPr>
              <w:rFonts w:ascii="黑体" w:eastAsia="黑体" w:cs="黑体" w:hint="eastAsia"/>
              <w:sz w:val="32"/>
              <w:szCs w:val="32"/>
            </w:rPr>
            <w:t>15</w:t>
          </w:r>
          <w:r>
            <w:rPr>
              <w:rFonts w:ascii="黑体" w:eastAsia="黑体" w:cs="黑体" w:hint="eastAsia"/>
              <w:sz w:val="32"/>
              <w:szCs w:val="32"/>
            </w:rPr>
            <w:fldChar w:fldCharType="end"/>
          </w:r>
          <w:r>
            <w:rPr>
              <w:rFonts w:ascii="黑体" w:eastAsia="黑体" w:cs="黑体" w:hint="eastAsia"/>
              <w:sz w:val="32"/>
              <w:szCs w:val="32"/>
            </w:rPr>
            <w:fldChar w:fldCharType="end"/>
          </w:r>
        </w:p>
        <w:p>
          <w:pPr>
            <w:pStyle w:val="20"/>
            <w:tabs>
              <w:tab w:val="clear" w:pos="8296"/>
              <w:tab w:val="right" w:leader="dot" w:pos="8306"/>
            </w:tabs>
          </w:pPr>
          <w:r>
            <w:fldChar w:fldCharType="begin"/>
          </w:r>
          <w:r>
            <w:instrText xml:space="preserve"> HYPERLINK \l "_Toc28353" </w:instrText>
          </w:r>
          <w:r>
            <w:fldChar w:fldCharType="separate"/>
          </w:r>
          <w:r>
            <w:rPr>
              <w:rFonts w:ascii="黑体" w:eastAsia="黑体" w:cs="黑体" w:hint="eastAsia"/>
              <w:bCs/>
              <w:sz w:val="32"/>
              <w:szCs w:val="32"/>
            </w:rPr>
            <w:t>第五部分 附表</w:t>
          </w:r>
          <w:r>
            <w:rPr>
              <w:rFonts w:ascii="黑体" w:eastAsia="黑体" w:cs="黑体" w:hint="eastAsia"/>
              <w:sz w:val="32"/>
              <w:szCs w:val="32"/>
            </w:rPr>
            <w:tab/>
          </w:r>
          <w:r>
            <w:rPr>
              <w:rFonts w:ascii="黑体" w:eastAsia="黑体" w:cs="黑体" w:hint="eastAsia"/>
              <w:sz w:val="32"/>
              <w:szCs w:val="32"/>
            </w:rPr>
            <w:fldChar w:fldCharType="begin"/>
          </w:r>
          <w:r>
            <w:rPr>
              <w:rFonts w:ascii="黑体" w:eastAsia="黑体" w:cs="黑体" w:hint="eastAsia"/>
              <w:sz w:val="32"/>
              <w:szCs w:val="32"/>
            </w:rPr>
            <w:instrText xml:space="preserve"> PAGEREF _Toc28353 \h </w:instrText>
          </w:r>
          <w:r>
            <w:rPr>
              <w:rFonts w:ascii="黑体" w:eastAsia="黑体" w:cs="黑体" w:hint="eastAsia"/>
              <w:sz w:val="32"/>
              <w:szCs w:val="32"/>
            </w:rPr>
            <w:fldChar w:fldCharType="separate"/>
          </w:r>
          <w:r>
            <w:rPr>
              <w:rFonts w:ascii="黑体" w:eastAsia="黑体" w:cs="黑体" w:hint="eastAsia"/>
              <w:sz w:val="32"/>
              <w:szCs w:val="32"/>
            </w:rPr>
            <w:t>39</w:t>
          </w:r>
          <w:r>
            <w:rPr>
              <w:rFonts w:ascii="黑体" w:eastAsia="黑体" w:cs="黑体" w:hint="eastAsia"/>
              <w:sz w:val="32"/>
              <w:szCs w:val="32"/>
            </w:rPr>
            <w:fldChar w:fldCharType="end"/>
          </w:r>
          <w:r>
            <w:rPr>
              <w:rFonts w:ascii="黑体" w:eastAsia="黑体" w:cs="黑体" w:hint="eastAsia"/>
              <w:sz w:val="32"/>
              <w:szCs w:val="32"/>
            </w:rPr>
            <w:fldChar w:fldCharType="end"/>
          </w:r>
        </w:p>
        <w:p>
          <w:pPr>
            <w:pStyle w:val="21"/>
            <w:tabs>
              <w:tab w:val="clear" w:pos="8296"/>
              <w:tab w:val="right" w:leader="dot" w:pos="8306"/>
            </w:tabs>
            <w:spacing w:line="560" w:lineRule="exact"/>
            <w:rPr>
              <w:rFonts w:ascii="黑体" w:eastAsia="黑体" w:cs="黑体"/>
              <w:sz w:val="32"/>
              <w:szCs w:val="32"/>
            </w:rPr>
          </w:pPr>
          <w:r>
            <w:fldChar w:fldCharType="end"/>
          </w:r>
          <w:r>
            <w:rPr>
              <w:rFonts w:ascii="黑体" w:eastAsia="黑体" w:cs="黑体" w:hint="eastAsia"/>
              <w:kern w:val="0"/>
              <w:sz w:val="32"/>
              <w:szCs w:val="32"/>
              <w:shd w:val="clear" w:color="auto" w:fill="FFFFFF"/>
            </w:rPr>
            <w:fldChar w:fldCharType="begin"/>
          </w:r>
          <w:r>
            <w:instrText>HYPERLINK  \l "_Toc194"</w:instrText>
          </w:r>
          <w:r>
            <w:rPr>
              <w:rFonts w:ascii="黑体" w:eastAsia="黑体" w:cs="黑体" w:hint="eastAsia"/>
              <w:kern w:val="0"/>
              <w:sz w:val="32"/>
              <w:szCs w:val="32"/>
              <w:shd w:val="clear" w:color="auto" w:fill="FFFFFF"/>
            </w:rPr>
            <w:fldChar w:fldCharType="separate"/>
          </w:r>
          <w:r>
            <w:rPr>
              <w:rFonts w:ascii="黑体" w:eastAsia="黑体" w:cs="黑体" w:hint="eastAsia"/>
              <w:kern w:val="0"/>
              <w:sz w:val="32"/>
              <w:szCs w:val="32"/>
              <w:shd w:val="clear" w:color="auto" w:fill="FFFFFF"/>
            </w:rPr>
            <w:t>一、收入支出决算总表</w:t>
          </w:r>
          <w:r>
            <w:rPr>
              <w:rFonts w:ascii="黑体" w:eastAsia="黑体" w:cs="黑体" w:hint="eastAsia"/>
              <w:kern w:val="0"/>
              <w:sz w:val="32"/>
              <w:szCs w:val="32"/>
              <w:shd w:val="clear" w:color="auto" w:fill="FFFFFF"/>
            </w:rPr>
            <w:fldChar w:fldCharType="end"/>
          </w:r>
        </w:p>
        <w:p>
          <w:pPr>
            <w:pStyle w:val="21"/>
            <w:tabs>
              <w:tab w:val="clear" w:pos="8296"/>
              <w:tab w:val="right" w:leader="dot" w:pos="8306"/>
            </w:tabs>
            <w:spacing w:line="560" w:lineRule="exact"/>
            <w:rPr>
              <w:rFonts w:ascii="黑体" w:eastAsia="黑体" w:cs="黑体"/>
              <w:sz w:val="32"/>
              <w:szCs w:val="32"/>
            </w:rPr>
          </w:pPr>
          <w:r>
            <w:rPr>
              <w:rFonts w:ascii="黑体" w:eastAsia="黑体" w:cs="黑体" w:hint="eastAsia"/>
              <w:kern w:val="0"/>
              <w:sz w:val="32"/>
              <w:szCs w:val="32"/>
              <w:shd w:val="clear" w:color="auto" w:fill="FFFFFF"/>
            </w:rPr>
            <w:fldChar w:fldCharType="begin"/>
          </w:r>
          <w:r>
            <w:instrText>HYPERLINK  \l "_Toc22630"</w:instrText>
          </w:r>
          <w:r>
            <w:rPr>
              <w:rFonts w:ascii="黑体" w:eastAsia="黑体" w:cs="黑体" w:hint="eastAsia"/>
              <w:kern w:val="0"/>
              <w:sz w:val="32"/>
              <w:szCs w:val="32"/>
              <w:shd w:val="clear" w:color="auto" w:fill="FFFFFF"/>
            </w:rPr>
            <w:fldChar w:fldCharType="separate"/>
          </w:r>
          <w:r>
            <w:rPr>
              <w:rFonts w:ascii="黑体" w:eastAsia="黑体" w:cs="黑体" w:hint="eastAsia"/>
              <w:kern w:val="0"/>
              <w:sz w:val="32"/>
              <w:szCs w:val="32"/>
              <w:shd w:val="clear" w:color="auto" w:fill="FFFFFF"/>
            </w:rPr>
            <w:t>二、收入决算表</w:t>
          </w:r>
          <w:r>
            <w:rPr>
              <w:rFonts w:ascii="黑体" w:eastAsia="黑体" w:cs="黑体" w:hint="eastAsia"/>
              <w:kern w:val="0"/>
              <w:sz w:val="32"/>
              <w:szCs w:val="32"/>
              <w:shd w:val="clear" w:color="auto" w:fill="FFFFFF"/>
            </w:rPr>
            <w:fldChar w:fldCharType="end"/>
          </w:r>
        </w:p>
        <w:p>
          <w:pPr>
            <w:pStyle w:val="21"/>
            <w:tabs>
              <w:tab w:val="clear" w:pos="8296"/>
              <w:tab w:val="right" w:leader="dot" w:pos="8306"/>
            </w:tabs>
            <w:spacing w:line="560" w:lineRule="exact"/>
            <w:rPr>
              <w:rFonts w:ascii="黑体" w:eastAsia="黑体" w:cs="黑体"/>
              <w:sz w:val="32"/>
              <w:szCs w:val="32"/>
            </w:rPr>
          </w:pPr>
          <w:r>
            <w:rPr>
              <w:rFonts w:ascii="黑体" w:eastAsia="黑体" w:cs="黑体" w:hint="eastAsia"/>
              <w:kern w:val="0"/>
              <w:sz w:val="32"/>
              <w:szCs w:val="32"/>
              <w:shd w:val="clear" w:color="auto" w:fill="FFFFFF"/>
            </w:rPr>
            <w:fldChar w:fldCharType="begin"/>
          </w:r>
          <w:r>
            <w:instrText>HYPERLINK  \l "_Toc25714"</w:instrText>
          </w:r>
          <w:r>
            <w:rPr>
              <w:rFonts w:ascii="黑体" w:eastAsia="黑体" w:cs="黑体" w:hint="eastAsia"/>
              <w:kern w:val="0"/>
              <w:sz w:val="32"/>
              <w:szCs w:val="32"/>
              <w:shd w:val="clear" w:color="auto" w:fill="FFFFFF"/>
            </w:rPr>
            <w:fldChar w:fldCharType="separate"/>
          </w:r>
          <w:r>
            <w:rPr>
              <w:rFonts w:ascii="黑体" w:eastAsia="黑体" w:cs="黑体" w:hint="eastAsia"/>
              <w:kern w:val="0"/>
              <w:sz w:val="32"/>
              <w:szCs w:val="32"/>
              <w:shd w:val="clear" w:color="auto" w:fill="FFFFFF"/>
            </w:rPr>
            <w:t>三、支出决算表</w:t>
          </w:r>
          <w:r>
            <w:rPr>
              <w:rFonts w:ascii="黑体" w:eastAsia="黑体" w:cs="黑体" w:hint="eastAsia"/>
              <w:kern w:val="0"/>
              <w:sz w:val="32"/>
              <w:szCs w:val="32"/>
              <w:shd w:val="clear" w:color="auto" w:fill="FFFFFF"/>
            </w:rPr>
            <w:fldChar w:fldCharType="end"/>
          </w:r>
        </w:p>
        <w:p>
          <w:pPr>
            <w:pStyle w:val="21"/>
            <w:tabs>
              <w:tab w:val="clear" w:pos="8296"/>
              <w:tab w:val="right" w:leader="dot" w:pos="8306"/>
            </w:tabs>
            <w:spacing w:line="560" w:lineRule="exact"/>
            <w:rPr>
              <w:rFonts w:ascii="黑体" w:eastAsia="黑体" w:cs="黑体"/>
              <w:sz w:val="32"/>
              <w:szCs w:val="32"/>
            </w:rPr>
          </w:pPr>
          <w:r>
            <w:rPr>
              <w:rFonts w:ascii="黑体" w:eastAsia="黑体" w:cs="黑体" w:hint="eastAsia"/>
              <w:kern w:val="0"/>
              <w:sz w:val="32"/>
              <w:szCs w:val="32"/>
              <w:shd w:val="clear" w:color="auto" w:fill="FFFFFF"/>
            </w:rPr>
            <w:fldChar w:fldCharType="begin"/>
          </w:r>
          <w:r>
            <w:instrText>HYPERLINK  \l "_Toc30486"</w:instrText>
          </w:r>
          <w:r>
            <w:rPr>
              <w:rFonts w:ascii="黑体" w:eastAsia="黑体" w:cs="黑体" w:hint="eastAsia"/>
              <w:kern w:val="0"/>
              <w:sz w:val="32"/>
              <w:szCs w:val="32"/>
              <w:shd w:val="clear" w:color="auto" w:fill="FFFFFF"/>
            </w:rPr>
            <w:fldChar w:fldCharType="separate"/>
          </w:r>
          <w:r>
            <w:rPr>
              <w:rFonts w:ascii="黑体" w:eastAsia="黑体" w:cs="黑体" w:hint="eastAsia"/>
              <w:kern w:val="0"/>
              <w:sz w:val="32"/>
              <w:szCs w:val="32"/>
              <w:shd w:val="clear" w:color="auto" w:fill="FFFFFF"/>
            </w:rPr>
            <w:t>四、财政拨款收入支出决算总表</w:t>
          </w:r>
          <w:r>
            <w:rPr>
              <w:rFonts w:ascii="黑体" w:eastAsia="黑体" w:cs="黑体" w:hint="eastAsia"/>
              <w:kern w:val="0"/>
              <w:sz w:val="32"/>
              <w:szCs w:val="32"/>
              <w:shd w:val="clear" w:color="auto" w:fill="FFFFFF"/>
            </w:rPr>
            <w:fldChar w:fldCharType="end"/>
          </w:r>
        </w:p>
        <w:p>
          <w:pPr>
            <w:pStyle w:val="21"/>
            <w:tabs>
              <w:tab w:val="clear" w:pos="8296"/>
              <w:tab w:val="right" w:leader="dot" w:pos="8306"/>
            </w:tabs>
            <w:spacing w:line="560" w:lineRule="exact"/>
            <w:rPr>
              <w:rFonts w:ascii="黑体" w:eastAsia="黑体" w:cs="黑体"/>
              <w:sz w:val="32"/>
              <w:szCs w:val="32"/>
            </w:rPr>
          </w:pPr>
          <w:r>
            <w:rPr>
              <w:rFonts w:ascii="黑体" w:eastAsia="黑体" w:cs="黑体" w:hint="eastAsia"/>
              <w:kern w:val="0"/>
              <w:sz w:val="32"/>
              <w:szCs w:val="32"/>
              <w:shd w:val="clear" w:color="auto" w:fill="FFFFFF"/>
            </w:rPr>
            <w:fldChar w:fldCharType="begin"/>
          </w:r>
          <w:r>
            <w:instrText>HYPERLINK  \l "_Toc3011"</w:instrText>
          </w:r>
          <w:r>
            <w:rPr>
              <w:rFonts w:ascii="黑体" w:eastAsia="黑体" w:cs="黑体" w:hint="eastAsia"/>
              <w:kern w:val="0"/>
              <w:sz w:val="32"/>
              <w:szCs w:val="32"/>
              <w:shd w:val="clear" w:color="auto" w:fill="FFFFFF"/>
            </w:rPr>
            <w:fldChar w:fldCharType="separate"/>
          </w:r>
          <w:r>
            <w:rPr>
              <w:rFonts w:ascii="黑体" w:eastAsia="黑体" w:cs="黑体" w:hint="eastAsia"/>
              <w:kern w:val="0"/>
              <w:sz w:val="32"/>
              <w:szCs w:val="32"/>
              <w:shd w:val="clear" w:color="auto" w:fill="FFFFFF"/>
            </w:rPr>
            <w:t>五、财政拨款支出决算明细表</w:t>
          </w:r>
          <w:r>
            <w:rPr>
              <w:rFonts w:ascii="黑体" w:eastAsia="黑体" w:cs="黑体" w:hint="eastAsia"/>
              <w:kern w:val="0"/>
              <w:sz w:val="32"/>
              <w:szCs w:val="32"/>
              <w:shd w:val="clear" w:color="auto" w:fill="FFFFFF"/>
            </w:rPr>
            <w:fldChar w:fldCharType="end"/>
          </w:r>
        </w:p>
        <w:p>
          <w:pPr>
            <w:pStyle w:val="21"/>
            <w:tabs>
              <w:tab w:val="clear" w:pos="8296"/>
              <w:tab w:val="right" w:leader="dot" w:pos="8306"/>
            </w:tabs>
            <w:spacing w:line="560" w:lineRule="exact"/>
            <w:rPr>
              <w:rFonts w:ascii="黑体" w:eastAsia="黑体" w:cs="黑体"/>
              <w:sz w:val="32"/>
              <w:szCs w:val="32"/>
            </w:rPr>
          </w:pPr>
          <w:r>
            <w:rPr>
              <w:rFonts w:ascii="黑体" w:eastAsia="黑体" w:cs="黑体" w:hint="eastAsia"/>
              <w:kern w:val="0"/>
              <w:sz w:val="32"/>
              <w:szCs w:val="32"/>
              <w:shd w:val="clear" w:color="auto" w:fill="FFFFFF"/>
            </w:rPr>
            <w:fldChar w:fldCharType="begin"/>
          </w:r>
          <w:r>
            <w:instrText>HYPERLINK  \l "_Toc21793"</w:instrText>
          </w:r>
          <w:r>
            <w:rPr>
              <w:rFonts w:ascii="黑体" w:eastAsia="黑体" w:cs="黑体" w:hint="eastAsia"/>
              <w:kern w:val="0"/>
              <w:sz w:val="32"/>
              <w:szCs w:val="32"/>
              <w:shd w:val="clear" w:color="auto" w:fill="FFFFFF"/>
            </w:rPr>
            <w:fldChar w:fldCharType="separate"/>
          </w:r>
          <w:r>
            <w:rPr>
              <w:rFonts w:ascii="黑体" w:eastAsia="黑体" w:cs="黑体" w:hint="eastAsia"/>
              <w:kern w:val="0"/>
              <w:sz w:val="32"/>
              <w:szCs w:val="32"/>
              <w:shd w:val="clear" w:color="auto" w:fill="FFFFFF"/>
            </w:rPr>
            <w:t>六、一般公共预算财政拨款支出决算表</w:t>
          </w:r>
          <w:r>
            <w:rPr>
              <w:rFonts w:ascii="黑体" w:eastAsia="黑体" w:cs="黑体" w:hint="eastAsia"/>
              <w:kern w:val="0"/>
              <w:sz w:val="32"/>
              <w:szCs w:val="32"/>
              <w:shd w:val="clear" w:color="auto" w:fill="FFFFFF"/>
            </w:rPr>
            <w:fldChar w:fldCharType="end"/>
          </w:r>
        </w:p>
        <w:p>
          <w:pPr>
            <w:pStyle w:val="21"/>
            <w:tabs>
              <w:tab w:val="clear" w:pos="8296"/>
              <w:tab w:val="right" w:leader="dot" w:pos="8306"/>
            </w:tabs>
            <w:spacing w:line="560" w:lineRule="exact"/>
            <w:rPr>
              <w:rFonts w:ascii="黑体" w:eastAsia="黑体" w:cs="黑体"/>
              <w:sz w:val="32"/>
              <w:szCs w:val="32"/>
            </w:rPr>
          </w:pPr>
          <w:r>
            <w:rPr>
              <w:rFonts w:ascii="黑体" w:eastAsia="黑体" w:cs="黑体" w:hint="eastAsia"/>
              <w:kern w:val="0"/>
              <w:sz w:val="32"/>
              <w:szCs w:val="32"/>
              <w:shd w:val="clear" w:color="auto" w:fill="FFFFFF"/>
            </w:rPr>
            <w:fldChar w:fldCharType="begin"/>
          </w:r>
          <w:r>
            <w:instrText>HYPERLINK  \l "_Toc23372"</w:instrText>
          </w:r>
          <w:r>
            <w:rPr>
              <w:rFonts w:ascii="黑体" w:eastAsia="黑体" w:cs="黑体" w:hint="eastAsia"/>
              <w:kern w:val="0"/>
              <w:sz w:val="32"/>
              <w:szCs w:val="32"/>
              <w:shd w:val="clear" w:color="auto" w:fill="FFFFFF"/>
            </w:rPr>
            <w:fldChar w:fldCharType="separate"/>
          </w:r>
          <w:r>
            <w:rPr>
              <w:rFonts w:ascii="黑体" w:eastAsia="黑体" w:cs="黑体" w:hint="eastAsia"/>
              <w:kern w:val="0"/>
              <w:sz w:val="32"/>
              <w:szCs w:val="32"/>
              <w:shd w:val="clear" w:color="auto" w:fill="FFFFFF"/>
            </w:rPr>
            <w:t>七、一般公共预算财政拨款支出决算明细表</w:t>
          </w:r>
          <w:r>
            <w:rPr>
              <w:rFonts w:ascii="黑体" w:eastAsia="黑体" w:cs="黑体" w:hint="eastAsia"/>
              <w:kern w:val="0"/>
              <w:sz w:val="32"/>
              <w:szCs w:val="32"/>
              <w:shd w:val="clear" w:color="auto" w:fill="FFFFFF"/>
            </w:rPr>
            <w:fldChar w:fldCharType="end"/>
          </w:r>
        </w:p>
        <w:p>
          <w:pPr>
            <w:pStyle w:val="21"/>
            <w:tabs>
              <w:tab w:val="clear" w:pos="8296"/>
              <w:tab w:val="right" w:leader="dot" w:pos="8306"/>
            </w:tabs>
            <w:spacing w:line="560" w:lineRule="exact"/>
            <w:rPr>
              <w:rFonts w:ascii="黑体" w:eastAsia="黑体" w:cs="黑体"/>
              <w:sz w:val="32"/>
              <w:szCs w:val="32"/>
            </w:rPr>
          </w:pPr>
          <w:r>
            <w:rPr>
              <w:rFonts w:ascii="黑体" w:eastAsia="黑体" w:cs="黑体" w:hint="eastAsia"/>
              <w:kern w:val="0"/>
              <w:sz w:val="32"/>
              <w:szCs w:val="32"/>
              <w:shd w:val="clear" w:color="auto" w:fill="FFFFFF"/>
            </w:rPr>
            <w:fldChar w:fldCharType="begin"/>
          </w:r>
          <w:r>
            <w:instrText>HYPERLINK  \l "_Toc30888"</w:instrText>
          </w:r>
          <w:r>
            <w:rPr>
              <w:rFonts w:ascii="黑体" w:eastAsia="黑体" w:cs="黑体" w:hint="eastAsia"/>
              <w:kern w:val="0"/>
              <w:sz w:val="32"/>
              <w:szCs w:val="32"/>
              <w:shd w:val="clear" w:color="auto" w:fill="FFFFFF"/>
            </w:rPr>
            <w:fldChar w:fldCharType="separate"/>
          </w:r>
          <w:r>
            <w:rPr>
              <w:rFonts w:ascii="黑体" w:eastAsia="黑体" w:cs="黑体" w:hint="eastAsia"/>
              <w:kern w:val="0"/>
              <w:sz w:val="32"/>
              <w:szCs w:val="32"/>
              <w:shd w:val="clear" w:color="auto" w:fill="FFFFFF"/>
            </w:rPr>
            <w:t>八、一般公共预算财政拨款基本支出决算表</w:t>
          </w:r>
          <w:r>
            <w:rPr>
              <w:rFonts w:ascii="黑体" w:eastAsia="黑体" w:cs="黑体" w:hint="eastAsia"/>
              <w:kern w:val="0"/>
              <w:sz w:val="32"/>
              <w:szCs w:val="32"/>
              <w:shd w:val="clear" w:color="auto" w:fill="FFFFFF"/>
            </w:rPr>
            <w:fldChar w:fldCharType="end"/>
          </w:r>
        </w:p>
        <w:p>
          <w:pPr>
            <w:pStyle w:val="21"/>
            <w:tabs>
              <w:tab w:val="clear" w:pos="8296"/>
              <w:tab w:val="right" w:leader="dot" w:pos="8306"/>
            </w:tabs>
            <w:spacing w:line="560" w:lineRule="exact"/>
            <w:rPr>
              <w:rFonts w:ascii="黑体" w:eastAsia="黑体" w:cs="黑体"/>
              <w:sz w:val="32"/>
              <w:szCs w:val="32"/>
            </w:rPr>
          </w:pPr>
          <w:r>
            <w:rPr>
              <w:rFonts w:ascii="黑体" w:eastAsia="黑体" w:cs="黑体" w:hint="eastAsia"/>
              <w:kern w:val="0"/>
              <w:sz w:val="32"/>
              <w:szCs w:val="32"/>
              <w:shd w:val="clear" w:color="auto" w:fill="FFFFFF"/>
            </w:rPr>
            <w:fldChar w:fldCharType="begin"/>
          </w:r>
          <w:r>
            <w:instrText>HYPERLINK  \l "_Toc19690"</w:instrText>
          </w:r>
          <w:r>
            <w:rPr>
              <w:rFonts w:ascii="黑体" w:eastAsia="黑体" w:cs="黑体" w:hint="eastAsia"/>
              <w:kern w:val="0"/>
              <w:sz w:val="32"/>
              <w:szCs w:val="32"/>
              <w:shd w:val="clear" w:color="auto" w:fill="FFFFFF"/>
            </w:rPr>
            <w:fldChar w:fldCharType="separate"/>
          </w:r>
          <w:r>
            <w:rPr>
              <w:rFonts w:ascii="黑体" w:eastAsia="黑体" w:cs="黑体" w:hint="eastAsia"/>
              <w:kern w:val="0"/>
              <w:sz w:val="32"/>
              <w:szCs w:val="32"/>
              <w:shd w:val="clear" w:color="auto" w:fill="FFFFFF"/>
            </w:rPr>
            <w:t>九、一般公共预算财政拨款项目支出决算表</w:t>
          </w:r>
          <w:r>
            <w:rPr>
              <w:rFonts w:ascii="黑体" w:eastAsia="黑体" w:cs="黑体" w:hint="eastAsia"/>
              <w:kern w:val="0"/>
              <w:sz w:val="32"/>
              <w:szCs w:val="32"/>
              <w:shd w:val="clear" w:color="auto" w:fill="FFFFFF"/>
            </w:rPr>
            <w:fldChar w:fldCharType="end"/>
          </w:r>
        </w:p>
        <w:p>
          <w:pPr>
            <w:pStyle w:val="21"/>
            <w:tabs>
              <w:tab w:val="clear" w:pos="8296"/>
              <w:tab w:val="right" w:leader="dot" w:pos="8306"/>
            </w:tabs>
            <w:spacing w:line="560" w:lineRule="exact"/>
            <w:rPr>
              <w:rFonts w:ascii="黑体" w:eastAsia="黑体" w:cs="黑体"/>
              <w:sz w:val="32"/>
              <w:szCs w:val="32"/>
            </w:rPr>
          </w:pPr>
          <w:r>
            <w:rPr>
              <w:rFonts w:ascii="黑体" w:eastAsia="黑体" w:cs="黑体" w:hint="eastAsia"/>
              <w:kern w:val="0"/>
              <w:sz w:val="32"/>
              <w:szCs w:val="32"/>
              <w:shd w:val="clear" w:color="auto" w:fill="FFFFFF"/>
            </w:rPr>
            <w:fldChar w:fldCharType="begin"/>
          </w:r>
          <w:r>
            <w:instrText>HYPERLINK  \l "_Toc22355"</w:instrText>
          </w:r>
          <w:r>
            <w:rPr>
              <w:rFonts w:ascii="黑体" w:eastAsia="黑体" w:cs="黑体" w:hint="eastAsia"/>
              <w:kern w:val="0"/>
              <w:sz w:val="32"/>
              <w:szCs w:val="32"/>
              <w:shd w:val="clear" w:color="auto" w:fill="FFFFFF"/>
            </w:rPr>
            <w:fldChar w:fldCharType="separate"/>
          </w:r>
          <w:r>
            <w:rPr>
              <w:rFonts w:ascii="黑体" w:eastAsia="黑体" w:cs="黑体" w:hint="eastAsia"/>
              <w:kern w:val="0"/>
              <w:sz w:val="32"/>
              <w:szCs w:val="32"/>
              <w:shd w:val="clear" w:color="auto" w:fill="FFFFFF"/>
            </w:rPr>
            <w:t>十、政府性基金预算财政拨款收入支出决算表</w:t>
          </w:r>
          <w:r>
            <w:rPr>
              <w:rFonts w:ascii="黑体" w:eastAsia="黑体" w:cs="黑体" w:hint="eastAsia"/>
              <w:kern w:val="0"/>
              <w:sz w:val="32"/>
              <w:szCs w:val="32"/>
              <w:shd w:val="clear" w:color="auto" w:fill="FFFFFF"/>
            </w:rPr>
            <w:fldChar w:fldCharType="end"/>
          </w:r>
        </w:p>
        <w:p>
          <w:pPr>
            <w:pStyle w:val="21"/>
            <w:tabs>
              <w:tab w:val="clear" w:pos="8296"/>
              <w:tab w:val="right" w:leader="dot" w:pos="8306"/>
            </w:tabs>
            <w:spacing w:line="560" w:lineRule="exact"/>
            <w:rPr>
              <w:rFonts w:ascii="黑体" w:eastAsia="黑体" w:cs="黑体"/>
              <w:sz w:val="32"/>
              <w:szCs w:val="32"/>
            </w:rPr>
          </w:pPr>
          <w:r>
            <w:rPr>
              <w:rFonts w:ascii="黑体" w:eastAsia="黑体" w:cs="黑体" w:hint="eastAsia"/>
              <w:kern w:val="0"/>
              <w:sz w:val="32"/>
              <w:szCs w:val="32"/>
              <w:shd w:val="clear" w:color="auto" w:fill="FFFFFF"/>
            </w:rPr>
            <w:fldChar w:fldCharType="begin"/>
          </w:r>
          <w:r>
            <w:instrText>HYPERLINK  \l "_Toc15864"</w:instrText>
          </w:r>
          <w:r>
            <w:rPr>
              <w:rFonts w:ascii="黑体" w:eastAsia="黑体" w:cs="黑体" w:hint="eastAsia"/>
              <w:kern w:val="0"/>
              <w:sz w:val="32"/>
              <w:szCs w:val="32"/>
              <w:shd w:val="clear" w:color="auto" w:fill="FFFFFF"/>
            </w:rPr>
            <w:fldChar w:fldCharType="separate"/>
          </w:r>
          <w:r>
            <w:rPr>
              <w:rFonts w:ascii="黑体" w:eastAsia="黑体" w:cs="黑体" w:hint="eastAsia"/>
              <w:kern w:val="0"/>
              <w:sz w:val="32"/>
              <w:szCs w:val="32"/>
              <w:shd w:val="clear" w:color="auto" w:fill="FFFFFF"/>
            </w:rPr>
            <w:t>十一、国有资本经营预算财政拨款收入支出决算表</w:t>
          </w:r>
          <w:r>
            <w:rPr>
              <w:rFonts w:ascii="黑体" w:eastAsia="黑体" w:cs="黑体" w:hint="eastAsia"/>
              <w:kern w:val="0"/>
              <w:sz w:val="32"/>
              <w:szCs w:val="32"/>
              <w:shd w:val="clear" w:color="auto" w:fill="FFFFFF"/>
            </w:rPr>
            <w:fldChar w:fldCharType="end"/>
          </w:r>
        </w:p>
        <w:p>
          <w:pPr>
            <w:pStyle w:val="21"/>
            <w:tabs>
              <w:tab w:val="clear" w:pos="8296"/>
              <w:tab w:val="right" w:leader="dot" w:pos="8306"/>
            </w:tabs>
            <w:spacing w:line="560" w:lineRule="exact"/>
            <w:rPr>
              <w:rFonts w:ascii="黑体" w:eastAsia="黑体" w:cs="黑体"/>
              <w:sz w:val="32"/>
              <w:szCs w:val="32"/>
            </w:rPr>
          </w:pPr>
          <w:r>
            <w:rPr>
              <w:rFonts w:ascii="黑体" w:eastAsia="黑体" w:cs="黑体" w:hint="eastAsia"/>
              <w:kern w:val="0"/>
              <w:sz w:val="32"/>
              <w:szCs w:val="32"/>
              <w:shd w:val="clear" w:color="auto" w:fill="FFFFFF"/>
            </w:rPr>
            <w:fldChar w:fldCharType="begin"/>
          </w:r>
          <w:r>
            <w:instrText>HYPERLINK  \l "_Toc26137"</w:instrText>
          </w:r>
          <w:r>
            <w:rPr>
              <w:rFonts w:ascii="黑体" w:eastAsia="黑体" w:cs="黑体" w:hint="eastAsia"/>
              <w:kern w:val="0"/>
              <w:sz w:val="32"/>
              <w:szCs w:val="32"/>
              <w:shd w:val="clear" w:color="auto" w:fill="FFFFFF"/>
            </w:rPr>
            <w:fldChar w:fldCharType="separate"/>
          </w:r>
          <w:r>
            <w:rPr>
              <w:rFonts w:ascii="黑体" w:eastAsia="黑体" w:cs="黑体" w:hint="eastAsia"/>
              <w:kern w:val="0"/>
              <w:sz w:val="32"/>
              <w:szCs w:val="32"/>
              <w:shd w:val="clear" w:color="auto" w:fill="FFFFFF"/>
            </w:rPr>
            <w:t>十二、国有资本经营预算财政拨款支出决算表</w:t>
          </w:r>
          <w:r>
            <w:rPr>
              <w:rFonts w:ascii="黑体" w:eastAsia="黑体" w:cs="黑体" w:hint="eastAsia"/>
              <w:kern w:val="0"/>
              <w:sz w:val="32"/>
              <w:szCs w:val="32"/>
              <w:shd w:val="clear" w:color="auto" w:fill="FFFFFF"/>
            </w:rPr>
            <w:fldChar w:fldCharType="end"/>
          </w:r>
        </w:p>
        <w:p>
          <w:pPr>
            <w:pStyle w:val="21"/>
            <w:tabs>
              <w:tab w:val="clear" w:pos="8296"/>
              <w:tab w:val="right" w:leader="dot" w:pos="8306"/>
            </w:tabs>
            <w:spacing w:line="560" w:lineRule="exact"/>
            <w:rPr>
              <w:rFonts w:ascii="黑体" w:eastAsia="黑体" w:cs="黑体"/>
              <w:kern w:val="0"/>
              <w:sz w:val="32"/>
              <w:szCs w:val="32"/>
              <w:shd w:val="clear" w:color="auto" w:fill="FFFFFF"/>
            </w:rPr>
          </w:pPr>
          <w:r>
            <w:rPr>
              <w:rFonts w:ascii="黑体" w:eastAsia="黑体" w:cs="黑体" w:hint="eastAsia"/>
              <w:kern w:val="0"/>
              <w:sz w:val="32"/>
              <w:szCs w:val="32"/>
              <w:shd w:val="clear" w:color="auto" w:fill="FFFFFF"/>
            </w:rPr>
            <w:fldChar w:fldCharType="begin"/>
          </w:r>
          <w:r>
            <w:instrText>HYPERLINK  \l "_Toc20596"</w:instrText>
          </w:r>
          <w:r>
            <w:rPr>
              <w:rFonts w:ascii="黑体" w:eastAsia="黑体" w:cs="黑体" w:hint="eastAsia"/>
              <w:kern w:val="0"/>
              <w:sz w:val="32"/>
              <w:szCs w:val="32"/>
              <w:shd w:val="clear" w:color="auto" w:fill="FFFFFF"/>
            </w:rPr>
            <w:fldChar w:fldCharType="separate"/>
          </w:r>
          <w:r>
            <w:rPr>
              <w:rFonts w:ascii="黑体" w:eastAsia="黑体" w:cs="黑体" w:hint="eastAsia"/>
              <w:kern w:val="0"/>
              <w:sz w:val="32"/>
              <w:szCs w:val="32"/>
              <w:shd w:val="clear" w:color="auto" w:fill="FFFFFF"/>
            </w:rPr>
            <w:t>十三、财政拨款“三公”经费支出决算表</w:t>
          </w:r>
          <w:r>
            <w:rPr>
              <w:rFonts w:ascii="黑体" w:eastAsia="黑体" w:cs="黑体" w:hint="eastAsia"/>
              <w:kern w:val="0"/>
              <w:sz w:val="32"/>
              <w:szCs w:val="32"/>
              <w:shd w:val="clear" w:color="auto" w:fill="FFFFFF"/>
            </w:rPr>
            <w:fldChar w:fldCharType="end"/>
          </w:r>
        </w:p>
        <w:p>
          <w:pPr>
            <w:pStyle w:val="25"/>
            <w:outlineLvl w:val="9"/>
          </w:pPr>
        </w:p>
      </w:sdtContent>
    </w:sdt>
    <w:p/>
    <w:p>
      <w:pPr>
        <w:pStyle w:val="1"/>
        <w:spacing w:after="210" w:line="578" w:lineRule="auto"/>
        <w:jc w:val="center"/>
        <w:rPr>
          <w:rStyle w:val="1Char"/>
          <w:rFonts w:ascii="方正小标宋简体" w:eastAsia="方正小标宋简体"/>
          <w:b/>
          <w:bCs/>
        </w:rPr>
        <w:sectPr>
          <w:footerReference w:type="default" r:id="rId4"/>
          <w:footerReference w:type="first" r:id="rId5"/>
          <w:pgSz w:w="11906" w:h="16838"/>
          <w:pgMar w:top="1440" w:right="1800" w:bottom="1440" w:left="1800" w:header="851" w:footer="992" w:gutter="0"/>
          <w:pgNumType w:start="1"/>
          <w:titlePg/>
          <w:docGrid w:type="lines" w:linePitch="312" w:charSpace="0"/>
        </w:sectPr>
      </w:pPr>
      <w:bookmarkStart w:id="15" w:name="_Toc15377196"/>
      <w:bookmarkStart w:id="16" w:name="_Toc15396599"/>
    </w:p>
    <w:p>
      <w:pPr>
        <w:pStyle w:val="1"/>
        <w:spacing w:after="210" w:line="578" w:lineRule="auto"/>
        <w:jc w:val="center"/>
        <w:rPr>
          <w:rStyle w:val="1Char"/>
          <w:rFonts w:ascii="方正小标宋简体" w:eastAsia="方正小标宋简体"/>
          <w:b w:val="0"/>
          <w:bCs/>
        </w:rPr>
      </w:pPr>
      <w:bookmarkStart w:id="17" w:name="_Toc14635"/>
      <w:r>
        <w:rPr>
          <w:rStyle w:val="1Char"/>
          <w:rFonts w:ascii="方正小标宋简体" w:eastAsia="方正小标宋简体" w:hint="eastAsia"/>
          <w:b w:val="0"/>
          <w:bCs/>
        </w:rPr>
        <w:t>第一部分 单位概况</w:t>
      </w:r>
      <w:bookmarkStart w:id="18" w:name="_Toc15377197"/>
      <w:bookmarkStart w:id="19" w:name="_Toc15396600"/>
      <w:bookmarkEnd w:id="15"/>
      <w:bookmarkEnd w:id="16"/>
      <w:bookmarkEnd w:id="17"/>
    </w:p>
    <w:p>
      <w:pPr>
        <w:pStyle w:val="2"/>
        <w:numPr>
          <w:ilvl w:val="0"/>
          <w:numId w:val="1"/>
        </w:numPr>
        <w:spacing w:before="0" w:after="0" w:line="560" w:lineRule="exact"/>
        <w:ind w:left="1361"/>
        <w:rPr>
          <w:rFonts w:ascii="黑体" w:eastAsia="黑体" w:cs="黑体"/>
          <w:b w:val="0"/>
          <w:bCs w:val="0"/>
        </w:rPr>
      </w:pPr>
      <w:bookmarkStart w:id="20" w:name="_Toc13383"/>
      <w:bookmarkStart w:id="21" w:name="_Toc15377198"/>
      <w:bookmarkStart w:id="22" w:name="_Toc15378445"/>
      <w:bookmarkEnd w:id="18"/>
      <w:bookmarkEnd w:id="19"/>
      <w:r>
        <w:rPr>
          <w:rFonts w:ascii="黑体" w:eastAsia="黑体" w:cs="黑体" w:hint="eastAsia"/>
          <w:b w:val="0"/>
          <w:bCs w:val="0"/>
        </w:rPr>
        <w:t>部门职责</w:t>
      </w:r>
      <w:bookmarkEnd w:id="20"/>
    </w:p>
    <w:p>
      <w:pPr>
        <w:pStyle w:val="30"/>
        <w:spacing w:line="560" w:lineRule="exact"/>
        <w:rPr>
          <w:rFonts w:ascii="仿宋_GB2312" w:eastAsia="仿宋_GB2312" w:cs="仿宋"/>
          <w:sz w:val="32"/>
          <w:szCs w:val="32"/>
        </w:rPr>
      </w:pPr>
      <w:bookmarkEnd w:id="21"/>
      <w:bookmarkEnd w:id="22"/>
      <w:r>
        <w:rPr>
          <w:rFonts w:ascii="仿宋_GB2312" w:eastAsia="仿宋_GB2312" w:hint="eastAsia"/>
          <w:color w:val="333333"/>
          <w:sz w:val="32"/>
          <w:szCs w:val="32"/>
        </w:rPr>
        <w:t>阿坝州公安局</w:t>
      </w:r>
      <w:r>
        <w:rPr>
          <w:rFonts w:ascii="仿宋_GB2312" w:eastAsia="仿宋_GB2312" w:hint="eastAsia"/>
          <w:color w:val="333333"/>
          <w:sz w:val="32"/>
          <w:szCs w:val="32"/>
          <w:lang w:eastAsia="zh-CN"/>
        </w:rPr>
        <w:t>交管</w:t>
      </w:r>
      <w:r>
        <w:rPr>
          <w:rFonts w:ascii="仿宋_GB2312" w:eastAsia="仿宋_GB2312" w:hint="eastAsia"/>
          <w:color w:val="333333"/>
          <w:sz w:val="32"/>
          <w:szCs w:val="32"/>
        </w:rPr>
        <w:t>支队</w:t>
      </w:r>
      <w:r>
        <w:rPr>
          <w:rFonts w:ascii="仿宋_GB2312" w:eastAsia="仿宋_GB2312" w:cs="仿宋" w:hint="eastAsia"/>
          <w:sz w:val="32"/>
          <w:szCs w:val="32"/>
        </w:rPr>
        <w:t>负责全州国、省、县、乡道路交通安全，负责车辆入户及驾驶人考核，组织全州公安交通管理部门开展交通安全宣传教育、维护交通秩序、处理交通事故、打击涉路违法犯罪及协商相关职能部门开展道路交通安全隐患排查、治理工作；</w:t>
      </w:r>
      <w:r>
        <w:rPr>
          <w:rFonts w:ascii="仿宋_GB2312" w:eastAsia="仿宋_GB2312" w:cs="宋体" w:hint="eastAsia"/>
          <w:color w:val="000000"/>
          <w:sz w:val="32"/>
          <w:szCs w:val="32"/>
        </w:rPr>
        <w:t>紧紧围绕贯彻全国公安交通管理工作会议精神，</w:t>
      </w:r>
      <w:r>
        <w:rPr>
          <w:rFonts w:ascii="仿宋_GB2312" w:eastAsia="仿宋_GB2312" w:cs="宋体" w:hint="eastAsia"/>
          <w:sz w:val="32"/>
          <w:szCs w:val="32"/>
        </w:rPr>
        <w:t>以预防重特大道路交通事故为核心，以科技信息化建设为突破口，全力推进各项交通管理工作，全力提升依法管理和服务群众能力水平。</w:t>
      </w:r>
      <w:r>
        <w:rPr>
          <w:rFonts w:ascii="仿宋_GB2312" w:eastAsia="仿宋_GB2312" w:hint="eastAsia"/>
          <w:sz w:val="32"/>
          <w:szCs w:val="32"/>
        </w:rPr>
        <w:t>统一管理全州城乡道路交通，维护道路交通秩序，负责交通标志、标线等安全设施设置情况的督查；负责全州交通警察队伍建设和管理；处理特大道路交通事故及交通事故、群众信访案件的复查、复核；负责全州交通安全宣传教育及交通民警的教育培训；起草全州道路交通法规、承办交通</w:t>
      </w:r>
      <w:r>
        <w:rPr>
          <w:rFonts w:ascii="仿宋_GB2312" w:eastAsia="仿宋_GB2312"/>
          <w:sz w:val="32"/>
          <w:szCs w:val="32"/>
        </w:rPr>
        <w:t>法治</w:t>
      </w:r>
      <w:r>
        <w:rPr>
          <w:rFonts w:ascii="仿宋_GB2312" w:eastAsia="仿宋_GB2312" w:hint="eastAsia"/>
          <w:sz w:val="32"/>
          <w:szCs w:val="32"/>
        </w:rPr>
        <w:t>宣传、交通安全信息统计报送工作；负责车辆入户及检验，驾驶员考核与发牌发证等工作。</w:t>
      </w:r>
      <w:bookmarkStart w:id="23" w:name="_Toc15378446"/>
      <w:bookmarkStart w:id="24" w:name="_Toc15377199"/>
    </w:p>
    <w:p>
      <w:pPr>
        <w:pStyle w:val="2"/>
        <w:numPr>
          <w:ilvl w:val="0"/>
          <w:numId w:val="1"/>
        </w:numPr>
        <w:spacing w:before="0" w:after="0" w:line="560" w:lineRule="exact"/>
        <w:ind w:left="1361"/>
        <w:rPr>
          <w:rFonts w:ascii="黑体" w:eastAsia="黑体" w:cs="黑体"/>
          <w:b w:val="0"/>
          <w:bCs w:val="0"/>
        </w:rPr>
      </w:pPr>
      <w:bookmarkStart w:id="25" w:name="_Toc15396601"/>
      <w:bookmarkStart w:id="26" w:name="_Toc15377200"/>
      <w:bookmarkStart w:id="27" w:name="_Toc29399"/>
      <w:bookmarkEnd w:id="23"/>
      <w:bookmarkEnd w:id="24"/>
      <w:r>
        <w:rPr>
          <w:rFonts w:ascii="黑体" w:eastAsia="黑体" w:cs="黑体" w:hint="eastAsia"/>
          <w:b w:val="0"/>
          <w:bCs w:val="0"/>
        </w:rPr>
        <w:t>机构设置</w:t>
      </w:r>
      <w:bookmarkEnd w:id="25"/>
      <w:bookmarkEnd w:id="26"/>
      <w:bookmarkEnd w:id="27"/>
    </w:p>
    <w:p>
      <w:pPr>
        <w:spacing w:line="560" w:lineRule="exact"/>
        <w:ind w:firstLine="630"/>
        <w:rPr>
          <w:rFonts w:ascii="仿宋_GB2312" w:eastAsia="仿宋_GB2312" w:hint="eastAsia"/>
          <w:sz w:val="32"/>
          <w:szCs w:val="32"/>
        </w:rPr>
      </w:pPr>
      <w:r>
        <w:rPr>
          <w:rFonts w:ascii="仿宋_GB2312" w:eastAsia="仿宋_GB2312" w:hint="eastAsia"/>
          <w:sz w:val="32"/>
          <w:szCs w:val="32"/>
        </w:rPr>
        <w:t>1、机构情况，阿坝州公安局交通</w:t>
      </w:r>
      <w:r>
        <w:rPr>
          <w:rFonts w:ascii="仿宋_GB2312" w:eastAsia="仿宋_GB2312"/>
          <w:sz w:val="32"/>
          <w:szCs w:val="32"/>
        </w:rPr>
        <w:t>管理</w:t>
      </w:r>
      <w:r>
        <w:rPr>
          <w:rFonts w:ascii="仿宋_GB2312" w:eastAsia="仿宋_GB2312" w:hint="eastAsia"/>
          <w:sz w:val="32"/>
          <w:szCs w:val="32"/>
        </w:rPr>
        <w:t>支队属州公安局内设部门，为一级预算单位。内设科室6个，分别是综合保障大队、车辆管理所、秩序宣传大队、事故法制大队、财务装备处、直属大队，当年无变动。</w:t>
      </w:r>
    </w:p>
    <w:p>
      <w:pPr>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2、人员情况，202</w:t>
      </w:r>
      <w:r>
        <w:rPr>
          <w:rFonts w:ascii="仿宋_GB2312" w:eastAsia="仿宋_GB2312" w:hint="eastAsia"/>
          <w:sz w:val="32"/>
          <w:szCs w:val="32"/>
          <w:lang w:val="en-US" w:eastAsia="zh-CN"/>
        </w:rPr>
        <w:t>5</w:t>
      </w:r>
      <w:r>
        <w:rPr>
          <w:rFonts w:ascii="仿宋_GB2312" w:eastAsia="仿宋_GB2312" w:hint="eastAsia"/>
          <w:sz w:val="32"/>
          <w:szCs w:val="32"/>
        </w:rPr>
        <w:t>年</w:t>
      </w:r>
      <w:r>
        <w:rPr>
          <w:rFonts w:ascii="仿宋_GB2312" w:eastAsia="仿宋_GB2312" w:hint="eastAsia"/>
          <w:sz w:val="32"/>
          <w:szCs w:val="32"/>
          <w:lang w:val="en-US" w:eastAsia="zh-CN"/>
        </w:rPr>
        <w:t>末</w:t>
      </w:r>
      <w:r>
        <w:rPr>
          <w:rFonts w:ascii="仿宋_GB2312" w:eastAsia="仿宋_GB2312" w:hint="eastAsia"/>
          <w:sz w:val="32"/>
          <w:szCs w:val="32"/>
        </w:rPr>
        <w:t>，州</w:t>
      </w:r>
      <w:r>
        <w:rPr>
          <w:rFonts w:ascii="仿宋_GB2312" w:eastAsia="仿宋_GB2312" w:hint="eastAsia"/>
          <w:sz w:val="32"/>
          <w:szCs w:val="32"/>
          <w:lang w:eastAsia="zh-CN"/>
        </w:rPr>
        <w:t>交管</w:t>
      </w:r>
      <w:r>
        <w:rPr>
          <w:rFonts w:ascii="仿宋_GB2312" w:eastAsia="仿宋_GB2312" w:hint="eastAsia"/>
          <w:sz w:val="32"/>
          <w:szCs w:val="32"/>
        </w:rPr>
        <w:t>支队实有在职人员</w:t>
      </w:r>
      <w:r>
        <w:rPr>
          <w:rFonts w:ascii="仿宋_GB2312" w:eastAsia="仿宋_GB2312" w:hint="eastAsia"/>
          <w:sz w:val="32"/>
          <w:szCs w:val="32"/>
          <w:lang w:val="en-US" w:eastAsia="zh-CN"/>
        </w:rPr>
        <w:t>89</w:t>
      </w:r>
      <w:r>
        <w:rPr>
          <w:rFonts w:ascii="仿宋_GB2312" w:eastAsia="仿宋_GB2312" w:hint="eastAsia"/>
          <w:sz w:val="32"/>
          <w:szCs w:val="32"/>
        </w:rPr>
        <w:t>人，其中民警4</w:t>
      </w:r>
      <w:r>
        <w:rPr>
          <w:rFonts w:ascii="仿宋_GB2312" w:eastAsia="仿宋_GB2312" w:hint="eastAsia"/>
          <w:sz w:val="32"/>
          <w:szCs w:val="32"/>
          <w:lang w:val="en-US" w:eastAsia="zh-CN"/>
        </w:rPr>
        <w:t>3</w:t>
      </w:r>
      <w:r>
        <w:rPr>
          <w:rFonts w:ascii="仿宋_GB2312" w:eastAsia="仿宋_GB2312" w:hint="eastAsia"/>
          <w:sz w:val="32"/>
          <w:szCs w:val="32"/>
        </w:rPr>
        <w:t>人，工勤</w:t>
      </w:r>
      <w:r>
        <w:rPr>
          <w:rFonts w:ascii="仿宋_GB2312" w:eastAsia="仿宋_GB2312" w:hint="eastAsia"/>
          <w:sz w:val="32"/>
          <w:szCs w:val="32"/>
          <w:lang w:val="en-US" w:eastAsia="zh-CN"/>
        </w:rPr>
        <w:t>5</w:t>
      </w:r>
      <w:r>
        <w:rPr>
          <w:rFonts w:ascii="仿宋_GB2312" w:eastAsia="仿宋_GB2312" w:hint="eastAsia"/>
          <w:sz w:val="32"/>
          <w:szCs w:val="32"/>
        </w:rPr>
        <w:t>人，辅警</w:t>
      </w:r>
      <w:r>
        <w:rPr>
          <w:rFonts w:ascii="仿宋_GB2312" w:eastAsia="仿宋_GB2312" w:hint="eastAsia"/>
          <w:sz w:val="32"/>
          <w:szCs w:val="32"/>
          <w:lang w:val="en-US" w:eastAsia="zh-CN"/>
        </w:rPr>
        <w:t>41</w:t>
      </w:r>
      <w:r>
        <w:rPr>
          <w:rFonts w:ascii="仿宋_GB2312" w:eastAsia="仿宋_GB2312" w:hint="eastAsia"/>
          <w:sz w:val="32"/>
          <w:szCs w:val="32"/>
        </w:rPr>
        <w:t>人；退休人员</w:t>
      </w:r>
      <w:r>
        <w:rPr>
          <w:rFonts w:ascii="仿宋_GB2312" w:eastAsia="仿宋_GB2312" w:hint="eastAsia"/>
          <w:color w:val="000000"/>
          <w:sz w:val="32"/>
          <w:szCs w:val="32"/>
        </w:rPr>
        <w:t>2</w:t>
      </w:r>
      <w:r>
        <w:rPr>
          <w:rFonts w:ascii="仿宋_GB2312" w:eastAsia="仿宋_GB2312" w:hint="eastAsia"/>
          <w:color w:val="000000"/>
          <w:sz w:val="32"/>
          <w:szCs w:val="32"/>
          <w:lang w:val="en-US" w:eastAsia="zh-CN"/>
        </w:rPr>
        <w:t>1</w:t>
      </w:r>
      <w:r>
        <w:rPr>
          <w:rFonts w:ascii="仿宋_GB2312" w:eastAsia="仿宋_GB2312" w:hint="eastAsia"/>
          <w:sz w:val="32"/>
          <w:szCs w:val="32"/>
        </w:rPr>
        <w:t>人。</w:t>
      </w:r>
    </w:p>
    <w:p>
      <w:pPr>
        <w:snapToGrid w:val="0"/>
        <w:spacing w:line="560" w:lineRule="exact"/>
        <w:rPr>
          <w:rFonts w:ascii="仿宋_GB2312" w:eastAsia="仿宋_GB2312"/>
          <w:color w:val="000000"/>
          <w:sz w:val="32"/>
          <w:szCs w:val="32"/>
        </w:rPr>
      </w:pPr>
    </w:p>
    <w:p>
      <w:pPr>
        <w:widowControl/>
        <w:jc w:val="left"/>
        <w:rPr>
          <w:rFonts w:ascii="华文仿宋" w:eastAsia="华文仿宋"/>
          <w:color w:val="FF0000"/>
          <w:kern w:val="0"/>
          <w:sz w:val="32"/>
          <w:szCs w:val="32"/>
        </w:rPr>
      </w:pPr>
      <w:r>
        <w:rPr>
          <w:rFonts w:ascii="华文仿宋" w:eastAsia="华文仿宋"/>
          <w:color w:val="FF0000"/>
          <w:sz w:val="32"/>
          <w:szCs w:val="32"/>
        </w:rPr>
        <w:br w:type="page"/>
      </w:r>
    </w:p>
    <w:p>
      <w:pPr>
        <w:pStyle w:val="1"/>
        <w:jc w:val="center"/>
        <w:rPr>
          <w:rStyle w:val="1Char"/>
          <w:rFonts w:ascii="方正小标宋简体" w:eastAsia="方正小标宋简体"/>
          <w:b w:val="0"/>
          <w:bCs/>
        </w:rPr>
      </w:pPr>
      <w:bookmarkStart w:id="28" w:name="_Toc20905"/>
      <w:r>
        <w:rPr>
          <w:rStyle w:val="1Char"/>
          <w:rFonts w:ascii="方正小标宋简体" w:eastAsia="方正小标宋简体" w:hint="eastAsia"/>
          <w:b w:val="0"/>
          <w:bCs/>
        </w:rPr>
        <w:t>第二部分 202</w:t>
      </w:r>
      <w:r>
        <w:rPr>
          <w:rStyle w:val="1Char"/>
          <w:rFonts w:ascii="方正小标宋简体" w:eastAsia="方正小标宋简体" w:hint="eastAsia"/>
          <w:b w:val="0"/>
          <w:bCs/>
          <w:lang w:val="en-US"/>
        </w:rPr>
        <w:t>5</w:t>
      </w:r>
      <w:r>
        <w:rPr>
          <w:rStyle w:val="1Char"/>
          <w:rFonts w:ascii="方正小标宋简体" w:eastAsia="方正小标宋简体" w:hint="eastAsia"/>
          <w:b w:val="0"/>
          <w:bCs/>
        </w:rPr>
        <w:t>年度部门决算情况说明</w:t>
      </w:r>
      <w:bookmarkEnd w:id="28"/>
    </w:p>
    <w:p>
      <w:pPr>
        <w:spacing w:line="560" w:lineRule="exact"/>
        <w:rPr>
          <w:rFonts w:ascii="仿宋_GB2312" w:eastAsia="仿宋_GB2312"/>
          <w:sz w:val="32"/>
          <w:szCs w:val="32"/>
        </w:rPr>
      </w:pPr>
    </w:p>
    <w:p>
      <w:pPr>
        <w:pStyle w:val="2"/>
        <w:numPr>
          <w:ilvl w:val="0"/>
          <w:numId w:val="2"/>
        </w:numPr>
        <w:spacing w:before="0" w:after="0" w:line="560" w:lineRule="exact"/>
        <w:ind w:left="1361"/>
        <w:rPr>
          <w:rFonts w:ascii="黑体" w:eastAsia="黑体" w:cs="黑体"/>
          <w:b w:val="0"/>
          <w:bCs w:val="0"/>
        </w:rPr>
      </w:pPr>
      <w:bookmarkStart w:id="29" w:name="_Toc10016"/>
      <w:bookmarkStart w:id="30" w:name="_Toc79163610"/>
      <w:bookmarkStart w:id="31" w:name="_Toc15377205"/>
      <w:bookmarkStart w:id="32" w:name="_Toc15396603"/>
      <w:bookmarkStart w:id="33" w:name="_Toc79163860"/>
      <w:r>
        <w:rPr>
          <w:rFonts w:ascii="黑体" w:eastAsia="黑体" w:cs="黑体" w:hint="eastAsia"/>
          <w:b w:val="0"/>
          <w:bCs w:val="0"/>
        </w:rPr>
        <w:t>收入支出决算总体情况说明</w:t>
      </w:r>
      <w:bookmarkEnd w:id="29"/>
      <w:bookmarkEnd w:id="30"/>
      <w:bookmarkEnd w:id="31"/>
      <w:bookmarkEnd w:id="32"/>
      <w:bookmarkEnd w:id="33"/>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color w:val="auto"/>
          <w:sz w:val="32"/>
          <w:szCs w:val="32"/>
          <w:lang w:val="en-US" w:eastAsia="zh-CN"/>
        </w:rPr>
      </w:pPr>
      <w:r>
        <w:rPr>
          <w:rFonts w:ascii="仿宋_GB2312" w:eastAsia="仿宋_GB2312" w:hint="eastAsia"/>
          <w:color w:val="000000"/>
          <w:sz w:val="32"/>
          <w:szCs w:val="32"/>
          <w14:textFill>
            <w14:solidFill>
              <w14:srgbClr w14:val="000000"/>
            </w14:solidFill>
          </w14:textFill>
        </w:rPr>
        <w:t>202</w:t>
      </w:r>
      <w:r>
        <w:rPr>
          <w:rFonts w:ascii="仿宋_GB2312" w:eastAsia="仿宋_GB2312" w:hint="eastAsia"/>
          <w:color w:val="000000"/>
          <w:sz w:val="32"/>
          <w:szCs w:val="32"/>
          <w14:textFill>
            <w14:solidFill>
              <w14:srgbClr w14:val="000000"/>
            </w14:solidFill>
          </w14:textFill>
          <w:lang w:val="en-US" w:eastAsia="zh-CN"/>
        </w:rPr>
        <w:t>5</w:t>
      </w:r>
      <w:r>
        <w:rPr>
          <w:rFonts w:ascii="仿宋_GB2312" w:eastAsia="仿宋_GB2312" w:hint="eastAsia"/>
          <w:color w:val="000000"/>
          <w:sz w:val="32"/>
          <w:szCs w:val="32"/>
          <w14:textFill>
            <w14:solidFill>
              <w14:srgbClr w14:val="000000"/>
            </w14:solidFill>
          </w14:textFill>
        </w:rPr>
        <w:t>年度阿坝州</w:t>
      </w:r>
      <w:r>
        <w:rPr>
          <w:rFonts w:ascii="仿宋_GB2312" w:eastAsia="仿宋_GB2312" w:hint="eastAsia"/>
          <w:color w:val="000000"/>
          <w:sz w:val="32"/>
          <w:szCs w:val="32"/>
          <w14:textFill>
            <w14:solidFill>
              <w14:srgbClr w14:val="000000"/>
            </w14:solidFill>
          </w14:textFill>
          <w:lang w:eastAsia="zh-CN"/>
        </w:rPr>
        <w:t>交管</w:t>
      </w:r>
      <w:r>
        <w:rPr>
          <w:rFonts w:ascii="仿宋_GB2312" w:eastAsia="仿宋_GB2312" w:hint="eastAsia"/>
          <w:color w:val="000000"/>
          <w:sz w:val="32"/>
          <w:szCs w:val="32"/>
          <w14:textFill>
            <w14:solidFill>
              <w14:srgbClr w14:val="000000"/>
            </w14:solidFill>
          </w14:textFill>
        </w:rPr>
        <w:t>支队收入总计</w:t>
      </w:r>
      <w:r>
        <w:rPr>
          <w:rFonts w:ascii="仿宋_GB2312" w:eastAsia="仿宋_GB2312" w:hint="eastAsia"/>
          <w:color w:val="000000"/>
          <w:sz w:val="32"/>
          <w:szCs w:val="32"/>
          <w14:textFill>
            <w14:solidFill>
              <w14:srgbClr w14:val="000000"/>
            </w14:solidFill>
          </w14:textFill>
          <w:lang w:val="en-US" w:eastAsia="zh-CN"/>
        </w:rPr>
        <w:t>3596.8</w:t>
      </w:r>
      <w:r>
        <w:rPr>
          <w:rFonts w:ascii="仿宋_GB2312" w:eastAsia="仿宋_GB2312" w:hint="eastAsia"/>
          <w:color w:val="000000"/>
          <w:sz w:val="32"/>
          <w:szCs w:val="32"/>
          <w14:textFill>
            <w14:solidFill>
              <w14:srgbClr w14:val="000000"/>
            </w14:solidFill>
          </w14:textFill>
        </w:rPr>
        <w:t>万元，支出总计</w:t>
      </w:r>
      <w:r>
        <w:rPr>
          <w:rFonts w:ascii="仿宋_GB2312" w:eastAsia="仿宋_GB2312" w:hint="eastAsia"/>
          <w:color w:val="000000"/>
          <w:sz w:val="32"/>
          <w:szCs w:val="32"/>
          <w14:textFill>
            <w14:solidFill>
              <w14:srgbClr w14:val="000000"/>
            </w14:solidFill>
          </w14:textFill>
          <w:lang w:val="en-US" w:eastAsia="zh-CN"/>
        </w:rPr>
        <w:t>3596.8</w:t>
      </w:r>
      <w:r>
        <w:rPr>
          <w:rFonts w:ascii="仿宋_GB2312" w:eastAsia="仿宋_GB2312" w:hint="eastAsia"/>
          <w:color w:val="000000"/>
          <w:sz w:val="32"/>
          <w:szCs w:val="32"/>
          <w14:textFill>
            <w14:solidFill>
              <w14:srgbClr w14:val="000000"/>
            </w14:solidFill>
          </w14:textFill>
        </w:rPr>
        <w:t>万元。与202</w:t>
      </w:r>
      <w:r>
        <w:rPr>
          <w:rFonts w:ascii="仿宋_GB2312" w:eastAsia="仿宋_GB2312" w:hint="eastAsia"/>
          <w:color w:val="000000"/>
          <w:sz w:val="32"/>
          <w:szCs w:val="32"/>
          <w14:textFill>
            <w14:solidFill>
              <w14:srgbClr w14:val="000000"/>
            </w14:solidFill>
          </w14:textFill>
          <w:lang w:val="en-US" w:eastAsia="zh-CN"/>
        </w:rPr>
        <w:t>4</w:t>
      </w:r>
      <w:r>
        <w:rPr>
          <w:rFonts w:ascii="仿宋_GB2312" w:eastAsia="仿宋_GB2312" w:hint="eastAsia"/>
          <w:color w:val="000000"/>
          <w:sz w:val="32"/>
          <w:szCs w:val="32"/>
          <w14:textFill>
            <w14:solidFill>
              <w14:srgbClr w14:val="000000"/>
            </w14:solidFill>
          </w14:textFill>
        </w:rPr>
        <w:t>年相比，收入</w:t>
      </w:r>
      <w:r>
        <w:rPr>
          <w:rFonts w:ascii="仿宋_GB2312" w:eastAsia="仿宋_GB2312" w:hint="eastAsia"/>
          <w:color w:val="000000"/>
          <w:sz w:val="32"/>
          <w:szCs w:val="32"/>
          <w14:textFill>
            <w14:solidFill>
              <w14:srgbClr w14:val="000000"/>
            </w14:solidFill>
          </w14:textFill>
          <w:lang w:val="en-US" w:eastAsia="zh-CN"/>
        </w:rPr>
        <w:t>增加1141.65</w:t>
      </w:r>
      <w:r>
        <w:rPr>
          <w:rFonts w:ascii="仿宋_GB2312" w:eastAsia="仿宋_GB2312" w:hint="eastAsia"/>
          <w:color w:val="000000"/>
          <w:sz w:val="32"/>
          <w:szCs w:val="32"/>
          <w14:textFill>
            <w14:solidFill>
              <w14:srgbClr w14:val="000000"/>
            </w14:solidFill>
          </w14:textFill>
        </w:rPr>
        <w:t>万元，</w:t>
      </w:r>
      <w:r>
        <w:rPr>
          <w:rFonts w:ascii="仿宋_GB2312" w:eastAsia="仿宋_GB2312" w:hint="eastAsia"/>
          <w:color w:val="000000"/>
          <w:sz w:val="32"/>
          <w:szCs w:val="32"/>
          <w14:textFill>
            <w14:solidFill>
              <w14:srgbClr w14:val="000000"/>
            </w14:solidFill>
          </w14:textFill>
          <w:lang w:val="en-US" w:eastAsia="zh-CN"/>
        </w:rPr>
        <w:t>增加46.5</w:t>
      </w:r>
      <w:r>
        <w:rPr>
          <w:rFonts w:ascii="仿宋_GB2312" w:eastAsia="仿宋_GB2312" w:hint="eastAsia"/>
          <w:color w:val="000000"/>
          <w:sz w:val="32"/>
          <w:szCs w:val="32"/>
          <w14:textFill>
            <w14:solidFill>
              <w14:srgbClr w14:val="000000"/>
            </w14:solidFill>
          </w14:textFill>
        </w:rPr>
        <w:t>%。支出</w:t>
      </w:r>
      <w:r>
        <w:rPr>
          <w:rFonts w:ascii="仿宋_GB2312" w:eastAsia="仿宋_GB2312" w:hint="eastAsia"/>
          <w:color w:val="000000"/>
          <w:sz w:val="32"/>
          <w:szCs w:val="32"/>
          <w14:textFill>
            <w14:solidFill>
              <w14:srgbClr w14:val="000000"/>
            </w14:solidFill>
          </w14:textFill>
          <w:lang w:val="en-US" w:eastAsia="zh-CN"/>
        </w:rPr>
        <w:t>增加1141.65</w:t>
      </w:r>
      <w:r>
        <w:rPr>
          <w:rFonts w:ascii="仿宋_GB2312" w:eastAsia="仿宋_GB2312" w:hint="eastAsia"/>
          <w:color w:val="000000"/>
          <w:sz w:val="32"/>
          <w:szCs w:val="32"/>
          <w14:textFill>
            <w14:solidFill>
              <w14:srgbClr w14:val="000000"/>
            </w14:solidFill>
          </w14:textFill>
        </w:rPr>
        <w:t>万元，</w:t>
      </w:r>
      <w:r>
        <w:rPr>
          <w:rFonts w:ascii="仿宋_GB2312" w:eastAsia="仿宋_GB2312" w:hint="eastAsia"/>
          <w:color w:val="000000"/>
          <w:sz w:val="32"/>
          <w:szCs w:val="32"/>
          <w14:textFill>
            <w14:solidFill>
              <w14:srgbClr w14:val="000000"/>
            </w14:solidFill>
          </w14:textFill>
          <w:lang w:val="en-US" w:eastAsia="zh-CN"/>
        </w:rPr>
        <w:t>增</w:t>
      </w:r>
      <w:r>
        <w:rPr>
          <w:rFonts w:ascii="仿宋_GB2312" w:eastAsia="仿宋_GB2312" w:hint="eastAsia"/>
          <w:color w:val="auto"/>
          <w:sz w:val="32"/>
          <w:szCs w:val="32"/>
          <w:lang w:val="en-US" w:eastAsia="zh-CN"/>
        </w:rPr>
        <w:t>加46.5</w:t>
      </w:r>
      <w:r>
        <w:rPr>
          <w:rFonts w:ascii="仿宋_GB2312" w:eastAsia="仿宋_GB2312" w:hint="eastAsia"/>
          <w:color w:val="auto"/>
          <w:sz w:val="32"/>
          <w:szCs w:val="32"/>
        </w:rPr>
        <w:t>%。主要变动原因</w:t>
      </w:r>
      <w:r>
        <w:rPr>
          <w:rFonts w:ascii="仿宋_GB2312" w:eastAsia="仿宋_GB2312" w:hint="eastAsia"/>
          <w:color w:val="auto"/>
          <w:sz w:val="32"/>
          <w:szCs w:val="32"/>
          <w:lang w:val="en-US" w:eastAsia="zh-CN"/>
        </w:rPr>
        <w:t>2025年采购项目增加，其中2024年部分采购项目于2025年完成，2025年新增部分特定目标类项目,如:全州卡口补点建设项目、交</w:t>
      </w:r>
      <w:r>
        <w:rPr>
          <w:rFonts w:ascii="仿宋_GB2312" w:eastAsia="仿宋_GB2312"/>
          <w:color w:val="auto"/>
          <w:sz w:val="32"/>
          <w:szCs w:val="32"/>
          <w:lang w:val="en-US" w:eastAsia="zh-CN"/>
        </w:rPr>
        <w:t>管</w:t>
      </w:r>
      <w:r>
        <w:rPr>
          <w:rFonts w:ascii="仿宋_GB2312" w:eastAsia="仿宋_GB2312" w:hint="eastAsia"/>
          <w:color w:val="auto"/>
          <w:sz w:val="32"/>
          <w:szCs w:val="32"/>
          <w:lang w:val="en-US" w:eastAsia="zh-CN"/>
        </w:rPr>
        <w:t>大数据指挥中心业务技术用房办公楼设施、设备采购项目等。</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olor w:val="000000"/>
          <w:sz w:val="32"/>
          <w:szCs w:val="32"/>
        </w:rPr>
      </w:pPr>
      <w:r>
        <w:rPr>
          <w:rFonts w:ascii="仿宋_GB2312" w:eastAsia="仿宋_GB2312" w:hint="eastAsia"/>
          <w:color w:val="000000"/>
          <w:sz w:val="32"/>
          <w:szCs w:val="32"/>
        </w:rPr>
        <w:t>（图1：收</w:t>
      </w:r>
      <w:r>
        <w:rPr>
          <w:rFonts w:ascii="仿宋_GB2312" w:eastAsia="仿宋_GB2312" w:hint="eastAsia"/>
          <w:color w:val="000000"/>
          <w:sz w:val="32"/>
          <w:szCs w:val="32"/>
          <w:lang w:val="en-US" w:eastAsia="zh-CN"/>
        </w:rPr>
        <w:t>入</w:t>
      </w:r>
      <w:r>
        <w:rPr>
          <w:rFonts w:ascii="仿宋_GB2312" w:eastAsia="仿宋_GB2312" w:hint="eastAsia"/>
          <w:color w:val="000000"/>
          <w:sz w:val="32"/>
          <w:szCs w:val="32"/>
        </w:rPr>
        <w:t>、支</w:t>
      </w:r>
      <w:r>
        <w:rPr>
          <w:rFonts w:ascii="仿宋_GB2312" w:eastAsia="仿宋_GB2312" w:hint="eastAsia"/>
          <w:color w:val="000000"/>
          <w:sz w:val="32"/>
          <w:szCs w:val="32"/>
          <w:lang w:val="en-US" w:eastAsia="zh-CN"/>
        </w:rPr>
        <w:t>出</w:t>
      </w:r>
      <w:r>
        <w:rPr>
          <w:rFonts w:ascii="仿宋_GB2312" w:eastAsia="仿宋_GB2312" w:hint="eastAsia"/>
          <w:color w:val="000000"/>
          <w:sz w:val="32"/>
          <w:szCs w:val="32"/>
        </w:rPr>
        <w:t>决算总计变动情况图）（柱状图）</w:t>
      </w:r>
    </w:p>
    <w:p>
      <w:pPr>
        <w:pStyle w:val="15"/>
        <w:spacing w:beforeLines="0" w:before="93"/>
        <w:ind w:firstLineChars="200" w:firstLine="600"/>
      </w:pPr>
      <w:r>
        <w:drawing>
          <wp:inline distT="0" distB="0" distL="114300" distR="114300">
            <wp:extent cx="4826000" cy="2743200"/>
            <wp:effectExtent l="0" t="0" r="0" b="0"/>
            <wp:docPr id="4" name="图表 2"/>
            <wp:cNvGraphicFramePr>
              <a:graphicFrameLocks noChangeAspect="0"/>
            </wp:cNvGraphicFramePr>
            <a:graphic>
              <a:graphicData uri="http://schemas.openxmlformats.org/drawingml/2006/chart">
                <c:chart xmlns:c="http://schemas.openxmlformats.org/drawingml/2006/chart" r:id="rId8"/>
              </a:graphicData>
            </a:graphic>
          </wp:inline>
        </w:drawing>
      </w:r>
    </w:p>
    <w:p>
      <w:pPr>
        <w:pStyle w:val="2"/>
        <w:keepNext/>
        <w:keepLines/>
        <w:pageBreakBefore w:val="0"/>
        <w:widowControl w:val="0"/>
        <w:numPr>
          <w:ilvl w:val="0"/>
          <w:numId w:val="2"/>
        </w:numPr>
        <w:kinsoku/>
        <w:wordWrap/>
        <w:overflowPunct/>
        <w:topLinePunct w:val="0"/>
        <w:autoSpaceDE/>
        <w:autoSpaceDN/>
        <w:bidi w:val="0"/>
        <w:adjustRightInd/>
        <w:snapToGrid/>
        <w:spacing w:before="0" w:after="0" w:line="560" w:lineRule="exact"/>
        <w:ind w:left="1361"/>
        <w:textAlignment w:val="auto"/>
        <w:rPr>
          <w:rFonts w:ascii="黑体" w:eastAsia="黑体" w:cs="黑体"/>
          <w:b w:val="0"/>
          <w:bCs w:val="0"/>
        </w:rPr>
      </w:pPr>
      <w:bookmarkStart w:id="34" w:name="_Toc19625"/>
      <w:bookmarkStart w:id="35" w:name="_Toc15396604"/>
      <w:bookmarkStart w:id="36" w:name="_Toc15377206"/>
      <w:bookmarkStart w:id="37" w:name="_Toc79163861"/>
      <w:bookmarkStart w:id="38" w:name="_Toc79163611"/>
      <w:r>
        <w:rPr>
          <w:rFonts w:ascii="黑体" w:eastAsia="黑体" w:cs="黑体" w:hint="eastAsia"/>
          <w:b w:val="0"/>
          <w:bCs w:val="0"/>
        </w:rPr>
        <w:t>收入决算情况说明</w:t>
      </w:r>
      <w:bookmarkEnd w:id="34"/>
      <w:bookmarkEnd w:id="35"/>
      <w:bookmarkEnd w:id="36"/>
      <w:bookmarkEnd w:id="37"/>
      <w:bookmarkEnd w:id="38"/>
    </w:p>
    <w:p>
      <w:pPr>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olor w:val="000000"/>
          <w:sz w:val="32"/>
          <w:szCs w:val="32"/>
        </w:rPr>
      </w:pPr>
      <w:r>
        <w:rPr>
          <w:rFonts w:ascii="仿宋_GB2312" w:eastAsia="仿宋_GB2312" w:hint="eastAsia"/>
          <w:color w:val="000000"/>
          <w:sz w:val="32"/>
          <w:szCs w:val="32"/>
        </w:rPr>
        <w:t>202</w:t>
      </w:r>
      <w:r>
        <w:rPr>
          <w:rFonts w:ascii="仿宋_GB2312" w:eastAsia="仿宋_GB2312" w:hint="eastAsia"/>
          <w:color w:val="000000"/>
          <w:sz w:val="32"/>
          <w:szCs w:val="32"/>
          <w:lang w:val="en-US" w:eastAsia="zh-CN"/>
        </w:rPr>
        <w:t>5</w:t>
      </w:r>
      <w:r>
        <w:rPr>
          <w:rFonts w:ascii="仿宋_GB2312" w:eastAsia="仿宋_GB2312" w:hint="eastAsia"/>
          <w:color w:val="000000"/>
          <w:sz w:val="32"/>
          <w:szCs w:val="32"/>
        </w:rPr>
        <w:t>年本年收入合计</w:t>
      </w:r>
      <w:r>
        <w:rPr>
          <w:rFonts w:ascii="仿宋_GB2312" w:eastAsia="仿宋_GB2312" w:hint="eastAsia"/>
          <w:color w:val="000000"/>
          <w:sz w:val="32"/>
          <w:szCs w:val="32"/>
          <w14:textFill>
            <w14:solidFill>
              <w14:srgbClr w14:val="000000"/>
            </w14:solidFill>
          </w14:textFill>
          <w:lang w:val="en-US" w:eastAsia="zh-CN"/>
        </w:rPr>
        <w:t>3596.8</w:t>
      </w:r>
      <w:r>
        <w:rPr>
          <w:rFonts w:ascii="仿宋_GB2312" w:eastAsia="仿宋_GB2312" w:hint="eastAsia"/>
          <w:color w:val="000000"/>
          <w:sz w:val="32"/>
          <w:szCs w:val="32"/>
        </w:rPr>
        <w:t>万元，其中：一般公共预算财政拨款收入</w:t>
      </w:r>
      <w:r>
        <w:rPr>
          <w:rFonts w:ascii="仿宋_GB2312" w:eastAsia="仿宋_GB2312" w:hint="eastAsia"/>
          <w:color w:val="000000"/>
          <w:sz w:val="32"/>
          <w:szCs w:val="32"/>
          <w14:textFill>
            <w14:solidFill>
              <w14:srgbClr w14:val="000000"/>
            </w14:solidFill>
          </w14:textFill>
          <w:lang w:val="en-US" w:eastAsia="zh-CN"/>
        </w:rPr>
        <w:t>3595.8</w:t>
      </w:r>
      <w:r>
        <w:rPr>
          <w:rFonts w:ascii="仿宋_GB2312" w:eastAsia="仿宋_GB2312" w:hint="eastAsia"/>
          <w:color w:val="000000"/>
          <w:sz w:val="32"/>
          <w:szCs w:val="32"/>
        </w:rPr>
        <w:t>万元，占</w:t>
      </w:r>
      <w:r>
        <w:rPr>
          <w:rFonts w:ascii="仿宋_GB2312" w:eastAsia="仿宋_GB2312" w:hint="eastAsia"/>
          <w:color w:val="000000"/>
          <w:sz w:val="32"/>
          <w:szCs w:val="32"/>
          <w:lang w:val="en-US" w:eastAsia="zh-CN"/>
        </w:rPr>
        <w:t>99.97</w:t>
      </w:r>
      <w:r>
        <w:rPr>
          <w:rFonts w:ascii="仿宋_GB2312" w:eastAsia="仿宋_GB2312" w:hint="eastAsia"/>
          <w:color w:val="000000"/>
          <w:sz w:val="32"/>
          <w:szCs w:val="32"/>
        </w:rPr>
        <w:t>%</w:t>
      </w:r>
      <w:r>
        <w:rPr>
          <w:rFonts w:ascii="仿宋_GB2312" w:eastAsia="仿宋_GB2312" w:hint="eastAsia"/>
          <w:color w:val="000000"/>
          <w:sz w:val="32"/>
          <w:szCs w:val="32"/>
          <w:lang w:eastAsia="zh-CN"/>
        </w:rPr>
        <w:t>，</w:t>
      </w:r>
      <w:r>
        <w:rPr>
          <w:rFonts w:ascii="仿宋_GB2312" w:eastAsia="仿宋_GB2312" w:hint="eastAsia"/>
          <w:color w:val="000000"/>
          <w:sz w:val="32"/>
          <w:szCs w:val="32"/>
          <w:lang w:val="en-US" w:eastAsia="zh-CN"/>
        </w:rPr>
        <w:t>其他收入1.0万元，</w:t>
      </w:r>
      <w:r>
        <w:rPr>
          <w:rFonts w:ascii="仿宋_GB2312" w:eastAsia="仿宋_GB2312" w:hint="eastAsia"/>
          <w:color w:val="000000"/>
          <w:sz w:val="32"/>
          <w:szCs w:val="32"/>
        </w:rPr>
        <w:t>占</w:t>
      </w:r>
      <w:r>
        <w:rPr>
          <w:rFonts w:ascii="仿宋_GB2312" w:eastAsia="仿宋_GB2312" w:hint="eastAsia"/>
          <w:color w:val="000000"/>
          <w:sz w:val="32"/>
          <w:szCs w:val="32"/>
          <w:lang w:val="en-US" w:eastAsia="zh-CN"/>
        </w:rPr>
        <w:t>0.03</w:t>
      </w:r>
      <w:r>
        <w:rPr>
          <w:rFonts w:ascii="仿宋_GB2312" w:eastAsia="仿宋_GB2312" w:hint="eastAsia"/>
          <w:color w:val="000000"/>
          <w:sz w:val="32"/>
          <w:szCs w:val="32"/>
        </w:rPr>
        <w:t>%。无政府性基金预算、无国有资本经营预算。</w:t>
      </w:r>
    </w:p>
    <w:p>
      <w:pPr>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sz w:val="32"/>
          <w:szCs w:val="32"/>
        </w:rPr>
      </w:pPr>
      <w:r>
        <w:rPr>
          <w:rFonts w:ascii="仿宋_GB2312" w:eastAsia="仿宋_GB2312" w:hint="eastAsia"/>
          <w:sz w:val="32"/>
          <w:szCs w:val="32"/>
        </w:rPr>
        <w:t>（注：数据来源于财决01表）</w:t>
      </w:r>
    </w:p>
    <w:p>
      <w:pPr>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olor w:val="000000"/>
          <w:sz w:val="32"/>
          <w:szCs w:val="32"/>
        </w:rPr>
      </w:pPr>
      <w:r>
        <w:rPr>
          <w:rFonts w:ascii="仿宋_GB2312" w:eastAsia="仿宋_GB2312" w:hint="eastAsia"/>
          <w:color w:val="000000"/>
          <w:sz w:val="32"/>
          <w:szCs w:val="32"/>
        </w:rPr>
        <w:t>（图2：收入决算结构图）（饼状图）</w:t>
      </w:r>
    </w:p>
    <w:p>
      <w:pPr>
        <w:pStyle w:val="15"/>
        <w:spacing w:beforeLines="0" w:before="0" w:line="560" w:lineRule="exact"/>
        <w:rPr>
          <w:rFonts w:ascii="华文仿宋" w:eastAsia="华文仿宋"/>
          <w:sz w:val="32"/>
          <w:szCs w:val="32"/>
        </w:rPr>
      </w:pPr>
    </w:p>
    <w:p>
      <w:pPr>
        <w:pStyle w:val="15"/>
        <w:spacing w:beforeLines="0" w:before="93"/>
        <w:jc w:val="center"/>
        <w:rPr>
          <w:rFonts w:ascii="华文仿宋" w:eastAsia="华文仿宋"/>
          <w:sz w:val="32"/>
          <w:szCs w:val="32"/>
        </w:rPr>
      </w:pPr>
      <w:bookmarkStart w:id="39" w:name="_Toc15396605"/>
      <w:bookmarkStart w:id="40" w:name="_Toc15377207"/>
      <w:bookmarkStart w:id="41" w:name="_Toc79163612"/>
      <w:bookmarkStart w:id="42" w:name="_Toc79163862"/>
      <w:r>
        <w:drawing>
          <wp:inline distT="0" distB="0" distL="114300" distR="114300">
            <wp:extent cx="4826000" cy="2743200"/>
            <wp:effectExtent l="0" t="0" r="0" b="0"/>
            <wp:docPr id="5" name="图表 4"/>
            <wp:cNvGraphicFramePr>
              <a:graphicFrameLocks noChangeAspect="0"/>
            </wp:cNvGraphicFramePr>
            <a:graphic>
              <a:graphicData uri="http://schemas.openxmlformats.org/drawingml/2006/chart">
                <c:chart xmlns:c="http://schemas.openxmlformats.org/drawingml/2006/chart" r:id="rId9"/>
              </a:graphicData>
            </a:graphic>
          </wp:inline>
        </w:drawing>
      </w:r>
    </w:p>
    <w:p>
      <w:pPr>
        <w:pStyle w:val="2"/>
        <w:keepNext/>
        <w:keepLines/>
        <w:pageBreakBefore w:val="0"/>
        <w:widowControl w:val="0"/>
        <w:numPr>
          <w:ilvl w:val="0"/>
          <w:numId w:val="2"/>
        </w:numPr>
        <w:kinsoku/>
        <w:wordWrap/>
        <w:overflowPunct/>
        <w:topLinePunct w:val="0"/>
        <w:autoSpaceDE/>
        <w:autoSpaceDN/>
        <w:bidi w:val="0"/>
        <w:adjustRightInd/>
        <w:snapToGrid/>
        <w:spacing w:before="0" w:after="0" w:line="560" w:lineRule="exact"/>
        <w:ind w:left="1361"/>
        <w:textAlignment w:val="auto"/>
        <w:rPr>
          <w:rFonts w:ascii="黑体" w:eastAsia="黑体" w:cs="黑体"/>
          <w:b w:val="0"/>
          <w:bCs w:val="0"/>
        </w:rPr>
      </w:pPr>
      <w:bookmarkStart w:id="43" w:name="_Toc14132"/>
      <w:r>
        <w:rPr>
          <w:rFonts w:ascii="黑体" w:eastAsia="黑体" w:cs="黑体" w:hint="eastAsia"/>
          <w:b w:val="0"/>
          <w:bCs w:val="0"/>
        </w:rPr>
        <w:t>支出决算情况说明</w:t>
      </w:r>
      <w:bookmarkEnd w:id="39"/>
      <w:bookmarkEnd w:id="40"/>
      <w:bookmarkEnd w:id="41"/>
      <w:bookmarkEnd w:id="42"/>
      <w:bookmarkEnd w:id="43"/>
    </w:p>
    <w:p>
      <w:pPr>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sz w:val="32"/>
          <w:szCs w:val="32"/>
        </w:rPr>
      </w:pPr>
      <w:r>
        <w:rPr>
          <w:rFonts w:ascii="仿宋_GB2312" w:eastAsia="仿宋_GB2312"/>
          <w:sz w:val="32"/>
          <w:szCs w:val="32"/>
        </w:rPr>
        <w:t>202</w:t>
      </w:r>
      <w:r>
        <w:rPr>
          <w:rFonts w:ascii="仿宋_GB2312" w:eastAsia="仿宋_GB2312" w:hint="eastAsia"/>
          <w:sz w:val="32"/>
          <w:szCs w:val="32"/>
          <w:lang w:val="en-US" w:eastAsia="zh-CN"/>
        </w:rPr>
        <w:t>5</w:t>
      </w:r>
      <w:r>
        <w:rPr>
          <w:rFonts w:ascii="仿宋_GB2312" w:eastAsia="仿宋_GB2312" w:hint="eastAsia"/>
          <w:sz w:val="32"/>
          <w:szCs w:val="32"/>
        </w:rPr>
        <w:t>年本年支出合计</w:t>
      </w:r>
      <w:r>
        <w:rPr>
          <w:rFonts w:ascii="仿宋_GB2312" w:eastAsia="仿宋_GB2312" w:hint="eastAsia"/>
          <w:sz w:val="32"/>
          <w:szCs w:val="32"/>
          <w:lang w:val="en-US" w:eastAsia="zh-CN"/>
        </w:rPr>
        <w:t>3596.8</w:t>
      </w:r>
      <w:r>
        <w:rPr>
          <w:rFonts w:ascii="仿宋_GB2312" w:eastAsia="仿宋_GB2312" w:hint="eastAsia"/>
          <w:sz w:val="32"/>
          <w:szCs w:val="32"/>
        </w:rPr>
        <w:t>万元，其中：基本支出</w:t>
      </w:r>
      <w:r>
        <w:rPr>
          <w:rFonts w:ascii="仿宋_GB2312" w:eastAsia="仿宋_GB2312" w:hint="eastAsia"/>
          <w:sz w:val="32"/>
          <w:szCs w:val="32"/>
          <w:lang w:val="en-US" w:eastAsia="zh-CN"/>
        </w:rPr>
        <w:t>1103.74</w:t>
      </w:r>
      <w:r>
        <w:rPr>
          <w:rFonts w:ascii="仿宋_GB2312" w:eastAsia="仿宋_GB2312" w:hint="eastAsia"/>
          <w:sz w:val="32"/>
          <w:szCs w:val="32"/>
        </w:rPr>
        <w:t>万元，占</w:t>
      </w:r>
      <w:r>
        <w:rPr>
          <w:rFonts w:ascii="仿宋_GB2312" w:eastAsia="仿宋_GB2312" w:hint="eastAsia"/>
          <w:sz w:val="32"/>
          <w:szCs w:val="32"/>
          <w:lang w:val="en-US" w:eastAsia="zh-CN"/>
        </w:rPr>
        <w:t>30.69</w:t>
      </w:r>
      <w:r>
        <w:rPr>
          <w:rFonts w:ascii="仿宋_GB2312" w:eastAsia="仿宋_GB2312" w:hint="eastAsia"/>
          <w:sz w:val="32"/>
          <w:szCs w:val="32"/>
        </w:rPr>
        <w:t>%；项目支出</w:t>
      </w:r>
      <w:r>
        <w:rPr>
          <w:rFonts w:ascii="仿宋_GB2312" w:eastAsia="仿宋_GB2312" w:hint="eastAsia"/>
          <w:sz w:val="32"/>
          <w:szCs w:val="32"/>
          <w:lang w:val="en-US" w:eastAsia="zh-CN"/>
        </w:rPr>
        <w:t>2493.06</w:t>
      </w:r>
      <w:r>
        <w:rPr>
          <w:rFonts w:ascii="仿宋_GB2312" w:eastAsia="仿宋_GB2312" w:hint="eastAsia"/>
          <w:sz w:val="32"/>
          <w:szCs w:val="32"/>
        </w:rPr>
        <w:t>万元，占</w:t>
      </w:r>
      <w:r>
        <w:rPr>
          <w:rFonts w:ascii="仿宋_GB2312" w:eastAsia="仿宋_GB2312" w:hint="eastAsia"/>
          <w:sz w:val="32"/>
          <w:szCs w:val="32"/>
          <w:lang w:val="en-US" w:eastAsia="zh-CN"/>
        </w:rPr>
        <w:t>69.31</w:t>
      </w:r>
      <w:r>
        <w:rPr>
          <w:rFonts w:ascii="仿宋_GB2312" w:eastAsia="仿宋_GB2312" w:hint="eastAsia"/>
          <w:sz w:val="32"/>
          <w:szCs w:val="32"/>
        </w:rPr>
        <w:t>%。</w:t>
      </w:r>
    </w:p>
    <w:p>
      <w:pPr>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sz w:val="32"/>
          <w:szCs w:val="32"/>
        </w:rPr>
      </w:pPr>
      <w:r>
        <w:rPr>
          <w:rFonts w:ascii="仿宋_GB2312" w:eastAsia="仿宋_GB2312" w:hint="eastAsia"/>
          <w:sz w:val="32"/>
          <w:szCs w:val="32"/>
        </w:rPr>
        <w:t>（注：数据来源于财决04表）</w:t>
      </w:r>
    </w:p>
    <w:p>
      <w:pPr>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olor w:val="000000"/>
          <w:sz w:val="32"/>
          <w:szCs w:val="32"/>
        </w:rPr>
      </w:pPr>
      <w:r>
        <w:rPr>
          <w:rFonts w:ascii="仿宋_GB2312" w:eastAsia="仿宋_GB2312" w:hint="eastAsia"/>
          <w:color w:val="000000"/>
          <w:sz w:val="32"/>
          <w:szCs w:val="32"/>
        </w:rPr>
        <w:t>（图3：支出决算结构图）（饼状图）</w:t>
      </w:r>
    </w:p>
    <w:p>
      <w:pPr>
        <w:pStyle w:val="15"/>
        <w:spacing w:beforeLines="0" w:before="93"/>
        <w:rPr>
          <w:rFonts w:hint="eastAsia"/>
        </w:rPr>
      </w:pPr>
      <w:bookmarkStart w:id="44" w:name="_Toc15377208"/>
      <w:bookmarkStart w:id="45" w:name="_Toc15396606"/>
      <w:bookmarkStart w:id="46" w:name="_Toc79163613"/>
      <w:bookmarkStart w:id="47" w:name="_Toc79163863"/>
      <w:r>
        <w:drawing>
          <wp:inline distT="0" distB="0" distL="114300" distR="114300">
            <wp:extent cx="4826000" cy="2743200"/>
            <wp:effectExtent l="0" t="0" r="0" b="0"/>
            <wp:docPr id="6" name="图表 2"/>
            <wp:cNvGraphicFramePr>
              <a:graphicFrameLocks noChangeAspect="0"/>
            </wp:cNvGraphicFramePr>
            <a:graphic>
              <a:graphicData uri="http://schemas.openxmlformats.org/drawingml/2006/chart">
                <c:chart xmlns:c="http://schemas.openxmlformats.org/drawingml/2006/chart" r:id="rId10"/>
              </a:graphicData>
            </a:graphic>
          </wp:inline>
        </w:drawing>
      </w:r>
    </w:p>
    <w:p>
      <w:pPr>
        <w:pStyle w:val="2"/>
        <w:numPr>
          <w:ilvl w:val="0"/>
          <w:numId w:val="2"/>
        </w:numPr>
        <w:spacing w:before="0" w:after="0" w:line="560" w:lineRule="exact"/>
        <w:ind w:left="1361"/>
        <w:rPr>
          <w:rFonts w:ascii="黑体" w:eastAsia="黑体" w:cs="黑体"/>
          <w:b w:val="0"/>
          <w:bCs w:val="0"/>
        </w:rPr>
      </w:pPr>
      <w:bookmarkStart w:id="48" w:name="_Toc16213"/>
      <w:r>
        <w:rPr>
          <w:rFonts w:ascii="黑体" w:eastAsia="黑体" w:cs="黑体" w:hint="eastAsia"/>
          <w:b w:val="0"/>
          <w:bCs w:val="0"/>
        </w:rPr>
        <w:t>财政拨款收入支出决算总体情况说明</w:t>
      </w:r>
      <w:bookmarkEnd w:id="44"/>
      <w:bookmarkEnd w:id="45"/>
      <w:bookmarkEnd w:id="46"/>
      <w:bookmarkEnd w:id="47"/>
      <w:bookmarkEnd w:id="48"/>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olor w:val="FF0000"/>
          <w:sz w:val="32"/>
          <w:szCs w:val="32"/>
        </w:rPr>
      </w:pPr>
      <w:r>
        <w:rPr>
          <w:rFonts w:ascii="仿宋_GB2312" w:eastAsia="仿宋_GB2312" w:hint="eastAsia"/>
          <w:color w:val="000000"/>
          <w:sz w:val="32"/>
          <w:szCs w:val="32"/>
        </w:rPr>
        <w:t>202</w:t>
      </w:r>
      <w:r>
        <w:rPr>
          <w:rFonts w:ascii="仿宋_GB2312" w:eastAsia="仿宋_GB2312" w:hint="eastAsia"/>
          <w:color w:val="000000"/>
          <w:sz w:val="32"/>
          <w:szCs w:val="32"/>
          <w:lang w:val="en-US" w:eastAsia="zh-CN"/>
        </w:rPr>
        <w:t>5</w:t>
      </w:r>
      <w:r>
        <w:rPr>
          <w:rFonts w:ascii="仿宋_GB2312" w:eastAsia="仿宋_GB2312" w:hint="eastAsia"/>
          <w:color w:val="000000"/>
          <w:sz w:val="32"/>
          <w:szCs w:val="32"/>
        </w:rPr>
        <w:t>年度阿坝州</w:t>
      </w:r>
      <w:r>
        <w:rPr>
          <w:rFonts w:ascii="仿宋_GB2312" w:eastAsia="仿宋_GB2312" w:hint="eastAsia"/>
          <w:color w:val="000000"/>
          <w:sz w:val="32"/>
          <w:szCs w:val="32"/>
          <w:lang w:eastAsia="zh-CN"/>
        </w:rPr>
        <w:t>交管</w:t>
      </w:r>
      <w:r>
        <w:rPr>
          <w:rFonts w:ascii="仿宋_GB2312" w:eastAsia="仿宋_GB2312" w:hint="eastAsia"/>
          <w:color w:val="000000"/>
          <w:sz w:val="32"/>
          <w:szCs w:val="32"/>
        </w:rPr>
        <w:t>支队收入总计</w:t>
      </w:r>
      <w:r>
        <w:rPr>
          <w:rFonts w:ascii="仿宋_GB2312" w:eastAsia="仿宋_GB2312" w:hint="eastAsia"/>
          <w:color w:val="000000"/>
          <w:sz w:val="32"/>
          <w:szCs w:val="32"/>
          <w14:textFill>
            <w14:solidFill>
              <w14:srgbClr w14:val="000000"/>
            </w14:solidFill>
          </w14:textFill>
          <w:lang w:val="en-US" w:eastAsia="zh-CN"/>
        </w:rPr>
        <w:t>3596.8</w:t>
      </w:r>
      <w:r>
        <w:rPr>
          <w:rFonts w:ascii="仿宋_GB2312" w:eastAsia="仿宋_GB2312" w:hint="eastAsia"/>
          <w:color w:val="000000"/>
          <w:sz w:val="32"/>
          <w:szCs w:val="32"/>
        </w:rPr>
        <w:t>万元，支出总计</w:t>
      </w:r>
      <w:r>
        <w:rPr>
          <w:rFonts w:ascii="仿宋_GB2312" w:eastAsia="仿宋_GB2312" w:hint="eastAsia"/>
          <w:color w:val="000000"/>
          <w:sz w:val="32"/>
          <w:szCs w:val="32"/>
          <w14:textFill>
            <w14:solidFill>
              <w14:srgbClr w14:val="000000"/>
            </w14:solidFill>
          </w14:textFill>
          <w:lang w:val="en-US" w:eastAsia="zh-CN"/>
        </w:rPr>
        <w:t>3</w:t>
      </w:r>
      <w:r>
        <w:rPr>
          <w:rFonts w:ascii="仿宋_GB2312" w:eastAsia="仿宋_GB2312" w:hint="eastAsia"/>
          <w:color w:val="auto"/>
          <w:sz w:val="32"/>
          <w:szCs w:val="32"/>
          <w:lang w:val="en-US" w:eastAsia="zh-CN"/>
        </w:rPr>
        <w:t>596.8</w:t>
      </w:r>
      <w:r>
        <w:rPr>
          <w:rFonts w:ascii="仿宋_GB2312" w:eastAsia="仿宋_GB2312" w:hint="eastAsia"/>
          <w:color w:val="auto"/>
          <w:sz w:val="32"/>
          <w:szCs w:val="32"/>
        </w:rPr>
        <w:t>万元。与202</w:t>
      </w:r>
      <w:r>
        <w:rPr>
          <w:rFonts w:ascii="仿宋_GB2312" w:eastAsia="仿宋_GB2312" w:hint="eastAsia"/>
          <w:color w:val="auto"/>
          <w:sz w:val="32"/>
          <w:szCs w:val="32"/>
          <w:lang w:val="en-US" w:eastAsia="zh-CN"/>
        </w:rPr>
        <w:t>4</w:t>
      </w:r>
      <w:r>
        <w:rPr>
          <w:rFonts w:ascii="仿宋_GB2312" w:eastAsia="仿宋_GB2312" w:hint="eastAsia"/>
          <w:color w:val="auto"/>
          <w:sz w:val="32"/>
          <w:szCs w:val="32"/>
        </w:rPr>
        <w:t>年相比，收入</w:t>
      </w:r>
      <w:r>
        <w:rPr>
          <w:rFonts w:ascii="仿宋_GB2312" w:eastAsia="仿宋_GB2312" w:hint="eastAsia"/>
          <w:color w:val="auto"/>
          <w:sz w:val="32"/>
          <w:szCs w:val="32"/>
          <w:lang w:val="en-US" w:eastAsia="zh-CN"/>
        </w:rPr>
        <w:t>增加1141.65</w:t>
      </w:r>
      <w:r>
        <w:rPr>
          <w:rFonts w:ascii="仿宋_GB2312" w:eastAsia="仿宋_GB2312" w:hint="eastAsia"/>
          <w:color w:val="auto"/>
          <w:sz w:val="32"/>
          <w:szCs w:val="32"/>
        </w:rPr>
        <w:t>万元，</w:t>
      </w:r>
      <w:r>
        <w:rPr>
          <w:rFonts w:ascii="仿宋_GB2312" w:eastAsia="仿宋_GB2312" w:hint="eastAsia"/>
          <w:color w:val="auto"/>
          <w:sz w:val="32"/>
          <w:szCs w:val="32"/>
          <w:lang w:val="en-US" w:eastAsia="zh-CN"/>
        </w:rPr>
        <w:t>增加46.5</w:t>
      </w:r>
      <w:r>
        <w:rPr>
          <w:rFonts w:ascii="仿宋_GB2312" w:eastAsia="仿宋_GB2312" w:hint="eastAsia"/>
          <w:color w:val="auto"/>
          <w:sz w:val="32"/>
          <w:szCs w:val="32"/>
        </w:rPr>
        <w:t>%。支出</w:t>
      </w:r>
      <w:r>
        <w:rPr>
          <w:rFonts w:ascii="仿宋_GB2312" w:eastAsia="仿宋_GB2312" w:hint="eastAsia"/>
          <w:color w:val="auto"/>
          <w:sz w:val="32"/>
          <w:szCs w:val="32"/>
          <w:lang w:val="en-US" w:eastAsia="zh-CN"/>
        </w:rPr>
        <w:t>增加1141.65</w:t>
      </w:r>
      <w:r>
        <w:rPr>
          <w:rFonts w:ascii="仿宋_GB2312" w:eastAsia="仿宋_GB2312" w:hint="eastAsia"/>
          <w:color w:val="auto"/>
          <w:sz w:val="32"/>
          <w:szCs w:val="32"/>
        </w:rPr>
        <w:t>万元，</w:t>
      </w:r>
      <w:r>
        <w:rPr>
          <w:rFonts w:ascii="仿宋_GB2312" w:eastAsia="仿宋_GB2312" w:hint="eastAsia"/>
          <w:color w:val="auto"/>
          <w:sz w:val="32"/>
          <w:szCs w:val="32"/>
          <w:lang w:val="en-US" w:eastAsia="zh-CN"/>
        </w:rPr>
        <w:t>增加46.5</w:t>
      </w:r>
      <w:r>
        <w:rPr>
          <w:rFonts w:ascii="仿宋_GB2312" w:eastAsia="仿宋_GB2312" w:hint="eastAsia"/>
          <w:color w:val="auto"/>
          <w:sz w:val="32"/>
          <w:szCs w:val="32"/>
        </w:rPr>
        <w:t>%。主要变动原因</w:t>
      </w:r>
      <w:r>
        <w:rPr>
          <w:rFonts w:ascii="仿宋_GB2312" w:eastAsia="仿宋_GB2312" w:hint="eastAsia"/>
          <w:color w:val="auto"/>
          <w:sz w:val="32"/>
          <w:szCs w:val="32"/>
          <w:lang w:val="en-US" w:eastAsia="zh-CN"/>
        </w:rPr>
        <w:t>2025年采购项目增加，其中2024年部分采购项目于2025年完成，2025年新增部分特定目标类项目,如:全州卡口补点建设项目、交</w:t>
      </w:r>
      <w:r>
        <w:rPr>
          <w:rFonts w:ascii="仿宋_GB2312" w:eastAsia="仿宋_GB2312"/>
          <w:color w:val="auto"/>
          <w:sz w:val="32"/>
          <w:szCs w:val="32"/>
          <w:lang w:val="en-US" w:eastAsia="zh-CN"/>
        </w:rPr>
        <w:t>管</w:t>
      </w:r>
      <w:r>
        <w:rPr>
          <w:rFonts w:ascii="仿宋_GB2312" w:eastAsia="仿宋_GB2312" w:hint="eastAsia"/>
          <w:color w:val="auto"/>
          <w:sz w:val="32"/>
          <w:szCs w:val="32"/>
          <w:lang w:val="en-US" w:eastAsia="zh-CN"/>
        </w:rPr>
        <w:t>大数据指挥中心业务技术用房办公楼设施、设备采购项目等。</w:t>
      </w:r>
    </w:p>
    <w:p>
      <w:pPr>
        <w:spacing w:line="560" w:lineRule="exact"/>
        <w:ind w:firstLineChars="200" w:firstLine="640"/>
        <w:rPr>
          <w:rFonts w:ascii="仿宋_GB2312" w:eastAsia="仿宋_GB2312"/>
          <w:b/>
          <w:sz w:val="32"/>
          <w:szCs w:val="32"/>
        </w:rPr>
      </w:pPr>
      <w:r>
        <w:rPr>
          <w:rFonts w:ascii="仿宋_GB2312" w:eastAsia="仿宋_GB2312" w:hint="eastAsia"/>
          <w:b/>
          <w:sz w:val="32"/>
          <w:szCs w:val="32"/>
        </w:rPr>
        <w:t>（注：除国有资本经营预算外，数据来源于财决Z01-1表，口径为“总计”数+国有资本经营预算。）</w:t>
      </w:r>
    </w:p>
    <w:p>
      <w:pPr>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（图4：财政拨款收、支决算总计变动情况）（柱状图）</w:t>
      </w:r>
    </w:p>
    <w:p>
      <w:pPr>
        <w:pStyle w:val="15"/>
        <w:spacing w:beforeLines="0" w:before="93"/>
        <w:rPr>
          <w:rFonts w:hint="eastAsia"/>
        </w:rPr>
      </w:pPr>
      <w:bookmarkStart w:id="49" w:name="_Toc15396607"/>
      <w:bookmarkStart w:id="50" w:name="_Toc15377209"/>
      <w:bookmarkStart w:id="51" w:name="_Toc79163864"/>
      <w:bookmarkStart w:id="52" w:name="_Toc79163614"/>
    </w:p>
    <w:p>
      <w:pPr>
        <w:ind w:firstLineChars="200" w:firstLine="420"/>
        <w:rPr>
          <w:rFonts w:ascii="黑体" w:eastAsia="黑体"/>
          <w:color w:val="000000"/>
          <w:sz w:val="32"/>
          <w:szCs w:val="32"/>
        </w:rPr>
      </w:pPr>
      <w:r>
        <w:drawing>
          <wp:inline distT="0" distB="0" distL="114300" distR="114300">
            <wp:extent cx="4826000" cy="2743200"/>
            <wp:effectExtent l="0" t="0" r="0" b="0"/>
            <wp:docPr id="7" name="图表 1"/>
            <wp:cNvGraphicFramePr>
              <a:graphicFrameLocks noChangeAspect="0"/>
            </wp:cNvGraphicFramePr>
            <a:graphic>
              <a:graphicData uri="http://schemas.openxmlformats.org/drawingml/2006/chart">
                <c:chart xmlns:c="http://schemas.openxmlformats.org/drawingml/2006/chart" r:id="rId11"/>
              </a:graphicData>
            </a:graphic>
          </wp:inline>
        </w:drawing>
      </w:r>
    </w:p>
    <w:p>
      <w:pPr>
        <w:pStyle w:val="15"/>
        <w:spacing w:beforeLines="0" w:before="93" w:line="240" w:lineRule="exact"/>
      </w:pPr>
    </w:p>
    <w:p>
      <w:pPr>
        <w:pStyle w:val="2"/>
        <w:numPr>
          <w:ilvl w:val="0"/>
          <w:numId w:val="2"/>
        </w:numPr>
        <w:spacing w:before="0" w:after="0" w:line="560" w:lineRule="exact"/>
        <w:ind w:left="1361"/>
        <w:rPr>
          <w:rFonts w:ascii="黑体" w:eastAsia="黑体" w:cs="黑体"/>
          <w:b w:val="0"/>
          <w:bCs w:val="0"/>
        </w:rPr>
      </w:pPr>
      <w:bookmarkStart w:id="53" w:name="_Toc1049"/>
      <w:r>
        <w:rPr>
          <w:rFonts w:ascii="黑体" w:eastAsia="黑体" w:cs="黑体" w:hint="eastAsia"/>
          <w:b w:val="0"/>
          <w:bCs w:val="0"/>
        </w:rPr>
        <w:t>一般公共预算财政拨款支出决算情况说明</w:t>
      </w:r>
      <w:bookmarkStart w:id="54" w:name="_Toc79163865"/>
      <w:bookmarkStart w:id="55" w:name="_Toc15377210"/>
      <w:bookmarkStart w:id="56" w:name="_Toc79163615"/>
      <w:bookmarkEnd w:id="49"/>
      <w:bookmarkEnd w:id="50"/>
      <w:bookmarkEnd w:id="51"/>
      <w:bookmarkEnd w:id="52"/>
      <w:bookmarkEnd w:id="53"/>
    </w:p>
    <w:p>
      <w:pPr>
        <w:pStyle w:val="3"/>
        <w:spacing w:before="0" w:after="0" w:line="560" w:lineRule="exact"/>
        <w:ind w:firstLineChars="200" w:firstLine="640"/>
        <w:rPr>
          <w:rFonts w:ascii="楷体_GB2312" w:eastAsia="楷体_GB2312"/>
          <w:bCs w:val="0"/>
        </w:rPr>
      </w:pPr>
      <w:bookmarkStart w:id="57" w:name="_Toc16641"/>
      <w:r>
        <w:rPr>
          <w:rFonts w:ascii="楷体_GB2312" w:eastAsia="楷体_GB2312" w:hint="eastAsia"/>
          <w:bCs w:val="0"/>
        </w:rPr>
        <w:t>（一）一般公共预算财政拨款支出决算总体情况</w:t>
      </w:r>
      <w:bookmarkEnd w:id="54"/>
      <w:bookmarkEnd w:id="55"/>
      <w:bookmarkEnd w:id="56"/>
      <w:bookmarkEnd w:id="57"/>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color w:val="auto"/>
          <w:sz w:val="32"/>
          <w:szCs w:val="32"/>
          <w:lang w:val="en-US" w:eastAsia="zh-CN"/>
        </w:rPr>
      </w:pPr>
      <w:r>
        <w:rPr>
          <w:rFonts w:ascii="仿宋_GB2312" w:eastAsia="仿宋_GB2312" w:hint="eastAsia"/>
          <w:color w:val="000000"/>
          <w:sz w:val="32"/>
          <w:szCs w:val="32"/>
        </w:rPr>
        <w:t>202</w:t>
      </w:r>
      <w:r>
        <w:rPr>
          <w:rFonts w:ascii="仿宋_GB2312" w:eastAsia="仿宋_GB2312" w:hint="eastAsia"/>
          <w:color w:val="000000"/>
          <w:sz w:val="32"/>
          <w:szCs w:val="32"/>
          <w:lang w:val="en-US" w:eastAsia="zh-CN"/>
        </w:rPr>
        <w:t>5</w:t>
      </w:r>
      <w:r>
        <w:rPr>
          <w:rFonts w:ascii="仿宋_GB2312" w:eastAsia="仿宋_GB2312" w:hint="eastAsia"/>
          <w:color w:val="000000"/>
          <w:sz w:val="32"/>
          <w:szCs w:val="32"/>
        </w:rPr>
        <w:t>年度阿坝州</w:t>
      </w:r>
      <w:r>
        <w:rPr>
          <w:rFonts w:ascii="仿宋_GB2312" w:eastAsia="仿宋_GB2312" w:hint="eastAsia"/>
          <w:color w:val="000000"/>
          <w:sz w:val="32"/>
          <w:szCs w:val="32"/>
          <w:lang w:eastAsia="zh-CN"/>
        </w:rPr>
        <w:t>交管</w:t>
      </w:r>
      <w:r>
        <w:rPr>
          <w:rFonts w:ascii="仿宋_GB2312" w:eastAsia="仿宋_GB2312" w:hint="eastAsia"/>
          <w:color w:val="000000"/>
          <w:sz w:val="32"/>
          <w:szCs w:val="32"/>
        </w:rPr>
        <w:t>支队收入总计</w:t>
      </w:r>
      <w:r>
        <w:rPr>
          <w:rFonts w:ascii="仿宋_GB2312" w:eastAsia="仿宋_GB2312" w:hint="eastAsia"/>
          <w:color w:val="000000"/>
          <w:sz w:val="32"/>
          <w:szCs w:val="32"/>
          <w14:textFill>
            <w14:solidFill>
              <w14:srgbClr w14:val="000000"/>
            </w14:solidFill>
          </w14:textFill>
          <w:lang w:val="en-US" w:eastAsia="zh-CN"/>
        </w:rPr>
        <w:t>3596.8</w:t>
      </w:r>
      <w:r>
        <w:rPr>
          <w:rFonts w:ascii="仿宋_GB2312" w:eastAsia="仿宋_GB2312" w:hint="eastAsia"/>
          <w:color w:val="000000"/>
          <w:sz w:val="32"/>
          <w:szCs w:val="32"/>
        </w:rPr>
        <w:t>万元（财政拨款收入</w:t>
      </w:r>
      <w:r>
        <w:rPr>
          <w:rFonts w:ascii="仿宋_GB2312" w:eastAsia="仿宋_GB2312" w:hint="eastAsia"/>
          <w:color w:val="000000"/>
          <w:sz w:val="32"/>
          <w:szCs w:val="32"/>
          <w14:textFill>
            <w14:solidFill>
              <w14:srgbClr w14:val="000000"/>
            </w14:solidFill>
          </w14:textFill>
          <w:lang w:val="en-US" w:eastAsia="zh-CN"/>
        </w:rPr>
        <w:t>3596.8</w:t>
      </w:r>
      <w:r>
        <w:rPr>
          <w:rFonts w:ascii="仿宋_GB2312" w:eastAsia="仿宋_GB2312" w:hint="eastAsia"/>
          <w:color w:val="000000"/>
          <w:sz w:val="32"/>
          <w:szCs w:val="32"/>
        </w:rPr>
        <w:t>万元）、支出总计</w:t>
      </w:r>
      <w:r>
        <w:rPr>
          <w:rFonts w:ascii="仿宋_GB2312" w:eastAsia="仿宋_GB2312" w:hint="eastAsia"/>
          <w:color w:val="000000"/>
          <w:sz w:val="32"/>
          <w:szCs w:val="32"/>
          <w14:textFill>
            <w14:solidFill>
              <w14:srgbClr w14:val="000000"/>
            </w14:solidFill>
          </w14:textFill>
          <w:lang w:val="en-US" w:eastAsia="zh-CN"/>
        </w:rPr>
        <w:t>3596.8</w:t>
      </w:r>
      <w:r>
        <w:rPr>
          <w:rFonts w:ascii="仿宋_GB2312" w:eastAsia="仿宋_GB2312" w:hint="eastAsia"/>
          <w:color w:val="000000"/>
          <w:sz w:val="32"/>
          <w:szCs w:val="32"/>
        </w:rPr>
        <w:t>万元。与202</w:t>
      </w:r>
      <w:r>
        <w:rPr>
          <w:rFonts w:ascii="仿宋_GB2312" w:eastAsia="仿宋_GB2312" w:hint="eastAsia"/>
          <w:color w:val="000000"/>
          <w:sz w:val="32"/>
          <w:szCs w:val="32"/>
          <w:lang w:val="en-US" w:eastAsia="zh-CN"/>
        </w:rPr>
        <w:t>4</w:t>
      </w:r>
      <w:r>
        <w:rPr>
          <w:rFonts w:ascii="仿宋_GB2312" w:eastAsia="仿宋_GB2312" w:hint="eastAsia"/>
          <w:color w:val="000000"/>
          <w:sz w:val="32"/>
          <w:szCs w:val="32"/>
        </w:rPr>
        <w:t>年相比，</w:t>
      </w:r>
      <w:r>
        <w:rPr>
          <w:rFonts w:ascii="仿宋_GB2312" w:eastAsia="仿宋_GB2312" w:hint="eastAsia"/>
          <w:color w:val="000000"/>
          <w:sz w:val="32"/>
          <w:szCs w:val="32"/>
          <w14:textFill>
            <w14:solidFill>
              <w14:srgbClr w14:val="000000"/>
            </w14:solidFill>
          </w14:textFill>
        </w:rPr>
        <w:t>收入</w:t>
      </w:r>
      <w:r>
        <w:rPr>
          <w:rFonts w:ascii="仿宋_GB2312" w:eastAsia="仿宋_GB2312" w:hint="eastAsia"/>
          <w:color w:val="000000"/>
          <w:sz w:val="32"/>
          <w:szCs w:val="32"/>
          <w14:textFill>
            <w14:solidFill>
              <w14:srgbClr w14:val="000000"/>
            </w14:solidFill>
          </w14:textFill>
          <w:lang w:val="en-US" w:eastAsia="zh-CN"/>
        </w:rPr>
        <w:t>增加1141.65</w:t>
      </w:r>
      <w:r>
        <w:rPr>
          <w:rFonts w:ascii="仿宋_GB2312" w:eastAsia="仿宋_GB2312" w:hint="eastAsia"/>
          <w:color w:val="000000"/>
          <w:sz w:val="32"/>
          <w:szCs w:val="32"/>
          <w14:textFill>
            <w14:solidFill>
              <w14:srgbClr w14:val="000000"/>
            </w14:solidFill>
          </w14:textFill>
        </w:rPr>
        <w:t>万元，</w:t>
      </w:r>
      <w:r>
        <w:rPr>
          <w:rFonts w:ascii="仿宋_GB2312" w:eastAsia="仿宋_GB2312" w:hint="eastAsia"/>
          <w:color w:val="000000"/>
          <w:sz w:val="32"/>
          <w:szCs w:val="32"/>
          <w14:textFill>
            <w14:solidFill>
              <w14:srgbClr w14:val="000000"/>
            </w14:solidFill>
          </w14:textFill>
          <w:lang w:val="en-US" w:eastAsia="zh-CN"/>
        </w:rPr>
        <w:t>增加46.5</w:t>
      </w:r>
      <w:r>
        <w:rPr>
          <w:rFonts w:ascii="仿宋_GB2312" w:eastAsia="仿宋_GB2312" w:hint="eastAsia"/>
          <w:color w:val="000000"/>
          <w:sz w:val="32"/>
          <w:szCs w:val="32"/>
          <w14:textFill>
            <w14:solidFill>
              <w14:srgbClr w14:val="000000"/>
            </w14:solidFill>
          </w14:textFill>
        </w:rPr>
        <w:t>%。支出</w:t>
      </w:r>
      <w:r>
        <w:rPr>
          <w:rFonts w:ascii="仿宋_GB2312" w:eastAsia="仿宋_GB2312" w:hint="eastAsia"/>
          <w:color w:val="000000"/>
          <w:sz w:val="32"/>
          <w:szCs w:val="32"/>
          <w14:textFill>
            <w14:solidFill>
              <w14:srgbClr w14:val="000000"/>
            </w14:solidFill>
          </w14:textFill>
          <w:lang w:val="en-US" w:eastAsia="zh-CN"/>
        </w:rPr>
        <w:t>增加1141.65</w:t>
      </w:r>
      <w:r>
        <w:rPr>
          <w:rFonts w:ascii="仿宋_GB2312" w:eastAsia="仿宋_GB2312" w:hint="eastAsia"/>
          <w:color w:val="000000"/>
          <w:sz w:val="32"/>
          <w:szCs w:val="32"/>
          <w14:textFill>
            <w14:solidFill>
              <w14:srgbClr w14:val="000000"/>
            </w14:solidFill>
          </w14:textFill>
        </w:rPr>
        <w:t>万元，</w:t>
      </w:r>
      <w:r>
        <w:rPr>
          <w:rFonts w:ascii="仿宋_GB2312" w:eastAsia="仿宋_GB2312" w:hint="eastAsia"/>
          <w:color w:val="000000"/>
          <w:sz w:val="32"/>
          <w:szCs w:val="32"/>
          <w14:textFill>
            <w14:solidFill>
              <w14:srgbClr w14:val="000000"/>
            </w14:solidFill>
          </w14:textFill>
          <w:lang w:val="en-US" w:eastAsia="zh-CN"/>
        </w:rPr>
        <w:t>增加46.5</w:t>
      </w:r>
      <w:r>
        <w:rPr>
          <w:rFonts w:ascii="仿宋_GB2312" w:eastAsia="仿宋_GB2312" w:hint="eastAsia"/>
          <w:color w:val="auto"/>
          <w:sz w:val="32"/>
          <w:szCs w:val="32"/>
        </w:rPr>
        <w:t>%。主要变动原因</w:t>
      </w:r>
      <w:r>
        <w:rPr>
          <w:rFonts w:ascii="仿宋_GB2312" w:eastAsia="仿宋_GB2312" w:hint="eastAsia"/>
          <w:color w:val="auto"/>
          <w:sz w:val="32"/>
          <w:szCs w:val="32"/>
          <w:lang w:val="en-US" w:eastAsia="zh-CN"/>
        </w:rPr>
        <w:t>2025年采购项目增加，其中2024年部分采购项目于2025年完成，2025年新增部分特定目标类项目,如:全州卡口补点建设项目、交</w:t>
      </w:r>
      <w:r>
        <w:rPr>
          <w:rFonts w:ascii="仿宋_GB2312" w:eastAsia="仿宋_GB2312"/>
          <w:color w:val="auto"/>
          <w:sz w:val="32"/>
          <w:szCs w:val="32"/>
          <w:lang w:val="en-US" w:eastAsia="zh-CN"/>
        </w:rPr>
        <w:t>管</w:t>
      </w:r>
      <w:r>
        <w:rPr>
          <w:rFonts w:ascii="仿宋_GB2312" w:eastAsia="仿宋_GB2312" w:hint="eastAsia"/>
          <w:color w:val="auto"/>
          <w:sz w:val="32"/>
          <w:szCs w:val="32"/>
          <w:lang w:val="en-US" w:eastAsia="zh-CN"/>
        </w:rPr>
        <w:t>大数据指挥中心业务技术用房办公楼设施、设备采购项目等。</w:t>
      </w:r>
    </w:p>
    <w:p>
      <w:pPr>
        <w:spacing w:line="560" w:lineRule="exact"/>
        <w:ind w:firstLineChars="200" w:firstLine="640"/>
        <w:rPr>
          <w:rFonts w:ascii="仿宋_GB2312" w:eastAsia="仿宋_GB2312" w:hint="eastAsia"/>
          <w:color w:val="000000"/>
          <w:sz w:val="32"/>
          <w:szCs w:val="32"/>
        </w:rPr>
      </w:pPr>
      <w:r>
        <w:rPr>
          <w:rFonts w:ascii="仿宋_GB2312" w:eastAsia="仿宋_GB2312" w:hint="eastAsia"/>
          <w:color w:val="auto"/>
          <w:sz w:val="32"/>
          <w:szCs w:val="32"/>
        </w:rPr>
        <w:t>（图5：一般公共预算财政拨款支出决算变动情况）（柱</w:t>
      </w:r>
      <w:r>
        <w:rPr>
          <w:rFonts w:ascii="仿宋_GB2312" w:eastAsia="仿宋_GB2312" w:hint="eastAsia"/>
          <w:color w:val="000000"/>
          <w:sz w:val="32"/>
          <w:szCs w:val="32"/>
        </w:rPr>
        <w:t>状图）</w:t>
      </w:r>
      <w:bookmarkStart w:id="58" w:name="_Toc79163616"/>
      <w:bookmarkStart w:id="59" w:name="_Toc79163866"/>
      <w:bookmarkStart w:id="60" w:name="_Toc15377211"/>
    </w:p>
    <w:p>
      <w:pPr>
        <w:pStyle w:val="15"/>
        <w:spacing w:beforeLines="0" w:before="93"/>
        <w:jc w:val="center"/>
        <w:rPr>
          <w:rFonts w:hint="eastAsia"/>
        </w:rPr>
      </w:pPr>
      <w:r>
        <w:drawing>
          <wp:inline distT="0" distB="0" distL="114300" distR="114300">
            <wp:extent cx="4826000" cy="2743200"/>
            <wp:effectExtent l="0" t="0" r="0" b="0"/>
            <wp:docPr id="8" name="图表 3"/>
            <wp:cNvGraphicFramePr>
              <a:graphicFrameLocks noChangeAspect="0"/>
            </wp:cNvGraphicFramePr>
            <a:graphic>
              <a:graphicData uri="http://schemas.openxmlformats.org/drawingml/2006/chart">
                <c:chart xmlns:c="http://schemas.openxmlformats.org/drawingml/2006/chart" r:id="rId12"/>
              </a:graphicData>
            </a:graphic>
          </wp:inline>
        </w:drawing>
      </w:r>
    </w:p>
    <w:p>
      <w:pPr>
        <w:pStyle w:val="3"/>
        <w:spacing w:before="0" w:after="0" w:line="560" w:lineRule="exact"/>
        <w:ind w:firstLineChars="200" w:firstLine="640"/>
        <w:rPr>
          <w:rFonts w:ascii="楷体_GB2312" w:eastAsia="楷体_GB2312"/>
          <w:bCs w:val="0"/>
        </w:rPr>
      </w:pPr>
      <w:bookmarkStart w:id="61" w:name="_Toc16538"/>
      <w:r>
        <w:rPr>
          <w:rFonts w:ascii="楷体_GB2312" w:eastAsia="楷体_GB2312" w:hint="eastAsia"/>
          <w:bCs w:val="0"/>
        </w:rPr>
        <w:t>（二）一般公共预算财政拨款支出决算结构情况</w:t>
      </w:r>
      <w:bookmarkEnd w:id="58"/>
      <w:bookmarkEnd w:id="59"/>
      <w:bookmarkEnd w:id="60"/>
      <w:bookmarkEnd w:id="61"/>
    </w:p>
    <w:p>
      <w:pPr>
        <w:pStyle w:val="22"/>
        <w:spacing w:line="560" w:lineRule="exact"/>
        <w:ind w:firstLineChars="200" w:firstLine="640"/>
        <w:rPr>
          <w:rFonts w:ascii="仿宋_GB2312" w:eastAsia="仿宋_GB2312"/>
          <w:sz w:val="32"/>
          <w:szCs w:val="32"/>
        </w:rPr>
      </w:pPr>
      <w:r>
        <w:rPr>
          <w:rStyle w:val="23"/>
          <w:rFonts w:ascii="仿宋_GB2312" w:eastAsia="仿宋_GB2312" w:hint="eastAsia"/>
          <w:b w:val="0"/>
          <w:sz w:val="32"/>
          <w:szCs w:val="32"/>
        </w:rPr>
        <w:t>一般公共预算财政拨款收入为</w:t>
      </w:r>
      <w:r>
        <w:rPr>
          <w:rFonts w:ascii="仿宋_GB2312" w:eastAsia="仿宋_GB2312" w:hint="eastAsia"/>
          <w:color w:val="000000"/>
          <w:sz w:val="32"/>
          <w:szCs w:val="32"/>
          <w14:textFill>
            <w14:solidFill>
              <w14:srgbClr w14:val="000000"/>
            </w14:solidFill>
          </w14:textFill>
          <w:lang w:val="en-US" w:eastAsia="zh-CN"/>
        </w:rPr>
        <w:t>3596.8</w:t>
      </w:r>
      <w:r>
        <w:rPr>
          <w:rStyle w:val="23"/>
          <w:rFonts w:ascii="仿宋_GB2312" w:eastAsia="仿宋_GB2312" w:hint="eastAsia"/>
          <w:b w:val="0"/>
          <w:sz w:val="32"/>
          <w:szCs w:val="32"/>
        </w:rPr>
        <w:t>万元，全年支出决算数为</w:t>
      </w:r>
      <w:r>
        <w:rPr>
          <w:rFonts w:ascii="仿宋_GB2312" w:eastAsia="仿宋_GB2312" w:hint="eastAsia"/>
          <w:color w:val="000000"/>
          <w:sz w:val="32"/>
          <w:szCs w:val="32"/>
          <w14:textFill>
            <w14:solidFill>
              <w14:srgbClr w14:val="000000"/>
            </w14:solidFill>
          </w14:textFill>
          <w:lang w:val="en-US" w:eastAsia="zh-CN"/>
        </w:rPr>
        <w:t>3596.8</w:t>
      </w:r>
      <w:r>
        <w:rPr>
          <w:rStyle w:val="23"/>
          <w:rFonts w:ascii="仿宋_GB2312" w:eastAsia="仿宋_GB2312" w:hint="eastAsia"/>
          <w:b w:val="0"/>
          <w:sz w:val="32"/>
          <w:szCs w:val="32"/>
        </w:rPr>
        <w:t>万元，完成</w:t>
      </w:r>
      <w:r>
        <w:rPr>
          <w:rFonts w:ascii="仿宋_GB2312" w:eastAsia="仿宋_GB2312" w:hint="eastAsia"/>
          <w:sz w:val="32"/>
          <w:szCs w:val="32"/>
        </w:rPr>
        <w:t>预算完成数为100%。</w:t>
      </w:r>
      <w:r>
        <w:rPr>
          <w:rFonts w:ascii="仿宋_GB2312" w:eastAsia="仿宋_GB2312" w:hint="eastAsia"/>
          <w:color w:val="2A2A2A"/>
          <w:sz w:val="32"/>
          <w:szCs w:val="32"/>
        </w:rPr>
        <w:t>按支出功能分类：</w:t>
      </w:r>
      <w:r>
        <w:rPr>
          <w:rFonts w:ascii="仿宋_GB2312" w:eastAsia="仿宋_GB2312" w:hint="eastAsia"/>
          <w:bCs/>
          <w:color w:val="2A2A2A"/>
          <w:sz w:val="32"/>
          <w:szCs w:val="32"/>
        </w:rPr>
        <w:t>公共安全支出为</w:t>
      </w:r>
      <w:r>
        <w:rPr>
          <w:rFonts w:ascii="仿宋_GB2312" w:eastAsia="仿宋_GB2312" w:hint="eastAsia"/>
          <w:bCs/>
          <w:color w:val="2A2A2A"/>
          <w:sz w:val="32"/>
          <w:szCs w:val="32"/>
          <w:lang w:val="en-US" w:eastAsia="zh-CN"/>
        </w:rPr>
        <w:t>3486.79</w:t>
      </w:r>
      <w:r>
        <w:rPr>
          <w:rFonts w:ascii="仿宋_GB2312" w:eastAsia="仿宋_GB2312" w:hint="eastAsia"/>
          <w:bCs/>
          <w:color w:val="2A2A2A"/>
          <w:sz w:val="32"/>
          <w:szCs w:val="32"/>
        </w:rPr>
        <w:t>万元，占</w:t>
      </w:r>
      <w:r>
        <w:rPr>
          <w:rFonts w:ascii="仿宋_GB2312" w:eastAsia="仿宋_GB2312"/>
          <w:bCs/>
          <w:color w:val="2A2A2A"/>
          <w:sz w:val="32"/>
          <w:szCs w:val="32"/>
        </w:rPr>
        <w:t>9</w:t>
      </w:r>
      <w:r>
        <w:rPr>
          <w:rFonts w:ascii="仿宋_GB2312" w:eastAsia="仿宋_GB2312" w:hint="eastAsia"/>
          <w:bCs/>
          <w:color w:val="2A2A2A"/>
          <w:sz w:val="32"/>
          <w:szCs w:val="32"/>
          <w:lang w:val="en-US" w:eastAsia="zh-CN"/>
        </w:rPr>
        <w:t>6</w:t>
      </w:r>
      <w:r>
        <w:rPr>
          <w:rFonts w:ascii="仿宋_GB2312" w:eastAsia="仿宋_GB2312"/>
          <w:bCs/>
          <w:color w:val="2A2A2A"/>
          <w:sz w:val="32"/>
          <w:szCs w:val="32"/>
        </w:rPr>
        <w:t>.</w:t>
      </w:r>
      <w:r>
        <w:rPr>
          <w:rFonts w:ascii="仿宋_GB2312" w:eastAsia="仿宋_GB2312" w:hint="eastAsia"/>
          <w:bCs/>
          <w:color w:val="2A2A2A"/>
          <w:sz w:val="32"/>
          <w:szCs w:val="32"/>
          <w:lang w:val="en-US" w:eastAsia="zh-CN"/>
        </w:rPr>
        <w:t>94</w:t>
      </w:r>
      <w:r>
        <w:rPr>
          <w:rFonts w:ascii="仿宋_GB2312" w:eastAsia="仿宋_GB2312" w:hint="eastAsia"/>
          <w:bCs/>
          <w:color w:val="2A2A2A"/>
          <w:sz w:val="32"/>
          <w:szCs w:val="32"/>
        </w:rPr>
        <w:t>%；社会保障和就业支出为</w:t>
      </w:r>
      <w:r>
        <w:rPr>
          <w:rFonts w:ascii="仿宋_GB2312" w:eastAsia="仿宋_GB2312"/>
          <w:bCs/>
          <w:color w:val="2A2A2A"/>
          <w:sz w:val="32"/>
          <w:szCs w:val="32"/>
        </w:rPr>
        <w:t>5</w:t>
      </w:r>
      <w:r>
        <w:rPr>
          <w:rFonts w:ascii="仿宋_GB2312" w:eastAsia="仿宋_GB2312" w:hint="eastAsia"/>
          <w:bCs/>
          <w:color w:val="2A2A2A"/>
          <w:sz w:val="32"/>
          <w:szCs w:val="32"/>
          <w:lang w:val="en-US" w:eastAsia="zh-CN"/>
        </w:rPr>
        <w:t>4</w:t>
      </w:r>
      <w:r>
        <w:rPr>
          <w:rFonts w:ascii="仿宋_GB2312" w:eastAsia="仿宋_GB2312"/>
          <w:bCs/>
          <w:color w:val="2A2A2A"/>
          <w:sz w:val="32"/>
          <w:szCs w:val="32"/>
        </w:rPr>
        <w:t>.</w:t>
      </w:r>
      <w:r>
        <w:rPr>
          <w:rFonts w:ascii="仿宋_GB2312" w:eastAsia="仿宋_GB2312" w:hint="eastAsia"/>
          <w:bCs/>
          <w:color w:val="2A2A2A"/>
          <w:sz w:val="32"/>
          <w:szCs w:val="32"/>
          <w:lang w:val="en-US" w:eastAsia="zh-CN"/>
        </w:rPr>
        <w:t>2</w:t>
      </w:r>
      <w:r>
        <w:rPr>
          <w:rFonts w:ascii="仿宋_GB2312" w:eastAsia="仿宋_GB2312" w:hint="eastAsia"/>
          <w:bCs/>
          <w:color w:val="2A2A2A"/>
          <w:sz w:val="32"/>
          <w:szCs w:val="32"/>
        </w:rPr>
        <w:t>万元，占比</w:t>
      </w:r>
      <w:r>
        <w:rPr>
          <w:rFonts w:ascii="仿宋_GB2312" w:eastAsia="仿宋_GB2312" w:hint="eastAsia"/>
          <w:bCs/>
          <w:color w:val="2A2A2A"/>
          <w:sz w:val="32"/>
          <w:szCs w:val="32"/>
          <w:lang w:val="en-US" w:eastAsia="zh-CN"/>
        </w:rPr>
        <w:t>1</w:t>
      </w:r>
      <w:r>
        <w:rPr>
          <w:rFonts w:ascii="仿宋_GB2312" w:eastAsia="仿宋_GB2312"/>
          <w:bCs/>
          <w:color w:val="2A2A2A"/>
          <w:sz w:val="32"/>
          <w:szCs w:val="32"/>
        </w:rPr>
        <w:t>.</w:t>
      </w:r>
      <w:r>
        <w:rPr>
          <w:rFonts w:ascii="仿宋_GB2312" w:eastAsia="仿宋_GB2312" w:hint="eastAsia"/>
          <w:bCs/>
          <w:color w:val="2A2A2A"/>
          <w:sz w:val="32"/>
          <w:szCs w:val="32"/>
          <w:lang w:val="en-US" w:eastAsia="zh-CN"/>
        </w:rPr>
        <w:t>51</w:t>
      </w:r>
      <w:r>
        <w:rPr>
          <w:rFonts w:ascii="仿宋_GB2312" w:eastAsia="仿宋_GB2312" w:hint="eastAsia"/>
          <w:bCs/>
          <w:color w:val="2A2A2A"/>
          <w:sz w:val="32"/>
          <w:szCs w:val="32"/>
        </w:rPr>
        <w:t>%；卫生健康支出为</w:t>
      </w:r>
      <w:r>
        <w:rPr>
          <w:rFonts w:ascii="仿宋_GB2312" w:eastAsia="仿宋_GB2312"/>
          <w:bCs/>
          <w:color w:val="2A2A2A"/>
          <w:sz w:val="32"/>
          <w:szCs w:val="32"/>
        </w:rPr>
        <w:t>2</w:t>
      </w:r>
      <w:r>
        <w:rPr>
          <w:rFonts w:ascii="仿宋_GB2312" w:eastAsia="仿宋_GB2312" w:hint="eastAsia"/>
          <w:bCs/>
          <w:color w:val="2A2A2A"/>
          <w:sz w:val="32"/>
          <w:szCs w:val="32"/>
          <w:lang w:val="en-US" w:eastAsia="zh-CN"/>
        </w:rPr>
        <w:t>4</w:t>
      </w:r>
      <w:r>
        <w:rPr>
          <w:rFonts w:ascii="仿宋_GB2312" w:eastAsia="仿宋_GB2312"/>
          <w:bCs/>
          <w:color w:val="2A2A2A"/>
          <w:sz w:val="32"/>
          <w:szCs w:val="32"/>
        </w:rPr>
        <w:t>.</w:t>
      </w:r>
      <w:r>
        <w:rPr>
          <w:rFonts w:ascii="仿宋_GB2312" w:eastAsia="仿宋_GB2312" w:hint="eastAsia"/>
          <w:bCs/>
          <w:color w:val="2A2A2A"/>
          <w:sz w:val="32"/>
          <w:szCs w:val="32"/>
          <w:lang w:val="en-US" w:eastAsia="zh-CN"/>
        </w:rPr>
        <w:t>5</w:t>
      </w:r>
      <w:r>
        <w:rPr>
          <w:rFonts w:ascii="仿宋_GB2312" w:eastAsia="仿宋_GB2312"/>
          <w:bCs/>
          <w:color w:val="2A2A2A"/>
          <w:sz w:val="32"/>
          <w:szCs w:val="32"/>
        </w:rPr>
        <w:t>2</w:t>
      </w:r>
      <w:r>
        <w:rPr>
          <w:rFonts w:ascii="仿宋_GB2312" w:eastAsia="仿宋_GB2312" w:hint="eastAsia"/>
          <w:bCs/>
          <w:color w:val="2A2A2A"/>
          <w:sz w:val="32"/>
          <w:szCs w:val="32"/>
        </w:rPr>
        <w:t>万元，占比</w:t>
      </w:r>
      <w:r>
        <w:rPr>
          <w:rFonts w:ascii="仿宋_GB2312" w:eastAsia="仿宋_GB2312" w:hint="eastAsia"/>
          <w:bCs/>
          <w:color w:val="2A2A2A"/>
          <w:sz w:val="32"/>
          <w:szCs w:val="32"/>
          <w:lang w:val="en-US" w:eastAsia="zh-CN"/>
        </w:rPr>
        <w:t>0</w:t>
      </w:r>
      <w:r>
        <w:rPr>
          <w:rFonts w:ascii="仿宋_GB2312" w:eastAsia="仿宋_GB2312"/>
          <w:bCs/>
          <w:color w:val="2A2A2A"/>
          <w:sz w:val="32"/>
          <w:szCs w:val="32"/>
        </w:rPr>
        <w:t>.</w:t>
      </w:r>
      <w:r>
        <w:rPr>
          <w:rFonts w:ascii="仿宋_GB2312" w:eastAsia="仿宋_GB2312" w:hint="eastAsia"/>
          <w:bCs/>
          <w:color w:val="2A2A2A"/>
          <w:sz w:val="32"/>
          <w:szCs w:val="32"/>
          <w:lang w:val="en-US" w:eastAsia="zh-CN"/>
        </w:rPr>
        <w:t>68</w:t>
      </w:r>
      <w:r>
        <w:rPr>
          <w:rFonts w:ascii="仿宋_GB2312" w:eastAsia="仿宋_GB2312" w:hint="eastAsia"/>
          <w:bCs/>
          <w:color w:val="2A2A2A"/>
          <w:sz w:val="32"/>
          <w:szCs w:val="32"/>
        </w:rPr>
        <w:t>%；住房保障支出为3</w:t>
      </w:r>
      <w:r>
        <w:rPr>
          <w:rFonts w:ascii="仿宋_GB2312" w:eastAsia="仿宋_GB2312" w:hint="eastAsia"/>
          <w:bCs/>
          <w:color w:val="2A2A2A"/>
          <w:sz w:val="32"/>
          <w:szCs w:val="32"/>
          <w:lang w:val="en-US" w:eastAsia="zh-CN"/>
        </w:rPr>
        <w:t>1</w:t>
      </w:r>
      <w:r>
        <w:rPr>
          <w:rFonts w:ascii="仿宋_GB2312" w:eastAsia="仿宋_GB2312"/>
          <w:bCs/>
          <w:color w:val="2A2A2A"/>
          <w:sz w:val="32"/>
          <w:szCs w:val="32"/>
        </w:rPr>
        <w:t>.</w:t>
      </w:r>
      <w:r>
        <w:rPr>
          <w:rFonts w:ascii="仿宋_GB2312" w:eastAsia="仿宋_GB2312" w:hint="eastAsia"/>
          <w:bCs/>
          <w:color w:val="2A2A2A"/>
          <w:sz w:val="32"/>
          <w:szCs w:val="32"/>
          <w:lang w:val="en-US" w:eastAsia="zh-CN"/>
        </w:rPr>
        <w:t>3</w:t>
      </w:r>
      <w:r>
        <w:rPr>
          <w:rFonts w:ascii="仿宋_GB2312" w:eastAsia="仿宋_GB2312" w:hint="eastAsia"/>
          <w:bCs/>
          <w:color w:val="2A2A2A"/>
          <w:sz w:val="32"/>
          <w:szCs w:val="32"/>
        </w:rPr>
        <w:t>万元，占比</w:t>
      </w:r>
      <w:r>
        <w:rPr>
          <w:rFonts w:ascii="仿宋_GB2312" w:eastAsia="仿宋_GB2312" w:hint="eastAsia"/>
          <w:bCs/>
          <w:color w:val="2A2A2A"/>
          <w:sz w:val="32"/>
          <w:szCs w:val="32"/>
          <w:lang w:val="en-US" w:eastAsia="zh-CN"/>
        </w:rPr>
        <w:t>0</w:t>
      </w:r>
      <w:r>
        <w:rPr>
          <w:rFonts w:ascii="仿宋_GB2312" w:eastAsia="仿宋_GB2312" w:hint="eastAsia"/>
          <w:bCs/>
          <w:color w:val="2A2A2A"/>
          <w:sz w:val="32"/>
          <w:szCs w:val="32"/>
        </w:rPr>
        <w:t>.</w:t>
      </w:r>
      <w:r>
        <w:rPr>
          <w:rFonts w:ascii="仿宋_GB2312" w:eastAsia="仿宋_GB2312" w:hint="eastAsia"/>
          <w:bCs/>
          <w:color w:val="2A2A2A"/>
          <w:sz w:val="32"/>
          <w:szCs w:val="32"/>
          <w:lang w:val="en-US" w:eastAsia="zh-CN"/>
        </w:rPr>
        <w:t>87</w:t>
      </w:r>
      <w:r>
        <w:rPr>
          <w:rFonts w:ascii="仿宋_GB2312" w:eastAsia="仿宋_GB2312" w:hint="eastAsia"/>
          <w:bCs/>
          <w:color w:val="2A2A2A"/>
          <w:sz w:val="32"/>
          <w:szCs w:val="32"/>
        </w:rPr>
        <w:t>%。</w:t>
      </w:r>
    </w:p>
    <w:p>
      <w:pPr>
        <w:spacing w:line="560" w:lineRule="exact"/>
        <w:ind w:firstLine="640"/>
        <w:rPr>
          <w:rFonts w:ascii="仿宋_GB2312" w:eastAsia="仿宋_GB2312"/>
          <w:b/>
          <w:color w:val="000000"/>
          <w:sz w:val="32"/>
          <w:szCs w:val="32"/>
        </w:rPr>
      </w:pPr>
      <w:r>
        <w:rPr>
          <w:rFonts w:ascii="仿宋_GB2312" w:eastAsia="仿宋_GB2312" w:hint="eastAsia"/>
          <w:b/>
          <w:color w:val="000000"/>
          <w:sz w:val="32"/>
          <w:szCs w:val="32"/>
        </w:rPr>
        <w:t>（注：</w:t>
      </w:r>
      <w:r>
        <w:rPr>
          <w:rFonts w:ascii="仿宋_GB2312" w:eastAsia="仿宋_GB2312"/>
          <w:b/>
          <w:color w:val="000000"/>
          <w:sz w:val="32"/>
          <w:szCs w:val="32"/>
        </w:rPr>
        <w:t>仅</w:t>
      </w:r>
      <w:r>
        <w:rPr>
          <w:rFonts w:ascii="仿宋_GB2312" w:eastAsia="仿宋_GB2312" w:hint="eastAsia"/>
          <w:b/>
          <w:color w:val="000000"/>
          <w:sz w:val="32"/>
          <w:szCs w:val="32"/>
        </w:rPr>
        <w:t>罗列本部门涉及的全部功能分类科目，至类级。）</w:t>
      </w:r>
    </w:p>
    <w:p>
      <w:pPr>
        <w:spacing w:line="560"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（图6：一般公共预算财政拨款支出决算结构）（饼状图）</w:t>
      </w:r>
    </w:p>
    <w:p>
      <w:pPr>
        <w:pStyle w:val="15"/>
        <w:spacing w:beforeLines="0" w:before="93"/>
        <w:jc w:val="center"/>
      </w:pPr>
      <w:r>
        <w:drawing>
          <wp:inline distT="0" distB="0" distL="114300" distR="114300">
            <wp:extent cx="5269230" cy="3216910"/>
            <wp:effectExtent l="0" t="0" r="0" b="0"/>
            <wp:docPr id="9" name="图表 5"/>
            <wp:cNvGraphicFramePr>
              <a:graphicFrameLocks noChangeAspect="0"/>
            </wp:cNvGraphicFramePr>
            <a:graphic>
              <a:graphicData uri="http://schemas.openxmlformats.org/drawingml/2006/chart">
                <c:chart xmlns:c="http://schemas.openxmlformats.org/drawingml/2006/chart" r:id="rId13"/>
              </a:graphicData>
            </a:graphic>
          </wp:inline>
        </w:drawing>
      </w:r>
    </w:p>
    <w:p>
      <w:pPr>
        <w:pStyle w:val="3"/>
        <w:spacing w:before="0" w:after="0" w:line="560" w:lineRule="exact"/>
        <w:ind w:firstLineChars="200" w:firstLine="640"/>
        <w:rPr>
          <w:rFonts w:ascii="楷体_GB2312" w:eastAsia="楷体_GB2312"/>
          <w:bCs w:val="0"/>
        </w:rPr>
      </w:pPr>
      <w:bookmarkStart w:id="62" w:name="_Toc22287"/>
      <w:r>
        <w:rPr>
          <w:rFonts w:ascii="楷体_GB2312" w:eastAsia="楷体_GB2312" w:hint="eastAsia"/>
          <w:bCs w:val="0"/>
        </w:rPr>
        <w:t>（三）一般公共预算财政拨款支出决算具体情况</w:t>
      </w:r>
      <w:bookmarkEnd w:id="62"/>
    </w:p>
    <w:p>
      <w:pPr>
        <w:widowControl/>
        <w:spacing w:before="100" w:after="100" w:line="560" w:lineRule="exact"/>
        <w:ind w:firstLineChars="200" w:firstLine="640"/>
        <w:jc w:val="left"/>
        <w:rPr>
          <w:rFonts w:ascii="仿宋_GB2312" w:eastAsia="仿宋_GB2312" w:cs="宋体" w:hint="eastAsia"/>
          <w:kern w:val="0"/>
          <w:sz w:val="32"/>
          <w:szCs w:val="32"/>
        </w:rPr>
      </w:pPr>
      <w:r>
        <w:rPr>
          <w:rFonts w:ascii="仿宋_GB2312" w:eastAsia="仿宋_GB2312" w:cs="宋体" w:hint="eastAsia"/>
          <w:b/>
          <w:bCs/>
          <w:kern w:val="0"/>
          <w:sz w:val="32"/>
          <w:szCs w:val="32"/>
        </w:rPr>
        <w:t>202</w:t>
      </w:r>
      <w:r>
        <w:rPr>
          <w:rFonts w:ascii="仿宋_GB2312" w:eastAsia="仿宋_GB2312" w:cs="宋体" w:hint="eastAsia"/>
          <w:b/>
          <w:bCs/>
          <w:kern w:val="0"/>
          <w:sz w:val="32"/>
          <w:szCs w:val="32"/>
          <w:lang w:val="en-US" w:eastAsia="zh-CN"/>
        </w:rPr>
        <w:t>5</w:t>
      </w:r>
      <w:r>
        <w:rPr>
          <w:rFonts w:ascii="仿宋_GB2312" w:eastAsia="仿宋_GB2312" w:cs="宋体" w:hint="eastAsia"/>
          <w:b/>
          <w:bCs/>
          <w:kern w:val="0"/>
          <w:sz w:val="32"/>
          <w:szCs w:val="32"/>
        </w:rPr>
        <w:t>年一般公共预算支出决算数为</w:t>
      </w:r>
      <w:r>
        <w:rPr>
          <w:rFonts w:ascii="仿宋_GB2312" w:eastAsia="仿宋_GB2312" w:hint="eastAsia"/>
          <w:color w:val="000000"/>
          <w:sz w:val="32"/>
          <w:szCs w:val="32"/>
          <w14:textFill>
            <w14:solidFill>
              <w14:srgbClr w14:val="000000"/>
            </w14:solidFill>
          </w14:textFill>
          <w:lang w:val="en-US" w:eastAsia="zh-CN"/>
        </w:rPr>
        <w:t>3596.8</w:t>
      </w:r>
      <w:r>
        <w:rPr>
          <w:rFonts w:ascii="仿宋_GB2312" w:eastAsia="仿宋_GB2312" w:cs="宋体" w:hint="eastAsia"/>
          <w:b/>
          <w:bCs/>
          <w:kern w:val="0"/>
          <w:sz w:val="32"/>
          <w:szCs w:val="32"/>
        </w:rPr>
        <w:t>万元</w:t>
      </w:r>
      <w:r>
        <w:rPr>
          <w:rFonts w:ascii="仿宋_GB2312" w:eastAsia="仿宋_GB2312" w:cs="宋体" w:hint="eastAsia"/>
          <w:kern w:val="0"/>
          <w:sz w:val="32"/>
          <w:szCs w:val="32"/>
        </w:rPr>
        <w:t>，</w:t>
      </w:r>
      <w:r>
        <w:rPr>
          <w:rFonts w:ascii="仿宋_GB2312" w:eastAsia="仿宋_GB2312" w:cs="宋体" w:hint="eastAsia"/>
          <w:b/>
          <w:bCs/>
          <w:kern w:val="0"/>
          <w:sz w:val="32"/>
          <w:szCs w:val="32"/>
        </w:rPr>
        <w:t>完成预算100.00%。其中：</w:t>
      </w:r>
    </w:p>
    <w:p>
      <w:pPr>
        <w:spacing w:line="560" w:lineRule="exact"/>
        <w:ind w:firstLineChars="200" w:firstLine="640"/>
        <w:rPr>
          <w:rStyle w:val="23"/>
          <w:rFonts w:ascii="仿宋_GB2312" w:eastAsia="仿宋_GB2312" w:hint="eastAsia"/>
          <w:b w:val="0"/>
          <w:bCs/>
          <w:sz w:val="32"/>
          <w:szCs w:val="32"/>
        </w:rPr>
      </w:pPr>
      <w:r>
        <w:rPr>
          <w:rStyle w:val="23"/>
          <w:rFonts w:ascii="仿宋_GB2312" w:eastAsia="仿宋_GB2312" w:hint="eastAsia"/>
          <w:b w:val="0"/>
          <w:bCs/>
          <w:sz w:val="32"/>
          <w:szCs w:val="32"/>
        </w:rPr>
        <w:t>1.公共安全支出(204)公安（02）行政运行（01）:支出决算为</w:t>
      </w:r>
      <w:r>
        <w:rPr>
          <w:rStyle w:val="23"/>
          <w:rFonts w:ascii="仿宋_GB2312" w:eastAsia="仿宋_GB2312" w:hint="eastAsia"/>
          <w:b w:val="0"/>
          <w:bCs/>
          <w:sz w:val="32"/>
          <w:szCs w:val="32"/>
          <w:lang w:val="en-US" w:eastAsia="zh-CN"/>
        </w:rPr>
        <w:t>993.73</w:t>
      </w:r>
      <w:r>
        <w:rPr>
          <w:rStyle w:val="23"/>
          <w:rFonts w:ascii="仿宋_GB2312" w:eastAsia="仿宋_GB2312" w:hint="eastAsia"/>
          <w:b w:val="0"/>
          <w:bCs/>
          <w:sz w:val="32"/>
          <w:szCs w:val="32"/>
        </w:rPr>
        <w:t>万元，完成预算100%。</w:t>
      </w:r>
    </w:p>
    <w:p>
      <w:pPr>
        <w:spacing w:line="560" w:lineRule="exact"/>
        <w:ind w:firstLineChars="200" w:firstLine="640"/>
        <w:rPr>
          <w:rStyle w:val="23"/>
          <w:rFonts w:ascii="仿宋_GB2312" w:eastAsia="仿宋_GB2312" w:hint="eastAsia"/>
          <w:b w:val="0"/>
          <w:sz w:val="32"/>
          <w:szCs w:val="32"/>
        </w:rPr>
      </w:pPr>
      <w:r>
        <w:rPr>
          <w:rStyle w:val="23"/>
          <w:rFonts w:ascii="仿宋_GB2312" w:eastAsia="仿宋_GB2312" w:hint="eastAsia"/>
          <w:b w:val="0"/>
          <w:bCs/>
          <w:sz w:val="32"/>
          <w:szCs w:val="32"/>
        </w:rPr>
        <w:t>2.公共安全支出(204)公安（02）一般行政事务管理（02）:支出决算为</w:t>
      </w:r>
      <w:r>
        <w:rPr>
          <w:rStyle w:val="23"/>
          <w:rFonts w:ascii="仿宋_GB2312" w:eastAsia="仿宋_GB2312" w:hint="eastAsia"/>
          <w:b w:val="0"/>
          <w:bCs/>
          <w:sz w:val="32"/>
          <w:szCs w:val="32"/>
          <w:lang w:val="en-US" w:eastAsia="zh-CN"/>
        </w:rPr>
        <w:t>2493.06</w:t>
      </w:r>
      <w:r>
        <w:rPr>
          <w:rStyle w:val="23"/>
          <w:rFonts w:ascii="仿宋_GB2312" w:eastAsia="仿宋_GB2312" w:hint="eastAsia"/>
          <w:b w:val="0"/>
          <w:bCs/>
          <w:sz w:val="32"/>
          <w:szCs w:val="32"/>
        </w:rPr>
        <w:t>万元，完成预算100%。</w:t>
      </w:r>
    </w:p>
    <w:p>
      <w:pPr>
        <w:spacing w:line="560" w:lineRule="exact"/>
        <w:ind w:firstLineChars="200" w:firstLine="640"/>
        <w:rPr>
          <w:rFonts w:ascii="仿宋_GB2312" w:eastAsia="仿宋_GB2312" w:hint="eastAsia"/>
          <w:sz w:val="32"/>
          <w:szCs w:val="32"/>
        </w:rPr>
      </w:pPr>
      <w:r>
        <w:rPr>
          <w:rStyle w:val="23"/>
          <w:rFonts w:ascii="仿宋_GB2312" w:eastAsia="仿宋_GB2312" w:hint="eastAsia"/>
          <w:b w:val="0"/>
          <w:bCs/>
          <w:sz w:val="32"/>
          <w:szCs w:val="32"/>
        </w:rPr>
        <w:t>3.社会保障和就业（208）行政事业单位养老支出（05）机关事业单位基本养老保险缴费支出（05）:支出决算为3</w:t>
      </w:r>
      <w:r>
        <w:rPr>
          <w:rStyle w:val="23"/>
          <w:rFonts w:ascii="仿宋_GB2312" w:eastAsia="仿宋_GB2312" w:hint="eastAsia"/>
          <w:b w:val="0"/>
          <w:bCs/>
          <w:sz w:val="32"/>
          <w:szCs w:val="32"/>
          <w:lang w:val="en-US" w:eastAsia="zh-CN"/>
        </w:rPr>
        <w:t>6</w:t>
      </w:r>
      <w:r>
        <w:rPr>
          <w:rStyle w:val="23"/>
          <w:rFonts w:ascii="仿宋_GB2312" w:eastAsia="仿宋_GB2312" w:hint="eastAsia"/>
          <w:b w:val="0"/>
          <w:bCs/>
          <w:sz w:val="32"/>
          <w:szCs w:val="32"/>
        </w:rPr>
        <w:t>.</w:t>
      </w:r>
      <w:r>
        <w:rPr>
          <w:rStyle w:val="23"/>
          <w:rFonts w:ascii="仿宋_GB2312" w:eastAsia="仿宋_GB2312" w:hint="eastAsia"/>
          <w:b w:val="0"/>
          <w:bCs/>
          <w:sz w:val="32"/>
          <w:szCs w:val="32"/>
          <w:lang w:val="en-US" w:eastAsia="zh-CN"/>
        </w:rPr>
        <w:t>13</w:t>
      </w:r>
      <w:r>
        <w:rPr>
          <w:rStyle w:val="23"/>
          <w:rFonts w:ascii="仿宋_GB2312" w:eastAsia="仿宋_GB2312" w:hint="eastAsia"/>
          <w:b w:val="0"/>
          <w:bCs/>
          <w:sz w:val="32"/>
          <w:szCs w:val="32"/>
        </w:rPr>
        <w:t>万元，完成预算100%。</w:t>
      </w:r>
    </w:p>
    <w:p>
      <w:pPr>
        <w:spacing w:line="560" w:lineRule="exact"/>
        <w:ind w:firstLineChars="200" w:firstLine="640"/>
        <w:rPr>
          <w:rStyle w:val="23"/>
          <w:rFonts w:ascii="仿宋_GB2312" w:eastAsia="仿宋_GB2312" w:hint="eastAsia"/>
          <w:b w:val="0"/>
          <w:bCs/>
          <w:sz w:val="32"/>
          <w:szCs w:val="32"/>
        </w:rPr>
      </w:pPr>
      <w:r>
        <w:rPr>
          <w:rStyle w:val="23"/>
          <w:rFonts w:ascii="仿宋_GB2312" w:eastAsia="仿宋_GB2312" w:hint="eastAsia"/>
          <w:b w:val="0"/>
          <w:bCs/>
          <w:sz w:val="32"/>
          <w:szCs w:val="32"/>
        </w:rPr>
        <w:t>4.社会保障和就业（208）行政事业单位养老支出（05）机关事业单位职业年金缴费支出（06）:支出决算为1</w:t>
      </w:r>
      <w:r>
        <w:rPr>
          <w:rStyle w:val="23"/>
          <w:rFonts w:ascii="仿宋_GB2312" w:eastAsia="仿宋_GB2312" w:hint="eastAsia"/>
          <w:b w:val="0"/>
          <w:bCs/>
          <w:sz w:val="32"/>
          <w:szCs w:val="32"/>
          <w:lang w:val="en-US" w:eastAsia="zh-CN"/>
        </w:rPr>
        <w:t>8</w:t>
      </w:r>
      <w:r>
        <w:rPr>
          <w:rStyle w:val="23"/>
          <w:rFonts w:ascii="仿宋_GB2312" w:eastAsia="仿宋_GB2312" w:hint="eastAsia"/>
          <w:b w:val="0"/>
          <w:bCs/>
          <w:sz w:val="32"/>
          <w:szCs w:val="32"/>
        </w:rPr>
        <w:t>.0</w:t>
      </w:r>
      <w:r>
        <w:rPr>
          <w:rStyle w:val="23"/>
          <w:rFonts w:ascii="仿宋_GB2312" w:eastAsia="仿宋_GB2312" w:hint="eastAsia"/>
          <w:b w:val="0"/>
          <w:bCs/>
          <w:sz w:val="32"/>
          <w:szCs w:val="32"/>
          <w:lang w:val="en-US" w:eastAsia="zh-CN"/>
        </w:rPr>
        <w:t>7</w:t>
      </w:r>
      <w:r>
        <w:rPr>
          <w:rStyle w:val="23"/>
          <w:rFonts w:ascii="仿宋_GB2312" w:eastAsia="仿宋_GB2312" w:hint="eastAsia"/>
          <w:b w:val="0"/>
          <w:bCs/>
          <w:sz w:val="32"/>
          <w:szCs w:val="32"/>
        </w:rPr>
        <w:t>万元，完成预算100%。</w:t>
      </w:r>
    </w:p>
    <w:p>
      <w:pPr>
        <w:spacing w:line="560" w:lineRule="exact"/>
        <w:ind w:firstLineChars="200" w:firstLine="640"/>
        <w:rPr>
          <w:rFonts w:ascii="仿宋_GB2312" w:eastAsia="仿宋_GB2312" w:hint="eastAsia"/>
          <w:sz w:val="32"/>
          <w:szCs w:val="32"/>
        </w:rPr>
      </w:pPr>
      <w:r>
        <w:rPr>
          <w:rFonts w:ascii="仿宋_GB2312" w:eastAsia="仿宋_GB2312" w:hint="eastAsia"/>
          <w:bCs/>
          <w:sz w:val="32"/>
          <w:szCs w:val="32"/>
        </w:rPr>
        <w:t>5.卫生健康</w:t>
      </w:r>
      <w:r>
        <w:rPr>
          <w:rStyle w:val="23"/>
          <w:rFonts w:ascii="仿宋_GB2312" w:eastAsia="仿宋_GB2312" w:hint="eastAsia"/>
          <w:b w:val="0"/>
          <w:sz w:val="32"/>
          <w:szCs w:val="32"/>
        </w:rPr>
        <w:t>（210）行政事业单位医疗（11）行政单位医疗（01）:支出决算为</w:t>
      </w:r>
      <w:r>
        <w:rPr>
          <w:rStyle w:val="23"/>
          <w:rFonts w:ascii="仿宋_GB2312" w:eastAsia="仿宋_GB2312" w:hint="eastAsia"/>
          <w:b w:val="0"/>
          <w:sz w:val="32"/>
          <w:szCs w:val="32"/>
          <w:lang w:val="en-US" w:eastAsia="zh-CN"/>
        </w:rPr>
        <w:t>18.67</w:t>
      </w:r>
      <w:r>
        <w:rPr>
          <w:rStyle w:val="23"/>
          <w:rFonts w:ascii="仿宋_GB2312" w:eastAsia="仿宋_GB2312" w:hint="eastAsia"/>
          <w:b w:val="0"/>
          <w:sz w:val="32"/>
          <w:szCs w:val="32"/>
        </w:rPr>
        <w:t>万元，完成预算100%。</w:t>
      </w:r>
    </w:p>
    <w:p>
      <w:pPr>
        <w:spacing w:line="560" w:lineRule="exact"/>
        <w:ind w:firstLineChars="200" w:firstLine="640"/>
        <w:rPr>
          <w:rStyle w:val="23"/>
          <w:rFonts w:ascii="仿宋_GB2312" w:eastAsia="仿宋_GB2312" w:hint="eastAsia"/>
          <w:b w:val="0"/>
          <w:bCs/>
          <w:sz w:val="32"/>
          <w:szCs w:val="32"/>
        </w:rPr>
      </w:pPr>
      <w:r>
        <w:rPr>
          <w:rFonts w:ascii="仿宋_GB2312" w:eastAsia="仿宋_GB2312" w:hint="eastAsia"/>
          <w:sz w:val="32"/>
          <w:szCs w:val="32"/>
        </w:rPr>
        <w:t>6.</w:t>
      </w:r>
      <w:r>
        <w:rPr>
          <w:rFonts w:ascii="仿宋_GB2312" w:eastAsia="仿宋_GB2312" w:hint="eastAsia"/>
          <w:bCs/>
          <w:sz w:val="32"/>
          <w:szCs w:val="32"/>
        </w:rPr>
        <w:t>卫生健康</w:t>
      </w:r>
      <w:r>
        <w:rPr>
          <w:rStyle w:val="23"/>
          <w:rFonts w:ascii="仿宋_GB2312" w:eastAsia="仿宋_GB2312" w:hint="eastAsia"/>
          <w:b w:val="0"/>
          <w:sz w:val="32"/>
          <w:szCs w:val="32"/>
        </w:rPr>
        <w:t>（210）行政事业单位医疗（11）公务员医疗补助（03）:支出</w:t>
      </w:r>
      <w:r>
        <w:rPr>
          <w:rStyle w:val="23"/>
          <w:rFonts w:ascii="仿宋_GB2312" w:eastAsia="仿宋_GB2312" w:hint="eastAsia"/>
          <w:b w:val="0"/>
          <w:sz w:val="32"/>
          <w:szCs w:val="32"/>
          <w:lang w:val="en-US" w:eastAsia="zh-CN"/>
        </w:rPr>
        <w:t>5</w:t>
      </w:r>
      <w:r>
        <w:rPr>
          <w:rStyle w:val="23"/>
          <w:rFonts w:ascii="仿宋_GB2312" w:eastAsia="仿宋_GB2312" w:hint="eastAsia"/>
          <w:b w:val="0"/>
          <w:sz w:val="32"/>
          <w:szCs w:val="32"/>
        </w:rPr>
        <w:t>.</w:t>
      </w:r>
      <w:r>
        <w:rPr>
          <w:rStyle w:val="23"/>
          <w:rFonts w:ascii="仿宋_GB2312" w:eastAsia="仿宋_GB2312" w:hint="eastAsia"/>
          <w:b w:val="0"/>
          <w:sz w:val="32"/>
          <w:szCs w:val="32"/>
          <w:lang w:val="en-US" w:eastAsia="zh-CN"/>
        </w:rPr>
        <w:t>85</w:t>
      </w:r>
      <w:r>
        <w:rPr>
          <w:rStyle w:val="23"/>
          <w:rFonts w:ascii="仿宋_GB2312" w:eastAsia="仿宋_GB2312" w:hint="eastAsia"/>
          <w:b w:val="0"/>
          <w:sz w:val="32"/>
          <w:szCs w:val="32"/>
        </w:rPr>
        <w:t>万元，完成预算100%。</w:t>
      </w:r>
    </w:p>
    <w:p>
      <w:pPr>
        <w:spacing w:line="560" w:lineRule="exact"/>
        <w:ind w:firstLineChars="200" w:firstLine="640"/>
        <w:rPr>
          <w:rStyle w:val="23"/>
          <w:rFonts w:ascii="仿宋_GB2312" w:eastAsia="仿宋_GB2312" w:hint="eastAsia"/>
          <w:b w:val="0"/>
          <w:bCs/>
          <w:sz w:val="32"/>
          <w:szCs w:val="32"/>
        </w:rPr>
      </w:pPr>
      <w:r>
        <w:rPr>
          <w:rStyle w:val="23"/>
          <w:rFonts w:ascii="仿宋_GB2312" w:eastAsia="仿宋_GB2312" w:hint="eastAsia"/>
          <w:b w:val="0"/>
          <w:bCs/>
          <w:sz w:val="32"/>
          <w:szCs w:val="32"/>
        </w:rPr>
        <w:t>7.住房保障支出（类）住房改革支出（款）住房公积金（项）:支出决算为</w:t>
      </w:r>
      <w:r>
        <w:rPr>
          <w:rStyle w:val="23"/>
          <w:rFonts w:ascii="仿宋_GB2312" w:eastAsia="仿宋_GB2312" w:hint="eastAsia"/>
          <w:b w:val="0"/>
          <w:bCs/>
          <w:sz w:val="32"/>
          <w:szCs w:val="32"/>
          <w:lang w:val="en-US" w:eastAsia="zh-CN"/>
        </w:rPr>
        <w:t>31.3</w:t>
      </w:r>
      <w:r>
        <w:rPr>
          <w:rStyle w:val="23"/>
          <w:rFonts w:ascii="仿宋_GB2312" w:eastAsia="仿宋_GB2312" w:hint="eastAsia"/>
          <w:b w:val="0"/>
          <w:bCs/>
          <w:sz w:val="32"/>
          <w:szCs w:val="32"/>
        </w:rPr>
        <w:t>万元，完成预算100%。</w:t>
      </w:r>
    </w:p>
    <w:p>
      <w:pPr>
        <w:widowControl/>
        <w:spacing w:before="100" w:after="100" w:line="560" w:lineRule="exact"/>
        <w:ind w:firstLineChars="100" w:firstLine="320"/>
        <w:jc w:val="left"/>
        <w:rPr>
          <w:rFonts w:ascii="仿宋" w:eastAsia="仿宋" w:cs="宋体"/>
          <w:kern w:val="0"/>
          <w:sz w:val="32"/>
          <w:szCs w:val="32"/>
        </w:rPr>
      </w:pPr>
      <w:r>
        <w:rPr>
          <w:rFonts w:ascii="仿宋_GB2312" w:eastAsia="仿宋_GB2312" w:cs="宋体" w:hint="eastAsia"/>
          <w:b/>
          <w:bCs/>
          <w:kern w:val="0"/>
          <w:sz w:val="32"/>
          <w:szCs w:val="32"/>
        </w:rPr>
        <w:t>（注：仅罗列本部门涉及的全部功能分类科目，至项级。上述“预算”口径为全年预算数。增减变动原因为决算数&lt;项级&gt;和全年预算数&lt;项级&gt;比较，与预算数持平可以不写原因。）</w:t>
      </w:r>
    </w:p>
    <w:p>
      <w:pPr>
        <w:pStyle w:val="2"/>
        <w:numPr>
          <w:ilvl w:val="0"/>
          <w:numId w:val="2"/>
        </w:numPr>
        <w:spacing w:before="0" w:after="0" w:line="560" w:lineRule="exact"/>
        <w:ind w:left="1361"/>
        <w:rPr>
          <w:rFonts w:ascii="黑体" w:eastAsia="黑体" w:cs="黑体"/>
          <w:b w:val="0"/>
          <w:bCs w:val="0"/>
        </w:rPr>
      </w:pPr>
      <w:bookmarkStart w:id="63" w:name="_Toc27491"/>
      <w:r>
        <w:rPr>
          <w:rFonts w:ascii="黑体" w:eastAsia="黑体" w:cs="黑体" w:hint="eastAsia"/>
          <w:b w:val="0"/>
          <w:bCs w:val="0"/>
        </w:rPr>
        <w:t>一般公共预算财政拨款基本支出决算情况说明</w:t>
      </w:r>
      <w:bookmarkEnd w:id="63"/>
    </w:p>
    <w:p>
      <w:pPr>
        <w:widowControl/>
        <w:spacing w:before="100" w:after="100" w:line="560" w:lineRule="exact"/>
        <w:ind w:firstLineChars="200" w:firstLine="640"/>
        <w:jc w:val="left"/>
        <w:rPr>
          <w:rFonts w:ascii="仿宋_GB2312" w:eastAsia="仿宋_GB2312" w:cs="宋体" w:hint="eastAsia"/>
          <w:kern w:val="0"/>
          <w:sz w:val="32"/>
          <w:szCs w:val="32"/>
        </w:rPr>
      </w:pPr>
      <w:r>
        <w:rPr>
          <w:rFonts w:ascii="仿宋_GB2312" w:eastAsia="仿宋_GB2312" w:cs="宋体" w:hint="eastAsia"/>
          <w:kern w:val="0"/>
          <w:sz w:val="32"/>
          <w:szCs w:val="32"/>
        </w:rPr>
        <w:t>202</w:t>
      </w:r>
      <w:r>
        <w:rPr>
          <w:rFonts w:ascii="仿宋_GB2312" w:eastAsia="仿宋_GB2312" w:cs="宋体" w:hint="eastAsia"/>
          <w:kern w:val="0"/>
          <w:sz w:val="32"/>
          <w:szCs w:val="32"/>
          <w:lang w:val="en-US" w:eastAsia="zh-CN"/>
        </w:rPr>
        <w:t>5</w:t>
      </w:r>
      <w:r>
        <w:rPr>
          <w:rFonts w:ascii="仿宋_GB2312" w:eastAsia="仿宋_GB2312" w:cs="宋体" w:hint="eastAsia"/>
          <w:kern w:val="0"/>
          <w:sz w:val="32"/>
          <w:szCs w:val="32"/>
        </w:rPr>
        <w:t>年一般公共预算财政拨款基本支出</w:t>
      </w:r>
      <w:r>
        <w:rPr>
          <w:rFonts w:ascii="仿宋_GB2312" w:eastAsia="仿宋_GB2312" w:cs="宋体" w:hint="eastAsia"/>
          <w:kern w:val="0"/>
          <w:sz w:val="32"/>
          <w:szCs w:val="32"/>
          <w:lang w:val="en-US" w:eastAsia="zh-CN"/>
        </w:rPr>
        <w:t>1103.74</w:t>
      </w:r>
      <w:r>
        <w:rPr>
          <w:rFonts w:ascii="仿宋_GB2312" w:eastAsia="仿宋_GB2312" w:cs="宋体" w:hint="eastAsia"/>
          <w:kern w:val="0"/>
          <w:sz w:val="32"/>
          <w:szCs w:val="32"/>
        </w:rPr>
        <w:t>万元，其中：人员经费</w:t>
      </w:r>
      <w:r>
        <w:rPr>
          <w:rFonts w:ascii="仿宋_GB2312" w:eastAsia="仿宋_GB2312" w:cs="宋体" w:hint="eastAsia"/>
          <w:kern w:val="0"/>
          <w:sz w:val="32"/>
          <w:szCs w:val="32"/>
          <w:lang w:val="en-US" w:eastAsia="zh-CN"/>
        </w:rPr>
        <w:t>1021.82</w:t>
      </w:r>
      <w:r>
        <w:rPr>
          <w:rFonts w:ascii="仿宋_GB2312" w:eastAsia="仿宋_GB2312" w:cs="宋体" w:hint="eastAsia"/>
          <w:kern w:val="0"/>
          <w:sz w:val="32"/>
          <w:szCs w:val="32"/>
        </w:rPr>
        <w:t>万元，主要包括：基本工资、津贴补贴、奖金、伙食补助费、绩效工资、机关事业单位基本养老保险缴费、职业年金缴费、其他社会保 障缴费、其他工资福利支出、离休费、退休费、抚恤金、生活补助、医疗费补助、奖励金、住房公积金、其他对个人和家庭的补助支出等。</w:t>
      </w:r>
    </w:p>
    <w:p>
      <w:pPr>
        <w:widowControl/>
        <w:spacing w:before="100" w:after="100" w:line="560" w:lineRule="exact"/>
        <w:ind w:firstLineChars="200" w:firstLine="640"/>
        <w:jc w:val="left"/>
        <w:rPr>
          <w:rFonts w:ascii="仿宋_GB2312" w:eastAsia="仿宋_GB2312" w:cs="宋体" w:hint="eastAsia"/>
          <w:kern w:val="0"/>
          <w:sz w:val="32"/>
          <w:szCs w:val="32"/>
        </w:rPr>
      </w:pPr>
      <w:r>
        <w:rPr>
          <w:rFonts w:ascii="仿宋_GB2312" w:eastAsia="仿宋_GB2312" w:cs="宋体" w:hint="eastAsia"/>
          <w:kern w:val="0"/>
          <w:sz w:val="32"/>
          <w:szCs w:val="32"/>
        </w:rPr>
        <w:t>公用经费</w:t>
      </w:r>
      <w:r>
        <w:rPr>
          <w:rFonts w:ascii="仿宋_GB2312" w:eastAsia="仿宋_GB2312" w:cs="宋体" w:hint="eastAsia"/>
          <w:kern w:val="0"/>
          <w:sz w:val="32"/>
          <w:szCs w:val="32"/>
          <w:lang w:val="en-US" w:eastAsia="zh-CN"/>
        </w:rPr>
        <w:t>81.91</w:t>
      </w:r>
      <w:r>
        <w:rPr>
          <w:rFonts w:ascii="仿宋_GB2312" w:eastAsia="仿宋_GB2312" w:cs="宋体" w:hint="eastAsia"/>
          <w:kern w:val="0"/>
          <w:sz w:val="32"/>
          <w:szCs w:val="32"/>
        </w:rPr>
        <w:t>万元，主要包括：办公费、印刷费、咨询费、手续费、水费、电费、邮电费、取暖费、物业管理费、差旅费、因公出国（境）费用、 维修（护）费、租赁费、会议费、培训费、公务接待费、劳务费、委托业务费、工会经费、福利费、公务用车运行维护费、其他交通费、税金及附加费用、其他商品 和服务支出、办公设备购置、专用设备购置、信息网络及软件购置更新、其他资本性支出等。</w:t>
      </w:r>
    </w:p>
    <w:p>
      <w:pPr>
        <w:widowControl/>
        <w:spacing w:before="100" w:after="100" w:line="560" w:lineRule="exact"/>
        <w:ind w:firstLineChars="100" w:firstLine="320"/>
        <w:jc w:val="left"/>
        <w:rPr>
          <w:rFonts w:ascii="仿宋_GB2312" w:eastAsia="仿宋_GB2312" w:cs="宋体" w:hint="eastAsia"/>
          <w:kern w:val="0"/>
          <w:sz w:val="32"/>
          <w:szCs w:val="32"/>
        </w:rPr>
      </w:pPr>
      <w:r>
        <w:rPr>
          <w:rFonts w:ascii="仿宋_GB2312" w:eastAsia="仿宋_GB2312" w:cs="宋体" w:hint="eastAsia"/>
          <w:b/>
          <w:bCs/>
          <w:kern w:val="0"/>
          <w:sz w:val="32"/>
          <w:szCs w:val="32"/>
        </w:rPr>
        <w:t>（注：仅罗列本部门</w:t>
      </w:r>
      <w:r>
        <w:rPr>
          <w:rFonts w:ascii="仿宋_GB2312" w:eastAsia="仿宋_GB2312" w:cs="宋体" w:hint="eastAsia"/>
          <w:b/>
          <w:bCs/>
          <w:kern w:val="0"/>
          <w:sz w:val="32"/>
          <w:szCs w:val="32"/>
          <w:lang w:val="en-US" w:eastAsia="zh-CN"/>
        </w:rPr>
        <w:t>实际支出</w:t>
      </w:r>
      <w:r>
        <w:rPr>
          <w:rFonts w:ascii="仿宋_GB2312" w:eastAsia="仿宋_GB2312" w:cs="宋体" w:hint="eastAsia"/>
          <w:b/>
          <w:bCs/>
          <w:kern w:val="0"/>
          <w:sz w:val="32"/>
          <w:szCs w:val="32"/>
        </w:rPr>
        <w:t>的</w:t>
      </w:r>
      <w:r>
        <w:rPr>
          <w:rFonts w:ascii="仿宋_GB2312" w:eastAsia="仿宋_GB2312" w:cs="宋体" w:hint="eastAsia"/>
          <w:b/>
          <w:bCs/>
          <w:kern w:val="0"/>
          <w:sz w:val="32"/>
          <w:szCs w:val="32"/>
          <w:lang w:val="en-US" w:eastAsia="zh-CN"/>
        </w:rPr>
        <w:t>经济</w:t>
      </w:r>
      <w:r>
        <w:rPr>
          <w:rFonts w:ascii="仿宋_GB2312" w:eastAsia="仿宋_GB2312" w:cs="宋体" w:hint="eastAsia"/>
          <w:b/>
          <w:bCs/>
          <w:kern w:val="0"/>
          <w:sz w:val="32"/>
          <w:szCs w:val="32"/>
        </w:rPr>
        <w:t>分类科目）</w:t>
      </w:r>
    </w:p>
    <w:p>
      <w:pPr>
        <w:pStyle w:val="2"/>
        <w:numPr>
          <w:ilvl w:val="0"/>
          <w:numId w:val="2"/>
        </w:numPr>
        <w:spacing w:before="0" w:after="0" w:line="560" w:lineRule="exact"/>
        <w:ind w:left="1361"/>
        <w:rPr>
          <w:rFonts w:ascii="黑体" w:eastAsia="黑体" w:cs="黑体"/>
          <w:b w:val="0"/>
          <w:bCs w:val="0"/>
        </w:rPr>
      </w:pPr>
      <w:bookmarkStart w:id="64" w:name="_Toc8448"/>
      <w:r>
        <w:rPr>
          <w:rFonts w:ascii="黑体" w:eastAsia="黑体" w:cs="黑体" w:hint="eastAsia"/>
          <w:b w:val="0"/>
          <w:bCs w:val="0"/>
        </w:rPr>
        <w:t>“三公”经费财政拨款支出决算情况说明</w:t>
      </w:r>
      <w:bookmarkEnd w:id="64"/>
    </w:p>
    <w:p>
      <w:pPr>
        <w:pStyle w:val="3"/>
        <w:spacing w:before="0" w:after="0" w:line="560" w:lineRule="exact"/>
        <w:ind w:firstLineChars="200" w:firstLine="640"/>
        <w:rPr>
          <w:rFonts w:ascii="楷体_GB2312" w:eastAsia="楷体_GB2312"/>
          <w:bCs w:val="0"/>
        </w:rPr>
      </w:pPr>
      <w:bookmarkStart w:id="65" w:name="_Toc31567"/>
      <w:r>
        <w:rPr>
          <w:rFonts w:ascii="楷体_GB2312" w:eastAsia="楷体_GB2312" w:hint="eastAsia"/>
          <w:bCs w:val="0"/>
        </w:rPr>
        <w:t>（一）“三公”经费财政拨款支出决算总体情况说明</w:t>
      </w:r>
      <w:bookmarkEnd w:id="65"/>
    </w:p>
    <w:p>
      <w:pPr>
        <w:widowControl/>
        <w:spacing w:line="560" w:lineRule="exact"/>
        <w:ind w:firstLineChars="200" w:firstLine="640"/>
        <w:jc w:val="left"/>
        <w:rPr>
          <w:rFonts w:ascii="仿宋_GB2312" w:eastAsia="仿宋_GB2312" w:cs="宋体" w:hint="eastAsia"/>
          <w:color w:val="auto"/>
          <w:kern w:val="0"/>
          <w:sz w:val="32"/>
          <w:szCs w:val="32"/>
        </w:rPr>
      </w:pPr>
      <w:r>
        <w:rPr>
          <w:rFonts w:ascii="仿宋_GB2312" w:eastAsia="仿宋_GB2312" w:cs="宋体" w:hint="eastAsia"/>
          <w:color w:val="auto"/>
          <w:kern w:val="0"/>
          <w:sz w:val="32"/>
          <w:szCs w:val="32"/>
        </w:rPr>
        <w:t>202</w:t>
      </w:r>
      <w:r>
        <w:rPr>
          <w:rFonts w:ascii="仿宋_GB2312" w:eastAsia="仿宋_GB2312" w:cs="宋体" w:hint="eastAsia"/>
          <w:color w:val="auto"/>
          <w:kern w:val="0"/>
          <w:sz w:val="32"/>
          <w:szCs w:val="32"/>
          <w:lang w:val="en-US" w:eastAsia="zh-CN"/>
        </w:rPr>
        <w:t>5</w:t>
      </w:r>
      <w:r>
        <w:rPr>
          <w:rFonts w:ascii="仿宋_GB2312" w:eastAsia="仿宋_GB2312" w:cs="宋体" w:hint="eastAsia"/>
          <w:color w:val="auto"/>
          <w:kern w:val="0"/>
          <w:sz w:val="32"/>
          <w:szCs w:val="32"/>
        </w:rPr>
        <w:t>年“三公”经费财政拨款支出决算为</w:t>
      </w:r>
      <w:r>
        <w:rPr>
          <w:rFonts w:ascii="仿宋_GB2312" w:eastAsia="仿宋_GB2312" w:cs="宋体" w:hint="eastAsia"/>
          <w:color w:val="auto"/>
          <w:kern w:val="0"/>
          <w:sz w:val="32"/>
          <w:szCs w:val="32"/>
          <w:lang w:val="en-US" w:eastAsia="zh-CN"/>
        </w:rPr>
        <w:t>62.45</w:t>
      </w:r>
      <w:r>
        <w:rPr>
          <w:rFonts w:ascii="仿宋_GB2312" w:eastAsia="仿宋_GB2312" w:cs="宋体" w:hint="eastAsia"/>
          <w:color w:val="auto"/>
          <w:kern w:val="0"/>
          <w:sz w:val="32"/>
          <w:szCs w:val="32"/>
        </w:rPr>
        <w:t>万元，完成预算100.00%，较</w:t>
      </w:r>
      <w:r>
        <w:rPr>
          <w:rFonts w:ascii="仿宋_GB2312" w:eastAsia="仿宋_GB2312" w:cs="宋体" w:hint="eastAsia"/>
          <w:color w:val="auto"/>
          <w:kern w:val="0"/>
          <w:sz w:val="32"/>
          <w:szCs w:val="32"/>
          <w:lang w:val="en-US" w:eastAsia="zh-CN"/>
        </w:rPr>
        <w:t>2024年增加5.8</w:t>
      </w:r>
      <w:r>
        <w:rPr>
          <w:rFonts w:ascii="仿宋_GB2312" w:eastAsia="仿宋_GB2312" w:cs="宋体" w:hint="eastAsia"/>
          <w:color w:val="auto"/>
          <w:kern w:val="0"/>
          <w:sz w:val="32"/>
          <w:szCs w:val="32"/>
        </w:rPr>
        <w:t>万元，</w:t>
      </w:r>
      <w:r>
        <w:rPr>
          <w:rFonts w:ascii="仿宋_GB2312" w:eastAsia="仿宋_GB2312" w:cs="宋体" w:hint="eastAsia"/>
          <w:color w:val="auto"/>
          <w:kern w:val="0"/>
          <w:sz w:val="32"/>
          <w:szCs w:val="32"/>
          <w:lang w:val="en-US" w:eastAsia="zh-CN"/>
        </w:rPr>
        <w:t>增加10.24</w:t>
      </w:r>
      <w:r>
        <w:rPr>
          <w:rFonts w:ascii="仿宋_GB2312" w:eastAsia="仿宋_GB2312" w:cs="宋体" w:hint="eastAsia"/>
          <w:color w:val="auto"/>
          <w:kern w:val="0"/>
          <w:sz w:val="32"/>
          <w:szCs w:val="32"/>
        </w:rPr>
        <w:t>%。主要原因是</w:t>
      </w:r>
      <w:r>
        <w:rPr>
          <w:rFonts w:ascii="仿宋_GB2312" w:eastAsia="仿宋_GB2312" w:cs="宋体" w:hint="eastAsia"/>
          <w:color w:val="auto"/>
          <w:kern w:val="0"/>
          <w:sz w:val="32"/>
          <w:szCs w:val="32"/>
          <w:lang w:val="en-US" w:eastAsia="zh-CN"/>
        </w:rPr>
        <w:t>2025年加大对县一级事故预防和道路交通管理工作的指导和督导</w:t>
      </w:r>
      <w:r>
        <w:rPr>
          <w:rFonts w:ascii="仿宋_GB2312" w:eastAsia="仿宋_GB2312" w:cs="宋体" w:hint="eastAsia"/>
          <w:color w:val="auto"/>
          <w:kern w:val="0"/>
          <w:sz w:val="32"/>
          <w:szCs w:val="32"/>
        </w:rPr>
        <w:t>。</w:t>
      </w:r>
    </w:p>
    <w:p>
      <w:pPr>
        <w:widowControl/>
        <w:spacing w:before="100" w:after="100" w:line="560" w:lineRule="exact"/>
        <w:ind w:firstLineChars="100" w:firstLine="320"/>
        <w:jc w:val="left"/>
        <w:rPr>
          <w:rFonts w:ascii="仿宋_GB2312" w:eastAsia="仿宋_GB2312" w:cs="宋体" w:hint="eastAsia"/>
          <w:kern w:val="0"/>
          <w:sz w:val="32"/>
          <w:szCs w:val="32"/>
        </w:rPr>
      </w:pPr>
      <w:r>
        <w:rPr>
          <w:rFonts w:ascii="仿宋_GB2312" w:eastAsia="仿宋_GB2312" w:cs="宋体" w:hint="eastAsia"/>
          <w:b/>
          <w:bCs/>
          <w:kern w:val="0"/>
          <w:sz w:val="32"/>
          <w:szCs w:val="32"/>
        </w:rPr>
        <w:t>（注：上述“预算”口径为全年预算数，包括一般公共预算和政府性基金预算财政拨款支出决算情况。）</w:t>
      </w:r>
    </w:p>
    <w:p>
      <w:pPr>
        <w:pStyle w:val="3"/>
        <w:spacing w:before="0" w:after="0" w:line="560" w:lineRule="exact"/>
        <w:ind w:firstLineChars="200" w:firstLine="640"/>
        <w:rPr>
          <w:rFonts w:ascii="楷体_GB2312" w:eastAsia="楷体_GB2312"/>
          <w:bCs w:val="0"/>
        </w:rPr>
      </w:pPr>
      <w:bookmarkStart w:id="66" w:name="_Toc16922"/>
      <w:r>
        <w:rPr>
          <w:rFonts w:ascii="楷体_GB2312" w:eastAsia="楷体_GB2312" w:hint="eastAsia"/>
          <w:bCs w:val="0"/>
        </w:rPr>
        <w:t>（二）“三公”经费财政拨款支出决算具体情况说明</w:t>
      </w:r>
      <w:bookmarkEnd w:id="66"/>
    </w:p>
    <w:p>
      <w:pPr>
        <w:widowControl/>
        <w:spacing w:line="560" w:lineRule="exact"/>
        <w:ind w:firstLineChars="200" w:firstLine="640"/>
        <w:jc w:val="left"/>
        <w:rPr>
          <w:rFonts w:ascii="仿宋_GB2312" w:eastAsia="仿宋_GB2312" w:cs="宋体" w:hint="eastAsia"/>
          <w:kern w:val="0"/>
          <w:sz w:val="32"/>
          <w:szCs w:val="32"/>
        </w:rPr>
      </w:pPr>
      <w:r>
        <w:rPr>
          <w:rFonts w:ascii="仿宋_GB2312" w:eastAsia="仿宋_GB2312" w:cs="宋体" w:hint="eastAsia"/>
          <w:kern w:val="0"/>
          <w:sz w:val="32"/>
          <w:szCs w:val="32"/>
        </w:rPr>
        <w:t>202</w:t>
      </w:r>
      <w:r>
        <w:rPr>
          <w:rFonts w:ascii="仿宋_GB2312" w:eastAsia="仿宋_GB2312" w:cs="宋体" w:hint="eastAsia"/>
          <w:kern w:val="0"/>
          <w:sz w:val="32"/>
          <w:szCs w:val="32"/>
          <w:lang w:val="en-US" w:eastAsia="zh-CN"/>
        </w:rPr>
        <w:t>4</w:t>
      </w:r>
      <w:r>
        <w:rPr>
          <w:rFonts w:ascii="仿宋_GB2312" w:eastAsia="仿宋_GB2312" w:cs="宋体" w:hint="eastAsia"/>
          <w:kern w:val="0"/>
          <w:sz w:val="32"/>
          <w:szCs w:val="32"/>
        </w:rPr>
        <w:t>年“三公”经费财政拨款支出决算中，因公出国（境）费支出决算0.00万元，占0.00%；公务用车购置及运行维护费支出决算</w:t>
      </w:r>
      <w:r>
        <w:rPr>
          <w:rFonts w:ascii="仿宋_GB2312" w:eastAsia="仿宋_GB2312" w:cs="宋体" w:hint="eastAsia"/>
          <w:kern w:val="0"/>
          <w:sz w:val="32"/>
          <w:szCs w:val="32"/>
          <w:lang w:val="en-US" w:eastAsia="zh-CN"/>
        </w:rPr>
        <w:t>62.45</w:t>
      </w:r>
      <w:r>
        <w:rPr>
          <w:rFonts w:ascii="仿宋_GB2312" w:eastAsia="仿宋_GB2312" w:cs="宋体" w:hint="eastAsia"/>
          <w:kern w:val="0"/>
          <w:sz w:val="32"/>
          <w:szCs w:val="32"/>
        </w:rPr>
        <w:t>万元，占100%；公务接待费支出决算0.00万元，占0.00%。具体情况如下：</w:t>
      </w:r>
    </w:p>
    <w:p>
      <w:pPr>
        <w:widowControl/>
        <w:spacing w:before="100" w:after="100" w:line="560" w:lineRule="exact"/>
        <w:ind w:firstLineChars="50" w:firstLine="160"/>
        <w:jc w:val="left"/>
        <w:rPr>
          <w:rFonts w:ascii="仿宋_GB2312" w:eastAsia="仿宋_GB2312" w:cs="宋体" w:hint="eastAsia"/>
          <w:kern w:val="0"/>
          <w:sz w:val="32"/>
          <w:szCs w:val="32"/>
        </w:rPr>
      </w:pPr>
      <w:r>
        <w:rPr>
          <w:rFonts w:ascii="仿宋_GB2312" w:eastAsia="仿宋_GB2312" w:cs="宋体" w:hint="eastAsia"/>
          <w:kern w:val="0"/>
          <w:sz w:val="32"/>
          <w:szCs w:val="32"/>
        </w:rPr>
        <w:t>（图7：“三公”经费财政拨款支出结构）（饼状图）</w:t>
      </w:r>
    </w:p>
    <w:p>
      <w:pPr>
        <w:pStyle w:val="15"/>
        <w:spacing w:beforeLines="0" w:before="93"/>
        <w:jc w:val="center"/>
      </w:pPr>
      <w:r>
        <w:drawing>
          <wp:inline distT="0" distB="0" distL="114300" distR="114300">
            <wp:extent cx="4826000" cy="2743200"/>
            <wp:effectExtent l="0" t="0" r="0" b="0"/>
            <wp:docPr id="10" name="图表 2"/>
            <wp:cNvGraphicFramePr>
              <a:graphicFrameLocks noChangeAspect="0"/>
            </wp:cNvGraphicFramePr>
            <a:graphic>
              <a:graphicData uri="http://schemas.openxmlformats.org/drawingml/2006/chart">
                <c:chart xmlns:c="http://schemas.openxmlformats.org/drawingml/2006/chart" r:id="rId14"/>
              </a:graphicData>
            </a:graphic>
          </wp:inline>
        </w:drawing>
      </w:r>
    </w:p>
    <w:p>
      <w:pPr>
        <w:widowControl/>
        <w:spacing w:line="560" w:lineRule="exact"/>
        <w:ind w:firstLineChars="200" w:firstLine="640"/>
        <w:jc w:val="left"/>
        <w:rPr>
          <w:rFonts w:ascii="仿宋_GB2312" w:eastAsia="仿宋_GB2312" w:cs="宋体" w:hint="eastAsia"/>
          <w:b/>
          <w:bCs/>
          <w:kern w:val="0"/>
          <w:sz w:val="32"/>
          <w:szCs w:val="32"/>
        </w:rPr>
      </w:pPr>
      <w:r>
        <w:rPr>
          <w:rFonts w:ascii="仿宋_GB2312" w:eastAsia="仿宋_GB2312" w:cs="宋体" w:hint="eastAsia"/>
          <w:b/>
          <w:bCs/>
          <w:kern w:val="0"/>
          <w:sz w:val="32"/>
          <w:szCs w:val="32"/>
        </w:rPr>
        <w:t xml:space="preserve">1.因公出国（境）经费支出0元。 </w:t>
      </w:r>
    </w:p>
    <w:p>
      <w:pPr>
        <w:widowControl/>
        <w:spacing w:line="560" w:lineRule="exact"/>
        <w:ind w:firstLineChars="200" w:firstLine="640"/>
        <w:jc w:val="left"/>
        <w:rPr>
          <w:rFonts w:ascii="仿宋_GB2312" w:eastAsia="仿宋_GB2312" w:cs="宋体" w:hint="eastAsia"/>
          <w:color w:val="auto"/>
          <w:kern w:val="0"/>
          <w:sz w:val="32"/>
          <w:szCs w:val="32"/>
        </w:rPr>
      </w:pPr>
      <w:r>
        <w:rPr>
          <w:rFonts w:ascii="仿宋_GB2312" w:eastAsia="仿宋_GB2312" w:cs="宋体" w:hint="eastAsia"/>
          <w:b/>
          <w:bCs/>
          <w:kern w:val="0"/>
          <w:sz w:val="32"/>
          <w:szCs w:val="32"/>
        </w:rPr>
        <w:t>2.公务用车购置及运行维护费支出</w:t>
      </w:r>
      <w:r>
        <w:rPr>
          <w:rFonts w:ascii="仿宋_GB2312" w:eastAsia="仿宋_GB2312" w:cs="宋体" w:hint="eastAsia"/>
          <w:kern w:val="0"/>
          <w:sz w:val="32"/>
          <w:szCs w:val="32"/>
          <w:lang w:val="en-US" w:eastAsia="zh-CN"/>
        </w:rPr>
        <w:t>62.45</w:t>
      </w:r>
      <w:r>
        <w:rPr>
          <w:rFonts w:ascii="仿宋_GB2312" w:eastAsia="仿宋_GB2312" w:cs="宋体" w:hint="eastAsia"/>
          <w:kern w:val="0"/>
          <w:sz w:val="32"/>
          <w:szCs w:val="32"/>
        </w:rPr>
        <w:t>万元,</w:t>
      </w:r>
      <w:r>
        <w:rPr>
          <w:rFonts w:ascii="仿宋_GB2312" w:eastAsia="仿宋_GB2312" w:cs="宋体" w:hint="eastAsia"/>
          <w:b/>
          <w:bCs/>
          <w:kern w:val="0"/>
          <w:sz w:val="32"/>
          <w:szCs w:val="32"/>
        </w:rPr>
        <w:t>完成预算100.00%。</w:t>
      </w:r>
      <w:r>
        <w:rPr>
          <w:rFonts w:ascii="仿宋_GB2312" w:eastAsia="仿宋_GB2312" w:cs="宋体" w:hint="eastAsia"/>
          <w:kern w:val="0"/>
          <w:sz w:val="32"/>
          <w:szCs w:val="32"/>
        </w:rPr>
        <w:t>公务用车购置及运行维护费支出决算比较</w:t>
      </w:r>
      <w:r>
        <w:rPr>
          <w:rFonts w:ascii="仿宋_GB2312" w:eastAsia="仿宋_GB2312" w:cs="宋体" w:hint="eastAsia"/>
          <w:kern w:val="0"/>
          <w:sz w:val="32"/>
          <w:szCs w:val="32"/>
          <w:lang w:val="en-US" w:eastAsia="zh-CN"/>
        </w:rPr>
        <w:t>2024年增加5.8</w:t>
      </w:r>
      <w:r>
        <w:rPr>
          <w:rFonts w:ascii="仿宋_GB2312" w:eastAsia="仿宋_GB2312" w:cs="宋体" w:hint="eastAsia"/>
          <w:kern w:val="0"/>
          <w:sz w:val="32"/>
          <w:szCs w:val="32"/>
        </w:rPr>
        <w:t>万元，</w:t>
      </w:r>
      <w:r>
        <w:rPr>
          <w:rFonts w:ascii="仿宋_GB2312" w:eastAsia="仿宋_GB2312" w:cs="宋体" w:hint="eastAsia"/>
          <w:kern w:val="0"/>
          <w:sz w:val="32"/>
          <w:szCs w:val="32"/>
          <w:lang w:val="en-US" w:eastAsia="zh-CN"/>
        </w:rPr>
        <w:t>增加10.24</w:t>
      </w:r>
      <w:r>
        <w:rPr>
          <w:rFonts w:ascii="仿宋_GB2312" w:eastAsia="仿宋_GB2312" w:cs="宋体" w:hint="eastAsia"/>
          <w:kern w:val="0"/>
          <w:sz w:val="32"/>
          <w:szCs w:val="32"/>
        </w:rPr>
        <w:t>%。</w:t>
      </w:r>
      <w:r>
        <w:rPr>
          <w:rFonts w:ascii="仿宋_GB2312" w:eastAsia="仿宋_GB2312" w:cs="宋体" w:hint="eastAsia"/>
          <w:color w:val="auto"/>
          <w:kern w:val="0"/>
          <w:sz w:val="32"/>
          <w:szCs w:val="32"/>
        </w:rPr>
        <w:t>主要原因是</w:t>
      </w:r>
      <w:r>
        <w:rPr>
          <w:rFonts w:ascii="仿宋_GB2312" w:eastAsia="仿宋_GB2312" w:cs="宋体" w:hint="eastAsia"/>
          <w:color w:val="auto"/>
          <w:kern w:val="0"/>
          <w:sz w:val="32"/>
          <w:szCs w:val="32"/>
          <w:lang w:val="en-US" w:eastAsia="zh-CN"/>
        </w:rPr>
        <w:t>2025年加大对县一级事故预防和道路交通管理工作的指导和督导</w:t>
      </w:r>
      <w:r>
        <w:rPr>
          <w:rFonts w:ascii="仿宋_GB2312" w:eastAsia="仿宋_GB2312" w:cs="宋体" w:hint="eastAsia"/>
          <w:color w:val="auto"/>
          <w:kern w:val="0"/>
          <w:sz w:val="32"/>
          <w:szCs w:val="32"/>
        </w:rPr>
        <w:t>。</w:t>
      </w:r>
    </w:p>
    <w:p>
      <w:pPr>
        <w:widowControl/>
        <w:spacing w:line="560" w:lineRule="exact"/>
        <w:ind w:firstLineChars="200" w:firstLine="640"/>
        <w:jc w:val="left"/>
        <w:rPr>
          <w:rFonts w:ascii="仿宋_GB2312" w:eastAsia="仿宋_GB2312" w:cs="宋体" w:hint="eastAsia"/>
          <w:color w:val="auto"/>
          <w:kern w:val="0"/>
          <w:sz w:val="32"/>
          <w:szCs w:val="32"/>
        </w:rPr>
      </w:pPr>
    </w:p>
    <w:p>
      <w:pPr>
        <w:widowControl/>
        <w:spacing w:line="560" w:lineRule="exact"/>
        <w:ind w:firstLineChars="200" w:firstLine="640"/>
        <w:jc w:val="left"/>
        <w:rPr>
          <w:rFonts w:ascii="仿宋_GB2312" w:eastAsia="仿宋_GB2312" w:cs="宋体" w:hint="eastAsia"/>
          <w:color w:val="auto"/>
          <w:kern w:val="0"/>
          <w:sz w:val="32"/>
          <w:szCs w:val="32"/>
        </w:rPr>
      </w:pPr>
      <w:r>
        <w:rPr>
          <w:rFonts w:ascii="仿宋_GB2312" w:eastAsia="仿宋_GB2312" w:cs="宋体" w:hint="eastAsia"/>
          <w:color w:val="auto"/>
          <w:kern w:val="0"/>
          <w:sz w:val="32"/>
          <w:szCs w:val="32"/>
        </w:rPr>
        <w:t>其中：</w:t>
      </w:r>
      <w:r>
        <w:rPr>
          <w:rFonts w:ascii="仿宋_GB2312" w:eastAsia="仿宋_GB2312" w:cs="宋体" w:hint="eastAsia"/>
          <w:b/>
          <w:bCs/>
          <w:color w:val="auto"/>
          <w:kern w:val="0"/>
          <w:sz w:val="32"/>
          <w:szCs w:val="32"/>
        </w:rPr>
        <w:t>公务用车购置支出</w:t>
      </w:r>
      <w:r>
        <w:rPr>
          <w:rFonts w:ascii="仿宋_GB2312" w:eastAsia="仿宋_GB2312" w:cs="宋体" w:hint="eastAsia"/>
          <w:color w:val="auto"/>
          <w:kern w:val="0"/>
          <w:sz w:val="32"/>
          <w:szCs w:val="32"/>
        </w:rPr>
        <w:t>。全年无更新购置公务用车。单位共有公务用车45辆，其中：轿车26辆、越野车14辆、载客汽车5辆。</w:t>
      </w:r>
    </w:p>
    <w:p>
      <w:pPr>
        <w:widowControl/>
        <w:spacing w:line="560" w:lineRule="exact"/>
        <w:ind w:firstLineChars="200" w:firstLine="640"/>
        <w:jc w:val="left"/>
        <w:rPr>
          <w:rFonts w:ascii="仿宋_GB2312" w:eastAsia="仿宋_GB2312" w:cs="宋体" w:hint="eastAsia"/>
          <w:kern w:val="0"/>
          <w:sz w:val="32"/>
          <w:szCs w:val="32"/>
        </w:rPr>
      </w:pPr>
      <w:r>
        <w:rPr>
          <w:rFonts w:ascii="仿宋_GB2312" w:eastAsia="仿宋_GB2312" w:cs="宋体" w:hint="eastAsia"/>
          <w:b/>
          <w:bCs/>
          <w:kern w:val="0"/>
          <w:sz w:val="32"/>
          <w:szCs w:val="32"/>
        </w:rPr>
        <w:t>公务用车运行维护费支出</w:t>
      </w:r>
      <w:r>
        <w:rPr>
          <w:rFonts w:ascii="仿宋_GB2312" w:eastAsia="仿宋_GB2312" w:cs="宋体" w:hint="eastAsia"/>
          <w:kern w:val="0"/>
          <w:sz w:val="32"/>
          <w:szCs w:val="32"/>
          <w:lang w:val="en-US" w:eastAsia="zh-CN"/>
        </w:rPr>
        <w:t>62.45</w:t>
      </w:r>
      <w:r>
        <w:rPr>
          <w:rFonts w:ascii="仿宋_GB2312" w:eastAsia="仿宋_GB2312" w:cs="宋体" w:hint="eastAsia"/>
          <w:kern w:val="0"/>
          <w:sz w:val="32"/>
          <w:szCs w:val="32"/>
        </w:rPr>
        <w:t>万元。主要用于</w:t>
      </w:r>
      <w:r>
        <w:rPr>
          <w:rFonts w:ascii="仿宋_GB2312" w:eastAsia="仿宋_GB2312" w:hint="eastAsia"/>
          <w:sz w:val="32"/>
          <w:szCs w:val="32"/>
        </w:rPr>
        <w:t>管理全州城乡道路交通，维护道路交通秩序，负责交通标志、标线等安全设施设置情况的督查；负责全州交通警察队伍建设和管理；处理特大道路交通事故及交通事故、群众信访案件的复查、复核；负责全州交通安全宣传教育及交通民警的教育培训</w:t>
      </w:r>
      <w:r>
        <w:rPr>
          <w:rFonts w:ascii="仿宋_GB2312" w:eastAsia="仿宋_GB2312" w:cs="宋体" w:hint="eastAsia"/>
          <w:kern w:val="0"/>
          <w:sz w:val="32"/>
          <w:szCs w:val="32"/>
        </w:rPr>
        <w:t>等所需的公务用车燃料费、维修费、过路过桥费、保险费等支出。</w:t>
      </w:r>
    </w:p>
    <w:p>
      <w:pPr>
        <w:widowControl/>
        <w:spacing w:line="560" w:lineRule="exact"/>
        <w:ind w:firstLineChars="200" w:firstLine="640"/>
        <w:jc w:val="left"/>
        <w:rPr>
          <w:rFonts w:ascii="仿宋_GB2312" w:eastAsia="仿宋_GB2312" w:cs="宋体" w:hint="eastAsia"/>
          <w:kern w:val="0"/>
          <w:sz w:val="32"/>
          <w:szCs w:val="32"/>
        </w:rPr>
      </w:pPr>
      <w:r>
        <w:rPr>
          <w:rFonts w:ascii="仿宋_GB2312" w:eastAsia="仿宋_GB2312" w:cs="宋体" w:hint="eastAsia"/>
          <w:b/>
          <w:bCs/>
          <w:kern w:val="0"/>
          <w:sz w:val="32"/>
          <w:szCs w:val="32"/>
        </w:rPr>
        <w:t>3.公务接待费支出</w:t>
      </w:r>
      <w:r>
        <w:rPr>
          <w:rFonts w:ascii="仿宋_GB2312" w:eastAsia="仿宋_GB2312" w:cs="宋体" w:hint="eastAsia"/>
          <w:kern w:val="0"/>
          <w:sz w:val="32"/>
          <w:szCs w:val="32"/>
        </w:rPr>
        <w:t>0.00万元，</w:t>
      </w:r>
      <w:r>
        <w:rPr>
          <w:rFonts w:ascii="仿宋_GB2312" w:eastAsia="仿宋_GB2312" w:cs="宋体" w:hint="eastAsia"/>
          <w:b/>
          <w:bCs/>
          <w:kern w:val="0"/>
          <w:sz w:val="32"/>
          <w:szCs w:val="32"/>
        </w:rPr>
        <w:t>完成预算0%。国内公务接待支出0元</w:t>
      </w:r>
      <w:r>
        <w:rPr>
          <w:rFonts w:ascii="仿宋_GB2312" w:eastAsia="仿宋_GB2312" w:cs="宋体" w:hint="eastAsia"/>
          <w:kern w:val="0"/>
          <w:sz w:val="32"/>
          <w:szCs w:val="32"/>
        </w:rPr>
        <w:t>。</w:t>
      </w:r>
    </w:p>
    <w:p>
      <w:pPr>
        <w:widowControl/>
        <w:spacing w:line="560" w:lineRule="exact"/>
        <w:ind w:firstLineChars="200" w:firstLine="640"/>
        <w:jc w:val="left"/>
        <w:rPr>
          <w:rFonts w:ascii="仿宋_GB2312" w:eastAsia="仿宋_GB2312" w:cs="宋体" w:hint="eastAsia"/>
          <w:kern w:val="0"/>
          <w:sz w:val="32"/>
          <w:szCs w:val="32"/>
        </w:rPr>
      </w:pPr>
      <w:r>
        <w:rPr>
          <w:rFonts w:ascii="仿宋_GB2312" w:eastAsia="仿宋_GB2312" w:cs="宋体" w:hint="eastAsia"/>
          <w:b/>
          <w:bCs/>
          <w:kern w:val="0"/>
          <w:sz w:val="32"/>
          <w:szCs w:val="32"/>
        </w:rPr>
        <w:t>外事接待支出0元</w:t>
      </w:r>
      <w:r>
        <w:rPr>
          <w:rFonts w:ascii="仿宋_GB2312" w:eastAsia="仿宋_GB2312" w:cs="宋体" w:hint="eastAsia"/>
          <w:kern w:val="0"/>
          <w:sz w:val="32"/>
          <w:szCs w:val="32"/>
        </w:rPr>
        <w:t>。</w:t>
      </w:r>
    </w:p>
    <w:p>
      <w:pPr>
        <w:pStyle w:val="2"/>
        <w:numPr>
          <w:ilvl w:val="0"/>
          <w:numId w:val="2"/>
        </w:numPr>
        <w:spacing w:before="0" w:after="0" w:line="560" w:lineRule="exact"/>
        <w:ind w:left="1361"/>
        <w:rPr>
          <w:rFonts w:ascii="黑体" w:eastAsia="黑体" w:cs="黑体"/>
          <w:b w:val="0"/>
          <w:bCs w:val="0"/>
        </w:rPr>
      </w:pPr>
      <w:bookmarkStart w:id="67" w:name="_Toc22274"/>
      <w:r>
        <w:rPr>
          <w:rFonts w:ascii="黑体" w:eastAsia="黑体" w:cs="黑体" w:hint="eastAsia"/>
          <w:b w:val="0"/>
          <w:bCs w:val="0"/>
        </w:rPr>
        <w:t>政府性基金预算支出决算情况说明</w:t>
      </w:r>
      <w:bookmarkEnd w:id="67"/>
    </w:p>
    <w:p>
      <w:pPr>
        <w:widowControl/>
        <w:spacing w:line="560" w:lineRule="exact"/>
        <w:ind w:firstLineChars="200" w:firstLine="640"/>
        <w:jc w:val="left"/>
        <w:rPr>
          <w:rFonts w:ascii="仿宋_GB2312" w:eastAsia="仿宋_GB2312" w:cs="宋体" w:hint="eastAsia"/>
          <w:kern w:val="0"/>
          <w:sz w:val="32"/>
          <w:szCs w:val="32"/>
        </w:rPr>
      </w:pPr>
      <w:r>
        <w:rPr>
          <w:rFonts w:ascii="仿宋_GB2312" w:eastAsia="仿宋_GB2312" w:cs="宋体" w:hint="eastAsia"/>
          <w:kern w:val="0"/>
          <w:sz w:val="32"/>
          <w:szCs w:val="32"/>
        </w:rPr>
        <w:t>202</w:t>
      </w:r>
      <w:r>
        <w:rPr>
          <w:rFonts w:ascii="仿宋_GB2312" w:eastAsia="仿宋_GB2312" w:cs="宋体" w:hint="eastAsia"/>
          <w:kern w:val="0"/>
          <w:sz w:val="32"/>
          <w:szCs w:val="32"/>
          <w:lang w:val="en-US" w:eastAsia="zh-CN"/>
        </w:rPr>
        <w:t>5</w:t>
      </w:r>
      <w:r>
        <w:rPr>
          <w:rFonts w:ascii="仿宋_GB2312" w:eastAsia="仿宋_GB2312" w:cs="宋体" w:hint="eastAsia"/>
          <w:kern w:val="0"/>
          <w:sz w:val="32"/>
          <w:szCs w:val="32"/>
        </w:rPr>
        <w:t>年政府性基金预算财政拨款支出0元。</w:t>
      </w:r>
    </w:p>
    <w:p>
      <w:pPr>
        <w:pStyle w:val="2"/>
        <w:numPr>
          <w:ilvl w:val="0"/>
          <w:numId w:val="2"/>
        </w:numPr>
        <w:spacing w:before="0" w:after="0" w:line="560" w:lineRule="exact"/>
        <w:ind w:left="1361"/>
        <w:rPr>
          <w:rFonts w:ascii="黑体" w:eastAsia="黑体" w:cs="黑体"/>
          <w:b w:val="0"/>
          <w:bCs w:val="0"/>
        </w:rPr>
      </w:pPr>
      <w:bookmarkStart w:id="68" w:name="_Toc23842"/>
      <w:r>
        <w:rPr>
          <w:rFonts w:ascii="黑体" w:eastAsia="黑体" w:cs="黑体" w:hint="eastAsia"/>
          <w:b w:val="0"/>
          <w:bCs w:val="0"/>
        </w:rPr>
        <w:t>国有资本经营预算支出决算情况说明</w:t>
      </w:r>
      <w:bookmarkEnd w:id="68"/>
    </w:p>
    <w:p>
      <w:pPr>
        <w:widowControl/>
        <w:spacing w:line="560" w:lineRule="exact"/>
        <w:ind w:firstLineChars="200" w:firstLine="640"/>
        <w:jc w:val="left"/>
        <w:rPr>
          <w:rFonts w:ascii="仿宋" w:eastAsia="仿宋_GB2312" w:cs="宋体" w:hAnsi="仿宋"/>
          <w:kern w:val="0"/>
          <w:sz w:val="32"/>
          <w:szCs w:val="32"/>
        </w:rPr>
      </w:pPr>
      <w:r>
        <w:rPr>
          <w:rFonts w:ascii="仿宋_GB2312" w:eastAsia="仿宋_GB2312" w:cs="宋体" w:hint="eastAsia"/>
          <w:kern w:val="0"/>
          <w:sz w:val="32"/>
          <w:szCs w:val="32"/>
        </w:rPr>
        <w:t>202</w:t>
      </w:r>
      <w:r>
        <w:rPr>
          <w:rFonts w:ascii="仿宋_GB2312" w:eastAsia="仿宋_GB2312" w:cs="宋体" w:hint="eastAsia"/>
          <w:kern w:val="0"/>
          <w:sz w:val="32"/>
          <w:szCs w:val="32"/>
          <w:lang w:val="en-US" w:eastAsia="zh-CN"/>
        </w:rPr>
        <w:t>5</w:t>
      </w:r>
      <w:r>
        <w:rPr>
          <w:rFonts w:ascii="仿宋_GB2312" w:eastAsia="仿宋_GB2312" w:cs="宋体" w:hint="eastAsia"/>
          <w:kern w:val="0"/>
          <w:sz w:val="32"/>
          <w:szCs w:val="32"/>
        </w:rPr>
        <w:t>年国有资本经营预算财政拨款支出0元。</w:t>
      </w:r>
      <w:r>
        <w:rPr>
          <w:rFonts w:ascii="Calibri" w:eastAsia="仿宋_GB2312" w:cs="Calibri" w:hAnsi="Calibri"/>
          <w:kern w:val="0"/>
          <w:sz w:val="32"/>
          <w:szCs w:val="32"/>
        </w:rPr>
        <w:t> </w:t>
      </w:r>
    </w:p>
    <w:p>
      <w:pPr>
        <w:pStyle w:val="2"/>
        <w:numPr>
          <w:ilvl w:val="0"/>
          <w:numId w:val="2"/>
        </w:numPr>
        <w:spacing w:before="0" w:after="0" w:line="560" w:lineRule="exact"/>
        <w:ind w:left="1361"/>
        <w:rPr>
          <w:rFonts w:ascii="黑体" w:eastAsia="黑体" w:cs="黑体"/>
          <w:b w:val="0"/>
          <w:bCs w:val="0"/>
        </w:rPr>
      </w:pPr>
      <w:bookmarkStart w:id="69" w:name="_Toc14893"/>
      <w:r>
        <w:rPr>
          <w:rFonts w:ascii="黑体" w:eastAsia="黑体" w:cs="黑体" w:hint="eastAsia"/>
          <w:b w:val="0"/>
          <w:bCs w:val="0"/>
        </w:rPr>
        <w:t>其他重要事项的情况说明</w:t>
      </w:r>
      <w:bookmarkEnd w:id="69"/>
    </w:p>
    <w:p>
      <w:pPr>
        <w:pStyle w:val="3"/>
        <w:spacing w:before="0" w:after="0" w:line="560" w:lineRule="exact"/>
        <w:ind w:firstLineChars="200" w:firstLine="640"/>
        <w:rPr>
          <w:rFonts w:ascii="楷体_GB2312" w:eastAsia="楷体_GB2312"/>
          <w:bCs w:val="0"/>
        </w:rPr>
      </w:pPr>
      <w:bookmarkStart w:id="70" w:name="_Toc23290"/>
      <w:r>
        <w:rPr>
          <w:rFonts w:ascii="楷体_GB2312" w:eastAsia="楷体_GB2312" w:hint="eastAsia"/>
          <w:bCs w:val="0"/>
        </w:rPr>
        <w:t>（一）机关运行经费支出情况</w:t>
      </w:r>
      <w:bookmarkEnd w:id="70"/>
    </w:p>
    <w:p>
      <w:pPr>
        <w:widowControl/>
        <w:spacing w:line="560" w:lineRule="exact"/>
        <w:ind w:firstLineChars="200" w:firstLine="640"/>
        <w:jc w:val="left"/>
        <w:rPr>
          <w:rFonts w:ascii="方正仿宋_GBK" w:eastAsia="方正仿宋_GBK" w:cs="宋体" w:hint="eastAsia"/>
          <w:color w:val="auto"/>
          <w:kern w:val="0"/>
          <w:sz w:val="32"/>
          <w:szCs w:val="32"/>
        </w:rPr>
      </w:pPr>
      <w:r>
        <w:rPr>
          <w:rFonts w:ascii="方正仿宋_GBK" w:eastAsia="方正仿宋_GBK" w:cs="宋体" w:hint="eastAsia"/>
          <w:kern w:val="0"/>
          <w:sz w:val="32"/>
          <w:szCs w:val="32"/>
        </w:rPr>
        <w:t>202</w:t>
      </w:r>
      <w:r>
        <w:rPr>
          <w:rFonts w:ascii="方正仿宋_GBK" w:eastAsia="方正仿宋_GBK" w:cs="宋体" w:hint="eastAsia"/>
          <w:kern w:val="0"/>
          <w:sz w:val="32"/>
          <w:szCs w:val="32"/>
          <w:lang w:val="en-US" w:eastAsia="zh-CN"/>
        </w:rPr>
        <w:t>5</w:t>
      </w:r>
      <w:r>
        <w:rPr>
          <w:rFonts w:ascii="方正仿宋_GBK" w:eastAsia="方正仿宋_GBK" w:cs="宋体" w:hint="eastAsia"/>
          <w:kern w:val="0"/>
          <w:sz w:val="32"/>
          <w:szCs w:val="32"/>
        </w:rPr>
        <w:t>年，四川省阿坝州公安局交通警察支队机关运行经费支出</w:t>
      </w:r>
      <w:r>
        <w:rPr>
          <w:rFonts w:ascii="方正仿宋_GBK" w:eastAsia="方正仿宋_GBK" w:cs="宋体" w:hint="eastAsia"/>
          <w:kern w:val="0"/>
          <w:sz w:val="32"/>
          <w:szCs w:val="32"/>
          <w:lang w:val="en-US" w:eastAsia="zh-CN"/>
        </w:rPr>
        <w:t>81.91</w:t>
      </w:r>
      <w:r>
        <w:rPr>
          <w:rFonts w:ascii="方正仿宋_GBK" w:eastAsia="方正仿宋_GBK" w:cs="宋体" w:hint="eastAsia"/>
          <w:kern w:val="0"/>
          <w:sz w:val="32"/>
          <w:szCs w:val="32"/>
        </w:rPr>
        <w:t>，较</w:t>
      </w:r>
      <w:r>
        <w:rPr>
          <w:rFonts w:ascii="方正仿宋_GBK" w:eastAsia="方正仿宋_GBK" w:cs="宋体" w:hint="eastAsia"/>
          <w:kern w:val="0"/>
          <w:sz w:val="32"/>
          <w:szCs w:val="32"/>
          <w:lang w:val="en-US" w:eastAsia="zh-CN"/>
        </w:rPr>
        <w:t>2024年增加11.35</w:t>
      </w:r>
      <w:r>
        <w:rPr>
          <w:rFonts w:ascii="方正仿宋_GBK" w:eastAsia="方正仿宋_GBK" w:cs="宋体" w:hint="eastAsia"/>
          <w:kern w:val="0"/>
          <w:sz w:val="32"/>
          <w:szCs w:val="32"/>
        </w:rPr>
        <w:t>万元，</w:t>
      </w:r>
      <w:r>
        <w:rPr>
          <w:rFonts w:ascii="方正仿宋_GBK" w:eastAsia="方正仿宋_GBK" w:cs="宋体" w:hint="eastAsia"/>
          <w:kern w:val="0"/>
          <w:sz w:val="32"/>
          <w:szCs w:val="32"/>
          <w:lang w:val="en-US" w:eastAsia="zh-CN"/>
        </w:rPr>
        <w:t>增加16.09</w:t>
      </w:r>
      <w:r>
        <w:rPr>
          <w:rFonts w:ascii="方正仿宋_GBK" w:eastAsia="方正仿宋_GBK" w:cs="宋体" w:hint="eastAsia"/>
          <w:kern w:val="0"/>
          <w:sz w:val="32"/>
          <w:szCs w:val="32"/>
        </w:rPr>
        <w:t>%。</w:t>
      </w:r>
      <w:r>
        <w:rPr>
          <w:rFonts w:ascii="仿宋_GB2312" w:eastAsia="仿宋_GB2312" w:cs="宋体" w:hint="eastAsia"/>
          <w:color w:val="auto"/>
          <w:kern w:val="0"/>
          <w:sz w:val="32"/>
          <w:szCs w:val="32"/>
        </w:rPr>
        <w:t>主要原因是</w:t>
      </w:r>
      <w:r>
        <w:rPr>
          <w:rFonts w:ascii="仿宋_GB2312" w:eastAsia="仿宋_GB2312" w:cs="宋体" w:hint="eastAsia"/>
          <w:color w:val="auto"/>
          <w:kern w:val="0"/>
          <w:sz w:val="32"/>
          <w:szCs w:val="32"/>
          <w:lang w:val="en-US" w:eastAsia="zh-CN"/>
        </w:rPr>
        <w:t>2025年加大对县一级事故预防和道路交通管理工作的指导和督导</w:t>
      </w:r>
      <w:r>
        <w:rPr>
          <w:rFonts w:ascii="仿宋_GB2312" w:eastAsia="仿宋_GB2312" w:cs="宋体" w:hint="eastAsia"/>
          <w:color w:val="auto"/>
          <w:kern w:val="0"/>
          <w:sz w:val="32"/>
          <w:szCs w:val="32"/>
        </w:rPr>
        <w:t>。</w:t>
      </w:r>
    </w:p>
    <w:p>
      <w:pPr>
        <w:pStyle w:val="3"/>
        <w:spacing w:before="0" w:after="0" w:line="560" w:lineRule="exact"/>
        <w:ind w:firstLineChars="200" w:firstLine="640"/>
        <w:rPr>
          <w:rFonts w:ascii="楷体_GB2312" w:eastAsia="楷体_GB2312"/>
          <w:bCs w:val="0"/>
        </w:rPr>
      </w:pPr>
      <w:bookmarkStart w:id="71" w:name="_Toc32316"/>
      <w:r>
        <w:rPr>
          <w:rFonts w:ascii="楷体_GB2312" w:eastAsia="楷体_GB2312" w:hint="eastAsia"/>
          <w:bCs w:val="0"/>
        </w:rPr>
        <w:t>（二）政府采购支出情况</w:t>
      </w:r>
      <w:bookmarkEnd w:id="71"/>
    </w:p>
    <w:p>
      <w:pPr>
        <w:widowControl/>
        <w:spacing w:line="560" w:lineRule="exact"/>
        <w:ind w:firstLineChars="200" w:firstLine="640"/>
        <w:jc w:val="left"/>
        <w:rPr>
          <w:rFonts w:ascii="仿宋_GB2312" w:eastAsia="仿宋_GB2312" w:cs="宋体" w:hint="eastAsia"/>
          <w:color w:val="auto"/>
          <w:kern w:val="0"/>
          <w:sz w:val="32"/>
          <w:szCs w:val="32"/>
        </w:rPr>
      </w:pPr>
      <w:r>
        <w:rPr>
          <w:rFonts w:ascii="仿宋_GB2312" w:eastAsia="仿宋_GB2312" w:cs="宋体" w:hint="eastAsia"/>
          <w:kern w:val="0"/>
          <w:sz w:val="32"/>
          <w:szCs w:val="32"/>
        </w:rPr>
        <w:t>202</w:t>
      </w:r>
      <w:r>
        <w:rPr>
          <w:rFonts w:ascii="仿宋_GB2312" w:eastAsia="仿宋_GB2312" w:cs="宋体" w:hint="eastAsia"/>
          <w:kern w:val="0"/>
          <w:sz w:val="32"/>
          <w:szCs w:val="32"/>
          <w:lang w:val="en-US" w:eastAsia="zh-CN"/>
        </w:rPr>
        <w:t>5</w:t>
      </w:r>
      <w:r>
        <w:rPr>
          <w:rFonts w:ascii="仿宋_GB2312" w:eastAsia="仿宋_GB2312" w:cs="宋体" w:hint="eastAsia"/>
          <w:kern w:val="0"/>
          <w:sz w:val="32"/>
          <w:szCs w:val="32"/>
        </w:rPr>
        <w:t>年，四川省阿坝州公安局交通警察支队政府采购支出总额</w:t>
      </w:r>
      <w:r>
        <w:rPr>
          <w:rFonts w:ascii="仿宋_GB2312" w:eastAsia="仿宋_GB2312" w:cs="宋体" w:hint="eastAsia"/>
          <w:kern w:val="0"/>
          <w:sz w:val="32"/>
          <w:szCs w:val="32"/>
          <w:lang w:val="en-US" w:eastAsia="zh-CN"/>
        </w:rPr>
        <w:t>2144.43</w:t>
      </w:r>
      <w:r>
        <w:rPr>
          <w:rFonts w:ascii="仿宋_GB2312" w:eastAsia="仿宋_GB2312" w:cs="宋体" w:hint="eastAsia"/>
          <w:kern w:val="0"/>
          <w:sz w:val="32"/>
          <w:szCs w:val="32"/>
        </w:rPr>
        <w:t>万元，其中：政府采购货物支出</w:t>
      </w:r>
      <w:r>
        <w:rPr>
          <w:rFonts w:ascii="仿宋_GB2312" w:eastAsia="仿宋_GB2312" w:cs="宋体" w:hint="eastAsia"/>
          <w:kern w:val="0"/>
          <w:sz w:val="32"/>
          <w:szCs w:val="32"/>
          <w:lang w:val="en-US" w:eastAsia="zh-CN"/>
        </w:rPr>
        <w:t>1100.08</w:t>
      </w:r>
      <w:r>
        <w:rPr>
          <w:rFonts w:ascii="仿宋_GB2312" w:eastAsia="仿宋_GB2312" w:cs="宋体" w:hint="eastAsia"/>
          <w:kern w:val="0"/>
          <w:sz w:val="32"/>
          <w:szCs w:val="32"/>
        </w:rPr>
        <w:t>万元、政府采购工程支出</w:t>
      </w:r>
      <w:r>
        <w:rPr>
          <w:rFonts w:ascii="仿宋_GB2312" w:eastAsia="仿宋_GB2312" w:cs="宋体" w:hint="eastAsia"/>
          <w:kern w:val="0"/>
          <w:sz w:val="32"/>
          <w:szCs w:val="32"/>
          <w:lang w:val="en-US" w:eastAsia="zh-CN"/>
        </w:rPr>
        <w:t>0</w:t>
      </w:r>
      <w:r>
        <w:rPr>
          <w:rFonts w:ascii="仿宋_GB2312" w:eastAsia="仿宋_GB2312" w:cs="宋体" w:hint="eastAsia"/>
          <w:kern w:val="0"/>
          <w:sz w:val="32"/>
          <w:szCs w:val="32"/>
        </w:rPr>
        <w:t>万元、政府采购服务支出</w:t>
      </w:r>
      <w:r>
        <w:rPr>
          <w:rFonts w:ascii="仿宋_GB2312" w:eastAsia="仿宋_GB2312" w:cs="宋体" w:hint="eastAsia"/>
          <w:kern w:val="0"/>
          <w:sz w:val="32"/>
          <w:szCs w:val="32"/>
          <w:lang w:val="en-US" w:eastAsia="zh-CN"/>
        </w:rPr>
        <w:t>1044.34</w:t>
      </w:r>
      <w:r>
        <w:rPr>
          <w:rFonts w:ascii="仿宋_GB2312" w:eastAsia="仿宋_GB2312" w:cs="宋体" w:hint="eastAsia"/>
          <w:kern w:val="0"/>
          <w:sz w:val="32"/>
          <w:szCs w:val="32"/>
        </w:rPr>
        <w:t>万元。主要用于</w:t>
      </w:r>
      <w:r>
        <w:rPr>
          <w:rFonts w:ascii="仿宋_GB2312" w:eastAsia="仿宋_GB2312" w:hint="eastAsia"/>
          <w:sz w:val="32"/>
          <w:szCs w:val="32"/>
        </w:rPr>
        <w:t>管理全州城乡道路交通，维护道路交通秩序，负责交通标志、标线等安全设施设置情况的督查；负责全州交通警察队伍建设和管理；处理特大道路交通事故及交通事故、群众信访案件的复查、复核。</w:t>
      </w:r>
      <w:r>
        <w:rPr>
          <w:rFonts w:ascii="仿宋_GB2312" w:eastAsia="仿宋_GB2312" w:cs="宋体" w:hint="eastAsia"/>
          <w:kern w:val="0"/>
          <w:sz w:val="32"/>
          <w:szCs w:val="32"/>
        </w:rPr>
        <w:t>授予中小企业合同金额</w:t>
      </w:r>
      <w:r>
        <w:rPr>
          <w:rFonts w:ascii="仿宋_GB2312" w:eastAsia="仿宋_GB2312" w:cs="宋体" w:hint="eastAsia"/>
          <w:kern w:val="0"/>
          <w:sz w:val="32"/>
          <w:szCs w:val="32"/>
          <w:lang w:val="en-US" w:eastAsia="zh-CN"/>
        </w:rPr>
        <w:t>1132.90</w:t>
      </w:r>
      <w:r>
        <w:rPr>
          <w:rFonts w:ascii="仿宋_GB2312" w:eastAsia="仿宋_GB2312" w:cs="宋体" w:hint="eastAsia"/>
          <w:kern w:val="0"/>
          <w:sz w:val="32"/>
          <w:szCs w:val="32"/>
        </w:rPr>
        <w:t>万元，占政府采购支出总额的</w:t>
      </w:r>
      <w:r>
        <w:rPr>
          <w:rFonts w:ascii="仿宋_GB2312" w:eastAsia="仿宋_GB2312" w:cs="宋体" w:hint="eastAsia"/>
          <w:kern w:val="0"/>
          <w:sz w:val="32"/>
          <w:szCs w:val="32"/>
          <w:lang w:val="en-US" w:eastAsia="zh-CN"/>
        </w:rPr>
        <w:t>52.83</w:t>
      </w:r>
      <w:r>
        <w:rPr>
          <w:rFonts w:ascii="仿宋_GB2312" w:eastAsia="仿宋_GB2312" w:cs="宋体" w:hint="eastAsia"/>
          <w:color w:val="auto"/>
          <w:kern w:val="0"/>
          <w:sz w:val="32"/>
          <w:szCs w:val="32"/>
        </w:rPr>
        <w:t>%，其中：授予小微企业合同金额</w:t>
      </w:r>
      <w:r>
        <w:rPr>
          <w:rFonts w:ascii="仿宋_GB2312" w:eastAsia="仿宋_GB2312" w:cs="宋体" w:hint="eastAsia"/>
          <w:kern w:val="0"/>
          <w:sz w:val="32"/>
          <w:szCs w:val="32"/>
          <w:lang w:val="en-US" w:eastAsia="zh-CN"/>
        </w:rPr>
        <w:t>1132.90</w:t>
      </w:r>
      <w:r>
        <w:rPr>
          <w:rFonts w:ascii="仿宋_GB2312" w:eastAsia="仿宋_GB2312" w:cs="宋体" w:hint="eastAsia"/>
          <w:color w:val="auto"/>
          <w:kern w:val="0"/>
          <w:sz w:val="32"/>
          <w:szCs w:val="32"/>
        </w:rPr>
        <w:t>万元，占政府采购支出总额的</w:t>
      </w:r>
      <w:r>
        <w:rPr>
          <w:rFonts w:ascii="仿宋_GB2312" w:eastAsia="仿宋_GB2312" w:cs="宋体" w:hint="eastAsia"/>
          <w:color w:val="auto"/>
          <w:kern w:val="0"/>
          <w:sz w:val="32"/>
          <w:szCs w:val="32"/>
          <w:lang w:val="en-US" w:eastAsia="zh-CN"/>
        </w:rPr>
        <w:t>52.83</w:t>
      </w:r>
      <w:r>
        <w:rPr>
          <w:rFonts w:ascii="仿宋_GB2312" w:eastAsia="仿宋_GB2312" w:cs="宋体" w:hint="eastAsia"/>
          <w:color w:val="auto"/>
          <w:kern w:val="0"/>
          <w:sz w:val="32"/>
          <w:szCs w:val="32"/>
        </w:rPr>
        <w:t>%</w:t>
      </w:r>
      <w:r>
        <w:rPr>
          <w:rFonts w:ascii="仿宋_GB2312" w:eastAsia="仿宋_GB2312" w:cs="宋体" w:hint="eastAsia"/>
          <w:kern w:val="0"/>
          <w:sz w:val="32"/>
          <w:szCs w:val="32"/>
        </w:rPr>
        <w:t>。</w:t>
      </w:r>
    </w:p>
    <w:p>
      <w:pPr>
        <w:pStyle w:val="3"/>
        <w:spacing w:before="0" w:after="0" w:line="560" w:lineRule="exact"/>
        <w:ind w:firstLineChars="200" w:firstLine="640"/>
        <w:rPr>
          <w:rFonts w:ascii="楷体_GB2312" w:eastAsia="楷体_GB2312"/>
          <w:bCs w:val="0"/>
          <w:color w:val="auto"/>
        </w:rPr>
      </w:pPr>
      <w:bookmarkStart w:id="72" w:name="_Toc15142"/>
      <w:r>
        <w:rPr>
          <w:rFonts w:ascii="楷体_GB2312" w:eastAsia="楷体_GB2312" w:hint="eastAsia"/>
          <w:bCs w:val="0"/>
          <w:color w:val="auto"/>
        </w:rPr>
        <w:t>（三）国有资产占有使用情况</w:t>
      </w:r>
      <w:bookmarkEnd w:id="72"/>
    </w:p>
    <w:p>
      <w:pPr>
        <w:widowControl/>
        <w:spacing w:line="560" w:lineRule="exact"/>
        <w:ind w:firstLineChars="200" w:firstLine="640"/>
        <w:jc w:val="left"/>
        <w:rPr>
          <w:rFonts w:ascii="仿宋_GB2312" w:eastAsia="仿宋_GB2312" w:cs="宋体" w:hint="eastAsia"/>
          <w:color w:val="auto"/>
          <w:kern w:val="0"/>
          <w:sz w:val="32"/>
          <w:szCs w:val="32"/>
        </w:rPr>
      </w:pPr>
      <w:r>
        <w:rPr>
          <w:rFonts w:ascii="仿宋_GB2312" w:eastAsia="仿宋_GB2312" w:cs="宋体" w:hint="eastAsia"/>
          <w:color w:val="auto"/>
          <w:kern w:val="0"/>
          <w:sz w:val="32"/>
          <w:szCs w:val="32"/>
        </w:rPr>
        <w:t>截至202</w:t>
      </w:r>
      <w:r>
        <w:rPr>
          <w:rFonts w:ascii="仿宋_GB2312" w:eastAsia="仿宋_GB2312" w:cs="宋体" w:hint="eastAsia"/>
          <w:color w:val="auto"/>
          <w:kern w:val="0"/>
          <w:sz w:val="32"/>
          <w:szCs w:val="32"/>
          <w:lang w:val="en-US" w:eastAsia="zh-CN"/>
        </w:rPr>
        <w:t>5</w:t>
      </w:r>
      <w:r>
        <w:rPr>
          <w:rFonts w:ascii="仿宋_GB2312" w:eastAsia="仿宋_GB2312" w:cs="宋体" w:hint="eastAsia"/>
          <w:color w:val="auto"/>
          <w:kern w:val="0"/>
          <w:sz w:val="32"/>
          <w:szCs w:val="32"/>
        </w:rPr>
        <w:t>年12月31日，四川省阿坝州公安局交通警察支队共有车辆45辆，单价100万元（含）以上设备（不含车辆）</w:t>
      </w:r>
      <w:r>
        <w:rPr>
          <w:rFonts w:ascii="仿宋_GB2312" w:eastAsia="仿宋_GB2312" w:cs="宋体" w:hint="eastAsia"/>
          <w:color w:val="auto"/>
          <w:kern w:val="0"/>
          <w:sz w:val="32"/>
          <w:szCs w:val="32"/>
          <w:lang w:val="en-US" w:eastAsia="zh-CN"/>
        </w:rPr>
        <w:t>0</w:t>
      </w:r>
      <w:r>
        <w:rPr>
          <w:rFonts w:ascii="仿宋_GB2312" w:eastAsia="仿宋_GB2312" w:cs="宋体" w:hint="eastAsia"/>
          <w:color w:val="auto"/>
          <w:kern w:val="0"/>
          <w:sz w:val="32"/>
          <w:szCs w:val="32"/>
        </w:rPr>
        <w:t>台（套）。</w:t>
      </w:r>
    </w:p>
    <w:p>
      <w:pPr>
        <w:pStyle w:val="3"/>
        <w:spacing w:before="0" w:after="0" w:line="560" w:lineRule="exact"/>
        <w:ind w:firstLineChars="200" w:firstLine="640"/>
        <w:rPr>
          <w:rFonts w:ascii="楷体_GB2312" w:eastAsia="楷体_GB2312"/>
          <w:bCs w:val="0"/>
          <w:color w:val="000000"/>
          <w14:textFill>
            <w14:solidFill>
              <w14:srgbClr w14:val="000000"/>
            </w14:solidFill>
          </w14:textFill>
        </w:rPr>
      </w:pPr>
      <w:bookmarkStart w:id="73" w:name="_Toc10565"/>
      <w:bookmarkStart w:id="74" w:name="_Toc79163628"/>
      <w:bookmarkStart w:id="75" w:name="_Toc79163878"/>
      <w:r>
        <w:rPr>
          <w:rFonts w:ascii="楷体_GB2312" w:eastAsia="楷体_GB2312" w:hint="eastAsia"/>
          <w:bCs w:val="0"/>
          <w:color w:val="000000"/>
          <w14:textFill>
            <w14:solidFill>
              <w14:srgbClr w14:val="000000"/>
            </w14:solidFill>
          </w14:textFill>
        </w:rPr>
        <w:t>（四）预算绩效管理情况</w:t>
      </w:r>
      <w:bookmarkEnd w:id="73"/>
      <w:bookmarkEnd w:id="74"/>
      <w:bookmarkEnd w:id="75"/>
    </w:p>
    <w:p>
      <w:pPr>
        <w:spacing w:line="560" w:lineRule="exact"/>
        <w:ind w:firstLineChars="200" w:firstLine="640"/>
        <w:rPr>
          <w:color w:val="000000"/>
          <w14:textFill>
            <w14:solidFill>
              <w14:srgbClr w14:val="000000"/>
            </w14:solidFill>
          </w14:textFill>
        </w:rPr>
      </w:pPr>
      <w:r>
        <w:rPr>
          <w:rFonts w:ascii="仿宋_GB2312" w:eastAsia="仿宋_GB2312" w:cs="仿宋_GB2312" w:hint="eastAsia"/>
          <w:color w:val="000000"/>
          <w:sz w:val="32"/>
          <w:szCs w:val="32"/>
          <w14:textFill>
            <w14:solidFill>
              <w14:srgbClr w14:val="000000"/>
            </w14:solidFill>
          </w14:textFill>
        </w:rPr>
        <w:t>根据预算绩效管理要求，州</w:t>
      </w:r>
      <w:r>
        <w:rPr>
          <w:rFonts w:ascii="仿宋_GB2312" w:eastAsia="仿宋_GB2312" w:cs="仿宋_GB2312" w:hint="eastAsia"/>
          <w:color w:val="000000"/>
          <w:sz w:val="32"/>
          <w:szCs w:val="32"/>
          <w14:textFill>
            <w14:solidFill>
              <w14:srgbClr w14:val="000000"/>
            </w14:solidFill>
          </w14:textFill>
          <w:lang w:eastAsia="zh-CN"/>
        </w:rPr>
        <w:t>交管</w:t>
      </w:r>
      <w:r>
        <w:rPr>
          <w:rFonts w:ascii="仿宋_GB2312" w:eastAsia="仿宋_GB2312" w:cs="仿宋_GB2312" w:hint="eastAsia"/>
          <w:color w:val="000000"/>
          <w:sz w:val="32"/>
          <w:szCs w:val="32"/>
          <w14:textFill>
            <w14:solidFill>
              <w14:srgbClr w14:val="000000"/>
            </w14:solidFill>
          </w14:textFill>
        </w:rPr>
        <w:t>支队在年初预算编制阶段，对</w:t>
      </w:r>
      <w:r>
        <w:rPr>
          <w:rFonts w:ascii="仿宋_GB2312" w:eastAsia="仿宋_GB2312" w:cs="仿宋_GB2312" w:hint="eastAsia"/>
          <w:color w:val="000000"/>
          <w:sz w:val="32"/>
          <w:szCs w:val="32"/>
          <w14:textFill>
            <w14:solidFill>
              <w14:srgbClr w14:val="000000"/>
            </w14:solidFill>
          </w14:textFill>
          <w:lang w:val="en-US" w:eastAsia="zh-CN"/>
        </w:rPr>
        <w:t>16</w:t>
      </w:r>
      <w:r>
        <w:rPr>
          <w:rFonts w:ascii="仿宋_GB2312" w:eastAsia="仿宋_GB2312" w:cs="仿宋_GB2312" w:hint="eastAsia"/>
          <w:color w:val="000000"/>
          <w:sz w:val="32"/>
          <w:szCs w:val="32"/>
          <w14:textFill>
            <w14:solidFill>
              <w14:srgbClr w14:val="000000"/>
            </w14:solidFill>
          </w14:textFill>
        </w:rPr>
        <w:t>个项目编制了绩效目标，预算执行过程中，选取其中“道路交通管理经费”、“车管业务经费”、“</w:t>
      </w:r>
      <w:r>
        <w:rPr>
          <w:rFonts w:ascii="仿宋_GB2312" w:eastAsia="仿宋_GB2312" w:cs="宋体" w:hint="eastAsia"/>
          <w:color w:val="000000"/>
          <w:sz w:val="32"/>
          <w:szCs w:val="32"/>
          <w14:textFill>
            <w14:solidFill>
              <w14:srgbClr w14:val="000000"/>
            </w14:solidFill>
          </w14:textFill>
        </w:rPr>
        <w:t>全州道路综合智能监控系统租赁”、</w:t>
      </w:r>
      <w:r>
        <w:rPr>
          <w:rFonts w:ascii="仿宋_GB2312" w:eastAsia="仿宋_GB2312" w:cs="仿宋_GB2312" w:hint="eastAsia"/>
          <w:color w:val="000000"/>
          <w:sz w:val="32"/>
          <w:szCs w:val="32"/>
          <w14:textFill>
            <w14:solidFill>
              <w14:srgbClr w14:val="000000"/>
            </w14:solidFill>
          </w14:textFill>
        </w:rPr>
        <w:t>“</w:t>
      </w:r>
      <w:r>
        <w:rPr>
          <w:rFonts w:ascii="仿宋_GB2312" w:eastAsia="仿宋_GB2312" w:cs="仿宋_GB2312" w:hint="eastAsia"/>
          <w:color w:val="000000"/>
          <w:sz w:val="32"/>
          <w:szCs w:val="32"/>
          <w14:textFill>
            <w14:solidFill>
              <w14:srgbClr w14:val="000000"/>
            </w14:solidFill>
          </w14:textFill>
          <w:lang w:eastAsia="zh-CN"/>
        </w:rPr>
        <w:t>交管</w:t>
      </w:r>
      <w:r>
        <w:rPr>
          <w:rFonts w:ascii="仿宋_GB2312" w:eastAsia="仿宋_GB2312" w:cs="仿宋_GB2312" w:hint="eastAsia"/>
          <w:color w:val="000000"/>
          <w:sz w:val="32"/>
          <w:szCs w:val="32"/>
          <w14:textFill>
            <w14:solidFill>
              <w14:srgbClr w14:val="000000"/>
            </w14:solidFill>
          </w14:textFill>
        </w:rPr>
        <w:t>网络租赁维护费”等</w:t>
      </w:r>
      <w:r>
        <w:rPr>
          <w:rFonts w:ascii="仿宋_GB2312" w:eastAsia="仿宋_GB2312" w:cs="仿宋_GB2312" w:hint="eastAsia"/>
          <w:color w:val="000000"/>
          <w:sz w:val="32"/>
          <w:szCs w:val="32"/>
          <w14:textFill>
            <w14:solidFill>
              <w14:srgbClr w14:val="000000"/>
            </w14:solidFill>
          </w14:textFill>
          <w:lang w:val="en-US" w:eastAsia="zh-CN"/>
        </w:rPr>
        <w:t>16</w:t>
      </w:r>
      <w:r>
        <w:rPr>
          <w:rFonts w:ascii="仿宋_GB2312" w:eastAsia="仿宋_GB2312" w:cs="仿宋_GB2312" w:hint="eastAsia"/>
          <w:color w:val="000000"/>
          <w:sz w:val="32"/>
          <w:szCs w:val="32"/>
          <w14:textFill>
            <w14:solidFill>
              <w14:srgbClr w14:val="000000"/>
            </w14:solidFill>
          </w14:textFill>
        </w:rPr>
        <w:t>个项目开展绩效监控，年终执行完毕后，对</w:t>
      </w:r>
      <w:r>
        <w:rPr>
          <w:rFonts w:ascii="仿宋_GB2312" w:eastAsia="仿宋_GB2312" w:cs="仿宋_GB2312" w:hint="eastAsia"/>
          <w:color w:val="000000"/>
          <w:sz w:val="32"/>
          <w:szCs w:val="32"/>
          <w14:textFill>
            <w14:solidFill>
              <w14:srgbClr w14:val="000000"/>
            </w14:solidFill>
          </w14:textFill>
          <w:lang w:val="en-US" w:eastAsia="zh-CN"/>
        </w:rPr>
        <w:t>16</w:t>
      </w:r>
      <w:r>
        <w:rPr>
          <w:rFonts w:ascii="仿宋_GB2312" w:eastAsia="仿宋_GB2312" w:cs="仿宋_GB2312" w:hint="eastAsia"/>
          <w:color w:val="000000"/>
          <w:sz w:val="32"/>
          <w:szCs w:val="32"/>
          <w14:textFill>
            <w14:solidFill>
              <w14:srgbClr w14:val="000000"/>
            </w14:solidFill>
          </w14:textFill>
        </w:rPr>
        <w:t>个项目开展了绩效评价。</w:t>
      </w:r>
    </w:p>
    <w:p>
      <w:pPr>
        <w:pStyle w:val="1"/>
        <w:spacing w:before="0" w:after="0" w:line="560" w:lineRule="exact"/>
        <w:jc w:val="center"/>
        <w:rPr>
          <w:rFonts w:ascii="宋体" w:cs="宋体"/>
          <w:color w:val="000000"/>
          <w:kern w:val="0"/>
          <w:sz w:val="32"/>
          <w:szCs w:val="32"/>
          <w14:textFill>
            <w14:solidFill>
              <w14:srgbClr w14:val="000000"/>
            </w14:solidFill>
          </w14:textFill>
        </w:rPr>
      </w:pPr>
      <w:bookmarkStart w:id="76" w:name="_Toc25989"/>
      <w:r>
        <w:rPr>
          <w:rStyle w:val="1Char"/>
          <w:rFonts w:ascii="方正小标宋简体" w:eastAsia="方正小标宋简体" w:hint="eastAsia"/>
          <w:b w:val="0"/>
          <w:bCs/>
          <w:color w:val="000000"/>
          <w14:textFill>
            <w14:solidFill>
              <w14:srgbClr w14:val="000000"/>
            </w14:solidFill>
          </w14:textFill>
        </w:rPr>
        <w:t>第三部分 名词解释</w:t>
      </w:r>
      <w:bookmarkEnd w:id="76"/>
    </w:p>
    <w:p>
      <w:pPr>
        <w:pStyle w:val="29"/>
        <w:spacing w:line="560" w:lineRule="exact"/>
        <w:ind w:firstLineChars="200" w:firstLine="640"/>
        <w:rPr>
          <w:rFonts w:ascii="仿宋_GB2312" w:eastAsia="仿宋_GB2312"/>
          <w:sz w:val="32"/>
          <w:szCs w:val="32"/>
        </w:rPr>
      </w:pPr>
      <w:r>
        <w:rPr>
          <w:rFonts w:ascii="仿宋_GB2312" w:eastAsia="仿宋_GB2312" w:hint="eastAsia"/>
          <w:color w:val="000000"/>
          <w:sz w:val="32"/>
          <w:szCs w:val="32"/>
          <w14:textFill>
            <w14:solidFill>
              <w14:srgbClr w14:val="000000"/>
            </w14:solidFill>
          </w14:textFill>
        </w:rPr>
        <w:t>1.财政拨</w:t>
      </w:r>
      <w:r>
        <w:rPr>
          <w:rFonts w:ascii="仿宋_GB2312" w:eastAsia="仿宋_GB2312" w:hint="eastAsia"/>
          <w:sz w:val="32"/>
          <w:szCs w:val="32"/>
        </w:rPr>
        <w:t>款收入：指单位从同级财政部门取得的财政预算资金。</w:t>
      </w:r>
    </w:p>
    <w:p>
      <w:pPr>
        <w:pStyle w:val="29"/>
        <w:spacing w:line="560" w:lineRule="exact"/>
        <w:ind w:firstLineChars="200" w:firstLine="640"/>
        <w:rPr>
          <w:rFonts w:ascii="仿宋_GB2312" w:eastAsia="仿宋_GB2312"/>
          <w:sz w:val="32"/>
          <w:szCs w:val="32"/>
        </w:rPr>
      </w:pPr>
      <w:r>
        <w:rPr>
          <w:rFonts w:ascii="仿宋_GB2312" w:eastAsia="仿宋_GB2312" w:hint="eastAsia"/>
          <w:sz w:val="32"/>
          <w:szCs w:val="32"/>
        </w:rPr>
        <w:t>2.事业收入：指事业单位开展专业业务活动及辅助活动取得的收入。</w:t>
      </w:r>
    </w:p>
    <w:p>
      <w:pPr>
        <w:pStyle w:val="29"/>
        <w:spacing w:line="560" w:lineRule="exact"/>
        <w:ind w:firstLineChars="200" w:firstLine="640"/>
        <w:rPr>
          <w:rFonts w:ascii="仿宋_GB2312" w:eastAsia="仿宋_GB2312"/>
          <w:sz w:val="32"/>
          <w:szCs w:val="32"/>
        </w:rPr>
      </w:pPr>
      <w:r>
        <w:rPr>
          <w:rFonts w:ascii="仿宋_GB2312" w:eastAsia="仿宋_GB2312" w:hint="eastAsia"/>
          <w:sz w:val="32"/>
          <w:szCs w:val="32"/>
        </w:rPr>
        <w:t>3.经营收入：指事业单位在专业业务活动及其辅助活动之外开展非独立核算经营活动取得的收入。</w:t>
      </w:r>
    </w:p>
    <w:p>
      <w:pPr>
        <w:pStyle w:val="29"/>
        <w:spacing w:line="560" w:lineRule="exact"/>
        <w:ind w:firstLineChars="200" w:firstLine="640"/>
        <w:rPr>
          <w:rFonts w:ascii="仿宋_GB2312" w:eastAsia="仿宋_GB2312"/>
          <w:sz w:val="32"/>
          <w:szCs w:val="32"/>
        </w:rPr>
      </w:pPr>
      <w:r>
        <w:rPr>
          <w:rFonts w:ascii="仿宋_GB2312" w:eastAsia="仿宋_GB2312" w:hint="eastAsia"/>
          <w:sz w:val="32"/>
          <w:szCs w:val="32"/>
        </w:rPr>
        <w:t>4.其他收入：指单位取得的除上述收入以外的各项收入。主要是以往年度车管协作费收入。</w:t>
      </w:r>
    </w:p>
    <w:p>
      <w:pPr>
        <w:pStyle w:val="29"/>
        <w:spacing w:line="560" w:lineRule="exact"/>
        <w:ind w:firstLineChars="200" w:firstLine="640"/>
        <w:rPr>
          <w:rFonts w:ascii="仿宋_GB2312" w:eastAsia="仿宋_GB2312"/>
          <w:sz w:val="32"/>
          <w:szCs w:val="32"/>
        </w:rPr>
      </w:pPr>
      <w:r>
        <w:rPr>
          <w:rFonts w:ascii="仿宋_GB2312" w:eastAsia="仿宋_GB2312" w:hint="eastAsia"/>
          <w:sz w:val="32"/>
          <w:szCs w:val="32"/>
        </w:rPr>
        <w:t>5.使用非财政拨款结余：指事业单位使用以前年度积累的非财政拨款结余弥补当年收支差额的金额。</w:t>
      </w:r>
    </w:p>
    <w:p>
      <w:pPr>
        <w:pStyle w:val="29"/>
        <w:spacing w:line="560" w:lineRule="exact"/>
        <w:ind w:firstLineChars="200" w:firstLine="640"/>
        <w:rPr>
          <w:rFonts w:ascii="仿宋_GB2312" w:eastAsia="仿宋_GB2312"/>
          <w:sz w:val="32"/>
          <w:szCs w:val="32"/>
        </w:rPr>
      </w:pPr>
      <w:r>
        <w:rPr>
          <w:rFonts w:ascii="仿宋_GB2312" w:eastAsia="仿宋_GB2312" w:hint="eastAsia"/>
          <w:sz w:val="32"/>
          <w:szCs w:val="32"/>
        </w:rPr>
        <w:t>6.年初结转和结余：指以前年度尚未完成、结转到本年按有关规定继续使用的资金。</w:t>
      </w:r>
    </w:p>
    <w:p>
      <w:pPr>
        <w:pStyle w:val="29"/>
        <w:spacing w:line="560" w:lineRule="exact"/>
        <w:ind w:firstLineChars="200" w:firstLine="640"/>
        <w:rPr>
          <w:rFonts w:ascii="仿宋_GB2312" w:eastAsia="仿宋_GB2312"/>
          <w:sz w:val="32"/>
          <w:szCs w:val="32"/>
        </w:rPr>
      </w:pPr>
      <w:r>
        <w:rPr>
          <w:rFonts w:ascii="仿宋_GB2312" w:eastAsia="仿宋_GB2312" w:hint="eastAsia"/>
          <w:sz w:val="32"/>
          <w:szCs w:val="32"/>
        </w:rPr>
        <w:t>7.结余分配：指事业单位按照会计制度规定缴纳的所得税、提取的专用结余以及转入非财政拨款结余的金额等。</w:t>
      </w:r>
    </w:p>
    <w:p>
      <w:pPr>
        <w:pStyle w:val="29"/>
        <w:spacing w:line="560" w:lineRule="exact"/>
        <w:ind w:firstLineChars="200" w:firstLine="640"/>
        <w:rPr>
          <w:rFonts w:ascii="仿宋_GB2312" w:eastAsia="仿宋_GB2312"/>
          <w:sz w:val="32"/>
          <w:szCs w:val="32"/>
        </w:rPr>
      </w:pPr>
      <w:r>
        <w:rPr>
          <w:rFonts w:ascii="仿宋_GB2312" w:eastAsia="仿宋_GB2312" w:hint="eastAsia"/>
          <w:sz w:val="32"/>
          <w:szCs w:val="32"/>
        </w:rPr>
        <w:t>8.年末结转和结余：指单位按有关规定结转到下年或以后年度继续使用的资金。</w:t>
      </w:r>
    </w:p>
    <w:p>
      <w:pPr>
        <w:pStyle w:val="29"/>
        <w:spacing w:line="560" w:lineRule="exact"/>
        <w:ind w:firstLineChars="200" w:firstLine="640"/>
        <w:rPr>
          <w:rFonts w:ascii="仿宋_GB2312" w:eastAsia="仿宋_GB2312"/>
          <w:sz w:val="32"/>
          <w:szCs w:val="32"/>
        </w:rPr>
      </w:pPr>
      <w:r>
        <w:rPr>
          <w:rFonts w:ascii="仿宋_GB2312" w:eastAsia="仿宋_GB2312" w:hint="eastAsia"/>
          <w:sz w:val="32"/>
          <w:szCs w:val="32"/>
        </w:rPr>
        <w:t>9.公共安全支出（类）公安（款）行政运行（项）：指行政单位的基本支出。</w:t>
      </w:r>
    </w:p>
    <w:p>
      <w:pPr>
        <w:pStyle w:val="29"/>
        <w:spacing w:line="560" w:lineRule="exact"/>
        <w:ind w:firstLineChars="200" w:firstLine="640"/>
        <w:rPr>
          <w:rFonts w:ascii="仿宋_GB2312" w:eastAsia="仿宋_GB2312"/>
          <w:sz w:val="32"/>
          <w:szCs w:val="32"/>
        </w:rPr>
      </w:pPr>
      <w:r>
        <w:rPr>
          <w:rFonts w:ascii="仿宋_GB2312" w:eastAsia="仿宋_GB2312" w:hint="eastAsia"/>
          <w:sz w:val="32"/>
          <w:szCs w:val="32"/>
        </w:rPr>
        <w:t>10.公共安全支出（类）公安（款）一般行政事务管理（项）指行政单位未单独设置项级科目的其他项目支出</w:t>
      </w:r>
    </w:p>
    <w:p>
      <w:pPr>
        <w:pStyle w:val="29"/>
        <w:spacing w:line="560" w:lineRule="exact"/>
        <w:ind w:firstLineChars="200" w:firstLine="640"/>
        <w:rPr>
          <w:rFonts w:ascii="仿宋_GB2312" w:eastAsia="仿宋_GB2312"/>
          <w:sz w:val="32"/>
          <w:szCs w:val="32"/>
        </w:rPr>
      </w:pPr>
      <w:r>
        <w:rPr>
          <w:rFonts w:ascii="仿宋_GB2312" w:eastAsia="仿宋_GB2312" w:hint="eastAsia"/>
          <w:sz w:val="32"/>
          <w:szCs w:val="32"/>
        </w:rPr>
        <w:t>11.社会保障和就业支出（类）行政事业单位离退休（款）机关事业单位基本养老保险缴费支出（项）：指机关事业单位实施养老保险制度由单位缴纳的基本养老保险支出。</w:t>
      </w:r>
    </w:p>
    <w:p>
      <w:pPr>
        <w:pStyle w:val="29"/>
        <w:spacing w:line="560" w:lineRule="exact"/>
        <w:ind w:firstLineChars="200" w:firstLine="640"/>
        <w:rPr>
          <w:rFonts w:ascii="仿宋_GB2312" w:eastAsia="仿宋_GB2312"/>
          <w:sz w:val="32"/>
          <w:szCs w:val="32"/>
        </w:rPr>
      </w:pPr>
      <w:r>
        <w:rPr>
          <w:rFonts w:ascii="仿宋_GB2312" w:eastAsia="仿宋_GB2312" w:hint="eastAsia"/>
          <w:sz w:val="32"/>
          <w:szCs w:val="32"/>
        </w:rPr>
        <w:t>12.社会保障和就业支出（类）行政事业单位离退休（款）机关事业单位职业年金缴费支出（项）：指机关事业单位实施养老保险制度由单位实际缴纳的职业年金支出。</w:t>
      </w:r>
    </w:p>
    <w:p>
      <w:pPr>
        <w:pStyle w:val="29"/>
        <w:spacing w:line="560" w:lineRule="exact"/>
        <w:ind w:firstLineChars="200" w:firstLine="640"/>
        <w:rPr>
          <w:rFonts w:ascii="仿宋_GB2312" w:eastAsia="仿宋_GB2312"/>
          <w:sz w:val="32"/>
          <w:szCs w:val="32"/>
        </w:rPr>
      </w:pPr>
      <w:r>
        <w:rPr>
          <w:rFonts w:ascii="仿宋_GB2312" w:eastAsia="仿宋_GB2312" w:hint="eastAsia"/>
          <w:sz w:val="32"/>
          <w:szCs w:val="32"/>
        </w:rPr>
        <w:t>13.卫生健康支出（类）行政事业单位医疗（款）行政单位医疗（项）:指财政部门集中安排的行政人员基本医疗保险缴费经费，未参加医疗保险的行政单位的公费医疗经费，按国家规定享受离休人员、红军老战士待遇人员的医疗经费。</w:t>
      </w:r>
    </w:p>
    <w:p>
      <w:pPr>
        <w:pStyle w:val="29"/>
        <w:spacing w:line="560" w:lineRule="exact"/>
        <w:ind w:firstLineChars="200" w:firstLine="640"/>
        <w:rPr>
          <w:rFonts w:ascii="仿宋_GB2312" w:eastAsia="仿宋_GB2312"/>
          <w:sz w:val="32"/>
          <w:szCs w:val="32"/>
        </w:rPr>
      </w:pPr>
      <w:r>
        <w:rPr>
          <w:rFonts w:ascii="仿宋_GB2312" w:eastAsia="仿宋_GB2312" w:hint="eastAsia"/>
          <w:sz w:val="32"/>
          <w:szCs w:val="32"/>
        </w:rPr>
        <w:t>14.卫生健康支出（类）行政事业单位医疗（款）公务员医疗补助（项）：指财政部门安排的公务员医疗补助经费。</w:t>
      </w:r>
    </w:p>
    <w:p>
      <w:pPr>
        <w:pStyle w:val="29"/>
        <w:spacing w:line="560" w:lineRule="exact"/>
        <w:ind w:firstLineChars="200" w:firstLine="640"/>
        <w:rPr>
          <w:rFonts w:ascii="仿宋_GB2312" w:eastAsia="仿宋_GB2312"/>
          <w:sz w:val="32"/>
          <w:szCs w:val="32"/>
        </w:rPr>
      </w:pPr>
      <w:r>
        <w:rPr>
          <w:rFonts w:ascii="仿宋_GB2312" w:eastAsia="仿宋_GB2312" w:hint="eastAsia"/>
          <w:sz w:val="32"/>
          <w:szCs w:val="32"/>
        </w:rPr>
        <w:t>15.住房保障支出（类）住房改革支出（款）住房公积金（项）:指行政事业单位按人力资源和社会保障部、财政部规定的基本工资和津贴补贴以及规定比例为职工缴纳的住房公积金。</w:t>
      </w:r>
    </w:p>
    <w:p>
      <w:pPr>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16.基本支出：指为保障机构正常运转、完成日常工作任务而发生的人员支出和公用支出。</w:t>
      </w:r>
    </w:p>
    <w:p>
      <w:pPr>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17.项目支出：指在基本支出之外为完成特定行政任务和事业发展目标所发生的支出。</w:t>
      </w:r>
    </w:p>
    <w:p>
      <w:pPr>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18.经营支出：指事业单位在专业业务活动及其辅助活动之外开展非独立核算经营活动发生的支出。</w:t>
      </w:r>
    </w:p>
    <w:p>
      <w:pPr>
        <w:pStyle w:val="29"/>
        <w:spacing w:line="560" w:lineRule="exact"/>
        <w:ind w:firstLineChars="200" w:firstLine="640"/>
        <w:rPr>
          <w:rFonts w:ascii="仿宋_GB2312" w:eastAsia="仿宋_GB2312"/>
          <w:sz w:val="32"/>
          <w:szCs w:val="32"/>
        </w:rPr>
      </w:pPr>
      <w:r>
        <w:rPr>
          <w:rFonts w:ascii="仿宋_GB2312" w:eastAsia="仿宋_GB2312" w:hint="eastAsia"/>
          <w:sz w:val="32"/>
          <w:szCs w:val="32"/>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9"/>
        <w:spacing w:line="560" w:lineRule="exact"/>
        <w:ind w:firstLineChars="200" w:firstLine="640"/>
        <w:rPr>
          <w:rFonts w:ascii="仿宋_GB2312" w:eastAsia="仿宋_GB2312"/>
          <w:sz w:val="32"/>
          <w:szCs w:val="32"/>
        </w:rPr>
      </w:pPr>
      <w:r>
        <w:rPr>
          <w:rFonts w:ascii="仿宋_GB2312" w:eastAsia="仿宋_GB2312" w:hint="eastAsia"/>
          <w:sz w:val="32"/>
          <w:szCs w:val="32"/>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widowControl/>
        <w:spacing w:line="560" w:lineRule="exact"/>
        <w:ind w:firstLineChars="100" w:firstLine="320"/>
        <w:jc w:val="left"/>
        <w:rPr>
          <w:rFonts w:ascii="仿宋_GB2312" w:eastAsia="仿宋_GB2312" w:cs="宋体" w:hint="eastAsia"/>
          <w:kern w:val="0"/>
          <w:sz w:val="32"/>
          <w:szCs w:val="32"/>
        </w:rPr>
      </w:pPr>
      <w:r>
        <w:rPr>
          <w:rFonts w:ascii="仿宋_GB2312" w:eastAsia="仿宋_GB2312" w:cs="宋体" w:hint="eastAsia"/>
          <w:b/>
          <w:bCs/>
          <w:kern w:val="0"/>
          <w:sz w:val="32"/>
          <w:szCs w:val="32"/>
        </w:rPr>
        <w:t>（</w:t>
      </w:r>
      <w:r>
        <w:rPr>
          <w:rFonts w:ascii="仿宋_GB2312" w:eastAsia="仿宋_GB2312" w:cs="宋体" w:hint="eastAsia"/>
          <w:b/>
          <w:bCs/>
          <w:kern w:val="0"/>
          <w:sz w:val="32"/>
          <w:szCs w:val="32"/>
          <w:lang w:val="en-US" w:eastAsia="zh-CN"/>
        </w:rPr>
        <w:t>注：名词解释部分请根据各部门实际列支情况罗列，并根据本部门职责职能增减名词解释内容</w:t>
      </w:r>
      <w:r>
        <w:rPr>
          <w:rFonts w:ascii="仿宋_GB2312" w:eastAsia="仿宋_GB2312" w:cs="宋体" w:hint="eastAsia"/>
          <w:b/>
          <w:bCs/>
          <w:kern w:val="0"/>
          <w:sz w:val="32"/>
          <w:szCs w:val="32"/>
        </w:rPr>
        <w:t>）</w:t>
      </w:r>
    </w:p>
    <w:p>
      <w:pPr>
        <w:widowControl/>
        <w:spacing w:before="100" w:beforeAutospacing="1" w:after="100" w:afterAutospacing="1" w:line="560" w:lineRule="exact"/>
        <w:jc w:val="left"/>
        <w:rPr>
          <w:rFonts w:ascii="宋体" w:cs="宋体"/>
          <w:color w:val="FF0000"/>
          <w:kern w:val="0"/>
          <w:sz w:val="32"/>
          <w:szCs w:val="32"/>
        </w:rPr>
      </w:pPr>
      <w:r>
        <w:rPr>
          <w:rFonts w:ascii="宋体" w:cs="宋体"/>
          <w:color w:val="FF0000"/>
          <w:kern w:val="0"/>
          <w:sz w:val="32"/>
          <w:szCs w:val="32"/>
        </w:rPr>
        <w:t> </w:t>
      </w:r>
    </w:p>
    <w:p>
      <w:pPr>
        <w:widowControl/>
        <w:spacing w:before="100" w:beforeAutospacing="1" w:after="100" w:afterAutospacing="1" w:line="560" w:lineRule="exact"/>
        <w:jc w:val="left"/>
        <w:rPr>
          <w:rFonts w:ascii="宋体" w:cs="宋体"/>
          <w:color w:val="FF0000"/>
          <w:kern w:val="0"/>
          <w:sz w:val="32"/>
          <w:szCs w:val="32"/>
        </w:rPr>
      </w:pPr>
    </w:p>
    <w:p>
      <w:pPr>
        <w:widowControl/>
        <w:spacing w:line="560" w:lineRule="exact"/>
        <w:jc w:val="left"/>
        <w:rPr>
          <w:rFonts w:ascii="宋体" w:cs="宋体"/>
          <w:color w:val="FF0000"/>
          <w:kern w:val="0"/>
          <w:sz w:val="32"/>
          <w:szCs w:val="32"/>
        </w:rPr>
      </w:pPr>
      <w:bookmarkStart w:id="77" w:name="_Toc15377226"/>
    </w:p>
    <w:p>
      <w:pPr>
        <w:pStyle w:val="1"/>
        <w:spacing w:before="0" w:after="0" w:line="560" w:lineRule="exact"/>
        <w:ind w:firstLineChars="550" w:firstLine="2420"/>
      </w:pPr>
      <w:bookmarkStart w:id="78" w:name="_Toc32092"/>
      <w:r>
        <w:rPr>
          <w:rStyle w:val="1Char"/>
          <w:rFonts w:ascii="方正小标宋简体" w:eastAsia="方正小标宋简体" w:hint="eastAsia"/>
          <w:b w:val="0"/>
          <w:bCs/>
        </w:rPr>
        <w:t>第四部分 附件</w:t>
      </w:r>
      <w:bookmarkEnd w:id="78"/>
    </w:p>
    <w:p>
      <w:pPr>
        <w:spacing w:line="560" w:lineRule="exact"/>
        <w:jc w:val="center"/>
        <w:rPr>
          <w:rFonts w:ascii="方正小标宋简体" w:eastAsia="方正小标宋简体"/>
          <w:sz w:val="44"/>
          <w:szCs w:val="44"/>
        </w:rPr>
      </w:pPr>
      <w:r>
        <w:rPr>
          <w:rFonts w:ascii="方正小标宋简体" w:eastAsia="方正小标宋简体"/>
          <w:sz w:val="44"/>
          <w:szCs w:val="44"/>
        </w:rPr>
        <w:t>阿坝州公安局</w:t>
      </w:r>
      <w:r>
        <w:rPr>
          <w:rFonts w:ascii="方正小标宋简体" w:eastAsia="方正小标宋简体" w:hint="eastAsia"/>
          <w:sz w:val="44"/>
          <w:szCs w:val="44"/>
          <w:lang w:eastAsia="zh-CN"/>
        </w:rPr>
        <w:t>交管</w:t>
      </w:r>
      <w:r>
        <w:rPr>
          <w:rFonts w:ascii="方正小标宋简体" w:eastAsia="方正小标宋简体"/>
          <w:sz w:val="44"/>
          <w:szCs w:val="44"/>
        </w:rPr>
        <w:t>支队</w:t>
      </w:r>
    </w:p>
    <w:p>
      <w:pPr>
        <w:spacing w:line="560" w:lineRule="exact"/>
        <w:jc w:val="center"/>
        <w:rPr>
          <w:rFonts w:ascii="方正小标宋简体" w:eastAsia="方正小标宋简体"/>
          <w:sz w:val="44"/>
          <w:szCs w:val="44"/>
        </w:rPr>
      </w:pPr>
      <w:r>
        <w:rPr>
          <w:rFonts w:ascii="方正小标宋简体" w:eastAsia="方正小标宋简体"/>
          <w:sz w:val="44"/>
          <w:szCs w:val="44"/>
        </w:rPr>
        <w:t>整体支出绩效评价分析报告</w:t>
      </w:r>
    </w:p>
    <w:p>
      <w:pPr>
        <w:spacing w:line="560" w:lineRule="exact"/>
        <w:rPr>
          <w:rFonts w:ascii="华文仿宋" w:eastAsia="华文仿宋" w:cs="Arial" w:hint="eastAsia"/>
          <w:color w:val="999999"/>
          <w:sz w:val="32"/>
          <w:szCs w:val="32"/>
        </w:rPr>
      </w:pPr>
      <w:r>
        <w:rPr>
          <w:rFonts w:ascii="楷体" w:eastAsia="楷体" w:cs="宋体" w:hint="eastAsia"/>
          <w:b/>
          <w:color w:val="2A2A2A"/>
          <w:kern w:val="0"/>
          <w:sz w:val="32"/>
          <w:szCs w:val="32"/>
        </w:rPr>
        <w:t xml:space="preserve"> </w:t>
      </w:r>
      <w:r>
        <w:rPr>
          <w:rFonts w:ascii="华文仿宋" w:eastAsia="华文仿宋" w:hint="eastAsia"/>
          <w:kern w:val="0"/>
          <w:sz w:val="32"/>
          <w:szCs w:val="32"/>
        </w:rPr>
        <w:t xml:space="preserve"> </w:t>
      </w:r>
      <w:r>
        <w:rPr>
          <w:rFonts w:ascii="华文仿宋" w:eastAsia="华文仿宋" w:cs="宋体" w:hint="eastAsia"/>
          <w:color w:val="2A2A2A"/>
          <w:sz w:val="32"/>
          <w:szCs w:val="32"/>
        </w:rPr>
        <w:t> </w:t>
      </w:r>
    </w:p>
    <w:p>
      <w:pPr>
        <w:pStyle w:val="22"/>
        <w:widowControl/>
        <w:spacing w:line="560" w:lineRule="exact"/>
        <w:ind w:firstLineChars="200" w:firstLine="640"/>
        <w:rPr>
          <w:rFonts w:ascii="黑体" w:eastAsia="黑体" w:hint="eastAsia"/>
          <w:sz w:val="32"/>
          <w:szCs w:val="32"/>
        </w:rPr>
      </w:pPr>
      <w:r>
        <w:rPr>
          <w:rFonts w:ascii="黑体" w:eastAsia="黑体" w:cs="宋体" w:hint="eastAsia"/>
          <w:color w:val="2A2A2A"/>
          <w:sz w:val="32"/>
          <w:szCs w:val="32"/>
        </w:rPr>
        <w:t>一、单位概况</w:t>
      </w:r>
    </w:p>
    <w:p>
      <w:pPr>
        <w:pStyle w:val="22"/>
        <w:widowControl/>
        <w:spacing w:line="560" w:lineRule="exact"/>
        <w:ind w:firstLineChars="200" w:firstLine="640"/>
        <w:rPr>
          <w:rFonts w:ascii="仿宋_GB2312" w:eastAsia="仿宋_GB2312" w:cs="宋体" w:hint="eastAsia"/>
          <w:color w:val="2A2A2A"/>
          <w:sz w:val="32"/>
          <w:szCs w:val="32"/>
        </w:rPr>
      </w:pPr>
      <w:r>
        <w:rPr>
          <w:rFonts w:ascii="楷体" w:eastAsia="楷体" w:cs="宋体" w:hint="eastAsia"/>
          <w:b/>
          <w:color w:val="2A2A2A"/>
          <w:sz w:val="32"/>
          <w:szCs w:val="32"/>
        </w:rPr>
        <w:t>（一）机构情况。</w:t>
      </w:r>
      <w:r>
        <w:rPr>
          <w:rFonts w:ascii="仿宋_GB2312" w:eastAsia="仿宋_GB2312" w:cs="宋体" w:hint="eastAsia"/>
          <w:color w:val="2A2A2A"/>
          <w:sz w:val="32"/>
          <w:szCs w:val="32"/>
          <w:lang w:eastAsia="zh-CN"/>
        </w:rPr>
        <w:t>交管</w:t>
      </w:r>
      <w:r>
        <w:rPr>
          <w:rFonts w:ascii="仿宋_GB2312" w:eastAsia="仿宋_GB2312" w:cs="宋体" w:hint="eastAsia"/>
          <w:color w:val="2A2A2A"/>
          <w:sz w:val="32"/>
          <w:szCs w:val="32"/>
        </w:rPr>
        <w:t>支队内设机构6个，具体是：综合保障大队、装备财务处、秩序宣传大队、事故法制大队、车辆管理所、直属大队。</w:t>
      </w:r>
    </w:p>
    <w:p>
      <w:pPr>
        <w:pStyle w:val="22"/>
        <w:widowControl/>
        <w:spacing w:line="560" w:lineRule="exact"/>
        <w:ind w:firstLineChars="200" w:firstLine="640"/>
        <w:rPr>
          <w:rFonts w:ascii="仿宋_GB2312" w:eastAsia="仿宋_GB2312" w:cs="宋体" w:hint="eastAsia"/>
          <w:color w:val="2A2A2A"/>
          <w:sz w:val="32"/>
          <w:szCs w:val="32"/>
        </w:rPr>
      </w:pPr>
      <w:r>
        <w:rPr>
          <w:rFonts w:ascii="楷体" w:eastAsia="楷体" w:cs="宋体" w:hint="eastAsia"/>
          <w:b/>
          <w:color w:val="2A2A2A"/>
          <w:sz w:val="32"/>
          <w:szCs w:val="32"/>
        </w:rPr>
        <w:t>（二）机构职能。</w:t>
      </w:r>
      <w:r>
        <w:rPr>
          <w:rFonts w:ascii="仿宋_GB2312" w:eastAsia="仿宋_GB2312" w:hint="eastAsia"/>
          <w:sz w:val="32"/>
          <w:szCs w:val="32"/>
        </w:rPr>
        <w:t>统一管理全州城乡道路交通，维护道路交通秩序，负责交通标志、标线等安全设施设置情况的督促检查；负责全州交通警察队伍建设和管理，查处</w:t>
      </w:r>
      <w:r>
        <w:rPr>
          <w:rFonts w:ascii="仿宋_GB2312" w:eastAsia="仿宋_GB2312" w:hint="eastAsia"/>
          <w:sz w:val="32"/>
          <w:szCs w:val="32"/>
          <w:lang w:eastAsia="zh-CN"/>
        </w:rPr>
        <w:t>交管</w:t>
      </w:r>
      <w:r>
        <w:rPr>
          <w:rFonts w:ascii="仿宋_GB2312" w:eastAsia="仿宋_GB2312" w:hint="eastAsia"/>
          <w:sz w:val="32"/>
          <w:szCs w:val="32"/>
        </w:rPr>
        <w:t>（公路巡警）违法违纪案事件；处理特大道路交通事故，开展交通事故、违法信访案件的复查、复核；制定全州道路交通安全宣传教育计划，开展交通安全宣传教育、交通民警的教育培训；拟定全州道路交通法规、承办交通法</w:t>
      </w:r>
      <w:r>
        <w:rPr>
          <w:rFonts w:ascii="仿宋_GB2312" w:eastAsia="仿宋_GB2312"/>
          <w:sz w:val="32"/>
          <w:szCs w:val="32"/>
        </w:rPr>
        <w:t>治</w:t>
      </w:r>
      <w:r>
        <w:rPr>
          <w:rFonts w:ascii="仿宋_GB2312" w:eastAsia="仿宋_GB2312" w:hint="eastAsia"/>
          <w:sz w:val="32"/>
          <w:szCs w:val="32"/>
        </w:rPr>
        <w:t>宣传、交通安全信息统计报送工作；维护公路沿线社会治安秩序，打击车匪路霸；负责车辆入户及检验，驾驶员考核与发牌发证等工作。</w:t>
      </w:r>
    </w:p>
    <w:p>
      <w:pPr>
        <w:snapToGrid w:val="0"/>
        <w:spacing w:line="560" w:lineRule="exact"/>
        <w:ind w:firstLineChars="200" w:firstLine="640"/>
        <w:rPr>
          <w:rFonts w:ascii="仿宋_GB2312" w:eastAsia="仿宋_GB2312" w:hint="eastAsia"/>
          <w:sz w:val="32"/>
          <w:szCs w:val="32"/>
        </w:rPr>
      </w:pPr>
      <w:r>
        <w:rPr>
          <w:rFonts w:ascii="楷体" w:eastAsia="楷体" w:cs="宋体" w:hint="eastAsia"/>
          <w:b/>
          <w:sz w:val="32"/>
          <w:szCs w:val="32"/>
        </w:rPr>
        <w:t>（三）人员概况。</w:t>
      </w:r>
      <w:r>
        <w:rPr>
          <w:rFonts w:ascii="仿宋_GB2312" w:eastAsia="仿宋_GB2312" w:hint="eastAsia"/>
          <w:sz w:val="32"/>
          <w:szCs w:val="32"/>
        </w:rPr>
        <w:t>202</w:t>
      </w:r>
      <w:r>
        <w:rPr>
          <w:rFonts w:ascii="仿宋_GB2312" w:eastAsia="仿宋_GB2312" w:hint="eastAsia"/>
          <w:sz w:val="32"/>
          <w:szCs w:val="32"/>
          <w:lang w:val="en-US" w:eastAsia="zh-CN"/>
        </w:rPr>
        <w:t>5</w:t>
      </w:r>
      <w:r>
        <w:rPr>
          <w:rFonts w:ascii="仿宋_GB2312" w:eastAsia="仿宋_GB2312" w:hint="eastAsia"/>
          <w:sz w:val="32"/>
          <w:szCs w:val="32"/>
        </w:rPr>
        <w:t>年，州</w:t>
      </w:r>
      <w:r>
        <w:rPr>
          <w:rFonts w:ascii="仿宋_GB2312" w:eastAsia="仿宋_GB2312" w:hint="eastAsia"/>
          <w:sz w:val="32"/>
          <w:szCs w:val="32"/>
          <w:lang w:eastAsia="zh-CN"/>
        </w:rPr>
        <w:t>交管</w:t>
      </w:r>
      <w:r>
        <w:rPr>
          <w:rFonts w:ascii="仿宋_GB2312" w:eastAsia="仿宋_GB2312" w:hint="eastAsia"/>
          <w:sz w:val="32"/>
          <w:szCs w:val="32"/>
        </w:rPr>
        <w:t>支队实有在职人员</w:t>
      </w:r>
      <w:r>
        <w:rPr>
          <w:rFonts w:ascii="仿宋_GB2312" w:eastAsia="仿宋_GB2312" w:hint="eastAsia"/>
          <w:sz w:val="32"/>
          <w:szCs w:val="32"/>
          <w:lang w:val="en-US" w:eastAsia="zh-CN"/>
        </w:rPr>
        <w:t>89</w:t>
      </w:r>
      <w:r>
        <w:rPr>
          <w:rFonts w:ascii="仿宋_GB2312" w:eastAsia="仿宋_GB2312" w:hint="eastAsia"/>
          <w:sz w:val="32"/>
          <w:szCs w:val="32"/>
        </w:rPr>
        <w:t>人，其中民警4</w:t>
      </w:r>
      <w:r>
        <w:rPr>
          <w:rFonts w:ascii="仿宋_GB2312" w:eastAsia="仿宋_GB2312" w:hint="eastAsia"/>
          <w:sz w:val="32"/>
          <w:szCs w:val="32"/>
          <w:lang w:val="en-US" w:eastAsia="zh-CN"/>
        </w:rPr>
        <w:t>3</w:t>
      </w:r>
      <w:r>
        <w:rPr>
          <w:rFonts w:ascii="仿宋_GB2312" w:eastAsia="仿宋_GB2312" w:hint="eastAsia"/>
          <w:sz w:val="32"/>
          <w:szCs w:val="32"/>
        </w:rPr>
        <w:t>人，工勤</w:t>
      </w:r>
      <w:r>
        <w:rPr>
          <w:rFonts w:ascii="仿宋_GB2312" w:eastAsia="仿宋_GB2312" w:hint="eastAsia"/>
          <w:sz w:val="32"/>
          <w:szCs w:val="32"/>
          <w:lang w:val="en-US" w:eastAsia="zh-CN"/>
        </w:rPr>
        <w:t>5</w:t>
      </w:r>
      <w:r>
        <w:rPr>
          <w:rFonts w:ascii="仿宋_GB2312" w:eastAsia="仿宋_GB2312" w:hint="eastAsia"/>
          <w:sz w:val="32"/>
          <w:szCs w:val="32"/>
        </w:rPr>
        <w:t>人，辅警</w:t>
      </w:r>
      <w:r>
        <w:rPr>
          <w:rFonts w:ascii="仿宋_GB2312" w:eastAsia="仿宋_GB2312" w:hint="eastAsia"/>
          <w:sz w:val="32"/>
          <w:szCs w:val="32"/>
          <w:lang w:val="en-US" w:eastAsia="zh-CN"/>
        </w:rPr>
        <w:t>41</w:t>
      </w:r>
      <w:r>
        <w:rPr>
          <w:rFonts w:ascii="仿宋_GB2312" w:eastAsia="仿宋_GB2312" w:hint="eastAsia"/>
          <w:sz w:val="32"/>
          <w:szCs w:val="32"/>
        </w:rPr>
        <w:t>人；退休人员</w:t>
      </w:r>
      <w:r>
        <w:rPr>
          <w:rFonts w:ascii="仿宋_GB2312" w:eastAsia="仿宋_GB2312" w:hint="eastAsia"/>
          <w:color w:val="000000"/>
          <w:sz w:val="32"/>
          <w:szCs w:val="32"/>
        </w:rPr>
        <w:t>2</w:t>
      </w:r>
      <w:r>
        <w:rPr>
          <w:rFonts w:ascii="仿宋_GB2312" w:eastAsia="仿宋_GB2312" w:hint="eastAsia"/>
          <w:color w:val="000000"/>
          <w:sz w:val="32"/>
          <w:szCs w:val="32"/>
          <w:lang w:val="en-US" w:eastAsia="zh-CN"/>
        </w:rPr>
        <w:t>1</w:t>
      </w:r>
      <w:r>
        <w:rPr>
          <w:rFonts w:ascii="仿宋_GB2312" w:eastAsia="仿宋_GB2312" w:hint="eastAsia"/>
          <w:sz w:val="32"/>
          <w:szCs w:val="32"/>
        </w:rPr>
        <w:t>人。</w:t>
      </w:r>
    </w:p>
    <w:p>
      <w:pPr>
        <w:snapToGrid w:val="0"/>
        <w:spacing w:line="560" w:lineRule="exact"/>
        <w:ind w:firstLineChars="200" w:firstLine="640"/>
        <w:rPr>
          <w:rFonts w:ascii="黑体" w:eastAsia="黑体"/>
          <w:sz w:val="32"/>
          <w:szCs w:val="32"/>
        </w:rPr>
      </w:pPr>
      <w:r>
        <w:rPr>
          <w:rFonts w:ascii="黑体" w:eastAsia="黑体" w:hint="eastAsia"/>
          <w:sz w:val="32"/>
          <w:szCs w:val="32"/>
        </w:rPr>
        <w:t>二、部门资金收支情况</w:t>
      </w:r>
    </w:p>
    <w:p>
      <w:pPr>
        <w:snapToGrid w:val="0"/>
        <w:spacing w:line="560" w:lineRule="exact"/>
        <w:ind w:firstLineChars="200" w:firstLine="640"/>
        <w:rPr>
          <w:rFonts w:ascii="楷体" w:eastAsia="楷体" w:cs="宋体"/>
          <w:bCs/>
          <w:color w:val="000000"/>
          <w:kern w:val="0"/>
          <w:sz w:val="32"/>
          <w:szCs w:val="32"/>
          <w:shd w:val="clear" w:color="auto" w:fill="FFFFFF"/>
        </w:rPr>
      </w:pPr>
      <w:r>
        <w:rPr>
          <w:rFonts w:ascii="楷体" w:eastAsia="楷体" w:cs="宋体" w:hint="eastAsia"/>
          <w:b/>
          <w:bCs/>
          <w:color w:val="000000"/>
          <w:kern w:val="0"/>
          <w:sz w:val="32"/>
          <w:szCs w:val="32"/>
          <w:shd w:val="clear" w:color="auto" w:fill="FFFFFF"/>
        </w:rPr>
        <w:t>（一）单位财政资金收入情况</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color w:val="auto"/>
          <w:sz w:val="32"/>
          <w:szCs w:val="32"/>
        </w:rPr>
      </w:pPr>
      <w:r>
        <w:rPr>
          <w:rFonts w:ascii="仿宋_GB2312" w:eastAsia="仿宋_GB2312" w:hint="eastAsia"/>
          <w:color w:val="auto"/>
          <w:sz w:val="32"/>
          <w:szCs w:val="32"/>
        </w:rPr>
        <w:t>202</w:t>
      </w:r>
      <w:r>
        <w:rPr>
          <w:rFonts w:ascii="仿宋_GB2312" w:eastAsia="仿宋_GB2312" w:hint="eastAsia"/>
          <w:color w:val="auto"/>
          <w:sz w:val="32"/>
          <w:szCs w:val="32"/>
          <w:lang w:val="en-US" w:eastAsia="zh-CN"/>
        </w:rPr>
        <w:t>5</w:t>
      </w:r>
      <w:r>
        <w:rPr>
          <w:rFonts w:ascii="仿宋_GB2312" w:eastAsia="仿宋_GB2312" w:hint="eastAsia"/>
          <w:color w:val="auto"/>
          <w:sz w:val="32"/>
          <w:szCs w:val="32"/>
        </w:rPr>
        <w:t>年州</w:t>
      </w:r>
      <w:r>
        <w:rPr>
          <w:rFonts w:ascii="仿宋_GB2312" w:eastAsia="仿宋_GB2312" w:hint="eastAsia"/>
          <w:color w:val="auto"/>
          <w:sz w:val="32"/>
          <w:szCs w:val="32"/>
          <w:lang w:eastAsia="zh-CN"/>
        </w:rPr>
        <w:t>交管</w:t>
      </w:r>
      <w:r>
        <w:rPr>
          <w:rFonts w:ascii="仿宋_GB2312" w:eastAsia="仿宋_GB2312" w:hint="eastAsia"/>
          <w:color w:val="auto"/>
          <w:sz w:val="32"/>
          <w:szCs w:val="32"/>
        </w:rPr>
        <w:t>支队年初预算批复数为</w:t>
      </w:r>
      <w:r>
        <w:rPr>
          <w:rFonts w:ascii="仿宋_GB2312" w:eastAsia="仿宋_GB2312" w:hint="eastAsia"/>
          <w:color w:val="auto"/>
          <w:sz w:val="32"/>
          <w:szCs w:val="32"/>
          <w:lang w:val="en-US" w:eastAsia="zh-CN"/>
        </w:rPr>
        <w:t>2611.23</w:t>
      </w:r>
      <w:r>
        <w:rPr>
          <w:rFonts w:ascii="仿宋_GB2312" w:eastAsia="仿宋_GB2312" w:hint="eastAsia"/>
          <w:color w:val="auto"/>
          <w:sz w:val="32"/>
          <w:szCs w:val="32"/>
        </w:rPr>
        <w:t>万元，调整预算数为</w:t>
      </w:r>
      <w:r>
        <w:rPr>
          <w:rFonts w:ascii="仿宋_GB2312" w:eastAsia="仿宋_GB2312" w:hint="eastAsia"/>
          <w:color w:val="auto"/>
          <w:sz w:val="32"/>
          <w:szCs w:val="32"/>
          <w:lang w:val="en-US" w:eastAsia="zh-CN"/>
        </w:rPr>
        <w:t>3596.8</w:t>
      </w:r>
      <w:r>
        <w:rPr>
          <w:rFonts w:ascii="仿宋_GB2312" w:eastAsia="仿宋_GB2312" w:hint="eastAsia"/>
          <w:color w:val="auto"/>
          <w:sz w:val="32"/>
          <w:szCs w:val="32"/>
        </w:rPr>
        <w:t>万元。决算收入数为</w:t>
      </w:r>
      <w:r>
        <w:rPr>
          <w:rFonts w:ascii="仿宋_GB2312" w:eastAsia="仿宋_GB2312" w:hint="eastAsia"/>
          <w:color w:val="auto"/>
          <w:sz w:val="32"/>
          <w:szCs w:val="32"/>
          <w:lang w:val="en-US" w:eastAsia="zh-CN"/>
        </w:rPr>
        <w:t>3595.8</w:t>
      </w:r>
      <w:r>
        <w:rPr>
          <w:rFonts w:ascii="仿宋_GB2312" w:eastAsia="仿宋_GB2312" w:hint="eastAsia"/>
          <w:color w:val="auto"/>
          <w:sz w:val="32"/>
          <w:szCs w:val="32"/>
        </w:rPr>
        <w:t>万元。一般财政预算拨</w:t>
      </w:r>
      <w:r>
        <w:rPr>
          <w:rFonts w:ascii="仿宋_GB2312" w:eastAsia="仿宋_GB2312" w:hint="eastAsia"/>
          <w:color w:val="auto"/>
          <w:sz w:val="32"/>
          <w:szCs w:val="32"/>
          <w:lang w:val="en-US" w:eastAsia="zh-CN"/>
        </w:rPr>
        <w:t>3595.8</w:t>
      </w:r>
      <w:r>
        <w:rPr>
          <w:rFonts w:ascii="仿宋_GB2312" w:eastAsia="仿宋_GB2312" w:hint="eastAsia"/>
          <w:color w:val="auto"/>
          <w:sz w:val="32"/>
          <w:szCs w:val="32"/>
        </w:rPr>
        <w:t>万元，与202</w:t>
      </w:r>
      <w:r>
        <w:rPr>
          <w:rFonts w:ascii="仿宋_GB2312" w:eastAsia="仿宋_GB2312" w:hint="eastAsia"/>
          <w:color w:val="auto"/>
          <w:sz w:val="32"/>
          <w:szCs w:val="32"/>
          <w:lang w:val="en-US" w:eastAsia="zh-CN"/>
        </w:rPr>
        <w:t>4</w:t>
      </w:r>
      <w:r>
        <w:rPr>
          <w:rFonts w:ascii="仿宋_GB2312" w:eastAsia="仿宋_GB2312" w:hint="eastAsia"/>
          <w:color w:val="auto"/>
          <w:sz w:val="32"/>
          <w:szCs w:val="32"/>
        </w:rPr>
        <w:t>年相比，收入</w:t>
      </w:r>
      <w:r>
        <w:rPr>
          <w:rFonts w:ascii="仿宋_GB2312" w:eastAsia="仿宋_GB2312" w:hint="eastAsia"/>
          <w:color w:val="auto"/>
          <w:sz w:val="32"/>
          <w:szCs w:val="32"/>
          <w:lang w:val="en-US" w:eastAsia="zh-CN"/>
        </w:rPr>
        <w:t>增加1141.65</w:t>
      </w:r>
      <w:r>
        <w:rPr>
          <w:rFonts w:ascii="仿宋_GB2312" w:eastAsia="仿宋_GB2312" w:hint="eastAsia"/>
          <w:color w:val="auto"/>
          <w:sz w:val="32"/>
          <w:szCs w:val="32"/>
        </w:rPr>
        <w:t>万元，</w:t>
      </w:r>
      <w:r>
        <w:rPr>
          <w:rFonts w:ascii="仿宋_GB2312" w:eastAsia="仿宋_GB2312" w:hint="eastAsia"/>
          <w:color w:val="auto"/>
          <w:sz w:val="32"/>
          <w:szCs w:val="32"/>
          <w:lang w:val="en-US" w:eastAsia="zh-CN"/>
        </w:rPr>
        <w:t>增加46.5</w:t>
      </w:r>
      <w:r>
        <w:rPr>
          <w:rFonts w:ascii="仿宋_GB2312" w:eastAsia="仿宋_GB2312" w:hint="eastAsia"/>
          <w:color w:val="auto"/>
          <w:sz w:val="32"/>
          <w:szCs w:val="32"/>
        </w:rPr>
        <w:t>%。主要变动原因</w:t>
      </w:r>
      <w:r>
        <w:rPr>
          <w:rFonts w:ascii="仿宋_GB2312" w:eastAsia="仿宋_GB2312" w:hint="eastAsia"/>
          <w:color w:val="auto"/>
          <w:sz w:val="32"/>
          <w:szCs w:val="32"/>
          <w:lang w:val="en-US" w:eastAsia="zh-CN"/>
        </w:rPr>
        <w:t>2025年采购项目增加，其中2024年部分采购项目于2025年完成，2025年新增部分特定目标类项目,如:全州卡口补点建设项目、交</w:t>
      </w:r>
      <w:r>
        <w:rPr>
          <w:rFonts w:ascii="仿宋_GB2312" w:eastAsia="仿宋_GB2312"/>
          <w:color w:val="auto"/>
          <w:sz w:val="32"/>
          <w:szCs w:val="32"/>
          <w:lang w:val="en-US" w:eastAsia="zh-CN"/>
        </w:rPr>
        <w:t>管</w:t>
      </w:r>
      <w:r>
        <w:rPr>
          <w:rFonts w:ascii="仿宋_GB2312" w:eastAsia="仿宋_GB2312" w:hint="eastAsia"/>
          <w:color w:val="auto"/>
          <w:sz w:val="32"/>
          <w:szCs w:val="32"/>
          <w:lang w:val="en-US" w:eastAsia="zh-CN"/>
        </w:rPr>
        <w:t>大数据指挥中心业务技术用房办公楼设施、设备采购项目等。</w:t>
      </w:r>
    </w:p>
    <w:p>
      <w:pPr>
        <w:snapToGrid w:val="0"/>
        <w:spacing w:line="560" w:lineRule="exact"/>
        <w:ind w:firstLineChars="200" w:firstLine="640"/>
        <w:rPr>
          <w:rFonts w:ascii="楷体" w:eastAsia="楷体" w:cs="宋体" w:hint="eastAsia"/>
          <w:bCs/>
          <w:color w:val="auto"/>
          <w:kern w:val="0"/>
          <w:sz w:val="32"/>
          <w:szCs w:val="32"/>
          <w:shd w:val="clear" w:color="auto" w:fill="FFFFFF"/>
        </w:rPr>
      </w:pPr>
      <w:r>
        <w:rPr>
          <w:rFonts w:ascii="楷体" w:eastAsia="楷体" w:cs="宋体" w:hint="eastAsia"/>
          <w:b/>
          <w:bCs/>
          <w:color w:val="auto"/>
          <w:kern w:val="0"/>
          <w:sz w:val="32"/>
          <w:szCs w:val="32"/>
          <w:shd w:val="clear" w:color="auto" w:fill="FFFFFF"/>
        </w:rPr>
        <w:t>（二）单位财政资金支出情况</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color w:val="auto"/>
          <w:sz w:val="32"/>
          <w:szCs w:val="32"/>
        </w:rPr>
      </w:pPr>
      <w:r>
        <w:rPr>
          <w:rFonts w:ascii="仿宋_GB2312" w:eastAsia="仿宋_GB2312" w:hint="eastAsia"/>
          <w:sz w:val="32"/>
          <w:szCs w:val="32"/>
        </w:rPr>
        <w:t xml:space="preserve"> 202</w:t>
      </w:r>
      <w:r>
        <w:rPr>
          <w:rFonts w:ascii="仿宋_GB2312" w:eastAsia="仿宋_GB2312" w:hint="eastAsia"/>
          <w:sz w:val="32"/>
          <w:szCs w:val="32"/>
          <w:lang w:val="en-US" w:eastAsia="zh-CN"/>
        </w:rPr>
        <w:t>5</w:t>
      </w:r>
      <w:r>
        <w:rPr>
          <w:rFonts w:ascii="仿宋_GB2312" w:eastAsia="仿宋_GB2312" w:hint="eastAsia"/>
          <w:sz w:val="32"/>
          <w:szCs w:val="32"/>
        </w:rPr>
        <w:t>年州</w:t>
      </w:r>
      <w:r>
        <w:rPr>
          <w:rFonts w:ascii="仿宋_GB2312" w:eastAsia="仿宋_GB2312" w:hint="eastAsia"/>
          <w:sz w:val="32"/>
          <w:szCs w:val="32"/>
          <w:lang w:eastAsia="zh-CN"/>
        </w:rPr>
        <w:t>交管</w:t>
      </w:r>
      <w:r>
        <w:rPr>
          <w:rFonts w:ascii="仿宋_GB2312" w:eastAsia="仿宋_GB2312" w:hint="eastAsia"/>
          <w:sz w:val="32"/>
          <w:szCs w:val="32"/>
        </w:rPr>
        <w:t>支队财政拨款支出数为</w:t>
      </w:r>
      <w:r>
        <w:rPr>
          <w:rFonts w:ascii="仿宋_GB2312" w:eastAsia="仿宋_GB2312" w:hint="eastAsia"/>
          <w:sz w:val="32"/>
          <w:szCs w:val="32"/>
          <w:lang w:val="en-US" w:eastAsia="zh-CN"/>
        </w:rPr>
        <w:t>3596.8</w:t>
      </w:r>
      <w:r>
        <w:rPr>
          <w:rFonts w:ascii="仿宋_GB2312" w:eastAsia="仿宋_GB2312" w:hint="eastAsia"/>
          <w:sz w:val="32"/>
          <w:szCs w:val="32"/>
        </w:rPr>
        <w:t>万元，决算支出数为</w:t>
      </w:r>
      <w:r>
        <w:rPr>
          <w:rFonts w:ascii="仿宋_GB2312" w:eastAsia="仿宋_GB2312" w:hint="eastAsia"/>
          <w:color w:val="000000"/>
          <w:sz w:val="32"/>
          <w:szCs w:val="32"/>
          <w14:textFill>
            <w14:solidFill>
              <w14:srgbClr w14:val="000000"/>
            </w14:solidFill>
          </w14:textFill>
          <w:lang w:val="en-US" w:eastAsia="zh-CN"/>
        </w:rPr>
        <w:t>3596.8</w:t>
      </w:r>
      <w:r>
        <w:rPr>
          <w:rFonts w:ascii="仿宋_GB2312" w:eastAsia="仿宋_GB2312" w:hint="eastAsia"/>
          <w:sz w:val="32"/>
          <w:szCs w:val="32"/>
        </w:rPr>
        <w:t>万元，其中：基本支出</w:t>
      </w:r>
      <w:r>
        <w:rPr>
          <w:rFonts w:ascii="仿宋_GB2312" w:eastAsia="仿宋_GB2312" w:hint="eastAsia"/>
          <w:sz w:val="32"/>
          <w:szCs w:val="32"/>
          <w:lang w:val="en-US" w:eastAsia="zh-CN"/>
        </w:rPr>
        <w:t>1103.74</w:t>
      </w:r>
      <w:r>
        <w:rPr>
          <w:rFonts w:ascii="仿宋_GB2312" w:eastAsia="仿宋_GB2312" w:hint="eastAsia"/>
          <w:sz w:val="32"/>
          <w:szCs w:val="32"/>
        </w:rPr>
        <w:t>万元，占</w:t>
      </w:r>
      <w:r>
        <w:rPr>
          <w:rFonts w:ascii="仿宋_GB2312" w:eastAsia="仿宋_GB2312" w:hint="eastAsia"/>
          <w:sz w:val="32"/>
          <w:szCs w:val="32"/>
          <w:lang w:val="en-US" w:eastAsia="zh-CN"/>
        </w:rPr>
        <w:t>30.69</w:t>
      </w:r>
      <w:r>
        <w:rPr>
          <w:rFonts w:ascii="仿宋_GB2312" w:eastAsia="仿宋_GB2312" w:hint="eastAsia"/>
          <w:sz w:val="32"/>
          <w:szCs w:val="32"/>
        </w:rPr>
        <w:t>%；项目支出</w:t>
      </w:r>
      <w:r>
        <w:rPr>
          <w:rFonts w:ascii="仿宋_GB2312" w:eastAsia="仿宋_GB2312" w:hint="eastAsia"/>
          <w:sz w:val="32"/>
          <w:szCs w:val="32"/>
          <w:lang w:val="en-US" w:eastAsia="zh-CN"/>
        </w:rPr>
        <w:t>2493.06</w:t>
      </w:r>
      <w:r>
        <w:rPr>
          <w:rFonts w:ascii="仿宋_GB2312" w:eastAsia="仿宋_GB2312" w:hint="eastAsia"/>
          <w:sz w:val="32"/>
          <w:szCs w:val="32"/>
        </w:rPr>
        <w:t>万元，占</w:t>
      </w:r>
      <w:r>
        <w:rPr>
          <w:rFonts w:ascii="仿宋_GB2312" w:eastAsia="仿宋_GB2312" w:hint="eastAsia"/>
          <w:sz w:val="32"/>
          <w:szCs w:val="32"/>
          <w:lang w:val="en-US" w:eastAsia="zh-CN"/>
        </w:rPr>
        <w:t>69.31</w:t>
      </w:r>
      <w:r>
        <w:rPr>
          <w:rFonts w:ascii="仿宋_GB2312" w:eastAsia="仿宋_GB2312" w:hint="eastAsia"/>
          <w:sz w:val="32"/>
          <w:szCs w:val="32"/>
        </w:rPr>
        <w:t>%。财政拨款支出同比上年</w:t>
      </w:r>
      <w:r>
        <w:rPr>
          <w:rFonts w:ascii="仿宋_GB2312" w:eastAsia="仿宋_GB2312" w:hint="eastAsia"/>
          <w:color w:val="000000"/>
          <w:sz w:val="32"/>
          <w:szCs w:val="32"/>
          <w14:textFill>
            <w14:solidFill>
              <w14:srgbClr w14:val="000000"/>
            </w14:solidFill>
          </w14:textFill>
          <w:lang w:val="en-US" w:eastAsia="zh-CN"/>
        </w:rPr>
        <w:t>增加1192.69</w:t>
      </w:r>
      <w:r>
        <w:rPr>
          <w:rFonts w:ascii="仿宋_GB2312" w:eastAsia="仿宋_GB2312" w:hint="eastAsia"/>
          <w:color w:val="000000"/>
          <w:sz w:val="32"/>
          <w:szCs w:val="32"/>
          <w14:textFill>
            <w14:solidFill>
              <w14:srgbClr w14:val="000000"/>
            </w14:solidFill>
          </w14:textFill>
        </w:rPr>
        <w:t>万元</w:t>
      </w:r>
      <w:r>
        <w:rPr>
          <w:rFonts w:ascii="仿宋_GB2312" w:eastAsia="仿宋_GB2312" w:hint="eastAsia"/>
          <w:sz w:val="32"/>
          <w:szCs w:val="32"/>
        </w:rPr>
        <w:t>。基本支出中：</w:t>
      </w:r>
      <w:r>
        <w:rPr>
          <w:rFonts w:ascii="仿宋_GB2312" w:eastAsia="仿宋_GB2312" w:hint="eastAsia"/>
          <w:color w:val="000000"/>
          <w:sz w:val="32"/>
          <w:szCs w:val="32"/>
        </w:rPr>
        <w:t>工资福利支出</w:t>
      </w:r>
      <w:r>
        <w:rPr>
          <w:rFonts w:ascii="仿宋_GB2312" w:eastAsia="仿宋_GB2312" w:hint="eastAsia"/>
          <w:color w:val="000000"/>
          <w:sz w:val="32"/>
          <w:szCs w:val="32"/>
          <w:lang w:val="en-US" w:eastAsia="zh-CN"/>
        </w:rPr>
        <w:t>913.23</w:t>
      </w:r>
      <w:r>
        <w:rPr>
          <w:rFonts w:ascii="仿宋_GB2312" w:eastAsia="仿宋_GB2312" w:hint="eastAsia"/>
          <w:color w:val="000000"/>
          <w:sz w:val="32"/>
          <w:szCs w:val="32"/>
        </w:rPr>
        <w:t>万元。商品和服务支出</w:t>
      </w:r>
      <w:r>
        <w:rPr>
          <w:rFonts w:ascii="仿宋_GB2312" w:eastAsia="仿宋_GB2312" w:hint="eastAsia"/>
          <w:color w:val="000000"/>
          <w:sz w:val="32"/>
          <w:szCs w:val="32"/>
          <w:lang w:val="en-US" w:eastAsia="zh-CN"/>
        </w:rPr>
        <w:t>81.91</w:t>
      </w:r>
      <w:r>
        <w:rPr>
          <w:rFonts w:ascii="仿宋_GB2312" w:eastAsia="仿宋_GB2312" w:hint="eastAsia"/>
          <w:color w:val="000000"/>
          <w:sz w:val="32"/>
          <w:szCs w:val="32"/>
        </w:rPr>
        <w:t>万元，对个人和家庭的补助支出</w:t>
      </w:r>
      <w:r>
        <w:rPr>
          <w:rFonts w:ascii="仿宋_GB2312" w:eastAsia="仿宋_GB2312" w:hint="eastAsia"/>
          <w:color w:val="000000"/>
          <w:sz w:val="32"/>
          <w:szCs w:val="32"/>
          <w:lang w:val="en-US" w:eastAsia="zh-CN"/>
        </w:rPr>
        <w:t>108.59</w:t>
      </w:r>
      <w:r>
        <w:rPr>
          <w:rFonts w:ascii="仿宋_GB2312" w:eastAsia="仿宋_GB2312" w:hint="eastAsia"/>
          <w:color w:val="000000"/>
          <w:sz w:val="32"/>
          <w:szCs w:val="32"/>
        </w:rPr>
        <w:t>万元。项目经费中商品和服务支出14</w:t>
      </w:r>
      <w:r>
        <w:rPr>
          <w:rFonts w:ascii="仿宋_GB2312" w:eastAsia="仿宋_GB2312" w:hint="eastAsia"/>
          <w:color w:val="000000"/>
          <w:sz w:val="32"/>
          <w:szCs w:val="32"/>
          <w:lang w:val="en-US" w:eastAsia="zh-CN"/>
        </w:rPr>
        <w:t>00</w:t>
      </w:r>
      <w:r>
        <w:rPr>
          <w:rFonts w:ascii="仿宋_GB2312" w:eastAsia="仿宋_GB2312" w:hint="eastAsia"/>
          <w:color w:val="000000"/>
          <w:sz w:val="32"/>
          <w:szCs w:val="32"/>
        </w:rPr>
        <w:t>.</w:t>
      </w:r>
      <w:r>
        <w:rPr>
          <w:rFonts w:ascii="仿宋_GB2312" w:eastAsia="仿宋_GB2312" w:hint="eastAsia"/>
          <w:color w:val="000000"/>
          <w:sz w:val="32"/>
          <w:szCs w:val="32"/>
          <w:lang w:val="en-US" w:eastAsia="zh-CN"/>
        </w:rPr>
        <w:t>32</w:t>
      </w:r>
      <w:r>
        <w:rPr>
          <w:rFonts w:ascii="仿宋_GB2312" w:eastAsia="仿宋_GB2312" w:hint="eastAsia"/>
          <w:color w:val="000000"/>
          <w:sz w:val="32"/>
          <w:szCs w:val="32"/>
        </w:rPr>
        <w:t>万元、资本性支出</w:t>
      </w:r>
      <w:r>
        <w:rPr>
          <w:rFonts w:ascii="仿宋_GB2312" w:eastAsia="仿宋_GB2312" w:hint="eastAsia"/>
          <w:color w:val="000000"/>
          <w:sz w:val="32"/>
          <w:szCs w:val="32"/>
          <w:lang w:val="en-US" w:eastAsia="zh-CN"/>
        </w:rPr>
        <w:t>1092.74</w:t>
      </w:r>
      <w:r>
        <w:rPr>
          <w:rFonts w:ascii="仿宋_GB2312" w:eastAsia="仿宋_GB2312" w:hint="eastAsia"/>
          <w:color w:val="000000"/>
          <w:sz w:val="32"/>
          <w:szCs w:val="32"/>
        </w:rPr>
        <w:t>万元。</w:t>
      </w:r>
      <w:r>
        <w:rPr>
          <w:rFonts w:ascii="仿宋_GB2312" w:eastAsia="仿宋_GB2312" w:hint="eastAsia"/>
          <w:color w:val="000000"/>
          <w:sz w:val="32"/>
          <w:szCs w:val="32"/>
          <w14:textFill>
            <w14:solidFill>
              <w14:srgbClr w14:val="000000"/>
            </w14:solidFill>
          </w14:textFill>
        </w:rPr>
        <w:t>与202</w:t>
      </w:r>
      <w:r>
        <w:rPr>
          <w:rFonts w:ascii="仿宋_GB2312" w:eastAsia="仿宋_GB2312" w:hint="eastAsia"/>
          <w:color w:val="000000"/>
          <w:sz w:val="32"/>
          <w:szCs w:val="32"/>
          <w14:textFill>
            <w14:solidFill>
              <w14:srgbClr w14:val="000000"/>
            </w14:solidFill>
          </w14:textFill>
          <w:lang w:val="en-US" w:eastAsia="zh-CN"/>
        </w:rPr>
        <w:t>4</w:t>
      </w:r>
      <w:r>
        <w:rPr>
          <w:rFonts w:ascii="仿宋_GB2312" w:eastAsia="仿宋_GB2312" w:hint="eastAsia"/>
          <w:color w:val="000000"/>
          <w:sz w:val="32"/>
          <w:szCs w:val="32"/>
          <w14:textFill>
            <w14:solidFill>
              <w14:srgbClr w14:val="000000"/>
            </w14:solidFill>
          </w14:textFill>
        </w:rPr>
        <w:t>年相比，</w:t>
      </w:r>
      <w:r>
        <w:rPr>
          <w:rFonts w:ascii="仿宋_GB2312" w:eastAsia="仿宋_GB2312" w:hint="eastAsia"/>
          <w:color w:val="auto"/>
          <w:sz w:val="32"/>
          <w:szCs w:val="32"/>
        </w:rPr>
        <w:t>收入</w:t>
      </w:r>
      <w:r>
        <w:rPr>
          <w:rFonts w:ascii="仿宋_GB2312" w:eastAsia="仿宋_GB2312" w:hint="eastAsia"/>
          <w:color w:val="auto"/>
          <w:sz w:val="32"/>
          <w:szCs w:val="32"/>
          <w:lang w:val="en-US" w:eastAsia="zh-CN"/>
        </w:rPr>
        <w:t>增加1141.65</w:t>
      </w:r>
      <w:r>
        <w:rPr>
          <w:rFonts w:ascii="仿宋_GB2312" w:eastAsia="仿宋_GB2312" w:hint="eastAsia"/>
          <w:color w:val="auto"/>
          <w:sz w:val="32"/>
          <w:szCs w:val="32"/>
        </w:rPr>
        <w:t>万元，</w:t>
      </w:r>
      <w:r>
        <w:rPr>
          <w:rFonts w:ascii="仿宋_GB2312" w:eastAsia="仿宋_GB2312" w:hint="eastAsia"/>
          <w:color w:val="auto"/>
          <w:sz w:val="32"/>
          <w:szCs w:val="32"/>
          <w:lang w:val="en-US" w:eastAsia="zh-CN"/>
        </w:rPr>
        <w:t>增加46.5</w:t>
      </w:r>
      <w:r>
        <w:rPr>
          <w:rFonts w:ascii="仿宋_GB2312" w:eastAsia="仿宋_GB2312" w:hint="eastAsia"/>
          <w:color w:val="auto"/>
          <w:sz w:val="32"/>
          <w:szCs w:val="32"/>
        </w:rPr>
        <w:t>%。主要变动原因</w:t>
      </w:r>
      <w:r>
        <w:rPr>
          <w:rFonts w:ascii="仿宋_GB2312" w:eastAsia="仿宋_GB2312" w:hint="eastAsia"/>
          <w:color w:val="auto"/>
          <w:sz w:val="32"/>
          <w:szCs w:val="32"/>
          <w:lang w:val="en-US" w:eastAsia="zh-CN"/>
        </w:rPr>
        <w:t>2025年采购项目增加，其中2024年部分采购项目于2025年完成，2025年新增部分特定目标类项目,如:全州卡口补点建设项目、交</w:t>
      </w:r>
      <w:r>
        <w:rPr>
          <w:rFonts w:ascii="仿宋_GB2312" w:eastAsia="仿宋_GB2312"/>
          <w:color w:val="auto"/>
          <w:sz w:val="32"/>
          <w:szCs w:val="32"/>
          <w:lang w:val="en-US" w:eastAsia="zh-CN"/>
        </w:rPr>
        <w:t>管</w:t>
      </w:r>
      <w:r>
        <w:rPr>
          <w:rFonts w:ascii="仿宋_GB2312" w:eastAsia="仿宋_GB2312" w:hint="eastAsia"/>
          <w:color w:val="auto"/>
          <w:sz w:val="32"/>
          <w:szCs w:val="32"/>
          <w:lang w:val="en-US" w:eastAsia="zh-CN"/>
        </w:rPr>
        <w:t>大数据指挥中心业务技术用房办公楼设施、设备采购项目等。</w:t>
      </w:r>
    </w:p>
    <w:p>
      <w:pPr>
        <w:pStyle w:val="22"/>
        <w:spacing w:line="560" w:lineRule="exact"/>
        <w:ind w:firstLineChars="200" w:firstLine="640"/>
        <w:rPr>
          <w:rFonts w:ascii="楷体" w:eastAsia="楷体"/>
          <w:b/>
          <w:color w:val="auto"/>
          <w:sz w:val="32"/>
          <w:szCs w:val="32"/>
        </w:rPr>
      </w:pPr>
      <w:r>
        <w:rPr>
          <w:rFonts w:ascii="楷体" w:eastAsia="楷体" w:hint="eastAsia"/>
          <w:b/>
          <w:color w:val="auto"/>
          <w:sz w:val="32"/>
          <w:szCs w:val="32"/>
        </w:rPr>
        <w:t>（</w:t>
      </w:r>
      <w:r>
        <w:rPr>
          <w:rFonts w:ascii="楷体" w:eastAsia="楷体"/>
          <w:b/>
          <w:color w:val="auto"/>
          <w:sz w:val="32"/>
          <w:szCs w:val="32"/>
        </w:rPr>
        <w:t>三</w:t>
      </w:r>
      <w:r>
        <w:rPr>
          <w:rFonts w:ascii="楷体" w:eastAsia="楷体" w:hint="eastAsia"/>
          <w:b/>
          <w:color w:val="auto"/>
          <w:sz w:val="32"/>
          <w:szCs w:val="32"/>
        </w:rPr>
        <w:t>）结余分配和结转结余情况</w:t>
      </w:r>
    </w:p>
    <w:p>
      <w:pPr>
        <w:pStyle w:val="22"/>
        <w:spacing w:line="560" w:lineRule="exact"/>
        <w:ind w:firstLineChars="200" w:firstLine="640"/>
        <w:rPr>
          <w:rFonts w:ascii="仿宋" w:eastAsia="仿宋" w:hint="eastAsia"/>
          <w:bCs/>
          <w:color w:val="auto"/>
          <w:sz w:val="32"/>
          <w:szCs w:val="32"/>
        </w:rPr>
      </w:pPr>
      <w:r>
        <w:rPr>
          <w:rFonts w:ascii="仿宋_GB2312" w:eastAsia="仿宋_GB2312" w:hint="eastAsia"/>
          <w:color w:val="auto"/>
          <w:sz w:val="32"/>
          <w:szCs w:val="32"/>
        </w:rPr>
        <w:t>202</w:t>
      </w:r>
      <w:r>
        <w:rPr>
          <w:rFonts w:ascii="仿宋_GB2312" w:eastAsia="仿宋_GB2312" w:hint="eastAsia"/>
          <w:color w:val="auto"/>
          <w:sz w:val="32"/>
          <w:szCs w:val="32"/>
          <w:lang w:val="en-US" w:eastAsia="zh-CN"/>
        </w:rPr>
        <w:t>5</w:t>
      </w:r>
      <w:r>
        <w:rPr>
          <w:rFonts w:ascii="仿宋_GB2312" w:eastAsia="仿宋_GB2312" w:hint="eastAsia"/>
          <w:color w:val="auto"/>
          <w:sz w:val="32"/>
          <w:szCs w:val="32"/>
        </w:rPr>
        <w:t>年无结转资金，年末财务决算结余资金为以往年度资金。</w:t>
      </w:r>
    </w:p>
    <w:p>
      <w:pPr>
        <w:snapToGrid w:val="0"/>
        <w:spacing w:line="560" w:lineRule="exact"/>
        <w:ind w:firstLineChars="200" w:firstLine="640"/>
        <w:rPr>
          <w:rFonts w:ascii="黑体" w:eastAsia="黑体" w:cs="宋体" w:hint="eastAsia"/>
          <w:bCs/>
          <w:color w:val="000000"/>
          <w:kern w:val="0"/>
          <w:sz w:val="32"/>
          <w:szCs w:val="32"/>
          <w:shd w:val="clear" w:color="auto" w:fill="FFFFFF"/>
        </w:rPr>
      </w:pPr>
      <w:r>
        <w:rPr>
          <w:rFonts w:ascii="黑体" w:eastAsia="黑体" w:cs="宋体" w:hint="eastAsia"/>
          <w:bCs/>
          <w:color w:val="000000"/>
          <w:kern w:val="0"/>
          <w:sz w:val="32"/>
          <w:szCs w:val="32"/>
          <w:shd w:val="clear" w:color="auto" w:fill="FFFFFF"/>
        </w:rPr>
        <w:t>三、部门预算绩效分析</w:t>
      </w:r>
    </w:p>
    <w:p>
      <w:pPr>
        <w:snapToGrid w:val="0"/>
        <w:spacing w:line="560" w:lineRule="exact"/>
        <w:ind w:left="643"/>
        <w:rPr>
          <w:rFonts w:ascii="楷体" w:eastAsia="楷体" w:cs="宋体"/>
          <w:b/>
          <w:bCs/>
          <w:color w:val="000000"/>
          <w:kern w:val="0"/>
          <w:sz w:val="32"/>
          <w:szCs w:val="32"/>
          <w:shd w:val="clear" w:color="auto" w:fill="FFFFFF"/>
        </w:rPr>
      </w:pPr>
      <w:r>
        <w:rPr>
          <w:rFonts w:ascii="楷体" w:eastAsia="楷体" w:cs="宋体" w:hint="eastAsia"/>
          <w:b/>
          <w:bCs/>
          <w:color w:val="000000"/>
          <w:kern w:val="0"/>
          <w:sz w:val="32"/>
          <w:szCs w:val="32"/>
          <w:shd w:val="clear" w:color="auto" w:fill="FFFFFF"/>
        </w:rPr>
        <w:t>（一）部门预算总体绩效分析情况</w:t>
      </w:r>
    </w:p>
    <w:p>
      <w:pPr>
        <w:spacing w:line="560" w:lineRule="exact"/>
        <w:ind w:firstLineChars="200" w:firstLine="640"/>
        <w:rPr>
          <w:rFonts w:ascii="仿宋_GB2312" w:eastAsia="仿宋_GB2312" w:hint="eastAsia"/>
          <w:color w:val="FF0000"/>
          <w:sz w:val="32"/>
          <w:szCs w:val="32"/>
        </w:rPr>
      </w:pPr>
      <w:r>
        <w:rPr>
          <w:rFonts w:ascii="仿宋_GB2312" w:eastAsia="仿宋_GB2312" w:cs="宋体" w:hint="eastAsia"/>
          <w:b/>
          <w:bCs/>
          <w:color w:val="000000"/>
          <w:kern w:val="0"/>
          <w:sz w:val="32"/>
          <w:szCs w:val="32"/>
          <w:shd w:val="clear" w:color="auto" w:fill="FFFFFF"/>
        </w:rPr>
        <w:t>1.履职效能：</w:t>
      </w:r>
      <w:r>
        <w:rPr>
          <w:rFonts w:ascii="仿宋_GB2312" w:eastAsia="仿宋_GB2312" w:hint="eastAsia"/>
          <w:sz w:val="32"/>
          <w:szCs w:val="32"/>
          <w:lang w:eastAsia="zh-CN"/>
        </w:rPr>
        <w:t>交管</w:t>
      </w:r>
      <w:r>
        <w:rPr>
          <w:rFonts w:ascii="仿宋_GB2312" w:eastAsia="仿宋_GB2312" w:hint="eastAsia"/>
          <w:sz w:val="32"/>
          <w:szCs w:val="32"/>
        </w:rPr>
        <w:t>支队本年度年初预算收入数为</w:t>
      </w:r>
      <w:r>
        <w:rPr>
          <w:rFonts w:ascii="仿宋_GB2312" w:eastAsia="仿宋_GB2312" w:hint="eastAsia"/>
          <w:sz w:val="32"/>
          <w:szCs w:val="32"/>
          <w:lang w:val="en-US" w:eastAsia="zh-CN"/>
        </w:rPr>
        <w:t>2611.23</w:t>
      </w:r>
      <w:r>
        <w:rPr>
          <w:rFonts w:ascii="仿宋_GB2312" w:eastAsia="仿宋_GB2312" w:hint="eastAsia"/>
          <w:sz w:val="32"/>
          <w:szCs w:val="32"/>
        </w:rPr>
        <w:t>万元，收入决算数为</w:t>
      </w:r>
      <w:r>
        <w:rPr>
          <w:rFonts w:ascii="仿宋_GB2312" w:eastAsia="仿宋_GB2312" w:hint="eastAsia"/>
          <w:sz w:val="32"/>
          <w:szCs w:val="32"/>
          <w:lang w:val="en-US" w:eastAsia="zh-CN"/>
        </w:rPr>
        <w:t>3596.8</w:t>
      </w:r>
      <w:r>
        <w:rPr>
          <w:rFonts w:ascii="仿宋_GB2312" w:eastAsia="仿宋_GB2312" w:hint="eastAsia"/>
          <w:sz w:val="32"/>
          <w:szCs w:val="32"/>
        </w:rPr>
        <w:t>万元，调整预算数完成</w:t>
      </w:r>
      <w:r>
        <w:rPr>
          <w:rFonts w:ascii="仿宋_GB2312" w:eastAsia="仿宋_GB2312" w:hint="eastAsia"/>
          <w:color w:val="000000"/>
          <w:sz w:val="32"/>
          <w:szCs w:val="32"/>
          <w14:textFill>
            <w14:solidFill>
              <w14:srgbClr w14:val="000000"/>
            </w14:solidFill>
          </w14:textFill>
        </w:rPr>
        <w:t>度为100.00%。 本年度支出全年预算调整数为</w:t>
      </w:r>
      <w:r>
        <w:rPr>
          <w:rFonts w:ascii="仿宋_GB2312" w:eastAsia="仿宋_GB2312" w:hint="eastAsia"/>
          <w:color w:val="000000"/>
          <w:sz w:val="32"/>
          <w:szCs w:val="32"/>
          <w14:textFill>
            <w14:solidFill>
              <w14:srgbClr w14:val="000000"/>
            </w14:solidFill>
          </w14:textFill>
          <w:lang w:val="en-US" w:eastAsia="zh-CN"/>
        </w:rPr>
        <w:t>3596.8</w:t>
      </w:r>
      <w:r>
        <w:rPr>
          <w:rFonts w:ascii="仿宋_GB2312" w:eastAsia="仿宋_GB2312" w:hint="eastAsia"/>
          <w:color w:val="000000"/>
          <w:sz w:val="32"/>
          <w:szCs w:val="32"/>
          <w14:textFill>
            <w14:solidFill>
              <w14:srgbClr w14:val="000000"/>
            </w14:solidFill>
          </w14:textFill>
        </w:rPr>
        <w:t>万元，支出决算数为</w:t>
      </w:r>
      <w:r>
        <w:rPr>
          <w:rFonts w:ascii="仿宋_GB2312" w:eastAsia="仿宋_GB2312" w:hint="eastAsia"/>
          <w:color w:val="000000"/>
          <w:sz w:val="32"/>
          <w:szCs w:val="32"/>
          <w14:textFill>
            <w14:solidFill>
              <w14:srgbClr w14:val="000000"/>
            </w14:solidFill>
          </w14:textFill>
          <w:lang w:val="en-US" w:eastAsia="zh-CN"/>
        </w:rPr>
        <w:t>3596.8</w:t>
      </w:r>
      <w:r>
        <w:rPr>
          <w:rFonts w:ascii="仿宋_GB2312" w:eastAsia="仿宋_GB2312" w:hint="eastAsia"/>
          <w:color w:val="000000"/>
          <w:sz w:val="32"/>
          <w:szCs w:val="32"/>
          <w14:textFill>
            <w14:solidFill>
              <w14:srgbClr w14:val="000000"/>
            </w14:solidFill>
          </w14:textFill>
        </w:rPr>
        <w:t>万元，预算调整数完成率为100%，</w:t>
      </w:r>
      <w:r>
        <w:rPr>
          <w:rFonts w:ascii="仿宋_GB2312" w:eastAsia="仿宋_GB2312" w:hint="eastAsia"/>
          <w:color w:val="auto"/>
          <w:sz w:val="32"/>
          <w:szCs w:val="32"/>
        </w:rPr>
        <w:t>主要完成以下主要工作：</w:t>
      </w:r>
      <w:r>
        <w:rPr>
          <w:rFonts w:ascii="仿宋" w:eastAsia="仿宋" w:cs="楷体_GB2312" w:hint="eastAsia"/>
          <w:b/>
          <w:bCs/>
          <w:color w:val="auto"/>
          <w:sz w:val="32"/>
          <w:szCs w:val="32"/>
          <w:lang w:val="en-US" w:eastAsia="zh-CN"/>
        </w:rPr>
        <w:t>一是</w:t>
      </w:r>
      <w:r>
        <w:rPr>
          <w:rFonts w:ascii="仿宋" w:eastAsia="仿宋" w:cs="楷体_GB2312" w:hint="eastAsia"/>
          <w:b/>
          <w:bCs/>
          <w:color w:val="auto"/>
          <w:sz w:val="32"/>
          <w:szCs w:val="32"/>
        </w:rPr>
        <w:t>强力抓整治</w:t>
      </w:r>
      <w:r>
        <w:rPr>
          <w:rFonts w:ascii="仿宋" w:eastAsia="仿宋" w:cs="楷体_GB2312" w:hint="eastAsia"/>
          <w:b/>
          <w:bCs/>
          <w:color w:val="000000"/>
          <w:sz w:val="32"/>
          <w:szCs w:val="32"/>
          <w14:textFill>
            <w14:solidFill>
              <w14:srgbClr w14:val="000000"/>
            </w14:solidFill>
          </w14:textFill>
        </w:rPr>
        <w:t>，严查交通违法</w:t>
      </w:r>
      <w:r>
        <w:rPr>
          <w:rFonts w:ascii="仿宋" w:eastAsia="仿宋" w:cs="楷体_GB2312" w:hint="eastAsia"/>
          <w:b/>
          <w:bCs/>
          <w:color w:val="000000"/>
          <w:sz w:val="32"/>
          <w:szCs w:val="32"/>
          <w14:textFill>
            <w14:solidFill>
              <w14:srgbClr w14:val="000000"/>
            </w14:solidFill>
          </w14:textFill>
          <w:lang w:eastAsia="zh-CN"/>
        </w:rPr>
        <w:t>：</w:t>
      </w:r>
      <w:r>
        <w:rPr>
          <w:rFonts w:ascii="仿宋" w:eastAsia="仿宋" w:cs="宋体" w:hint="eastAsia"/>
          <w:color w:val="000000"/>
          <w:kern w:val="0"/>
          <w:sz w:val="32"/>
          <w:szCs w:val="32"/>
          <w:shd w:val="clear" w:color="auto" w:fill="FFFFFF"/>
          <w14:textFill>
            <w14:solidFill>
              <w14:srgbClr w14:val="000000"/>
            </w14:solidFill>
          </w14:textFill>
        </w:rPr>
        <w:t>紧扣重点车辆、重点人、重点企业，紧盯重点违法、重点时段，重点路段开展短平快、多波次重拳开展各项专项行动，圆满完成全国两会，春节、五一、十一等重要节点、重大警卫、重要会议道路交通安保工作。截</w:t>
      </w:r>
      <w:r>
        <w:rPr>
          <w:rFonts w:ascii="仿宋" w:eastAsia="仿宋" w:cs="宋体"/>
          <w:color w:val="000000"/>
          <w:kern w:val="0"/>
          <w:sz w:val="32"/>
          <w:szCs w:val="32"/>
          <w:shd w:val="clear" w:color="auto" w:fill="FFFFFF"/>
          <w14:textFill>
            <w14:solidFill>
              <w14:srgbClr w14:val="000000"/>
            </w14:solidFill>
          </w14:textFill>
        </w:rPr>
        <w:t>至</w:t>
      </w:r>
      <w:r>
        <w:rPr>
          <w:rFonts w:ascii="仿宋" w:eastAsia="仿宋" w:cs="宋体" w:hint="eastAsia"/>
          <w:sz w:val="32"/>
          <w:szCs w:val="32"/>
        </w:rPr>
        <w:t>目前，已查处各类交通违法行为</w:t>
      </w:r>
      <w:r>
        <w:rPr>
          <w:rFonts w:ascii="仿宋" w:eastAsia="仿宋" w:hint="eastAsia"/>
          <w:sz w:val="32"/>
          <w:szCs w:val="32"/>
        </w:rPr>
        <w:t>183321</w:t>
      </w:r>
      <w:r>
        <w:rPr>
          <w:rFonts w:ascii="仿宋" w:eastAsia="仿宋" w:cs="宋体" w:hint="eastAsia"/>
          <w:sz w:val="32"/>
          <w:szCs w:val="32"/>
        </w:rPr>
        <w:t>起。</w:t>
      </w:r>
      <w:r>
        <w:rPr>
          <w:rStyle w:val="23"/>
          <w:rFonts w:ascii="仿宋" w:eastAsia="仿宋" w:cs="宋体" w:hint="eastAsia"/>
          <w:b w:val="0"/>
          <w:bCs/>
          <w:color w:val="000000"/>
          <w:kern w:val="0"/>
          <w:sz w:val="32"/>
          <w:szCs w:val="32"/>
          <w:shd w:val="clear" w:color="auto" w:fill="FFFFFF"/>
          <w14:textFill>
            <w14:solidFill>
              <w14:srgbClr w14:val="000000"/>
            </w14:solidFill>
          </w14:textFill>
        </w:rPr>
        <w:t>实施科技赋能依法查处</w:t>
      </w:r>
      <w:r>
        <w:rPr>
          <w:rFonts w:ascii="仿宋" w:eastAsia="仿宋" w:cs="宋体" w:hint="eastAsia"/>
          <w:b w:val="0"/>
          <w:bCs/>
          <w:sz w:val="32"/>
          <w:szCs w:val="32"/>
        </w:rPr>
        <w:t>。</w:t>
      </w:r>
      <w:r>
        <w:rPr>
          <w:rStyle w:val="23"/>
          <w:rFonts w:ascii="仿宋" w:eastAsia="仿宋" w:cs="宋体" w:hint="eastAsia"/>
          <w:b w:val="0"/>
          <w:bCs/>
          <w:color w:val="000000"/>
          <w:kern w:val="0"/>
          <w:sz w:val="32"/>
          <w:szCs w:val="32"/>
          <w:shd w:val="clear" w:color="auto" w:fill="FFFFFF"/>
          <w14:textFill>
            <w14:solidFill>
              <w14:srgbClr w14:val="000000"/>
            </w14:solidFill>
          </w14:textFill>
        </w:rPr>
        <w:t>深化</w:t>
      </w:r>
      <w:r>
        <w:rPr>
          <w:rStyle w:val="23"/>
          <w:rFonts w:ascii="仿宋" w:eastAsia="仿宋" w:cs="Times New Roman"/>
          <w:b w:val="0"/>
          <w:bCs/>
          <w:color w:val="000000"/>
          <w:kern w:val="0"/>
          <w:sz w:val="32"/>
          <w:szCs w:val="32"/>
          <w:shd w:val="clear" w:color="auto" w:fill="FFFFFF"/>
          <w14:textFill>
            <w14:solidFill>
              <w14:srgbClr w14:val="000000"/>
            </w14:solidFill>
          </w14:textFill>
        </w:rPr>
        <w:t>“</w:t>
      </w:r>
      <w:r>
        <w:rPr>
          <w:rStyle w:val="23"/>
          <w:rFonts w:ascii="仿宋" w:eastAsia="仿宋" w:cs="宋体" w:hint="eastAsia"/>
          <w:b w:val="0"/>
          <w:bCs/>
          <w:color w:val="000000"/>
          <w:kern w:val="0"/>
          <w:sz w:val="32"/>
          <w:szCs w:val="32"/>
          <w:shd w:val="clear" w:color="auto" w:fill="FFFFFF"/>
          <w14:textFill>
            <w14:solidFill>
              <w14:srgbClr w14:val="000000"/>
            </w14:solidFill>
          </w14:textFill>
        </w:rPr>
        <w:t>一盔一带</w:t>
      </w:r>
      <w:r>
        <w:rPr>
          <w:rStyle w:val="23"/>
          <w:rFonts w:ascii="仿宋" w:eastAsia="仿宋" w:cs="Times New Roman"/>
          <w:b w:val="0"/>
          <w:bCs/>
          <w:color w:val="000000"/>
          <w:kern w:val="0"/>
          <w:sz w:val="32"/>
          <w:szCs w:val="32"/>
          <w:shd w:val="clear" w:color="auto" w:fill="FFFFFF"/>
          <w14:textFill>
            <w14:solidFill>
              <w14:srgbClr w14:val="000000"/>
            </w14:solidFill>
          </w14:textFill>
        </w:rPr>
        <w:t>”</w:t>
      </w:r>
      <w:r>
        <w:rPr>
          <w:rStyle w:val="23"/>
          <w:rFonts w:ascii="仿宋" w:eastAsia="仿宋" w:cs="宋体" w:hint="eastAsia"/>
          <w:b w:val="0"/>
          <w:bCs/>
          <w:color w:val="000000"/>
          <w:kern w:val="0"/>
          <w:sz w:val="32"/>
          <w:szCs w:val="32"/>
          <w:shd w:val="clear" w:color="auto" w:fill="FFFFFF"/>
          <w14:textFill>
            <w14:solidFill>
              <w14:srgbClr w14:val="000000"/>
            </w14:solidFill>
          </w14:textFill>
        </w:rPr>
        <w:t>安全守护行动。</w:t>
      </w:r>
      <w:r>
        <w:rPr>
          <w:rFonts w:ascii="仿宋" w:eastAsia="仿宋" w:cs="宋体" w:hint="eastAsia"/>
          <w:b w:val="0"/>
          <w:bCs/>
          <w:sz w:val="32"/>
          <w:szCs w:val="32"/>
        </w:rPr>
        <w:t>联</w:t>
      </w:r>
      <w:r>
        <w:rPr>
          <w:rFonts w:ascii="仿宋" w:eastAsia="仿宋" w:cs="宋体" w:hint="eastAsia"/>
          <w:sz w:val="32"/>
          <w:szCs w:val="32"/>
        </w:rPr>
        <w:t>合州保险协会向社会捐赠和支队采购发放安全头盔</w:t>
      </w:r>
      <w:r>
        <w:rPr>
          <w:rFonts w:ascii="仿宋" w:eastAsia="仿宋" w:hint="eastAsia"/>
          <w:sz w:val="32"/>
          <w:szCs w:val="32"/>
        </w:rPr>
        <w:t>2900</w:t>
      </w:r>
      <w:r>
        <w:rPr>
          <w:rFonts w:ascii="仿宋" w:eastAsia="仿宋" w:cs="宋体" w:hint="eastAsia"/>
          <w:sz w:val="32"/>
          <w:szCs w:val="32"/>
        </w:rPr>
        <w:t>个到各县（市），安全头盔、安全带使用率相较以往提升</w:t>
      </w:r>
      <w:r>
        <w:rPr>
          <w:rFonts w:ascii="仿宋" w:eastAsia="仿宋" w:hint="eastAsia"/>
          <w:sz w:val="32"/>
          <w:szCs w:val="32"/>
        </w:rPr>
        <w:t>6%</w:t>
      </w:r>
      <w:r>
        <w:rPr>
          <w:rFonts w:ascii="仿宋" w:eastAsia="仿宋" w:cs="宋体" w:hint="eastAsia"/>
          <w:sz w:val="32"/>
          <w:szCs w:val="32"/>
        </w:rPr>
        <w:t>以上。今年，开展调查研究，形成《关于公安交警规范执法服务群众工作情况的报告》和《关于全州国省道路限速和测速点位设置情况的报告》，得到州委徐芝文书记的肯定性批示。</w:t>
      </w:r>
      <w:r>
        <w:rPr>
          <w:rFonts w:ascii="仿宋" w:eastAsia="仿宋" w:cs="仿宋_GB2312" w:hint="eastAsia"/>
          <w:bCs/>
          <w:color w:val="000000"/>
          <w:sz w:val="32"/>
          <w:szCs w:val="32"/>
        </w:rPr>
        <w:t>“五一”期间</w:t>
      </w:r>
      <w:r>
        <w:rPr>
          <w:rFonts w:ascii="仿宋" w:eastAsia="仿宋" w:cs="宋体" w:hint="eastAsia"/>
          <w:snapToGrid w:val="0"/>
          <w:color w:val="000000"/>
          <w:sz w:val="32"/>
          <w:szCs w:val="32"/>
        </w:rPr>
        <w:t>，全州公安</w:t>
      </w:r>
      <w:r>
        <w:rPr>
          <w:rFonts w:ascii="仿宋" w:eastAsia="仿宋" w:cs="宋体"/>
          <w:color w:val="000000"/>
          <w:spacing w:val="-6"/>
          <w:sz w:val="32"/>
          <w:szCs w:val="32"/>
        </w:rPr>
        <w:t>交管</w:t>
      </w:r>
      <w:r>
        <w:rPr>
          <w:rFonts w:ascii="仿宋" w:eastAsia="仿宋" w:cs="宋体" w:hint="eastAsia"/>
          <w:snapToGrid w:val="0"/>
          <w:color w:val="000000"/>
          <w:sz w:val="32"/>
          <w:szCs w:val="32"/>
        </w:rPr>
        <w:t>部门</w:t>
      </w:r>
      <w:r>
        <w:rPr>
          <w:rFonts w:ascii="仿宋" w:eastAsia="仿宋" w:cs="宋体" w:hint="eastAsia"/>
          <w:color w:val="000000"/>
          <w:sz w:val="32"/>
          <w:szCs w:val="32"/>
        </w:rPr>
        <w:t>实施</w:t>
      </w:r>
      <w:r>
        <w:rPr>
          <w:rFonts w:ascii="仿宋" w:eastAsia="仿宋" w:cs="Times New Roman"/>
          <w:color w:val="000000"/>
          <w:sz w:val="32"/>
          <w:szCs w:val="32"/>
        </w:rPr>
        <w:t>“</w:t>
      </w:r>
      <w:r>
        <w:rPr>
          <w:rFonts w:ascii="仿宋" w:eastAsia="仿宋" w:cs="宋体" w:hint="eastAsia"/>
          <w:color w:val="000000"/>
          <w:sz w:val="32"/>
          <w:szCs w:val="32"/>
        </w:rPr>
        <w:t>九句</w:t>
      </w:r>
      <w:r>
        <w:rPr>
          <w:rFonts w:ascii="仿宋" w:eastAsia="仿宋" w:cs="仿宋_GB2312" w:hint="eastAsia"/>
          <w:color w:val="000000"/>
          <w:sz w:val="32"/>
          <w:szCs w:val="32"/>
        </w:rPr>
        <w:t>72</w:t>
      </w:r>
      <w:r>
        <w:rPr>
          <w:rFonts w:ascii="仿宋" w:eastAsia="仿宋" w:cs="宋体" w:hint="eastAsia"/>
          <w:color w:val="000000"/>
          <w:sz w:val="32"/>
          <w:szCs w:val="32"/>
        </w:rPr>
        <w:t>字</w:t>
      </w:r>
      <w:r>
        <w:rPr>
          <w:rFonts w:ascii="仿宋" w:eastAsia="仿宋" w:cs="Times New Roman"/>
          <w:color w:val="000000"/>
          <w:sz w:val="32"/>
          <w:szCs w:val="32"/>
        </w:rPr>
        <w:t>”</w:t>
      </w:r>
      <w:r>
        <w:rPr>
          <w:rFonts w:ascii="仿宋" w:eastAsia="仿宋" w:cs="宋体" w:hint="eastAsia"/>
          <w:color w:val="000000"/>
          <w:sz w:val="32"/>
          <w:szCs w:val="32"/>
        </w:rPr>
        <w:t>的</w:t>
      </w:r>
      <w:r>
        <w:rPr>
          <w:rFonts w:ascii="仿宋" w:eastAsia="仿宋" w:cs="宋体" w:hint="eastAsia"/>
          <w:color w:val="000000"/>
          <w:spacing w:val="-6"/>
          <w:sz w:val="32"/>
          <w:szCs w:val="32"/>
        </w:rPr>
        <w:t>（</w:t>
      </w:r>
      <w:r>
        <w:rPr>
          <w:rFonts w:ascii="仿宋" w:eastAsia="仿宋" w:cs="宋体" w:hint="eastAsia"/>
          <w:sz w:val="32"/>
          <w:szCs w:val="32"/>
        </w:rPr>
        <w:t>提早谋划，排治风险；领导包片，实战一线；综合研判，调度精准；信息先行，引导错峰；远端管控，近端疏导；多点联动，重点驻防；应急</w:t>
      </w:r>
      <w:r>
        <w:rPr>
          <w:rFonts w:ascii="仿宋" w:eastAsia="仿宋" w:cs="宋体"/>
          <w:sz w:val="32"/>
          <w:szCs w:val="32"/>
        </w:rPr>
        <w:t>处</w:t>
      </w:r>
      <w:bookmarkStart w:id="79" w:name="_GoBack"/>
      <w:bookmarkEnd w:id="79"/>
      <w:r>
        <w:rPr>
          <w:rFonts w:ascii="仿宋" w:eastAsia="仿宋" w:cs="宋体" w:hint="eastAsia"/>
          <w:sz w:val="32"/>
          <w:szCs w:val="32"/>
        </w:rPr>
        <w:t>置，快处迅撤；首违轻处，严查重违；优质服务，树立形象</w:t>
      </w:r>
      <w:r>
        <w:rPr>
          <w:rFonts w:ascii="仿宋" w:eastAsia="仿宋" w:cs="宋体" w:hint="eastAsia"/>
          <w:color w:val="000000"/>
          <w:spacing w:val="-6"/>
          <w:sz w:val="32"/>
          <w:szCs w:val="32"/>
        </w:rPr>
        <w:t>）</w:t>
      </w:r>
      <w:r>
        <w:rPr>
          <w:rFonts w:ascii="仿宋" w:eastAsia="仿宋" w:cs="仿宋_GB2312" w:hint="eastAsia"/>
          <w:b/>
          <w:bCs/>
          <w:color w:val="000000"/>
          <w:sz w:val="32"/>
          <w:szCs w:val="32"/>
        </w:rPr>
        <w:t>“972”</w:t>
      </w:r>
      <w:r>
        <w:rPr>
          <w:rFonts w:ascii="仿宋" w:eastAsia="仿宋" w:cs="宋体" w:hint="eastAsia"/>
          <w:color w:val="000000"/>
          <w:sz w:val="32"/>
          <w:szCs w:val="32"/>
        </w:rPr>
        <w:t>技战法，</w:t>
      </w:r>
      <w:r>
        <w:rPr>
          <w:rFonts w:ascii="仿宋" w:eastAsia="仿宋" w:cs="黑体" w:hint="eastAsia"/>
          <w:color w:val="000000"/>
          <w:sz w:val="32"/>
          <w:szCs w:val="32"/>
        </w:rPr>
        <w:t>部署落实无延误、信息引导无滞后、精准调度无差错以、精准调度无差错、督导检查无疏漏、服务群众无投诉、服务群众无投诉、交通事故无亡人的</w:t>
      </w:r>
      <w:r>
        <w:rPr>
          <w:rFonts w:ascii="仿宋" w:eastAsia="仿宋" w:cs="仿宋_GB2312" w:hint="eastAsia"/>
          <w:color w:val="000000"/>
          <w:sz w:val="32"/>
          <w:szCs w:val="32"/>
        </w:rPr>
        <w:t>“</w:t>
      </w:r>
      <w:r>
        <w:rPr>
          <w:rFonts w:ascii="仿宋" w:eastAsia="仿宋" w:cs="宋体" w:hint="eastAsia"/>
          <w:color w:val="000000"/>
          <w:sz w:val="32"/>
          <w:szCs w:val="32"/>
        </w:rPr>
        <w:t>六无</w:t>
      </w:r>
      <w:r>
        <w:rPr>
          <w:rFonts w:ascii="仿宋" w:eastAsia="仿宋" w:cs="Times New Roman"/>
          <w:color w:val="000000"/>
          <w:sz w:val="32"/>
          <w:szCs w:val="32"/>
        </w:rPr>
        <w:t>”</w:t>
      </w:r>
      <w:r>
        <w:rPr>
          <w:rFonts w:ascii="仿宋" w:eastAsia="仿宋" w:cs="宋体" w:hint="eastAsia"/>
          <w:color w:val="000000"/>
          <w:sz w:val="32"/>
          <w:szCs w:val="32"/>
        </w:rPr>
        <w:t>成绩，实现了</w:t>
      </w:r>
      <w:r>
        <w:rPr>
          <w:rFonts w:ascii="仿宋" w:eastAsia="仿宋" w:cs="Times New Roman"/>
          <w:color w:val="000000"/>
          <w:sz w:val="32"/>
          <w:szCs w:val="32"/>
        </w:rPr>
        <w:t>“</w:t>
      </w:r>
      <w:r>
        <w:rPr>
          <w:rFonts w:ascii="仿宋" w:eastAsia="仿宋" w:cs="宋体" w:hint="eastAsia"/>
          <w:color w:val="000000"/>
          <w:sz w:val="32"/>
          <w:szCs w:val="32"/>
        </w:rPr>
        <w:t>不发生重大交通事故、不发生长时间大面积的拥堵</w:t>
      </w:r>
      <w:r>
        <w:rPr>
          <w:rFonts w:ascii="仿宋" w:eastAsia="仿宋" w:cs="Times New Roman"/>
          <w:color w:val="000000"/>
          <w:sz w:val="32"/>
          <w:szCs w:val="32"/>
        </w:rPr>
        <w:t>”</w:t>
      </w:r>
      <w:r>
        <w:rPr>
          <w:rFonts w:ascii="仿宋" w:eastAsia="仿宋" w:cs="宋体" w:hint="eastAsia"/>
          <w:color w:val="000000"/>
          <w:sz w:val="32"/>
          <w:szCs w:val="32"/>
        </w:rPr>
        <w:t>的工作目标。</w:t>
      </w:r>
      <w:r>
        <w:rPr>
          <w:rFonts w:ascii="仿宋" w:eastAsia="仿宋" w:cs="仿宋_GB2312"/>
          <w:color w:val="000000"/>
          <w:sz w:val="32"/>
          <w:szCs w:val="32"/>
          <w:shd w:val="clear" w:color="auto" w:fill="FFFFFF"/>
        </w:rPr>
        <w:t>“十一”黄金周期间，全州公安交管部门</w:t>
      </w:r>
      <w:r>
        <w:rPr>
          <w:rFonts w:ascii="仿宋" w:eastAsia="仿宋" w:cs="仿宋_GB2312" w:hint="eastAsia"/>
          <w:color w:val="000000"/>
          <w:sz w:val="32"/>
          <w:szCs w:val="32"/>
          <w:shd w:val="clear" w:color="auto" w:fill="FFFFFF"/>
        </w:rPr>
        <w:t>强化</w:t>
      </w:r>
      <w:r>
        <w:rPr>
          <w:rFonts w:ascii="仿宋" w:eastAsia="仿宋" w:cs="黑体"/>
          <w:color w:val="000000"/>
          <w:kern w:val="0"/>
          <w:sz w:val="32"/>
          <w:szCs w:val="32"/>
          <w:shd w:val="clear" w:color="auto" w:fill="FFFFFF"/>
        </w:rPr>
        <w:t>突出分析研判，强化组织部署</w:t>
      </w:r>
      <w:r>
        <w:rPr>
          <w:rFonts w:ascii="仿宋" w:eastAsia="仿宋" w:cs="黑体" w:hint="eastAsia"/>
          <w:color w:val="000000"/>
          <w:kern w:val="0"/>
          <w:sz w:val="32"/>
          <w:szCs w:val="32"/>
          <w:shd w:val="clear" w:color="auto" w:fill="FFFFFF"/>
        </w:rPr>
        <w:t>；</w:t>
      </w:r>
      <w:r>
        <w:rPr>
          <w:rFonts w:ascii="仿宋" w:eastAsia="仿宋" w:cs="黑体"/>
          <w:color w:val="000000"/>
          <w:kern w:val="0"/>
          <w:sz w:val="32"/>
          <w:szCs w:val="32"/>
          <w:shd w:val="clear" w:color="auto" w:fill="FFFFFF"/>
        </w:rPr>
        <w:t>突出源头管理，强化隐患排治</w:t>
      </w:r>
      <w:r>
        <w:rPr>
          <w:rFonts w:ascii="仿宋" w:eastAsia="仿宋" w:cs="黑体" w:hint="eastAsia"/>
          <w:color w:val="000000"/>
          <w:kern w:val="0"/>
          <w:sz w:val="32"/>
          <w:szCs w:val="32"/>
          <w:shd w:val="clear" w:color="auto" w:fill="FFFFFF"/>
        </w:rPr>
        <w:t>；突出路面管控，强化交通组织;突出优质服务，强化交通宣传;突出等级勤务，强化督导检查</w:t>
      </w:r>
      <w:r>
        <w:rPr>
          <w:rFonts w:ascii="仿宋" w:eastAsia="仿宋" w:cs="仿宋_GB2312" w:hint="eastAsia"/>
          <w:color w:val="000000"/>
          <w:sz w:val="32"/>
          <w:szCs w:val="32"/>
          <w:shd w:val="clear" w:color="auto" w:fill="FFFFFF"/>
        </w:rPr>
        <w:t>“五个突出”，未发生亡人事故，未发生长时间、长距离交通拥堵和因执法不当引发的重大负面舆情及队伍违法违纪案事件。</w:t>
      </w:r>
      <w:r>
        <w:rPr>
          <w:rFonts w:ascii="仿宋" w:eastAsia="仿宋" w:cs="仿宋_GB2312" w:hint="eastAsia"/>
          <w:b/>
          <w:bCs/>
          <w:color w:val="000000"/>
          <w:sz w:val="32"/>
          <w:szCs w:val="32"/>
          <w:shd w:val="clear" w:color="auto" w:fill="FFFFFF"/>
          <w:lang w:val="en-US" w:eastAsia="zh-CN"/>
        </w:rPr>
        <w:t>二是</w:t>
      </w:r>
      <w:r>
        <w:rPr>
          <w:rFonts w:ascii="仿宋" w:eastAsia="仿宋" w:cs="楷体_GB2312" w:hint="eastAsia"/>
          <w:b/>
          <w:bCs/>
          <w:color w:val="000000"/>
          <w:kern w:val="0"/>
          <w:sz w:val="32"/>
          <w:szCs w:val="32"/>
        </w:rPr>
        <w:t>强力抓服务，提升群众满意度</w:t>
      </w:r>
      <w:r>
        <w:rPr>
          <w:rFonts w:ascii="仿宋" w:eastAsia="仿宋" w:cs="楷体_GB2312" w:hint="eastAsia"/>
          <w:b/>
          <w:bCs/>
          <w:color w:val="000000"/>
          <w:kern w:val="0"/>
          <w:sz w:val="32"/>
          <w:szCs w:val="32"/>
          <w:lang w:eastAsia="zh-CN"/>
        </w:rPr>
        <w:t>：</w:t>
      </w:r>
      <w:r>
        <w:rPr>
          <w:rFonts w:ascii="仿宋" w:eastAsia="仿宋" w:cs="宋体" w:hint="eastAsia"/>
          <w:sz w:val="32"/>
          <w:szCs w:val="32"/>
        </w:rPr>
        <w:t>持续深化</w:t>
      </w:r>
      <w:r>
        <w:rPr>
          <w:rFonts w:ascii="仿宋" w:eastAsia="仿宋" w:cs="Times New Roman"/>
          <w:sz w:val="32"/>
          <w:szCs w:val="32"/>
        </w:rPr>
        <w:t>“</w:t>
      </w:r>
      <w:r>
        <w:rPr>
          <w:rFonts w:ascii="仿宋" w:eastAsia="仿宋" w:cs="宋体" w:hint="eastAsia"/>
          <w:sz w:val="32"/>
          <w:szCs w:val="32"/>
        </w:rPr>
        <w:t>一网通办</w:t>
      </w:r>
      <w:r>
        <w:rPr>
          <w:rFonts w:ascii="仿宋" w:eastAsia="仿宋" w:cs="Times New Roman"/>
          <w:sz w:val="32"/>
          <w:szCs w:val="32"/>
        </w:rPr>
        <w:t>”</w:t>
      </w:r>
      <w:r>
        <w:rPr>
          <w:rFonts w:ascii="仿宋" w:eastAsia="仿宋" w:cs="宋体" w:hint="eastAsia"/>
          <w:sz w:val="32"/>
          <w:szCs w:val="32"/>
        </w:rPr>
        <w:t>改革，确保公安政务服务事项承诺时限减少</w:t>
      </w:r>
      <w:r>
        <w:rPr>
          <w:rFonts w:ascii="仿宋" w:eastAsia="仿宋" w:hint="eastAsia"/>
          <w:sz w:val="32"/>
          <w:szCs w:val="32"/>
        </w:rPr>
        <w:t>60%</w:t>
      </w:r>
      <w:r>
        <w:rPr>
          <w:rFonts w:ascii="仿宋" w:eastAsia="仿宋" w:cs="宋体" w:hint="eastAsia"/>
          <w:sz w:val="32"/>
          <w:szCs w:val="32"/>
        </w:rPr>
        <w:t>以上，按时办结率达到</w:t>
      </w:r>
      <w:r>
        <w:rPr>
          <w:rFonts w:ascii="仿宋" w:eastAsia="仿宋" w:hint="eastAsia"/>
          <w:sz w:val="32"/>
          <w:szCs w:val="32"/>
        </w:rPr>
        <w:t>99%</w:t>
      </w:r>
      <w:r>
        <w:rPr>
          <w:rFonts w:ascii="仿宋" w:eastAsia="仿宋" w:cs="宋体" w:hint="eastAsia"/>
          <w:sz w:val="32"/>
          <w:szCs w:val="32"/>
        </w:rPr>
        <w:t>以上，群众满意率达</w:t>
      </w:r>
      <w:r>
        <w:rPr>
          <w:rFonts w:ascii="Calibri" w:eastAsia="仿宋" w:cs="Calibri" w:hAnsi="Calibri"/>
          <w:sz w:val="32"/>
          <w:szCs w:val="32"/>
        </w:rPr>
        <w:t> </w:t>
      </w:r>
      <w:r>
        <w:rPr>
          <w:rFonts w:ascii="仿宋" w:eastAsia="仿宋" w:hint="eastAsia"/>
          <w:sz w:val="32"/>
          <w:szCs w:val="32"/>
        </w:rPr>
        <w:t>98%</w:t>
      </w:r>
      <w:r>
        <w:rPr>
          <w:rFonts w:ascii="仿宋" w:eastAsia="仿宋" w:cs="宋体" w:hint="eastAsia"/>
          <w:sz w:val="32"/>
          <w:szCs w:val="32"/>
        </w:rPr>
        <w:t>以上。科技赋能交管工作。全力做好为民服务工作，</w:t>
      </w:r>
      <w:r>
        <w:rPr>
          <w:rFonts w:ascii="仿宋" w:eastAsia="仿宋" w:cs="Times New Roman"/>
          <w:sz w:val="32"/>
          <w:szCs w:val="32"/>
        </w:rPr>
        <w:t>“</w:t>
      </w:r>
      <w:r>
        <w:rPr>
          <w:rFonts w:ascii="仿宋" w:eastAsia="仿宋" w:cs="宋体" w:hint="eastAsia"/>
          <w:sz w:val="32"/>
          <w:szCs w:val="32"/>
        </w:rPr>
        <w:t>送考下乡</w:t>
      </w:r>
      <w:r>
        <w:rPr>
          <w:rFonts w:ascii="仿宋" w:eastAsia="仿宋" w:cs="Times New Roman"/>
          <w:sz w:val="32"/>
          <w:szCs w:val="32"/>
        </w:rPr>
        <w:t>”</w:t>
      </w:r>
      <w:r>
        <w:rPr>
          <w:rFonts w:ascii="仿宋" w:eastAsia="仿宋" w:cs="宋体" w:hint="eastAsia"/>
          <w:sz w:val="32"/>
          <w:szCs w:val="32"/>
        </w:rPr>
        <w:t>以来，共计</w:t>
      </w:r>
      <w:r>
        <w:rPr>
          <w:rFonts w:ascii="仿宋" w:eastAsia="仿宋" w:hint="eastAsia"/>
          <w:sz w:val="32"/>
          <w:szCs w:val="32"/>
        </w:rPr>
        <w:t>58</w:t>
      </w:r>
      <w:r>
        <w:rPr>
          <w:rFonts w:ascii="仿宋" w:eastAsia="仿宋" w:cs="宋体" w:hint="eastAsia"/>
          <w:sz w:val="32"/>
          <w:szCs w:val="32"/>
        </w:rPr>
        <w:t>场次</w:t>
      </w:r>
      <w:r>
        <w:rPr>
          <w:rFonts w:ascii="仿宋" w:eastAsia="仿宋" w:hint="eastAsia"/>
          <w:sz w:val="32"/>
          <w:szCs w:val="32"/>
        </w:rPr>
        <w:t>4500</w:t>
      </w:r>
      <w:r>
        <w:rPr>
          <w:rFonts w:ascii="仿宋" w:eastAsia="仿宋" w:cs="宋体" w:hint="eastAsia"/>
          <w:sz w:val="32"/>
          <w:szCs w:val="32"/>
        </w:rPr>
        <w:t>余名群众报名参加，合格发证</w:t>
      </w:r>
      <w:r>
        <w:rPr>
          <w:rFonts w:ascii="仿宋" w:eastAsia="仿宋" w:hint="eastAsia"/>
          <w:sz w:val="32"/>
          <w:szCs w:val="32"/>
        </w:rPr>
        <w:t>4100</w:t>
      </w:r>
      <w:r>
        <w:rPr>
          <w:rFonts w:ascii="仿宋" w:eastAsia="仿宋" w:cs="宋体" w:hint="eastAsia"/>
          <w:sz w:val="32"/>
          <w:szCs w:val="32"/>
        </w:rPr>
        <w:t>余本，为群众节省经济支出共计</w:t>
      </w:r>
      <w:r>
        <w:rPr>
          <w:rFonts w:ascii="仿宋" w:eastAsia="仿宋" w:hint="eastAsia"/>
          <w:sz w:val="32"/>
          <w:szCs w:val="32"/>
        </w:rPr>
        <w:t>180</w:t>
      </w:r>
      <w:r>
        <w:rPr>
          <w:rFonts w:ascii="仿宋" w:eastAsia="仿宋" w:cs="宋体" w:hint="eastAsia"/>
          <w:sz w:val="32"/>
          <w:szCs w:val="32"/>
        </w:rPr>
        <w:t>余万元。</w:t>
      </w:r>
      <w:r>
        <w:rPr>
          <w:rFonts w:ascii="仿宋" w:eastAsia="仿宋" w:cs="宋体" w:hint="eastAsia"/>
          <w:b/>
          <w:bCs/>
          <w:sz w:val="32"/>
          <w:szCs w:val="32"/>
          <w:lang w:val="en-US" w:eastAsia="zh-CN"/>
        </w:rPr>
        <w:t>三是</w:t>
      </w:r>
      <w:r>
        <w:rPr>
          <w:rFonts w:ascii="仿宋" w:eastAsia="仿宋" w:cs="楷体_GB2312" w:hint="eastAsia"/>
          <w:b/>
          <w:bCs/>
          <w:kern w:val="0"/>
          <w:sz w:val="32"/>
          <w:szCs w:val="32"/>
        </w:rPr>
        <w:t>强力抓管控，筑牢安全防线</w:t>
      </w:r>
      <w:r>
        <w:rPr>
          <w:rFonts w:ascii="仿宋" w:eastAsia="仿宋" w:cs="楷体_GB2312" w:hint="eastAsia"/>
          <w:b/>
          <w:bCs/>
          <w:kern w:val="0"/>
          <w:sz w:val="32"/>
          <w:szCs w:val="32"/>
          <w:lang w:eastAsia="zh-CN"/>
        </w:rPr>
        <w:t>：</w:t>
      </w:r>
      <w:r>
        <w:rPr>
          <w:rStyle w:val="23"/>
          <w:rFonts w:ascii="仿宋" w:eastAsia="仿宋" w:cs="宋体" w:hint="eastAsia"/>
          <w:kern w:val="0"/>
          <w:sz w:val="32"/>
          <w:szCs w:val="32"/>
          <w:shd w:val="clear" w:color="auto" w:fill="FFFFFF"/>
        </w:rPr>
        <w:t>强化企业主体责任，</w:t>
      </w:r>
      <w:r>
        <w:rPr>
          <w:rFonts w:ascii="仿宋" w:eastAsia="仿宋" w:cs="宋体" w:hint="eastAsia"/>
          <w:sz w:val="32"/>
          <w:szCs w:val="32"/>
        </w:rPr>
        <w:t>涉及</w:t>
      </w:r>
      <w:r>
        <w:rPr>
          <w:rFonts w:ascii="仿宋" w:eastAsia="仿宋" w:cs="仿宋_GB2312" w:hint="eastAsia"/>
          <w:sz w:val="32"/>
          <w:szCs w:val="32"/>
        </w:rPr>
        <w:t>16</w:t>
      </w:r>
      <w:r>
        <w:rPr>
          <w:rFonts w:ascii="仿宋" w:eastAsia="仿宋" w:cs="宋体" w:hint="eastAsia"/>
          <w:sz w:val="32"/>
          <w:szCs w:val="32"/>
        </w:rPr>
        <w:t>家重点企业均已约谈并整改完毕。</w:t>
      </w:r>
      <w:r>
        <w:rPr>
          <w:rStyle w:val="23"/>
          <w:rFonts w:ascii="仿宋" w:eastAsia="仿宋" w:cs="宋体" w:hint="eastAsia"/>
          <w:kern w:val="0"/>
          <w:sz w:val="32"/>
          <w:szCs w:val="32"/>
          <w:shd w:val="clear" w:color="auto" w:fill="FFFFFF"/>
        </w:rPr>
        <w:t>严管</w:t>
      </w:r>
      <w:r>
        <w:rPr>
          <w:rFonts w:ascii="仿宋" w:eastAsia="仿宋" w:cs="仿宋_GB2312" w:hint="eastAsia"/>
          <w:kern w:val="0"/>
          <w:sz w:val="32"/>
          <w:szCs w:val="32"/>
          <w:shd w:val="clear" w:color="auto" w:fill="FFFFFF"/>
        </w:rPr>
        <w:t>“</w:t>
      </w:r>
      <w:r>
        <w:rPr>
          <w:rFonts w:ascii="仿宋" w:eastAsia="仿宋" w:cs="宋体" w:hint="eastAsia"/>
          <w:kern w:val="0"/>
          <w:sz w:val="32"/>
          <w:szCs w:val="32"/>
          <w:shd w:val="clear" w:color="auto" w:fill="FFFFFF"/>
        </w:rPr>
        <w:t>两客一危一货</w:t>
      </w:r>
      <w:r>
        <w:rPr>
          <w:rFonts w:ascii="仿宋" w:eastAsia="仿宋" w:cs="Times New Roman"/>
          <w:kern w:val="0"/>
          <w:sz w:val="32"/>
          <w:szCs w:val="32"/>
          <w:shd w:val="clear" w:color="auto" w:fill="FFFFFF"/>
        </w:rPr>
        <w:t>”</w:t>
      </w:r>
      <w:r>
        <w:rPr>
          <w:rFonts w:ascii="仿宋" w:eastAsia="仿宋" w:cs="宋体" w:hint="eastAsia"/>
          <w:kern w:val="0"/>
          <w:sz w:val="32"/>
          <w:szCs w:val="32"/>
          <w:shd w:val="clear" w:color="auto" w:fill="FFFFFF"/>
        </w:rPr>
        <w:t>重点车辆、驾驶人，不断提高重点车辆的检验率、报废</w:t>
      </w:r>
      <w:r>
        <w:rPr>
          <w:rFonts w:ascii="仿宋" w:eastAsia="仿宋" w:cs="宋体" w:hint="eastAsia"/>
          <w:sz w:val="32"/>
          <w:szCs w:val="32"/>
        </w:rPr>
        <w:t>率、查处率。</w:t>
      </w:r>
      <w:r>
        <w:rPr>
          <w:rStyle w:val="23"/>
          <w:rFonts w:ascii="仿宋" w:eastAsia="仿宋" w:cs="宋体" w:hint="eastAsia"/>
          <w:kern w:val="0"/>
          <w:sz w:val="32"/>
          <w:szCs w:val="32"/>
          <w:shd w:val="clear" w:color="auto" w:fill="FFFFFF"/>
        </w:rPr>
        <w:t>完善标识标牌设置。</w:t>
      </w:r>
      <w:r>
        <w:rPr>
          <w:rFonts w:ascii="仿宋" w:eastAsia="仿宋" w:cs="宋体" w:hint="eastAsia"/>
          <w:kern w:val="0"/>
          <w:sz w:val="32"/>
          <w:szCs w:val="32"/>
          <w:shd w:val="clear" w:color="auto" w:fill="FFFFFF"/>
        </w:rPr>
        <w:t>督促指导各大队重点排查交通信号</w:t>
      </w:r>
      <w:r>
        <w:rPr>
          <w:rFonts w:ascii="仿宋" w:eastAsia="仿宋" w:cs="宋体" w:hint="eastAsia"/>
          <w:sz w:val="32"/>
          <w:szCs w:val="32"/>
        </w:rPr>
        <w:t>灯、交通标志标线共</w:t>
      </w:r>
      <w:r>
        <w:rPr>
          <w:rFonts w:ascii="仿宋" w:eastAsia="仿宋" w:cs="仿宋_GB2312" w:hint="eastAsia"/>
          <w:sz w:val="32"/>
          <w:szCs w:val="32"/>
        </w:rPr>
        <w:t>137</w:t>
      </w:r>
      <w:r>
        <w:rPr>
          <w:rFonts w:ascii="仿宋" w:eastAsia="仿宋" w:cs="宋体" w:hint="eastAsia"/>
          <w:sz w:val="32"/>
          <w:szCs w:val="32"/>
        </w:rPr>
        <w:t>处，及时调整、更换不符合规范的标志、标线、信号灯共</w:t>
      </w:r>
      <w:r>
        <w:rPr>
          <w:rFonts w:ascii="仿宋" w:eastAsia="仿宋" w:cs="仿宋_GB2312" w:hint="eastAsia"/>
          <w:sz w:val="32"/>
          <w:szCs w:val="32"/>
        </w:rPr>
        <w:t>39</w:t>
      </w:r>
      <w:r>
        <w:rPr>
          <w:rFonts w:ascii="仿宋" w:eastAsia="仿宋" w:cs="宋体" w:hint="eastAsia"/>
          <w:sz w:val="32"/>
          <w:szCs w:val="32"/>
        </w:rPr>
        <w:t>处。</w:t>
      </w:r>
      <w:r>
        <w:rPr>
          <w:rStyle w:val="23"/>
          <w:rFonts w:ascii="仿宋" w:eastAsia="仿宋" w:cs="宋体" w:hint="eastAsia"/>
          <w:color w:val="000000"/>
          <w:kern w:val="0"/>
          <w:sz w:val="32"/>
          <w:szCs w:val="32"/>
          <w:shd w:val="clear" w:color="auto" w:fill="FFFFFF"/>
          <w14:textFill>
            <w14:solidFill>
              <w14:srgbClr w14:val="000000"/>
            </w14:solidFill>
          </w14:textFill>
        </w:rPr>
        <w:t>加强安全宣传引导。</w:t>
      </w:r>
      <w:r>
        <w:rPr>
          <w:rFonts w:ascii="仿宋" w:eastAsia="仿宋" w:cs="宋体" w:hint="eastAsia"/>
          <w:kern w:val="0"/>
          <w:sz w:val="32"/>
          <w:szCs w:val="32"/>
          <w:shd w:val="clear" w:color="auto" w:fill="FFFFFF"/>
        </w:rPr>
        <w:t>截</w:t>
      </w:r>
      <w:r>
        <w:rPr>
          <w:rFonts w:ascii="仿宋" w:eastAsia="仿宋" w:cs="宋体"/>
          <w:kern w:val="0"/>
          <w:sz w:val="32"/>
          <w:szCs w:val="32"/>
          <w:shd w:val="clear" w:color="auto" w:fill="FFFFFF"/>
        </w:rPr>
        <w:t>至</w:t>
      </w:r>
      <w:r>
        <w:rPr>
          <w:rFonts w:ascii="仿宋" w:eastAsia="仿宋" w:cs="宋体" w:hint="eastAsia"/>
          <w:kern w:val="0"/>
          <w:sz w:val="32"/>
          <w:szCs w:val="32"/>
          <w:shd w:val="clear" w:color="auto" w:fill="FFFFFF"/>
        </w:rPr>
        <w:t>目前，开展交通安全专题宣讲活动</w:t>
      </w:r>
      <w:r>
        <w:rPr>
          <w:rFonts w:ascii="仿宋" w:eastAsia="仿宋" w:cs="仿宋_GB2312" w:hint="eastAsia"/>
          <w:kern w:val="0"/>
          <w:sz w:val="32"/>
          <w:szCs w:val="32"/>
          <w:shd w:val="clear" w:color="auto" w:fill="FFFFFF"/>
        </w:rPr>
        <w:t>143</w:t>
      </w:r>
      <w:r>
        <w:rPr>
          <w:rFonts w:ascii="仿宋" w:eastAsia="仿宋" w:cs="宋体" w:hint="eastAsia"/>
          <w:kern w:val="0"/>
          <w:sz w:val="32"/>
          <w:szCs w:val="32"/>
          <w:shd w:val="clear" w:color="auto" w:fill="FFFFFF"/>
        </w:rPr>
        <w:t>场次，悬挂宣传横幅</w:t>
      </w:r>
      <w:r>
        <w:rPr>
          <w:rFonts w:ascii="仿宋" w:eastAsia="仿宋" w:cs="仿宋_GB2312" w:hint="eastAsia"/>
          <w:kern w:val="0"/>
          <w:sz w:val="32"/>
          <w:szCs w:val="32"/>
          <w:shd w:val="clear" w:color="auto" w:fill="FFFFFF"/>
        </w:rPr>
        <w:t>67</w:t>
      </w:r>
      <w:r>
        <w:rPr>
          <w:rFonts w:ascii="仿宋" w:eastAsia="仿宋" w:cs="宋体" w:hint="eastAsia"/>
          <w:kern w:val="0"/>
          <w:sz w:val="32"/>
          <w:szCs w:val="32"/>
          <w:shd w:val="clear" w:color="auto" w:fill="FFFFFF"/>
        </w:rPr>
        <w:t>条、粘贴公告</w:t>
      </w:r>
      <w:r>
        <w:rPr>
          <w:rFonts w:ascii="仿宋" w:eastAsia="仿宋" w:cs="仿宋_GB2312" w:hint="eastAsia"/>
          <w:kern w:val="0"/>
          <w:sz w:val="32"/>
          <w:szCs w:val="32"/>
          <w:shd w:val="clear" w:color="auto" w:fill="FFFFFF"/>
        </w:rPr>
        <w:t>850</w:t>
      </w:r>
      <w:r>
        <w:rPr>
          <w:rFonts w:ascii="仿宋" w:eastAsia="仿宋" w:cs="宋体" w:hint="eastAsia"/>
          <w:kern w:val="0"/>
          <w:sz w:val="32"/>
          <w:szCs w:val="32"/>
          <w:shd w:val="clear" w:color="auto" w:fill="FFFFFF"/>
        </w:rPr>
        <w:t>余张，发放宣传资料</w:t>
      </w:r>
      <w:r>
        <w:rPr>
          <w:rFonts w:ascii="仿宋" w:eastAsia="仿宋" w:cs="仿宋_GB2312" w:hint="eastAsia"/>
          <w:kern w:val="0"/>
          <w:sz w:val="32"/>
          <w:szCs w:val="32"/>
          <w:shd w:val="clear" w:color="auto" w:fill="FFFFFF"/>
        </w:rPr>
        <w:t>50</w:t>
      </w:r>
      <w:r>
        <w:rPr>
          <w:rFonts w:ascii="仿宋" w:eastAsia="仿宋" w:cs="宋体" w:hint="eastAsia"/>
          <w:kern w:val="0"/>
          <w:sz w:val="32"/>
          <w:szCs w:val="32"/>
          <w:shd w:val="clear" w:color="auto" w:fill="FFFFFF"/>
        </w:rPr>
        <w:t>万余份。</w:t>
      </w:r>
      <w:r>
        <w:rPr>
          <w:rFonts w:ascii="仿宋" w:eastAsia="仿宋" w:cs="宋体" w:hint="eastAsia"/>
          <w:b/>
          <w:bCs/>
          <w:kern w:val="0"/>
          <w:sz w:val="32"/>
          <w:szCs w:val="32"/>
          <w:shd w:val="clear" w:color="auto" w:fill="FFFFFF"/>
          <w:lang w:val="en-US" w:eastAsia="zh-CN"/>
        </w:rPr>
        <w:t>四是</w:t>
      </w:r>
      <w:r>
        <w:rPr>
          <w:rFonts w:ascii="仿宋" w:eastAsia="仿宋" w:cs="楷体_GB2312" w:hint="eastAsia"/>
          <w:b/>
          <w:bCs/>
          <w:color w:val="000000"/>
          <w:kern w:val="0"/>
          <w:sz w:val="32"/>
          <w:szCs w:val="32"/>
        </w:rPr>
        <w:t>深化协同研讨，建立长效机制。</w:t>
      </w:r>
      <w:r>
        <w:rPr>
          <w:rFonts w:ascii="仿宋" w:eastAsia="仿宋" w:cs="宋体" w:hint="eastAsia"/>
          <w:color w:val="000000"/>
          <w:sz w:val="32"/>
          <w:szCs w:val="32"/>
          <w14:textFill>
            <w14:solidFill>
              <w14:srgbClr w14:val="000000"/>
            </w14:solidFill>
          </w14:textFill>
        </w:rPr>
        <w:t>充分发挥道安办（</w:t>
      </w:r>
      <w:r>
        <w:rPr>
          <w:rFonts w:ascii="仿宋" w:eastAsia="仿宋" w:cs="宋体" w:hint="eastAsia"/>
          <w:sz w:val="32"/>
          <w:szCs w:val="32"/>
        </w:rPr>
        <w:t>州道路交通安全事件指挥部办公室）</w:t>
      </w:r>
      <w:r>
        <w:rPr>
          <w:rFonts w:ascii="仿宋" w:eastAsia="仿宋" w:cs="宋体" w:hint="eastAsia"/>
          <w:color w:val="000000"/>
          <w:sz w:val="32"/>
          <w:szCs w:val="32"/>
          <w14:textFill>
            <w14:solidFill>
              <w14:srgbClr w14:val="000000"/>
            </w14:solidFill>
          </w14:textFill>
        </w:rPr>
        <w:t>作用，截</w:t>
      </w:r>
      <w:r>
        <w:rPr>
          <w:rFonts w:ascii="仿宋" w:eastAsia="仿宋" w:cs="宋体"/>
          <w:color w:val="000000"/>
          <w:sz w:val="32"/>
          <w:szCs w:val="32"/>
          <w14:textFill>
            <w14:solidFill>
              <w14:srgbClr w14:val="000000"/>
            </w14:solidFill>
          </w14:textFill>
        </w:rPr>
        <w:t>至</w:t>
      </w:r>
      <w:r>
        <w:rPr>
          <w:rFonts w:ascii="仿宋" w:eastAsia="仿宋" w:cs="宋体" w:hint="eastAsia"/>
          <w:color w:val="000000"/>
          <w:sz w:val="32"/>
          <w:szCs w:val="32"/>
          <w14:textFill>
            <w14:solidFill>
              <w14:srgbClr w14:val="000000"/>
            </w14:solidFill>
          </w14:textFill>
        </w:rPr>
        <w:t>目前，召开道安委（办）部署会</w:t>
      </w:r>
      <w:r>
        <w:rPr>
          <w:rFonts w:ascii="仿宋" w:eastAsia="仿宋" w:cs="仿宋_GB2312" w:hint="eastAsia"/>
          <w:color w:val="000000"/>
          <w:sz w:val="32"/>
          <w:szCs w:val="32"/>
          <w14:textFill>
            <w14:solidFill>
              <w14:srgbClr w14:val="000000"/>
            </w14:solidFill>
          </w14:textFill>
        </w:rPr>
        <w:t>3</w:t>
      </w:r>
      <w:r>
        <w:rPr>
          <w:rFonts w:ascii="仿宋" w:eastAsia="仿宋" w:cs="宋体" w:hint="eastAsia"/>
          <w:color w:val="000000"/>
          <w:sz w:val="32"/>
          <w:szCs w:val="32"/>
          <w14:textFill>
            <w14:solidFill>
              <w14:srgbClr w14:val="000000"/>
            </w14:solidFill>
          </w14:textFill>
        </w:rPr>
        <w:t>次，会商研判会</w:t>
      </w:r>
      <w:r>
        <w:rPr>
          <w:rFonts w:ascii="仿宋" w:eastAsia="仿宋" w:cs="仿宋_GB2312" w:hint="eastAsia"/>
          <w:color w:val="000000"/>
          <w:sz w:val="32"/>
          <w:szCs w:val="32"/>
          <w14:textFill>
            <w14:solidFill>
              <w14:srgbClr w14:val="000000"/>
            </w14:solidFill>
          </w14:textFill>
        </w:rPr>
        <w:t>5</w:t>
      </w:r>
      <w:r>
        <w:rPr>
          <w:rFonts w:ascii="仿宋" w:eastAsia="仿宋" w:cs="宋体" w:hint="eastAsia"/>
          <w:color w:val="000000"/>
          <w:sz w:val="32"/>
          <w:szCs w:val="32"/>
          <w14:textFill>
            <w14:solidFill>
              <w14:srgbClr w14:val="000000"/>
            </w14:solidFill>
          </w14:textFill>
        </w:rPr>
        <w:t>次，</w:t>
      </w:r>
      <w:r>
        <w:rPr>
          <w:rFonts w:ascii="仿宋" w:eastAsia="仿宋" w:cs="仿宋_GB2312" w:hint="eastAsia"/>
          <w:color w:val="000000"/>
          <w:sz w:val="32"/>
          <w:szCs w:val="32"/>
          <w14:textFill>
            <w14:solidFill>
              <w14:srgbClr w14:val="000000"/>
            </w14:solidFill>
          </w14:textFill>
        </w:rPr>
        <w:t>4</w:t>
      </w:r>
      <w:r>
        <w:rPr>
          <w:rFonts w:ascii="仿宋" w:eastAsia="仿宋" w:cs="宋体" w:hint="eastAsia"/>
          <w:color w:val="000000"/>
          <w:kern w:val="0"/>
          <w:sz w:val="32"/>
          <w:szCs w:val="32"/>
          <w:shd w:val="clear" w:color="auto" w:fill="FFFFFF"/>
          <w14:textFill>
            <w14:solidFill>
              <w14:srgbClr w14:val="000000"/>
            </w14:solidFill>
          </w14:textFill>
        </w:rPr>
        <w:t>批次</w:t>
      </w:r>
      <w:r>
        <w:rPr>
          <w:rFonts w:ascii="仿宋" w:eastAsia="仿宋" w:cs="仿宋_GB2312" w:hint="eastAsia"/>
          <w:color w:val="000000"/>
          <w:kern w:val="0"/>
          <w:sz w:val="32"/>
          <w:szCs w:val="32"/>
          <w:shd w:val="clear" w:color="auto" w:fill="FFFFFF"/>
          <w14:textFill>
            <w14:solidFill>
              <w14:srgbClr w14:val="000000"/>
            </w14:solidFill>
          </w14:textFill>
        </w:rPr>
        <w:t>12</w:t>
      </w:r>
      <w:r>
        <w:rPr>
          <w:rFonts w:ascii="仿宋" w:eastAsia="仿宋" w:cs="宋体" w:hint="eastAsia"/>
          <w:color w:val="000000"/>
          <w:kern w:val="0"/>
          <w:sz w:val="32"/>
          <w:szCs w:val="32"/>
          <w:shd w:val="clear" w:color="auto" w:fill="FFFFFF"/>
          <w14:textFill>
            <w14:solidFill>
              <w14:srgbClr w14:val="000000"/>
            </w14:solidFill>
          </w14:textFill>
        </w:rPr>
        <w:t>个督导组一线督导检查，普通公路隐患治理工作已全部完成治理并销号。</w:t>
      </w:r>
      <w:r>
        <w:rPr>
          <w:rFonts w:ascii="仿宋" w:eastAsia="仿宋" w:cs="宋体" w:hint="eastAsia"/>
          <w:b/>
          <w:bCs/>
          <w:color w:val="000000"/>
          <w:kern w:val="0"/>
          <w:sz w:val="32"/>
          <w:szCs w:val="32"/>
          <w:shd w:val="clear" w:color="auto" w:fill="FFFFFF"/>
          <w14:textFill>
            <w14:solidFill>
              <w14:srgbClr w14:val="000000"/>
            </w14:solidFill>
          </w14:textFill>
          <w:lang w:val="en-US" w:eastAsia="zh-CN"/>
        </w:rPr>
        <w:t>五是</w:t>
      </w:r>
      <w:r>
        <w:rPr>
          <w:rFonts w:ascii="仿宋" w:eastAsia="仿宋" w:hint="eastAsia"/>
          <w:b/>
          <w:sz w:val="32"/>
          <w:szCs w:val="32"/>
        </w:rPr>
        <w:t>强力抓基础，促高质量发展</w:t>
      </w:r>
      <w:r>
        <w:rPr>
          <w:rFonts w:ascii="仿宋" w:eastAsia="仿宋" w:hint="eastAsia"/>
          <w:b/>
          <w:sz w:val="32"/>
          <w:szCs w:val="32"/>
          <w:lang w:eastAsia="zh-CN"/>
        </w:rPr>
        <w:t>：</w:t>
      </w:r>
      <w:r>
        <w:rPr>
          <w:rFonts w:ascii="仿宋" w:eastAsia="仿宋" w:hint="eastAsia"/>
          <w:sz w:val="32"/>
          <w:szCs w:val="32"/>
        </w:rPr>
        <w:t>2024</w:t>
      </w:r>
      <w:r>
        <w:rPr>
          <w:rFonts w:ascii="仿宋" w:eastAsia="仿宋" w:cs="宋体" w:hint="eastAsia"/>
          <w:sz w:val="32"/>
          <w:szCs w:val="32"/>
        </w:rPr>
        <w:t>年省级政法转移支付资金预算</w:t>
      </w:r>
      <w:r>
        <w:rPr>
          <w:rFonts w:ascii="仿宋" w:eastAsia="仿宋" w:hint="eastAsia"/>
          <w:sz w:val="32"/>
          <w:szCs w:val="32"/>
        </w:rPr>
        <w:t>160</w:t>
      </w:r>
      <w:r>
        <w:rPr>
          <w:rFonts w:ascii="仿宋" w:eastAsia="仿宋" w:cs="宋体" w:hint="eastAsia"/>
          <w:sz w:val="32"/>
          <w:szCs w:val="32"/>
        </w:rPr>
        <w:t>万元为基层民辅警采购</w:t>
      </w:r>
      <w:r>
        <w:rPr>
          <w:rFonts w:ascii="仿宋" w:eastAsia="仿宋" w:hint="eastAsia"/>
          <w:sz w:val="32"/>
          <w:szCs w:val="32"/>
        </w:rPr>
        <w:t>1000</w:t>
      </w:r>
      <w:r>
        <w:rPr>
          <w:rFonts w:ascii="仿宋" w:eastAsia="仿宋" w:cs="宋体" w:hint="eastAsia"/>
          <w:sz w:val="32"/>
          <w:szCs w:val="32"/>
        </w:rPr>
        <w:t>件防刺服，预计</w:t>
      </w:r>
      <w:r>
        <w:rPr>
          <w:rFonts w:ascii="仿宋" w:eastAsia="仿宋" w:hint="eastAsia"/>
          <w:sz w:val="32"/>
          <w:szCs w:val="32"/>
        </w:rPr>
        <w:t>11</w:t>
      </w:r>
      <w:r>
        <w:rPr>
          <w:rFonts w:ascii="仿宋" w:eastAsia="仿宋" w:cs="宋体" w:hint="eastAsia"/>
          <w:sz w:val="32"/>
          <w:szCs w:val="32"/>
        </w:rPr>
        <w:t>月底前发放至基层各大队；</w:t>
      </w:r>
      <w:r>
        <w:rPr>
          <w:rFonts w:ascii="仿宋" w:eastAsia="仿宋" w:hint="eastAsia"/>
          <w:sz w:val="32"/>
          <w:szCs w:val="32"/>
        </w:rPr>
        <w:t>2024</w:t>
      </w:r>
      <w:r>
        <w:rPr>
          <w:rFonts w:ascii="仿宋" w:eastAsia="仿宋" w:cs="宋体" w:hint="eastAsia"/>
          <w:sz w:val="32"/>
          <w:szCs w:val="32"/>
        </w:rPr>
        <w:t>年省厅交</w:t>
      </w:r>
      <w:r>
        <w:rPr>
          <w:rFonts w:ascii="仿宋" w:eastAsia="仿宋" w:cs="宋体"/>
          <w:sz w:val="32"/>
          <w:szCs w:val="32"/>
        </w:rPr>
        <w:t>管</w:t>
      </w:r>
      <w:r>
        <w:rPr>
          <w:rFonts w:ascii="仿宋" w:eastAsia="仿宋" w:cs="宋体" w:hint="eastAsia"/>
          <w:sz w:val="32"/>
          <w:szCs w:val="32"/>
        </w:rPr>
        <w:t>总队划拨预算</w:t>
      </w:r>
      <w:r>
        <w:rPr>
          <w:rFonts w:ascii="仿宋" w:eastAsia="仿宋" w:hint="eastAsia"/>
          <w:sz w:val="32"/>
          <w:szCs w:val="32"/>
        </w:rPr>
        <w:t>216</w:t>
      </w:r>
      <w:r>
        <w:rPr>
          <w:rFonts w:ascii="仿宋" w:eastAsia="仿宋" w:cs="宋体" w:hint="eastAsia"/>
          <w:sz w:val="32"/>
          <w:szCs w:val="32"/>
        </w:rPr>
        <w:t>万元，在九环线投放建设</w:t>
      </w:r>
      <w:r>
        <w:rPr>
          <w:rFonts w:ascii="仿宋" w:eastAsia="仿宋" w:hint="eastAsia"/>
          <w:sz w:val="32"/>
          <w:szCs w:val="32"/>
        </w:rPr>
        <w:t>2</w:t>
      </w:r>
      <w:r>
        <w:rPr>
          <w:rFonts w:ascii="仿宋" w:eastAsia="仿宋" w:cs="宋体" w:hint="eastAsia"/>
          <w:sz w:val="32"/>
          <w:szCs w:val="32"/>
        </w:rPr>
        <w:t>段区间测速卡口、</w:t>
      </w:r>
      <w:r>
        <w:rPr>
          <w:rFonts w:ascii="仿宋" w:eastAsia="仿宋" w:hint="eastAsia"/>
          <w:sz w:val="32"/>
          <w:szCs w:val="32"/>
        </w:rPr>
        <w:t>6</w:t>
      </w:r>
      <w:r>
        <w:rPr>
          <w:rFonts w:ascii="仿宋" w:eastAsia="仿宋" w:cs="宋体" w:hint="eastAsia"/>
          <w:sz w:val="32"/>
          <w:szCs w:val="32"/>
        </w:rPr>
        <w:t>套</w:t>
      </w:r>
      <w:r>
        <w:rPr>
          <w:rFonts w:ascii="仿宋" w:eastAsia="仿宋" w:hint="eastAsia"/>
          <w:sz w:val="32"/>
          <w:szCs w:val="32"/>
        </w:rPr>
        <w:t>LED</w:t>
      </w:r>
      <w:r>
        <w:rPr>
          <w:rFonts w:ascii="仿宋" w:eastAsia="仿宋" w:cs="宋体" w:hint="eastAsia"/>
          <w:sz w:val="32"/>
          <w:szCs w:val="32"/>
        </w:rPr>
        <w:t>情报板，目前正在走招投标程序；州级财政去年起预算共</w:t>
      </w:r>
      <w:r>
        <w:rPr>
          <w:rFonts w:ascii="仿宋" w:eastAsia="仿宋" w:hint="eastAsia"/>
          <w:sz w:val="32"/>
          <w:szCs w:val="32"/>
        </w:rPr>
        <w:t>390</w:t>
      </w:r>
      <w:r>
        <w:rPr>
          <w:rFonts w:ascii="仿宋" w:eastAsia="仿宋" w:cs="宋体" w:hint="eastAsia"/>
          <w:sz w:val="32"/>
          <w:szCs w:val="32"/>
        </w:rPr>
        <w:t>万元，配备</w:t>
      </w:r>
      <w:r>
        <w:rPr>
          <w:rFonts w:ascii="仿宋" w:eastAsia="仿宋" w:hint="eastAsia"/>
          <w:sz w:val="32"/>
          <w:szCs w:val="32"/>
        </w:rPr>
        <w:t>340</w:t>
      </w:r>
      <w:r>
        <w:rPr>
          <w:rFonts w:ascii="仿宋" w:eastAsia="仿宋" w:cs="宋体" w:hint="eastAsia"/>
          <w:sz w:val="32"/>
          <w:szCs w:val="32"/>
        </w:rPr>
        <w:t>套移动警务终端，用于全州公安交</w:t>
      </w:r>
      <w:r>
        <w:rPr>
          <w:rFonts w:ascii="仿宋" w:eastAsia="仿宋" w:cs="宋体"/>
          <w:sz w:val="32"/>
          <w:szCs w:val="32"/>
        </w:rPr>
        <w:t>管</w:t>
      </w:r>
      <w:r>
        <w:rPr>
          <w:rFonts w:ascii="仿宋" w:eastAsia="仿宋" w:cs="宋体" w:hint="eastAsia"/>
          <w:sz w:val="32"/>
          <w:szCs w:val="32"/>
        </w:rPr>
        <w:t>基层一线民警现场执法、查处，目前已经发放至民辅警。加快推进阿坝公安交管大数据指挥中心业务技术用房项目，该项目概算投资</w:t>
      </w:r>
      <w:r>
        <w:rPr>
          <w:rFonts w:ascii="仿宋" w:eastAsia="仿宋" w:hint="eastAsia"/>
          <w:sz w:val="32"/>
          <w:szCs w:val="32"/>
        </w:rPr>
        <w:t>4690</w:t>
      </w:r>
      <w:r>
        <w:rPr>
          <w:rFonts w:ascii="仿宋" w:eastAsia="仿宋" w:cs="宋体" w:hint="eastAsia"/>
          <w:sz w:val="32"/>
          <w:szCs w:val="32"/>
        </w:rPr>
        <w:t>万元，建筑面积</w:t>
      </w:r>
      <w:r>
        <w:rPr>
          <w:rFonts w:ascii="仿宋" w:eastAsia="仿宋" w:hint="eastAsia"/>
          <w:sz w:val="32"/>
          <w:szCs w:val="32"/>
        </w:rPr>
        <w:t>8250</w:t>
      </w:r>
      <w:r>
        <w:rPr>
          <w:rFonts w:ascii="仿宋" w:eastAsia="仿宋" w:cs="宋体" w:hint="eastAsia"/>
          <w:sz w:val="32"/>
          <w:szCs w:val="32"/>
        </w:rPr>
        <w:t>平方米。</w:t>
      </w:r>
      <w:r>
        <w:rPr>
          <w:rFonts w:ascii="仿宋" w:eastAsia="仿宋" w:cs="宋体" w:hint="eastAsia"/>
          <w:b/>
          <w:bCs/>
          <w:sz w:val="32"/>
          <w:szCs w:val="32"/>
          <w:lang w:val="en-US" w:eastAsia="zh-CN"/>
        </w:rPr>
        <w:t>六是</w:t>
      </w:r>
      <w:r>
        <w:rPr>
          <w:rFonts w:ascii="仿宋" w:eastAsia="仿宋" w:cs="楷体_GB2312" w:hint="eastAsia"/>
          <w:b/>
          <w:bCs/>
          <w:color w:val="000000"/>
          <w:kern w:val="0"/>
          <w:sz w:val="32"/>
          <w:szCs w:val="32"/>
        </w:rPr>
        <w:t>从严管党治警，锻造过硬铁军。</w:t>
      </w:r>
      <w:r>
        <w:rPr>
          <w:rFonts w:ascii="仿宋" w:eastAsia="仿宋" w:cs="宋体" w:hint="eastAsia"/>
          <w:sz w:val="32"/>
          <w:szCs w:val="32"/>
        </w:rPr>
        <w:t>深入学习贯彻习近平总书记系列重要讲话精神，</w:t>
      </w:r>
      <w:r>
        <w:rPr>
          <w:rFonts w:ascii="仿宋" w:eastAsia="仿宋" w:cs="宋体" w:hint="eastAsia"/>
          <w:color w:val="000000"/>
          <w:sz w:val="32"/>
          <w:szCs w:val="32"/>
          <w14:textFill>
            <w14:solidFill>
              <w14:srgbClr w14:val="000000"/>
            </w14:solidFill>
          </w14:textFill>
        </w:rPr>
        <w:t>以自我学习、集中学习研讨、现场体验等形式，努力提升全体民辅警政治素质，</w:t>
      </w:r>
      <w:r>
        <w:rPr>
          <w:rFonts w:ascii="仿宋" w:eastAsia="仿宋" w:cs="宋体" w:hint="eastAsia"/>
          <w:sz w:val="32"/>
          <w:szCs w:val="32"/>
        </w:rPr>
        <w:t>以实际行动坚定拥护</w:t>
      </w:r>
      <w:r>
        <w:rPr>
          <w:rFonts w:ascii="仿宋" w:eastAsia="仿宋" w:cs="Times New Roman"/>
          <w:sz w:val="32"/>
          <w:szCs w:val="32"/>
        </w:rPr>
        <w:t>“</w:t>
      </w:r>
      <w:r>
        <w:rPr>
          <w:rFonts w:ascii="仿宋" w:eastAsia="仿宋" w:cs="宋体" w:hint="eastAsia"/>
          <w:sz w:val="32"/>
          <w:szCs w:val="32"/>
        </w:rPr>
        <w:t>两个确立</w:t>
      </w:r>
      <w:r>
        <w:rPr>
          <w:rFonts w:ascii="仿宋" w:eastAsia="仿宋" w:cs="Times New Roman"/>
          <w:sz w:val="32"/>
          <w:szCs w:val="32"/>
        </w:rPr>
        <w:t>”</w:t>
      </w:r>
      <w:r>
        <w:rPr>
          <w:rFonts w:ascii="仿宋" w:eastAsia="仿宋" w:cs="宋体" w:hint="eastAsia"/>
          <w:sz w:val="32"/>
          <w:szCs w:val="32"/>
        </w:rPr>
        <w:t>、坚决做到</w:t>
      </w:r>
      <w:r>
        <w:rPr>
          <w:rFonts w:ascii="仿宋" w:eastAsia="仿宋" w:cs="Times New Roman"/>
          <w:sz w:val="32"/>
          <w:szCs w:val="32"/>
        </w:rPr>
        <w:t>“</w:t>
      </w:r>
      <w:r>
        <w:rPr>
          <w:rFonts w:ascii="仿宋" w:eastAsia="仿宋" w:cs="宋体" w:hint="eastAsia"/>
          <w:sz w:val="32"/>
          <w:szCs w:val="32"/>
        </w:rPr>
        <w:t>两个维护</w:t>
      </w:r>
      <w:r>
        <w:rPr>
          <w:rFonts w:ascii="仿宋" w:eastAsia="仿宋" w:cs="Times New Roman"/>
          <w:sz w:val="32"/>
          <w:szCs w:val="32"/>
        </w:rPr>
        <w:t>”</w:t>
      </w:r>
      <w:r>
        <w:rPr>
          <w:rFonts w:ascii="仿宋" w:eastAsia="仿宋" w:cs="宋体" w:hint="eastAsia"/>
          <w:sz w:val="32"/>
          <w:szCs w:val="32"/>
        </w:rPr>
        <w:t>。开展</w:t>
      </w:r>
      <w:r>
        <w:rPr>
          <w:rFonts w:ascii="仿宋" w:eastAsia="仿宋" w:cs="仿宋_GB2312" w:hint="eastAsia"/>
          <w:sz w:val="32"/>
          <w:szCs w:val="32"/>
        </w:rPr>
        <w:t>7</w:t>
      </w:r>
      <w:r>
        <w:rPr>
          <w:rFonts w:ascii="仿宋" w:eastAsia="仿宋" w:cs="宋体" w:hint="eastAsia"/>
          <w:sz w:val="32"/>
          <w:szCs w:val="32"/>
        </w:rPr>
        <w:t>期</w:t>
      </w:r>
      <w:r>
        <w:rPr>
          <w:rFonts w:ascii="仿宋" w:eastAsia="仿宋" w:hint="eastAsia"/>
          <w:sz w:val="32"/>
          <w:szCs w:val="32"/>
        </w:rPr>
        <w:t>2024</w:t>
      </w:r>
      <w:r>
        <w:rPr>
          <w:rFonts w:ascii="仿宋" w:eastAsia="仿宋" w:cs="宋体" w:hint="eastAsia"/>
          <w:sz w:val="32"/>
          <w:szCs w:val="32"/>
        </w:rPr>
        <w:t>年度全州交</w:t>
      </w:r>
      <w:r>
        <w:rPr>
          <w:rFonts w:ascii="仿宋" w:eastAsia="仿宋" w:cs="宋体"/>
          <w:sz w:val="32"/>
          <w:szCs w:val="32"/>
        </w:rPr>
        <w:t>管</w:t>
      </w:r>
      <w:r>
        <w:rPr>
          <w:rFonts w:ascii="仿宋" w:eastAsia="仿宋" w:cs="宋体" w:hint="eastAsia"/>
          <w:sz w:val="32"/>
          <w:szCs w:val="32"/>
        </w:rPr>
        <w:t>业务培训，确保队伍专业化、职业化能力提升。持续推进车管服务窗口整治，进一步纯洁公安交</w:t>
      </w:r>
      <w:r>
        <w:rPr>
          <w:rFonts w:ascii="仿宋" w:eastAsia="仿宋" w:cs="宋体"/>
          <w:sz w:val="32"/>
          <w:szCs w:val="32"/>
        </w:rPr>
        <w:t>管</w:t>
      </w:r>
      <w:r>
        <w:rPr>
          <w:rFonts w:ascii="仿宋" w:eastAsia="仿宋" w:cs="宋体" w:hint="eastAsia"/>
          <w:sz w:val="32"/>
          <w:szCs w:val="32"/>
        </w:rPr>
        <w:t>队伍，提升队伍形象。开展建规范树标杆严执法强服务重塑公安交</w:t>
      </w:r>
      <w:r>
        <w:rPr>
          <w:rFonts w:ascii="仿宋" w:eastAsia="仿宋" w:cs="宋体"/>
          <w:sz w:val="32"/>
          <w:szCs w:val="32"/>
        </w:rPr>
        <w:t>管</w:t>
      </w:r>
      <w:r>
        <w:rPr>
          <w:rFonts w:ascii="仿宋" w:eastAsia="仿宋" w:cs="宋体" w:hint="eastAsia"/>
          <w:sz w:val="32"/>
          <w:szCs w:val="32"/>
        </w:rPr>
        <w:t>新形象专项工作，着力提升公安交</w:t>
      </w:r>
      <w:r>
        <w:rPr>
          <w:rFonts w:ascii="仿宋" w:eastAsia="仿宋" w:cs="宋体"/>
          <w:sz w:val="32"/>
          <w:szCs w:val="32"/>
        </w:rPr>
        <w:t>管</w:t>
      </w:r>
      <w:r>
        <w:rPr>
          <w:rFonts w:ascii="仿宋" w:eastAsia="仿宋" w:cs="宋体" w:hint="eastAsia"/>
          <w:sz w:val="32"/>
          <w:szCs w:val="32"/>
        </w:rPr>
        <w:t>执法形象。</w:t>
      </w:r>
    </w:p>
    <w:p>
      <w:pPr>
        <w:snapToGrid w:val="0"/>
        <w:spacing w:line="560" w:lineRule="exact"/>
        <w:ind w:firstLineChars="200" w:firstLine="640"/>
        <w:rPr>
          <w:rFonts w:ascii="仿宋_GB2312" w:eastAsia="仿宋_GB2312" w:cs="宋体" w:hint="eastAsia"/>
          <w:b/>
          <w:bCs/>
          <w:color w:val="000000"/>
          <w:kern w:val="0"/>
          <w:sz w:val="32"/>
          <w:szCs w:val="32"/>
          <w:shd w:val="clear" w:color="auto" w:fill="FFFFFF"/>
        </w:rPr>
      </w:pPr>
      <w:r>
        <w:rPr>
          <w:rFonts w:ascii="仿宋_GB2312" w:eastAsia="仿宋_GB2312" w:cs="宋体" w:hint="eastAsia"/>
          <w:b/>
          <w:bCs/>
          <w:color w:val="000000"/>
          <w:kern w:val="0"/>
          <w:sz w:val="32"/>
          <w:szCs w:val="32"/>
          <w:shd w:val="clear" w:color="auto" w:fill="FFFFFF"/>
        </w:rPr>
        <w:t>2.预算管理：</w:t>
      </w:r>
      <w:r>
        <w:rPr>
          <w:rFonts w:ascii="仿宋_GB2312" w:eastAsia="仿宋_GB2312" w:hint="eastAsia"/>
          <w:sz w:val="32"/>
          <w:szCs w:val="32"/>
        </w:rPr>
        <w:t>单位组织财务人员进行预算的编制，在预算编制及预算执行过程中严格考核每项工作经费的使用效果和效率。在发挥预算目标作用的同时，不断完善事前计划、事中控制、事后总结反馈的财务管理体系。</w:t>
      </w:r>
      <w:r>
        <w:rPr>
          <w:rFonts w:ascii="仿宋_GB2312" w:eastAsia="仿宋_GB2312" w:cs="Arial" w:hint="eastAsia"/>
          <w:sz w:val="32"/>
          <w:szCs w:val="32"/>
        </w:rPr>
        <w:t>建立预算执行责任制，将年度预算支出责任逐一分解落实到具体执行科室和责任</w:t>
      </w:r>
      <w:r>
        <w:rPr>
          <w:rFonts w:ascii="仿宋_GB2312" w:eastAsia="仿宋_GB2312" w:cs="Arial" w:hint="eastAsia"/>
          <w:color w:val="000000"/>
          <w:sz w:val="32"/>
          <w:szCs w:val="32"/>
          <w14:textFill>
            <w14:solidFill>
              <w14:srgbClr w14:val="000000"/>
            </w14:solidFill>
          </w14:textFill>
        </w:rPr>
        <w:t>人，形成领导重视、各科室联动共同促进预算执行的良好格局</w:t>
      </w:r>
      <w:r>
        <w:rPr>
          <w:rFonts w:ascii="仿宋_GB2312" w:eastAsia="仿宋_GB2312" w:hint="eastAsia"/>
          <w:color w:val="000000"/>
          <w:sz w:val="32"/>
          <w:szCs w:val="32"/>
          <w14:textFill>
            <w14:solidFill>
              <w14:srgbClr w14:val="000000"/>
            </w14:solidFill>
          </w14:textFill>
        </w:rPr>
        <w:t>。</w:t>
      </w:r>
      <w:r>
        <w:rPr>
          <w:rFonts w:ascii="仿宋_GB2312" w:eastAsia="仿宋_GB2312" w:hint="eastAsia"/>
          <w:color w:val="000000"/>
          <w:sz w:val="32"/>
          <w:szCs w:val="32"/>
          <w14:textFill>
            <w14:solidFill>
              <w14:srgbClr w14:val="000000"/>
            </w14:solidFill>
          </w14:textFill>
          <w:lang w:eastAsia="zh-CN"/>
        </w:rPr>
        <w:t>交管</w:t>
      </w:r>
      <w:r>
        <w:rPr>
          <w:rFonts w:ascii="仿宋_GB2312" w:eastAsia="仿宋_GB2312" w:hint="eastAsia"/>
          <w:color w:val="000000"/>
          <w:sz w:val="32"/>
          <w:szCs w:val="32"/>
          <w14:textFill>
            <w14:solidFill>
              <w14:srgbClr w14:val="000000"/>
            </w14:solidFill>
          </w14:textFill>
        </w:rPr>
        <w:t>支队年初预算数为</w:t>
      </w:r>
      <w:r>
        <w:rPr>
          <w:rFonts w:ascii="仿宋_GB2312" w:eastAsia="仿宋_GB2312" w:hint="eastAsia"/>
          <w:color w:val="000000"/>
          <w:sz w:val="32"/>
          <w:szCs w:val="32"/>
          <w14:textFill>
            <w14:solidFill>
              <w14:srgbClr w14:val="000000"/>
            </w14:solidFill>
          </w14:textFill>
          <w:lang w:val="en-US" w:eastAsia="zh-CN"/>
        </w:rPr>
        <w:t>2611.23</w:t>
      </w:r>
      <w:r>
        <w:rPr>
          <w:rFonts w:ascii="仿宋_GB2312" w:eastAsia="仿宋_GB2312" w:hint="eastAsia"/>
          <w:color w:val="000000"/>
          <w:sz w:val="32"/>
          <w:szCs w:val="32"/>
          <w14:textFill>
            <w14:solidFill>
              <w14:srgbClr w14:val="000000"/>
            </w14:solidFill>
          </w14:textFill>
        </w:rPr>
        <w:t>万元，调整预算数为</w:t>
      </w:r>
      <w:r>
        <w:rPr>
          <w:rFonts w:ascii="仿宋_GB2312" w:eastAsia="仿宋_GB2312" w:hint="eastAsia"/>
          <w:color w:val="000000"/>
          <w:sz w:val="32"/>
          <w:szCs w:val="32"/>
          <w14:textFill>
            <w14:solidFill>
              <w14:srgbClr w14:val="000000"/>
            </w14:solidFill>
          </w14:textFill>
          <w:lang w:val="en-US" w:eastAsia="zh-CN"/>
        </w:rPr>
        <w:t>3596.8</w:t>
      </w:r>
      <w:r>
        <w:rPr>
          <w:rFonts w:ascii="仿宋_GB2312" w:eastAsia="仿宋_GB2312" w:hint="eastAsia"/>
          <w:color w:val="000000"/>
          <w:sz w:val="32"/>
          <w:szCs w:val="32"/>
          <w14:textFill>
            <w14:solidFill>
              <w14:srgbClr w14:val="000000"/>
            </w14:solidFill>
          </w14:textFill>
        </w:rPr>
        <w:t>万元、决算收入、支出数为</w:t>
      </w:r>
      <w:r>
        <w:rPr>
          <w:rFonts w:ascii="仿宋_GB2312" w:eastAsia="仿宋_GB2312" w:hint="eastAsia"/>
          <w:color w:val="000000"/>
          <w:sz w:val="32"/>
          <w:szCs w:val="32"/>
          <w14:textFill>
            <w14:solidFill>
              <w14:srgbClr w14:val="000000"/>
            </w14:solidFill>
          </w14:textFill>
          <w:lang w:val="en-US" w:eastAsia="zh-CN"/>
        </w:rPr>
        <w:t>3596.8</w:t>
      </w:r>
      <w:r>
        <w:rPr>
          <w:rFonts w:ascii="仿宋_GB2312" w:eastAsia="仿宋_GB2312" w:hint="eastAsia"/>
          <w:color w:val="000000"/>
          <w:sz w:val="32"/>
          <w:szCs w:val="32"/>
          <w14:textFill>
            <w14:solidFill>
              <w14:srgbClr w14:val="000000"/>
            </w14:solidFill>
          </w14:textFill>
        </w:rPr>
        <w:t>万元，无年中结转资金，年末结余资金为以往年度结余。</w:t>
      </w:r>
    </w:p>
    <w:p>
      <w:pPr>
        <w:snapToGrid w:val="0"/>
        <w:spacing w:line="560" w:lineRule="exact"/>
        <w:ind w:firstLineChars="200" w:firstLine="640"/>
        <w:rPr>
          <w:rFonts w:ascii="仿宋_GB2312" w:eastAsia="仿宋_GB2312" w:hint="eastAsia"/>
          <w:color w:val="auto"/>
          <w:sz w:val="32"/>
          <w:szCs w:val="32"/>
        </w:rPr>
      </w:pPr>
      <w:r>
        <w:rPr>
          <w:rFonts w:ascii="仿宋_GB2312" w:eastAsia="仿宋_GB2312" w:cs="宋体" w:hint="eastAsia"/>
          <w:b/>
          <w:bCs/>
          <w:color w:val="000000"/>
          <w:kern w:val="0"/>
          <w:sz w:val="32"/>
          <w:szCs w:val="32"/>
          <w:shd w:val="clear" w:color="auto" w:fill="FFFFFF"/>
        </w:rPr>
        <w:t>3.财务管理：</w:t>
      </w:r>
      <w:r>
        <w:rPr>
          <w:rFonts w:ascii="仿宋_GB2312" w:eastAsia="仿宋_GB2312" w:hint="eastAsia"/>
          <w:sz w:val="32"/>
          <w:szCs w:val="32"/>
        </w:rPr>
        <w:t>一是规章制度建立较为健全，制度执行严格合规，会计核算符合相关规定。二是严格按照有关规定加强对财政各项资金的监督管理，确保资金专款专用，资金支付合规合法。三是按财政拨付的专项资金用途进行使用，做好了资金的使用管理工作。四是健全货币资金管理岗位责任制，合理设置岗位，不得由一人办理货币资金业务的全过程，确保不相容岗位相互分离；严禁一人保管收付款项所需的全部印章；基本支出按月或季度进行申报，其中人员工资按月申报并直接支付，日常公用经费按月进行申报并支付，项目资金按项目实施进度进行支付</w:t>
      </w:r>
      <w:r>
        <w:rPr>
          <w:rFonts w:ascii="仿宋_GB2312" w:eastAsia="仿宋_GB2312" w:hint="eastAsia"/>
          <w:color w:val="000000"/>
          <w:sz w:val="32"/>
          <w:szCs w:val="32"/>
        </w:rPr>
        <w:t>，按季度在行政办公会通报项目实施进度及支付进度。</w:t>
      </w:r>
      <w:r>
        <w:rPr>
          <w:rFonts w:ascii="仿宋_GB2312" w:eastAsia="仿宋_GB2312" w:hint="eastAsia"/>
          <w:color w:val="000000"/>
          <w:sz w:val="32"/>
          <w:szCs w:val="32"/>
          <w:lang w:eastAsia="zh-CN"/>
        </w:rPr>
        <w:t>交管</w:t>
      </w:r>
      <w:r>
        <w:rPr>
          <w:rFonts w:ascii="仿宋_GB2312" w:eastAsia="仿宋_GB2312" w:hint="eastAsia"/>
          <w:color w:val="000000"/>
          <w:sz w:val="32"/>
          <w:szCs w:val="32"/>
        </w:rPr>
        <w:t>支队所有其他收入资金包括利息收入全部上缴财政，同时及时对接财政对</w:t>
      </w:r>
      <w:r>
        <w:rPr>
          <w:rFonts w:ascii="仿宋_GB2312" w:eastAsia="仿宋_GB2312" w:hint="eastAsia"/>
          <w:color w:val="000000"/>
          <w:sz w:val="32"/>
          <w:szCs w:val="32"/>
          <w:lang w:eastAsia="zh-CN"/>
        </w:rPr>
        <w:t>交管</w:t>
      </w:r>
      <w:r>
        <w:rPr>
          <w:rFonts w:ascii="仿宋_GB2312" w:eastAsia="仿宋_GB2312" w:hint="eastAsia"/>
          <w:color w:val="000000"/>
          <w:sz w:val="32"/>
          <w:szCs w:val="32"/>
        </w:rPr>
        <w:t>罚没和车管</w:t>
      </w:r>
      <w:r>
        <w:rPr>
          <w:rFonts w:ascii="仿宋_GB2312" w:eastAsia="仿宋_GB2312" w:hint="eastAsia"/>
          <w:color w:val="auto"/>
          <w:sz w:val="32"/>
          <w:szCs w:val="32"/>
        </w:rPr>
        <w:t>业务收入进行对账和分成。</w:t>
      </w:r>
    </w:p>
    <w:p>
      <w:pPr>
        <w:adjustRightInd w:val="0"/>
        <w:snapToGrid w:val="0"/>
        <w:spacing w:line="560" w:lineRule="exact"/>
        <w:ind w:firstLineChars="200" w:firstLine="640"/>
        <w:rPr>
          <w:rFonts w:ascii="仿宋_GB2312" w:eastAsia="仿宋_GB2312" w:hint="eastAsia"/>
          <w:color w:val="auto"/>
          <w:sz w:val="32"/>
          <w:szCs w:val="32"/>
        </w:rPr>
      </w:pPr>
      <w:r>
        <w:rPr>
          <w:rFonts w:ascii="仿宋_GB2312" w:eastAsia="仿宋_GB2312" w:hint="eastAsia"/>
          <w:b/>
          <w:color w:val="auto"/>
          <w:sz w:val="32"/>
          <w:szCs w:val="32"/>
        </w:rPr>
        <w:t>4.资产管理：</w:t>
      </w:r>
      <w:r>
        <w:rPr>
          <w:rFonts w:ascii="仿宋_GB2312" w:eastAsia="仿宋_GB2312" w:hint="eastAsia"/>
          <w:color w:val="auto"/>
          <w:sz w:val="32"/>
          <w:szCs w:val="32"/>
        </w:rPr>
        <w:t>资产实行分类管理，建立健全资产内部管理制度；单位加强对实物资产和无形资产的管理，明确相关部门和岗位的职责权限，强化对配置、使用和处置等关键环节的管控；对资产实施归口管理。明确资产使用和保管责任人，落实资产使用人在资产管理中的责任。本单位资产总额为</w:t>
      </w:r>
      <w:r>
        <w:rPr>
          <w:rFonts w:ascii="仿宋_GB2312" w:eastAsia="仿宋_GB2312" w:hint="eastAsia"/>
          <w:color w:val="auto"/>
          <w:sz w:val="32"/>
          <w:szCs w:val="32"/>
          <w:lang w:val="en-US" w:eastAsia="zh-CN"/>
        </w:rPr>
        <w:t>5611.25</w:t>
      </w:r>
      <w:r>
        <w:rPr>
          <w:rFonts w:ascii="仿宋_GB2312" w:eastAsia="仿宋_GB2312" w:hint="eastAsia"/>
          <w:color w:val="auto"/>
          <w:sz w:val="32"/>
          <w:szCs w:val="32"/>
        </w:rPr>
        <w:t>万元，较上年</w:t>
      </w:r>
      <w:r>
        <w:rPr>
          <w:rFonts w:ascii="仿宋_GB2312" w:eastAsia="仿宋_GB2312" w:hint="eastAsia"/>
          <w:color w:val="auto"/>
          <w:sz w:val="32"/>
          <w:szCs w:val="32"/>
          <w:lang w:val="en-US" w:eastAsia="zh-CN"/>
        </w:rPr>
        <w:t>增加693.62</w:t>
      </w:r>
      <w:r>
        <w:rPr>
          <w:rFonts w:ascii="仿宋_GB2312" w:eastAsia="仿宋_GB2312" w:hint="eastAsia"/>
          <w:color w:val="auto"/>
          <w:sz w:val="32"/>
          <w:szCs w:val="32"/>
        </w:rPr>
        <w:t>万元，同比</w:t>
      </w:r>
      <w:r>
        <w:rPr>
          <w:rFonts w:ascii="仿宋_GB2312" w:eastAsia="仿宋_GB2312" w:hint="eastAsia"/>
          <w:color w:val="auto"/>
          <w:sz w:val="32"/>
          <w:szCs w:val="32"/>
          <w:lang w:val="en-US" w:eastAsia="zh-CN"/>
        </w:rPr>
        <w:t>增加14.1</w:t>
      </w:r>
      <w:r>
        <w:rPr>
          <w:rFonts w:ascii="仿宋_GB2312" w:eastAsia="仿宋_GB2312" w:hint="eastAsia"/>
          <w:color w:val="auto"/>
          <w:sz w:val="32"/>
          <w:szCs w:val="32"/>
        </w:rPr>
        <w:t>%，变化原因是本年新增固定资产，资产总额</w:t>
      </w:r>
      <w:r>
        <w:rPr>
          <w:rFonts w:ascii="仿宋_GB2312" w:eastAsia="仿宋_GB2312" w:hint="eastAsia"/>
          <w:color w:val="auto"/>
          <w:sz w:val="32"/>
          <w:szCs w:val="32"/>
          <w:lang w:val="en-US" w:eastAsia="zh-CN"/>
        </w:rPr>
        <w:t>增加</w:t>
      </w:r>
      <w:r>
        <w:rPr>
          <w:rFonts w:ascii="仿宋_GB2312" w:eastAsia="仿宋_GB2312" w:hint="eastAsia"/>
          <w:color w:val="auto"/>
          <w:sz w:val="32"/>
          <w:szCs w:val="32"/>
        </w:rPr>
        <w:t>。其中，流动资产3</w:t>
      </w:r>
      <w:r>
        <w:rPr>
          <w:rFonts w:ascii="仿宋_GB2312" w:eastAsia="仿宋_GB2312" w:hint="eastAsia"/>
          <w:color w:val="auto"/>
          <w:sz w:val="32"/>
          <w:szCs w:val="32"/>
          <w:lang w:val="en-US" w:eastAsia="zh-CN"/>
        </w:rPr>
        <w:t>09.14</w:t>
      </w:r>
      <w:r>
        <w:rPr>
          <w:rFonts w:ascii="仿宋_GB2312" w:eastAsia="仿宋_GB2312" w:hint="eastAsia"/>
          <w:color w:val="auto"/>
          <w:sz w:val="32"/>
          <w:szCs w:val="32"/>
        </w:rPr>
        <w:t>万元，占资产总额的</w:t>
      </w:r>
      <w:r>
        <w:rPr>
          <w:rFonts w:ascii="仿宋_GB2312" w:eastAsia="仿宋_GB2312" w:hint="eastAsia"/>
          <w:color w:val="auto"/>
          <w:sz w:val="32"/>
          <w:szCs w:val="32"/>
          <w:lang w:val="en-US" w:eastAsia="zh-CN"/>
        </w:rPr>
        <w:t>5.51</w:t>
      </w:r>
      <w:r>
        <w:rPr>
          <w:rFonts w:ascii="仿宋_GB2312" w:eastAsia="仿宋_GB2312" w:hint="eastAsia"/>
          <w:color w:val="auto"/>
          <w:sz w:val="32"/>
          <w:szCs w:val="32"/>
        </w:rPr>
        <w:t>%，非流动资产</w:t>
      </w:r>
      <w:r>
        <w:rPr>
          <w:rFonts w:ascii="仿宋_GB2312" w:eastAsia="仿宋_GB2312" w:hint="eastAsia"/>
          <w:color w:val="auto"/>
          <w:sz w:val="32"/>
          <w:szCs w:val="32"/>
          <w:lang w:val="en-US" w:eastAsia="zh-CN"/>
        </w:rPr>
        <w:t>5302.11</w:t>
      </w:r>
      <w:r>
        <w:rPr>
          <w:rFonts w:ascii="仿宋_GB2312" w:eastAsia="仿宋_GB2312" w:hint="eastAsia"/>
          <w:color w:val="auto"/>
          <w:sz w:val="32"/>
          <w:szCs w:val="32"/>
        </w:rPr>
        <w:t>万元，占资产总额的9</w:t>
      </w:r>
      <w:r>
        <w:rPr>
          <w:rFonts w:ascii="仿宋_GB2312" w:eastAsia="仿宋_GB2312" w:hint="eastAsia"/>
          <w:color w:val="auto"/>
          <w:sz w:val="32"/>
          <w:szCs w:val="32"/>
          <w:lang w:val="en-US" w:eastAsia="zh-CN"/>
        </w:rPr>
        <w:t>4.49</w:t>
      </w:r>
      <w:r>
        <w:rPr>
          <w:rFonts w:ascii="仿宋_GB2312" w:eastAsia="仿宋_GB2312" w:hint="eastAsia"/>
          <w:color w:val="auto"/>
          <w:sz w:val="32"/>
          <w:szCs w:val="32"/>
        </w:rPr>
        <w:t>%。固定资产使用率为</w:t>
      </w:r>
      <w:r>
        <w:rPr>
          <w:rFonts w:ascii="仿宋_GB2312" w:eastAsia="仿宋_GB2312" w:hint="eastAsia"/>
          <w:color w:val="auto"/>
          <w:sz w:val="32"/>
          <w:szCs w:val="32"/>
          <w:lang w:val="en-US" w:eastAsia="zh-CN"/>
        </w:rPr>
        <w:t>100</w:t>
      </w:r>
      <w:r>
        <w:rPr>
          <w:rFonts w:ascii="仿宋_GB2312" w:eastAsia="仿宋_GB2312" w:hint="eastAsia"/>
          <w:color w:val="auto"/>
          <w:sz w:val="32"/>
          <w:szCs w:val="32"/>
        </w:rPr>
        <w:t>%，支队清理了固定资产将报废一批使用年限长、功能丧失的固定资产。</w:t>
      </w:r>
    </w:p>
    <w:p>
      <w:pPr>
        <w:widowControl/>
        <w:shd w:val="clear" w:color="auto" w:fill="FFFFFF"/>
        <w:spacing w:line="560" w:lineRule="exact"/>
        <w:ind w:firstLineChars="200" w:firstLine="640"/>
        <w:jc w:val="left"/>
        <w:rPr>
          <w:rFonts w:ascii="仿宋_GB2312" w:eastAsia="仿宋_GB2312" w:cs="华文仿宋" w:hint="eastAsia"/>
          <w:sz w:val="32"/>
          <w:szCs w:val="32"/>
        </w:rPr>
      </w:pPr>
      <w:r>
        <w:rPr>
          <w:rFonts w:ascii="仿宋_GB2312" w:eastAsia="仿宋_GB2312" w:hint="eastAsia"/>
          <w:b/>
          <w:color w:val="000000"/>
          <w:sz w:val="32"/>
          <w:szCs w:val="32"/>
        </w:rPr>
        <w:t>5.采购管理：</w:t>
      </w:r>
      <w:r>
        <w:rPr>
          <w:rFonts w:ascii="仿宋_GB2312" w:eastAsia="仿宋_GB2312" w:cs="华文仿宋" w:hint="eastAsia"/>
          <w:sz w:val="32"/>
          <w:szCs w:val="32"/>
        </w:rPr>
        <w:t>支队根据工作需要设立采购领导小组，由分管财务的副支队长任组长，分管业务的副支队长任副组长，综合保障大队负责人、装备财务处负责人、</w:t>
      </w:r>
      <w:r>
        <w:rPr>
          <w:rFonts w:ascii="仿宋_GB2312" w:eastAsia="仿宋_GB2312" w:cs="华文仿宋" w:hint="eastAsia"/>
          <w:sz w:val="32"/>
          <w:szCs w:val="32"/>
          <w:lang w:eastAsia="zh-CN"/>
        </w:rPr>
        <w:t>交管</w:t>
      </w:r>
      <w:r>
        <w:rPr>
          <w:rFonts w:ascii="仿宋_GB2312" w:eastAsia="仿宋_GB2312" w:cs="华文仿宋" w:hint="eastAsia"/>
          <w:sz w:val="32"/>
          <w:szCs w:val="32"/>
        </w:rPr>
        <w:t>党支部纪检委员、采购项目实施部门负责人为成员，负责支队重大项目的审核把关、项目实施监督等工作。领导小组下设采购执行小组，由支队项目实施部门分管领导、项目实施部门、</w:t>
      </w:r>
      <w:r>
        <w:rPr>
          <w:rFonts w:ascii="仿宋_GB2312" w:eastAsia="仿宋_GB2312" w:cs="华文仿宋" w:hint="eastAsia"/>
          <w:sz w:val="32"/>
          <w:szCs w:val="32"/>
          <w:lang w:eastAsia="zh-CN"/>
        </w:rPr>
        <w:t>交管</w:t>
      </w:r>
      <w:r>
        <w:rPr>
          <w:rFonts w:ascii="仿宋_GB2312" w:eastAsia="仿宋_GB2312" w:cs="华文仿宋" w:hint="eastAsia"/>
          <w:sz w:val="32"/>
          <w:szCs w:val="32"/>
        </w:rPr>
        <w:t>党支部纪检委员为成员，分别执行支队行政办公会研究决定的采购实施项目。</w:t>
      </w:r>
      <w:r>
        <w:rPr>
          <w:rFonts w:ascii="仿宋_GB2312" w:eastAsia="仿宋_GB2312" w:cs="华文仿宋" w:hint="eastAsia"/>
          <w:sz w:val="32"/>
          <w:szCs w:val="32"/>
          <w:lang w:eastAsia="zh-CN"/>
        </w:rPr>
        <w:t>交管</w:t>
      </w:r>
      <w:r>
        <w:rPr>
          <w:rFonts w:ascii="仿宋_GB2312" w:eastAsia="仿宋_GB2312" w:cs="华文仿宋" w:hint="eastAsia"/>
          <w:sz w:val="32"/>
          <w:szCs w:val="32"/>
        </w:rPr>
        <w:t>支队根据工作需要设立采购验收领导小组，由支队分管财务领导、项目实施部门分管领导、项目实施部门、综合保障大队、装备财务处、</w:t>
      </w:r>
      <w:r>
        <w:rPr>
          <w:rFonts w:ascii="仿宋_GB2312" w:eastAsia="仿宋_GB2312" w:cs="华文仿宋" w:hint="eastAsia"/>
          <w:sz w:val="32"/>
          <w:szCs w:val="32"/>
          <w:lang w:eastAsia="zh-CN"/>
        </w:rPr>
        <w:t>交管</w:t>
      </w:r>
      <w:r>
        <w:rPr>
          <w:rFonts w:ascii="仿宋_GB2312" w:eastAsia="仿宋_GB2312" w:cs="华文仿宋" w:hint="eastAsia"/>
          <w:sz w:val="32"/>
          <w:szCs w:val="32"/>
        </w:rPr>
        <w:t>党支部纪检委员组成采购验收小组，分别执行支队办公会研究决定后的采购及验收工作。采购执行率为100%。</w:t>
      </w:r>
    </w:p>
    <w:p>
      <w:pPr>
        <w:widowControl/>
        <w:shd w:val="clear" w:color="auto" w:fill="FFFFFF"/>
        <w:spacing w:line="560" w:lineRule="exact"/>
        <w:ind w:firstLineChars="200" w:firstLine="640"/>
        <w:jc w:val="left"/>
        <w:rPr>
          <w:rFonts w:ascii="楷体" w:eastAsia="楷体" w:cs="华文仿宋"/>
          <w:b/>
          <w:sz w:val="32"/>
          <w:szCs w:val="32"/>
        </w:rPr>
      </w:pPr>
      <w:r>
        <w:rPr>
          <w:rFonts w:ascii="楷体" w:eastAsia="楷体" w:cs="华文仿宋" w:hint="eastAsia"/>
          <w:b/>
          <w:sz w:val="32"/>
          <w:szCs w:val="32"/>
        </w:rPr>
        <w:t>（二）部门预算项目绩效分析</w:t>
      </w:r>
    </w:p>
    <w:p>
      <w:pPr>
        <w:widowControl/>
        <w:shd w:val="clear" w:color="auto" w:fill="FFFFFF"/>
        <w:spacing w:line="560" w:lineRule="exact"/>
        <w:ind w:firstLineChars="200" w:firstLine="640"/>
        <w:jc w:val="left"/>
        <w:rPr>
          <w:rFonts w:ascii="仿宋" w:eastAsia="仿宋" w:cs="华文仿宋"/>
          <w:color w:val="000000"/>
          <w:sz w:val="32"/>
          <w:szCs w:val="32"/>
          <w14:textFill>
            <w14:solidFill>
              <w14:srgbClr w14:val="000000"/>
            </w14:solidFill>
          </w14:textFill>
        </w:rPr>
      </w:pPr>
      <w:r>
        <w:rPr>
          <w:rFonts w:ascii="仿宋" w:eastAsia="仿宋" w:cs="华文仿宋"/>
          <w:color w:val="000000"/>
          <w:sz w:val="32"/>
          <w:szCs w:val="32"/>
          <w14:textFill>
            <w14:solidFill>
              <w14:srgbClr w14:val="000000"/>
            </w14:solidFill>
          </w14:textFill>
        </w:rPr>
        <w:t>州交</w:t>
      </w:r>
      <w:r>
        <w:rPr>
          <w:rFonts w:ascii="仿宋" w:eastAsia="仿宋" w:cs="华文仿宋" w:hint="eastAsia"/>
          <w:color w:val="000000"/>
          <w:sz w:val="32"/>
          <w:szCs w:val="32"/>
          <w14:textFill>
            <w14:solidFill>
              <w14:srgbClr w14:val="000000"/>
            </w14:solidFill>
          </w14:textFill>
          <w:lang w:eastAsia="zh-CN"/>
        </w:rPr>
        <w:t>管</w:t>
      </w:r>
      <w:r>
        <w:rPr>
          <w:rFonts w:ascii="仿宋" w:eastAsia="仿宋" w:cs="华文仿宋"/>
          <w:color w:val="000000"/>
          <w:sz w:val="32"/>
          <w:szCs w:val="32"/>
          <w14:textFill>
            <w14:solidFill>
              <w14:srgbClr w14:val="000000"/>
            </w14:solidFill>
          </w14:textFill>
        </w:rPr>
        <w:t>支队共涉及</w:t>
      </w:r>
      <w:r>
        <w:rPr>
          <w:rFonts w:ascii="仿宋" w:eastAsia="仿宋" w:cs="华文仿宋" w:hint="eastAsia"/>
          <w:color w:val="000000"/>
          <w:sz w:val="32"/>
          <w:szCs w:val="32"/>
          <w14:textFill>
            <w14:solidFill>
              <w14:srgbClr w14:val="000000"/>
            </w14:solidFill>
          </w14:textFill>
        </w:rPr>
        <w:t>1</w:t>
      </w:r>
      <w:r>
        <w:rPr>
          <w:rFonts w:ascii="仿宋" w:eastAsia="仿宋" w:cs="华文仿宋"/>
          <w:color w:val="000000"/>
          <w:sz w:val="32"/>
          <w:szCs w:val="32"/>
          <w14:textFill>
            <w14:solidFill>
              <w14:srgbClr w14:val="000000"/>
            </w14:solidFill>
          </w14:textFill>
        </w:rPr>
        <w:t>6个项目</w:t>
      </w:r>
      <w:r>
        <w:rPr>
          <w:rFonts w:ascii="仿宋" w:eastAsia="仿宋" w:cs="华文仿宋" w:hint="eastAsia"/>
          <w:color w:val="000000"/>
          <w:sz w:val="32"/>
          <w:szCs w:val="32"/>
          <w14:textFill>
            <w14:solidFill>
              <w14:srgbClr w14:val="000000"/>
            </w14:solidFill>
          </w14:textFill>
        </w:rPr>
        <w:t>，常年项目</w:t>
      </w:r>
      <w:r>
        <w:rPr>
          <w:rFonts w:ascii="仿宋" w:eastAsia="仿宋" w:cs="华文仿宋"/>
          <w:color w:val="000000"/>
          <w:sz w:val="32"/>
          <w:szCs w:val="32"/>
          <w14:textFill>
            <w14:solidFill>
              <w14:srgbClr w14:val="000000"/>
            </w14:solidFill>
          </w14:textFill>
        </w:rPr>
        <w:t>11个</w:t>
      </w:r>
      <w:r>
        <w:rPr>
          <w:rFonts w:ascii="仿宋" w:eastAsia="仿宋" w:cs="华文仿宋" w:hint="eastAsia"/>
          <w:color w:val="000000"/>
          <w:sz w:val="32"/>
          <w:szCs w:val="32"/>
          <w14:textFill>
            <w14:solidFill>
              <w14:srgbClr w14:val="000000"/>
            </w14:solidFill>
          </w14:textFill>
        </w:rPr>
        <w:t>，阶段性项目</w:t>
      </w:r>
      <w:r>
        <w:rPr>
          <w:rFonts w:ascii="仿宋" w:eastAsia="仿宋" w:cs="华文仿宋"/>
          <w:color w:val="000000"/>
          <w:sz w:val="32"/>
          <w:szCs w:val="32"/>
          <w14:textFill>
            <w14:solidFill>
              <w14:srgbClr w14:val="000000"/>
            </w14:solidFill>
          </w14:textFill>
        </w:rPr>
        <w:t>5</w:t>
      </w:r>
      <w:r>
        <w:rPr>
          <w:rFonts w:ascii="仿宋" w:eastAsia="仿宋" w:cs="华文仿宋" w:hint="eastAsia"/>
          <w:color w:val="000000"/>
          <w:sz w:val="32"/>
          <w:szCs w:val="32"/>
          <w14:textFill>
            <w14:solidFill>
              <w14:srgbClr w14:val="000000"/>
            </w14:solidFill>
          </w14:textFill>
        </w:rPr>
        <w:t>个。</w:t>
      </w:r>
    </w:p>
    <w:p>
      <w:pPr>
        <w:adjustRightInd w:val="0"/>
        <w:snapToGrid w:val="0"/>
        <w:spacing w:line="560" w:lineRule="exact"/>
        <w:ind w:firstLineChars="200" w:firstLine="640"/>
        <w:contextualSpacing/>
        <w:jc w:val="left"/>
        <w:rPr>
          <w:rFonts w:ascii="仿宋" w:eastAsia="仿宋"/>
          <w:color w:val="000000"/>
          <w:kern w:val="0"/>
          <w:sz w:val="32"/>
          <w:szCs w:val="32"/>
          <w:shd w:val="clear" w:color="auto" w:fill="FFFFFF"/>
          <w14:textFill>
            <w14:solidFill>
              <w14:srgbClr w14:val="000000"/>
            </w14:solidFill>
          </w14:textFill>
          <w:lang w:val="zh-CN"/>
        </w:rPr>
      </w:pPr>
      <w:r>
        <w:rPr>
          <w:rFonts w:ascii="仿宋" w:eastAsia="仿宋" w:cs="华文仿宋"/>
          <w:color w:val="000000"/>
          <w:sz w:val="32"/>
          <w:szCs w:val="32"/>
          <w14:textFill>
            <w14:solidFill>
              <w14:srgbClr w14:val="000000"/>
            </w14:solidFill>
          </w14:textFill>
        </w:rPr>
        <w:t>常年项目</w:t>
      </w:r>
      <w:r>
        <w:rPr>
          <w:rFonts w:ascii="仿宋" w:eastAsia="仿宋" w:cs="华文仿宋" w:hint="eastAsia"/>
          <w:color w:val="000000"/>
          <w:sz w:val="32"/>
          <w:szCs w:val="32"/>
          <w14:textFill>
            <w14:solidFill>
              <w14:srgbClr w14:val="000000"/>
            </w14:solidFill>
          </w14:textFill>
        </w:rPr>
        <w:t>：</w:t>
      </w:r>
      <w:r>
        <w:rPr>
          <w:rFonts w:ascii="仿宋" w:eastAsia="仿宋" w:cs="华文仿宋"/>
          <w:color w:val="000000"/>
          <w:sz w:val="32"/>
          <w:szCs w:val="32"/>
          <w14:textFill>
            <w14:solidFill>
              <w14:srgbClr w14:val="000000"/>
            </w14:solidFill>
          </w14:textFill>
        </w:rPr>
        <w:t>该类项目总计11个</w:t>
      </w:r>
      <w:r>
        <w:rPr>
          <w:rFonts w:ascii="仿宋" w:eastAsia="仿宋" w:cs="华文仿宋" w:hint="eastAsia"/>
          <w:color w:val="000000"/>
          <w:sz w:val="32"/>
          <w:szCs w:val="32"/>
          <w14:textFill>
            <w14:solidFill>
              <w14:srgbClr w14:val="000000"/>
            </w14:solidFill>
          </w14:textFill>
        </w:rPr>
        <w:t>，</w:t>
      </w:r>
      <w:r>
        <w:rPr>
          <w:rFonts w:ascii="仿宋" w:eastAsia="仿宋" w:cs="华文仿宋"/>
          <w:color w:val="000000"/>
          <w:sz w:val="32"/>
          <w:szCs w:val="32"/>
          <w14:textFill>
            <w14:solidFill>
              <w14:srgbClr w14:val="000000"/>
            </w14:solidFill>
          </w14:textFill>
        </w:rPr>
        <w:t>涉及预算金额为1452.88万元</w:t>
      </w:r>
      <w:r>
        <w:rPr>
          <w:rFonts w:ascii="仿宋" w:eastAsia="仿宋"/>
          <w:color w:val="000000"/>
          <w:kern w:val="0"/>
          <w:sz w:val="32"/>
          <w:szCs w:val="32"/>
          <w:shd w:val="clear" w:color="auto" w:fill="FFFFFF"/>
          <w14:textFill>
            <w14:solidFill>
              <w14:srgbClr w14:val="000000"/>
            </w14:solidFill>
          </w14:textFill>
          <w:lang w:val="zh-CN"/>
        </w:rPr>
        <w:t>，支付数为933.15万元</w:t>
      </w:r>
      <w:r>
        <w:rPr>
          <w:rFonts w:ascii="仿宋" w:eastAsia="仿宋" w:hint="eastAsia"/>
          <w:color w:val="000000"/>
          <w:kern w:val="0"/>
          <w:sz w:val="32"/>
          <w:szCs w:val="32"/>
          <w:shd w:val="clear" w:color="auto" w:fill="FFFFFF"/>
          <w14:textFill>
            <w14:solidFill>
              <w14:srgbClr w14:val="000000"/>
            </w14:solidFill>
          </w14:textFill>
          <w:lang w:val="zh-CN"/>
        </w:rPr>
        <w:t>，</w:t>
      </w:r>
      <w:r>
        <w:rPr>
          <w:rFonts w:ascii="仿宋" w:eastAsia="仿宋"/>
          <w:color w:val="000000"/>
          <w:kern w:val="0"/>
          <w:sz w:val="32"/>
          <w:szCs w:val="32"/>
          <w:shd w:val="clear" w:color="auto" w:fill="FFFFFF"/>
          <w14:textFill>
            <w14:solidFill>
              <w14:srgbClr w14:val="000000"/>
            </w14:solidFill>
          </w14:textFill>
          <w:lang w:val="zh-CN"/>
        </w:rPr>
        <w:t>1</w:t>
      </w:r>
      <w:r>
        <w:rPr>
          <w:rFonts w:ascii="仿宋" w:eastAsia="仿宋" w:hint="eastAsia"/>
          <w:color w:val="000000"/>
          <w:kern w:val="0"/>
          <w:sz w:val="32"/>
          <w:szCs w:val="32"/>
          <w:shd w:val="clear" w:color="auto" w:fill="FFFFFF"/>
          <w14:textFill>
            <w14:solidFill>
              <w14:srgbClr w14:val="000000"/>
            </w14:solidFill>
          </w14:textFill>
          <w:lang w:val="zh-CN"/>
        </w:rPr>
        <w:t>—</w:t>
      </w:r>
      <w:r>
        <w:rPr>
          <w:rFonts w:ascii="仿宋" w:eastAsia="仿宋"/>
          <w:color w:val="000000"/>
          <w:kern w:val="0"/>
          <w:sz w:val="32"/>
          <w:szCs w:val="32"/>
          <w:shd w:val="clear" w:color="auto" w:fill="FFFFFF"/>
          <w14:textFill>
            <w14:solidFill>
              <w14:srgbClr w14:val="000000"/>
            </w14:solidFill>
          </w14:textFill>
          <w:lang w:val="zh-CN"/>
        </w:rPr>
        <w:t>1</w:t>
      </w:r>
      <w:r>
        <w:rPr>
          <w:rFonts w:ascii="仿宋" w:eastAsia="仿宋"/>
          <w:color w:val="000000"/>
          <w:kern w:val="0"/>
          <w:sz w:val="32"/>
          <w:szCs w:val="32"/>
          <w:shd w:val="clear" w:color="auto" w:fill="FFFFFF"/>
          <w14:textFill>
            <w14:solidFill>
              <w14:srgbClr w14:val="000000"/>
            </w14:solidFill>
          </w14:textFill>
        </w:rPr>
        <w:t>2</w:t>
      </w:r>
      <w:r>
        <w:rPr>
          <w:rFonts w:ascii="仿宋" w:eastAsia="仿宋"/>
          <w:color w:val="000000"/>
          <w:kern w:val="0"/>
          <w:sz w:val="32"/>
          <w:szCs w:val="32"/>
          <w:shd w:val="clear" w:color="auto" w:fill="FFFFFF"/>
          <w14:textFill>
            <w14:solidFill>
              <w14:srgbClr w14:val="000000"/>
            </w14:solidFill>
          </w14:textFill>
          <w:lang w:val="zh-CN"/>
        </w:rPr>
        <w:t>月预算执行总体进度为</w:t>
      </w:r>
      <w:r>
        <w:rPr>
          <w:rFonts w:ascii="仿宋" w:eastAsia="仿宋"/>
          <w:color w:val="000000"/>
          <w:kern w:val="0"/>
          <w:sz w:val="32"/>
          <w:szCs w:val="32"/>
          <w:shd w:val="clear" w:color="auto" w:fill="FFFFFF"/>
          <w14:textFill>
            <w14:solidFill>
              <w14:srgbClr w14:val="000000"/>
            </w14:solidFill>
          </w14:textFill>
        </w:rPr>
        <w:t>64.23</w:t>
      </w:r>
      <w:r>
        <w:rPr>
          <w:rFonts w:ascii="仿宋" w:eastAsia="仿宋"/>
          <w:color w:val="000000"/>
          <w:kern w:val="0"/>
          <w:sz w:val="32"/>
          <w:szCs w:val="32"/>
          <w:shd w:val="clear" w:color="auto" w:fill="FFFFFF"/>
          <w14:textFill>
            <w14:solidFill>
              <w14:srgbClr w14:val="000000"/>
            </w14:solidFill>
          </w14:textFill>
          <w:lang w:val="zh-CN"/>
        </w:rPr>
        <w:t>%，其中：预算结余率大于</w:t>
      </w:r>
      <w:r>
        <w:rPr>
          <w:rFonts w:ascii="仿宋" w:eastAsia="仿宋"/>
          <w:color w:val="000000"/>
          <w:kern w:val="0"/>
          <w:sz w:val="32"/>
          <w:szCs w:val="32"/>
          <w:shd w:val="clear" w:color="auto" w:fill="FFFFFF"/>
          <w14:textFill>
            <w14:solidFill>
              <w14:srgbClr w14:val="000000"/>
            </w14:solidFill>
          </w14:textFill>
        </w:rPr>
        <w:t>10%</w:t>
      </w:r>
      <w:r>
        <w:rPr>
          <w:rFonts w:ascii="仿宋" w:eastAsia="仿宋"/>
          <w:color w:val="000000"/>
          <w:kern w:val="0"/>
          <w:sz w:val="32"/>
          <w:szCs w:val="32"/>
          <w:shd w:val="clear" w:color="auto" w:fill="FFFFFF"/>
          <w14:textFill>
            <w14:solidFill>
              <w14:srgbClr w14:val="000000"/>
            </w14:solidFill>
          </w14:textFill>
          <w:lang w:val="zh-CN"/>
        </w:rPr>
        <w:t>的项目共计</w:t>
      </w:r>
      <w:r>
        <w:rPr>
          <w:rFonts w:ascii="仿宋" w:eastAsia="仿宋"/>
          <w:color w:val="000000"/>
          <w:kern w:val="0"/>
          <w:sz w:val="32"/>
          <w:szCs w:val="32"/>
          <w:shd w:val="clear" w:color="auto" w:fill="FFFFFF"/>
          <w14:textFill>
            <w14:solidFill>
              <w14:srgbClr w14:val="000000"/>
            </w14:solidFill>
          </w14:textFill>
        </w:rPr>
        <w:t>5</w:t>
      </w:r>
      <w:r>
        <w:rPr>
          <w:rFonts w:ascii="仿宋" w:eastAsia="仿宋"/>
          <w:color w:val="000000"/>
          <w:kern w:val="0"/>
          <w:sz w:val="32"/>
          <w:szCs w:val="32"/>
          <w:shd w:val="clear" w:color="auto" w:fill="FFFFFF"/>
          <w14:textFill>
            <w14:solidFill>
              <w14:srgbClr w14:val="000000"/>
            </w14:solidFill>
          </w14:textFill>
          <w:lang w:val="zh-CN"/>
        </w:rPr>
        <w:t>个。</w:t>
      </w:r>
    </w:p>
    <w:p>
      <w:pPr>
        <w:adjustRightInd w:val="0"/>
        <w:snapToGrid w:val="0"/>
        <w:spacing w:line="560" w:lineRule="exact"/>
        <w:ind w:firstLineChars="200" w:firstLine="640"/>
        <w:contextualSpacing/>
        <w:jc w:val="left"/>
        <w:rPr>
          <w:rFonts w:ascii="仿宋" w:eastAsia="仿宋"/>
          <w:color w:val="000000"/>
          <w:kern w:val="0"/>
          <w:sz w:val="32"/>
          <w:szCs w:val="32"/>
          <w:shd w:val="clear" w:color="auto" w:fill="FFFFFF"/>
          <w14:textFill>
            <w14:solidFill>
              <w14:srgbClr w14:val="000000"/>
            </w14:solidFill>
          </w14:textFill>
          <w:lang w:val="zh-CN"/>
        </w:rPr>
      </w:pPr>
      <w:r>
        <w:rPr>
          <w:rFonts w:ascii="仿宋" w:eastAsia="仿宋"/>
          <w:color w:val="000000"/>
          <w:kern w:val="0"/>
          <w:sz w:val="32"/>
          <w:szCs w:val="32"/>
          <w:shd w:val="clear" w:color="auto" w:fill="FFFFFF"/>
          <w14:textFill>
            <w14:solidFill>
              <w14:srgbClr w14:val="000000"/>
            </w14:solidFill>
          </w14:textFill>
        </w:rPr>
        <w:t>阶段</w:t>
      </w:r>
      <w:r>
        <w:rPr>
          <w:rFonts w:ascii="仿宋" w:eastAsia="仿宋" w:hint="eastAsia"/>
          <w:color w:val="000000"/>
          <w:kern w:val="0"/>
          <w:sz w:val="32"/>
          <w:szCs w:val="32"/>
          <w:shd w:val="clear" w:color="auto" w:fill="FFFFFF"/>
          <w14:textFill>
            <w14:solidFill>
              <w14:srgbClr w14:val="000000"/>
            </w14:solidFill>
          </w14:textFill>
        </w:rPr>
        <w:t>（</w:t>
      </w:r>
      <w:r>
        <w:rPr>
          <w:rFonts w:ascii="仿宋" w:eastAsia="仿宋"/>
          <w:color w:val="000000"/>
          <w:kern w:val="0"/>
          <w:sz w:val="32"/>
          <w:szCs w:val="32"/>
          <w:shd w:val="clear" w:color="auto" w:fill="FFFFFF"/>
          <w14:textFill>
            <w14:solidFill>
              <w14:srgbClr w14:val="000000"/>
            </w14:solidFill>
          </w14:textFill>
        </w:rPr>
        <w:t>一次性</w:t>
      </w:r>
      <w:r>
        <w:rPr>
          <w:rFonts w:ascii="仿宋" w:eastAsia="仿宋" w:hint="eastAsia"/>
          <w:color w:val="000000"/>
          <w:kern w:val="0"/>
          <w:sz w:val="32"/>
          <w:szCs w:val="32"/>
          <w:shd w:val="clear" w:color="auto" w:fill="FFFFFF"/>
          <w14:textFill>
            <w14:solidFill>
              <w14:srgbClr w14:val="000000"/>
            </w14:solidFill>
          </w14:textFill>
        </w:rPr>
        <w:t>）</w:t>
      </w:r>
      <w:r>
        <w:rPr>
          <w:rFonts w:ascii="仿宋" w:eastAsia="仿宋"/>
          <w:color w:val="000000"/>
          <w:kern w:val="0"/>
          <w:sz w:val="32"/>
          <w:szCs w:val="32"/>
          <w:shd w:val="clear" w:color="auto" w:fill="FFFFFF"/>
          <w14:textFill>
            <w14:solidFill>
              <w14:srgbClr w14:val="000000"/>
            </w14:solidFill>
          </w14:textFill>
        </w:rPr>
        <w:t>项目绩效分析。</w:t>
      </w:r>
      <w:r>
        <w:rPr>
          <w:rFonts w:ascii="仿宋" w:eastAsia="仿宋"/>
          <w:color w:val="000000"/>
          <w:kern w:val="0"/>
          <w:sz w:val="32"/>
          <w:szCs w:val="32"/>
          <w:shd w:val="clear" w:color="auto" w:fill="FFFFFF"/>
          <w14:textFill>
            <w14:solidFill>
              <w14:srgbClr w14:val="000000"/>
            </w14:solidFill>
          </w14:textFill>
          <w:lang w:val="zh-CN"/>
        </w:rPr>
        <w:t>该类项目总数</w:t>
      </w:r>
      <w:r>
        <w:rPr>
          <w:rFonts w:ascii="仿宋" w:eastAsia="仿宋"/>
          <w:color w:val="000000"/>
          <w:kern w:val="0"/>
          <w:sz w:val="32"/>
          <w:szCs w:val="32"/>
          <w:shd w:val="clear" w:color="auto" w:fill="FFFFFF"/>
          <w14:textFill>
            <w14:solidFill>
              <w14:srgbClr w14:val="000000"/>
            </w14:solidFill>
          </w14:textFill>
        </w:rPr>
        <w:t>5</w:t>
      </w:r>
      <w:r>
        <w:rPr>
          <w:rFonts w:ascii="仿宋" w:eastAsia="仿宋"/>
          <w:color w:val="000000"/>
          <w:kern w:val="0"/>
          <w:sz w:val="32"/>
          <w:szCs w:val="32"/>
          <w:shd w:val="clear" w:color="auto" w:fill="FFFFFF"/>
          <w14:textFill>
            <w14:solidFill>
              <w14:srgbClr w14:val="000000"/>
            </w14:solidFill>
          </w14:textFill>
          <w:lang w:val="zh-CN"/>
        </w:rPr>
        <w:t>个，涉及预算总金额</w:t>
      </w:r>
      <w:r>
        <w:rPr>
          <w:rFonts w:ascii="仿宋" w:eastAsia="仿宋"/>
          <w:color w:val="000000"/>
          <w:kern w:val="0"/>
          <w:sz w:val="32"/>
          <w:szCs w:val="32"/>
          <w:shd w:val="clear" w:color="auto" w:fill="FFFFFF"/>
          <w14:textFill>
            <w14:solidFill>
              <w14:srgbClr w14:val="000000"/>
            </w14:solidFill>
          </w14:textFill>
        </w:rPr>
        <w:t>596.5</w:t>
      </w:r>
      <w:r>
        <w:rPr>
          <w:rFonts w:ascii="仿宋" w:eastAsia="仿宋"/>
          <w:color w:val="000000"/>
          <w:kern w:val="0"/>
          <w:sz w:val="32"/>
          <w:szCs w:val="32"/>
          <w:shd w:val="clear" w:color="auto" w:fill="FFFFFF"/>
          <w14:textFill>
            <w14:solidFill>
              <w14:srgbClr w14:val="000000"/>
            </w14:solidFill>
          </w14:textFill>
          <w:lang w:val="zh-CN"/>
        </w:rPr>
        <w:t>万元，支付数为583.97万元</w:t>
      </w:r>
      <w:r>
        <w:rPr>
          <w:rFonts w:ascii="仿宋" w:eastAsia="仿宋" w:hint="eastAsia"/>
          <w:color w:val="000000"/>
          <w:kern w:val="0"/>
          <w:sz w:val="32"/>
          <w:szCs w:val="32"/>
          <w:shd w:val="clear" w:color="auto" w:fill="FFFFFF"/>
          <w14:textFill>
            <w14:solidFill>
              <w14:srgbClr w14:val="000000"/>
            </w14:solidFill>
          </w14:textFill>
          <w:lang w:val="zh-CN"/>
        </w:rPr>
        <w:t>，</w:t>
      </w:r>
      <w:r>
        <w:rPr>
          <w:rFonts w:ascii="仿宋" w:eastAsia="仿宋"/>
          <w:color w:val="000000"/>
          <w:kern w:val="0"/>
          <w:sz w:val="32"/>
          <w:szCs w:val="32"/>
          <w:shd w:val="clear" w:color="auto" w:fill="FFFFFF"/>
          <w14:textFill>
            <w14:solidFill>
              <w14:srgbClr w14:val="000000"/>
            </w14:solidFill>
          </w14:textFill>
          <w:lang w:val="zh-CN"/>
        </w:rPr>
        <w:t>1</w:t>
      </w:r>
      <w:r>
        <w:rPr>
          <w:rFonts w:ascii="仿宋" w:eastAsia="仿宋" w:hint="eastAsia"/>
          <w:color w:val="000000"/>
          <w:kern w:val="0"/>
          <w:sz w:val="32"/>
          <w:szCs w:val="32"/>
          <w:shd w:val="clear" w:color="auto" w:fill="FFFFFF"/>
          <w14:textFill>
            <w14:solidFill>
              <w14:srgbClr w14:val="000000"/>
            </w14:solidFill>
          </w14:textFill>
          <w:lang w:val="zh-CN"/>
        </w:rPr>
        <w:t>—</w:t>
      </w:r>
      <w:r>
        <w:rPr>
          <w:rFonts w:ascii="仿宋" w:eastAsia="仿宋"/>
          <w:color w:val="000000"/>
          <w:kern w:val="0"/>
          <w:sz w:val="32"/>
          <w:szCs w:val="32"/>
          <w:shd w:val="clear" w:color="auto" w:fill="FFFFFF"/>
          <w14:textFill>
            <w14:solidFill>
              <w14:srgbClr w14:val="000000"/>
            </w14:solidFill>
          </w14:textFill>
          <w:lang w:val="zh-CN"/>
        </w:rPr>
        <w:t>1</w:t>
      </w:r>
      <w:r>
        <w:rPr>
          <w:rFonts w:ascii="仿宋" w:eastAsia="仿宋"/>
          <w:color w:val="000000"/>
          <w:kern w:val="0"/>
          <w:sz w:val="32"/>
          <w:szCs w:val="32"/>
          <w:shd w:val="clear" w:color="auto" w:fill="FFFFFF"/>
          <w14:textFill>
            <w14:solidFill>
              <w14:srgbClr w14:val="000000"/>
            </w14:solidFill>
          </w14:textFill>
        </w:rPr>
        <w:t>2</w:t>
      </w:r>
      <w:r>
        <w:rPr>
          <w:rFonts w:ascii="仿宋" w:eastAsia="仿宋"/>
          <w:color w:val="000000"/>
          <w:kern w:val="0"/>
          <w:sz w:val="32"/>
          <w:szCs w:val="32"/>
          <w:shd w:val="clear" w:color="auto" w:fill="FFFFFF"/>
          <w14:textFill>
            <w14:solidFill>
              <w14:srgbClr w14:val="000000"/>
            </w14:solidFill>
          </w14:textFill>
          <w:lang w:val="zh-CN"/>
        </w:rPr>
        <w:t>月预算执行总体进度为</w:t>
      </w:r>
      <w:r>
        <w:rPr>
          <w:rFonts w:ascii="仿宋" w:eastAsia="仿宋"/>
          <w:color w:val="000000"/>
          <w:kern w:val="0"/>
          <w:sz w:val="32"/>
          <w:szCs w:val="32"/>
          <w:shd w:val="clear" w:color="auto" w:fill="FFFFFF"/>
          <w14:textFill>
            <w14:solidFill>
              <w14:srgbClr w14:val="000000"/>
            </w14:solidFill>
          </w14:textFill>
        </w:rPr>
        <w:t>97.9</w:t>
      </w:r>
      <w:r>
        <w:rPr>
          <w:rFonts w:ascii="仿宋" w:eastAsia="仿宋"/>
          <w:color w:val="000000"/>
          <w:kern w:val="0"/>
          <w:sz w:val="32"/>
          <w:szCs w:val="32"/>
          <w:shd w:val="clear" w:color="auto" w:fill="FFFFFF"/>
          <w14:textFill>
            <w14:solidFill>
              <w14:srgbClr w14:val="000000"/>
            </w14:solidFill>
          </w14:textFill>
          <w:lang w:val="zh-CN"/>
        </w:rPr>
        <w:t>%，其中：预算结余率大于</w:t>
      </w:r>
      <w:r>
        <w:rPr>
          <w:rFonts w:ascii="仿宋" w:eastAsia="仿宋"/>
          <w:color w:val="000000"/>
          <w:kern w:val="0"/>
          <w:sz w:val="32"/>
          <w:szCs w:val="32"/>
          <w:shd w:val="clear" w:color="auto" w:fill="FFFFFF"/>
          <w14:textFill>
            <w14:solidFill>
              <w14:srgbClr w14:val="000000"/>
            </w14:solidFill>
          </w14:textFill>
        </w:rPr>
        <w:t>10%</w:t>
      </w:r>
      <w:r>
        <w:rPr>
          <w:rFonts w:ascii="仿宋" w:eastAsia="仿宋"/>
          <w:color w:val="000000"/>
          <w:kern w:val="0"/>
          <w:sz w:val="32"/>
          <w:szCs w:val="32"/>
          <w:shd w:val="clear" w:color="auto" w:fill="FFFFFF"/>
          <w14:textFill>
            <w14:solidFill>
              <w14:srgbClr w14:val="000000"/>
            </w14:solidFill>
          </w14:textFill>
          <w:lang w:val="zh-CN"/>
        </w:rPr>
        <w:t>的项目共计</w:t>
      </w:r>
      <w:r>
        <w:rPr>
          <w:rFonts w:ascii="仿宋" w:eastAsia="仿宋"/>
          <w:color w:val="000000"/>
          <w:kern w:val="0"/>
          <w:sz w:val="32"/>
          <w:szCs w:val="32"/>
          <w:shd w:val="clear" w:color="auto" w:fill="FFFFFF"/>
          <w14:textFill>
            <w14:solidFill>
              <w14:srgbClr w14:val="000000"/>
            </w14:solidFill>
          </w14:textFill>
        </w:rPr>
        <w:t>0</w:t>
      </w:r>
      <w:r>
        <w:rPr>
          <w:rFonts w:ascii="仿宋" w:eastAsia="仿宋"/>
          <w:color w:val="000000"/>
          <w:kern w:val="0"/>
          <w:sz w:val="32"/>
          <w:szCs w:val="32"/>
          <w:shd w:val="clear" w:color="auto" w:fill="FFFFFF"/>
          <w14:textFill>
            <w14:solidFill>
              <w14:srgbClr w14:val="000000"/>
            </w14:solidFill>
          </w14:textFill>
          <w:lang w:val="zh-CN"/>
        </w:rPr>
        <w:t>个。</w:t>
      </w:r>
    </w:p>
    <w:p>
      <w:pPr>
        <w:pStyle w:val="22"/>
        <w:widowControl/>
        <w:shd w:val="clear" w:color="auto" w:fill="FFFFFF"/>
        <w:spacing w:line="560" w:lineRule="exact"/>
        <w:ind w:firstLineChars="200" w:firstLine="640"/>
        <w:jc w:val="both"/>
        <w:rPr>
          <w:rFonts w:ascii="仿宋_GB2312" w:eastAsia="仿宋_GB2312" w:cs="微软雅黑" w:hint="eastAsia"/>
          <w:color w:val="333333"/>
          <w:sz w:val="32"/>
          <w:szCs w:val="32"/>
        </w:rPr>
      </w:pPr>
      <w:r>
        <w:rPr>
          <w:rFonts w:ascii="仿宋_GB2312" w:eastAsia="仿宋_GB2312" w:cs="微软雅黑" w:hint="eastAsia"/>
          <w:b/>
          <w:color w:val="333333"/>
          <w:sz w:val="32"/>
          <w:szCs w:val="32"/>
          <w:shd w:val="clear" w:color="auto" w:fill="FFFFFF"/>
        </w:rPr>
        <w:t>1.项目决策。</w:t>
      </w:r>
      <w:r>
        <w:rPr>
          <w:rFonts w:ascii="仿宋_GB2312" w:eastAsia="仿宋_GB2312" w:cs="微软雅黑" w:hint="eastAsia"/>
          <w:color w:val="333333"/>
          <w:sz w:val="32"/>
          <w:szCs w:val="32"/>
          <w:shd w:val="clear" w:color="auto" w:fill="FFFFFF"/>
        </w:rPr>
        <w:t>项目决策程序严密，项目规划论证符合</w:t>
      </w:r>
      <w:r>
        <w:rPr>
          <w:rFonts w:ascii="仿宋_GB2312" w:eastAsia="仿宋_GB2312" w:cs="微软雅黑"/>
          <w:color w:val="333333"/>
          <w:sz w:val="32"/>
          <w:szCs w:val="32"/>
          <w:shd w:val="clear" w:color="auto" w:fill="FFFFFF"/>
        </w:rPr>
        <w:t>终审</w:t>
      </w:r>
      <w:r>
        <w:rPr>
          <w:rFonts w:ascii="仿宋_GB2312" w:eastAsia="仿宋_GB2312" w:cs="微软雅黑" w:hint="eastAsia"/>
          <w:color w:val="333333"/>
          <w:sz w:val="32"/>
          <w:szCs w:val="32"/>
          <w:shd w:val="clear" w:color="auto" w:fill="FFFFFF"/>
        </w:rPr>
        <w:t>要求，项目绩效目标设置科学合理，项目资金与项目总体规划、相关行业事业发展相匹配，聚焦重大任务、重点领域、重点环节和重点项目。</w:t>
      </w:r>
    </w:p>
    <w:p>
      <w:pPr>
        <w:pStyle w:val="22"/>
        <w:widowControl/>
        <w:shd w:val="clear" w:color="auto" w:fill="FFFFFF"/>
        <w:spacing w:line="560" w:lineRule="exact"/>
        <w:ind w:firstLineChars="200" w:firstLine="640"/>
        <w:jc w:val="both"/>
        <w:rPr>
          <w:rFonts w:ascii="仿宋_GB2312" w:eastAsia="仿宋_GB2312" w:cs="微软雅黑" w:hint="eastAsia"/>
          <w:color w:val="333333"/>
          <w:sz w:val="32"/>
          <w:szCs w:val="32"/>
        </w:rPr>
      </w:pPr>
      <w:r>
        <w:rPr>
          <w:rFonts w:ascii="仿宋_GB2312" w:eastAsia="仿宋_GB2312" w:cs="微软雅黑" w:hint="eastAsia"/>
          <w:b/>
          <w:color w:val="333333"/>
          <w:sz w:val="32"/>
          <w:szCs w:val="32"/>
          <w:shd w:val="clear" w:color="auto" w:fill="FFFFFF"/>
        </w:rPr>
        <w:t>2.项目执行。</w:t>
      </w:r>
      <w:r>
        <w:rPr>
          <w:rFonts w:ascii="仿宋_GB2312" w:eastAsia="仿宋_GB2312" w:cs="微软雅黑" w:hint="eastAsia"/>
          <w:color w:val="333333"/>
          <w:sz w:val="32"/>
          <w:szCs w:val="32"/>
          <w:shd w:val="clear" w:color="auto" w:fill="FFFFFF"/>
        </w:rPr>
        <w:t>项目制度办法体系健全、要素完备，项目资金分配因素选取、权重设置、区域分布，项目管理、审批符合管理要求，按要求开展资金、项目绩效监管，对下指导有力有效。在项目实施方面，项目资金财政拨付、单位执行和地方配套到位，资金使用拨付、项目实施符合规定，同时支队按照季度进行项目执行进度和资金拨付进度的通报，力争在保障资金使用安全的前提下加快资金使用进度。</w:t>
      </w:r>
    </w:p>
    <w:p>
      <w:pPr>
        <w:spacing w:line="560" w:lineRule="exact"/>
        <w:ind w:firstLineChars="200" w:firstLine="640"/>
        <w:rPr>
          <w:rFonts w:ascii="仿宋_GB2312" w:eastAsia="仿宋_GB2312" w:hint="eastAsia"/>
          <w:color w:val="000000"/>
          <w:kern w:val="0"/>
          <w:sz w:val="32"/>
          <w:szCs w:val="32"/>
          <w:shd w:val="clear" w:color="auto" w:fill="FFFFFF"/>
          <w:lang w:val="zh-CN"/>
        </w:rPr>
      </w:pPr>
      <w:r>
        <w:rPr>
          <w:rFonts w:ascii="仿宋_GB2312" w:eastAsia="仿宋_GB2312" w:cs="楷体_GB2312" w:hint="eastAsia"/>
          <w:b/>
          <w:color w:val="000000"/>
          <w:kern w:val="0"/>
          <w:sz w:val="32"/>
          <w:szCs w:val="32"/>
          <w:shd w:val="clear" w:color="auto" w:fill="FFFFFF"/>
        </w:rPr>
        <w:t>3.</w:t>
      </w:r>
      <w:r>
        <w:rPr>
          <w:rFonts w:ascii="仿宋_GB2312" w:eastAsia="仿宋_GB2312" w:cs="楷体_GB2312" w:hint="eastAsia"/>
          <w:b/>
          <w:color w:val="000000"/>
          <w:kern w:val="0"/>
          <w:sz w:val="32"/>
          <w:szCs w:val="32"/>
          <w:shd w:val="clear" w:color="auto" w:fill="FFFFFF"/>
          <w:lang w:val="zh-CN"/>
        </w:rPr>
        <w:t>目标实现。</w:t>
      </w:r>
      <w:r>
        <w:rPr>
          <w:rFonts w:ascii="仿宋_GB2312" w:eastAsia="仿宋_GB2312" w:cs="宋体" w:hint="eastAsia"/>
          <w:bCs/>
          <w:color w:val="000000"/>
          <w:sz w:val="32"/>
          <w:szCs w:val="32"/>
        </w:rPr>
        <w:t>进一步规范全州车辆管理工作，确保全州道路交通安全畅通有序，预防和控制道路交通事故，减少人民群众生命财产损失。</w:t>
      </w:r>
    </w:p>
    <w:p>
      <w:pPr>
        <w:snapToGrid w:val="0"/>
        <w:spacing w:line="560" w:lineRule="exact"/>
        <w:ind w:firstLineChars="200" w:firstLine="640"/>
        <w:rPr>
          <w:rFonts w:ascii="楷体" w:eastAsia="楷体" w:cs="宋体"/>
          <w:b/>
          <w:bCs/>
          <w:color w:val="000000"/>
          <w:kern w:val="0"/>
          <w:sz w:val="32"/>
          <w:szCs w:val="32"/>
          <w:shd w:val="clear" w:color="auto" w:fill="FFFFFF"/>
        </w:rPr>
      </w:pPr>
      <w:r>
        <w:rPr>
          <w:rFonts w:ascii="楷体" w:eastAsia="楷体" w:cs="宋体" w:hint="eastAsia"/>
          <w:b/>
          <w:bCs/>
          <w:color w:val="000000"/>
          <w:kern w:val="0"/>
          <w:sz w:val="32"/>
          <w:szCs w:val="32"/>
          <w:shd w:val="clear" w:color="auto" w:fill="FFFFFF"/>
        </w:rPr>
        <w:t>（二）重点领域绩效分析</w:t>
      </w:r>
    </w:p>
    <w:p>
      <w:pPr>
        <w:spacing w:line="560" w:lineRule="exact"/>
        <w:ind w:firstLineChars="200" w:firstLine="640"/>
        <w:rPr>
          <w:rFonts w:ascii="仿宋_GB2312" w:eastAsia="仿宋_GB2312"/>
          <w:color w:val="000000"/>
          <w:sz w:val="32"/>
          <w:szCs w:val="32"/>
          <w14:textFill>
            <w14:solidFill>
              <w14:srgbClr w14:val="000000"/>
            </w14:solidFill>
          </w14:textFill>
          <w:lang w:val="en-US" w:eastAsia="zh-CN"/>
        </w:rPr>
      </w:pPr>
      <w:r>
        <w:rPr>
          <w:rFonts w:ascii="仿宋_GB2312" w:eastAsia="仿宋_GB2312" w:hint="eastAsia"/>
          <w:sz w:val="32"/>
          <w:szCs w:val="32"/>
        </w:rPr>
        <w:t>省厅</w:t>
      </w:r>
      <w:r>
        <w:rPr>
          <w:rFonts w:ascii="仿宋_GB2312" w:eastAsia="仿宋_GB2312" w:hint="eastAsia"/>
          <w:sz w:val="32"/>
          <w:szCs w:val="32"/>
          <w:lang w:eastAsia="zh-CN"/>
        </w:rPr>
        <w:t>交管</w:t>
      </w:r>
      <w:r>
        <w:rPr>
          <w:rFonts w:ascii="仿宋_GB2312" w:eastAsia="仿宋_GB2312" w:hint="eastAsia"/>
          <w:sz w:val="32"/>
          <w:szCs w:val="32"/>
        </w:rPr>
        <w:t>总队、州级财政持续发力，多措并举，持续深入推进全州公安</w:t>
      </w:r>
      <w:r>
        <w:rPr>
          <w:rFonts w:ascii="仿宋_GB2312" w:eastAsia="仿宋_GB2312" w:hint="eastAsia"/>
          <w:sz w:val="32"/>
          <w:szCs w:val="32"/>
          <w:lang w:eastAsia="zh-CN"/>
        </w:rPr>
        <w:t>交管</w:t>
      </w:r>
      <w:r>
        <w:rPr>
          <w:rFonts w:ascii="仿宋_GB2312" w:eastAsia="仿宋_GB2312" w:hint="eastAsia"/>
          <w:sz w:val="32"/>
          <w:szCs w:val="32"/>
        </w:rPr>
        <w:t>基层基础建设，建强全州公安</w:t>
      </w:r>
      <w:r>
        <w:rPr>
          <w:rFonts w:ascii="仿宋_GB2312" w:eastAsia="仿宋_GB2312" w:hint="eastAsia"/>
          <w:sz w:val="32"/>
          <w:szCs w:val="32"/>
          <w:lang w:eastAsia="zh-CN"/>
        </w:rPr>
        <w:t>交管</w:t>
      </w:r>
      <w:r>
        <w:rPr>
          <w:rFonts w:ascii="仿宋_GB2312" w:eastAsia="仿宋_GB2312" w:hint="eastAsia"/>
          <w:sz w:val="32"/>
          <w:szCs w:val="32"/>
        </w:rPr>
        <w:t>战斗堡垒。</w:t>
      </w:r>
      <w:r>
        <w:rPr>
          <w:rFonts w:ascii="仿宋_GB2312" w:eastAsia="仿宋_GB2312" w:hint="eastAsia"/>
          <w:color w:val="000000"/>
          <w:sz w:val="32"/>
          <w:szCs w:val="32"/>
          <w14:textFill>
            <w14:solidFill>
              <w14:srgbClr w14:val="000000"/>
            </w14:solidFill>
          </w14:textFill>
        </w:rPr>
        <w:t>202</w:t>
      </w:r>
      <w:r>
        <w:rPr>
          <w:rFonts w:ascii="仿宋_GB2312" w:eastAsia="仿宋_GB2312" w:hint="eastAsia"/>
          <w:color w:val="000000"/>
          <w:sz w:val="32"/>
          <w:szCs w:val="32"/>
          <w14:textFill>
            <w14:solidFill>
              <w14:srgbClr w14:val="000000"/>
            </w14:solidFill>
          </w14:textFill>
          <w:lang w:val="en-US" w:eastAsia="zh-CN"/>
        </w:rPr>
        <w:t>5</w:t>
      </w:r>
      <w:r>
        <w:rPr>
          <w:rFonts w:ascii="仿宋_GB2312" w:eastAsia="仿宋_GB2312" w:hint="eastAsia"/>
          <w:color w:val="000000"/>
          <w:sz w:val="32"/>
          <w:szCs w:val="32"/>
          <w14:textFill>
            <w14:solidFill>
              <w14:srgbClr w14:val="000000"/>
            </w14:solidFill>
          </w14:textFill>
        </w:rPr>
        <w:t>年</w:t>
      </w:r>
      <w:r>
        <w:rPr>
          <w:rFonts w:ascii="仿宋_GB2312" w:eastAsia="仿宋_GB2312" w:hint="eastAsia"/>
          <w:color w:val="000000"/>
          <w:sz w:val="32"/>
          <w:szCs w:val="32"/>
          <w14:textFill>
            <w14:solidFill>
              <w14:srgbClr w14:val="000000"/>
            </w14:solidFill>
          </w14:textFill>
          <w:lang w:val="en-US" w:eastAsia="zh-CN"/>
        </w:rPr>
        <w:t>支出</w:t>
      </w:r>
      <w:r>
        <w:rPr>
          <w:rFonts w:ascii="仿宋_GB2312" w:eastAsia="仿宋_GB2312" w:hint="eastAsia"/>
          <w:color w:val="000000"/>
          <w:sz w:val="32"/>
          <w:szCs w:val="32"/>
          <w14:textFill>
            <w14:solidFill>
              <w14:srgbClr w14:val="000000"/>
            </w14:solidFill>
          </w14:textFill>
        </w:rPr>
        <w:t>省级特定转移支付资金</w:t>
      </w:r>
      <w:r>
        <w:rPr>
          <w:rFonts w:ascii="仿宋_GB2312" w:eastAsia="仿宋_GB2312" w:hint="eastAsia"/>
          <w:color w:val="000000"/>
          <w:sz w:val="32"/>
          <w:szCs w:val="32"/>
          <w14:textFill>
            <w14:solidFill>
              <w14:srgbClr w14:val="000000"/>
            </w14:solidFill>
          </w14:textFill>
          <w:lang w:val="en-US" w:eastAsia="zh-CN"/>
        </w:rPr>
        <w:t>408.13</w:t>
      </w:r>
      <w:r>
        <w:rPr>
          <w:rFonts w:ascii="仿宋_GB2312" w:eastAsia="仿宋_GB2312" w:hint="eastAsia"/>
          <w:color w:val="000000"/>
          <w:sz w:val="32"/>
          <w:szCs w:val="32"/>
          <w14:textFill>
            <w14:solidFill>
              <w14:srgbClr w14:val="000000"/>
            </w14:solidFill>
          </w14:textFill>
        </w:rPr>
        <w:t>万元，为全州</w:t>
      </w:r>
      <w:r>
        <w:rPr>
          <w:rFonts w:ascii="仿宋_GB2312" w:eastAsia="仿宋_GB2312" w:hint="eastAsia"/>
          <w:color w:val="000000"/>
          <w:sz w:val="32"/>
          <w:szCs w:val="32"/>
          <w14:textFill>
            <w14:solidFill>
              <w14:srgbClr w14:val="000000"/>
            </w14:solidFill>
          </w14:textFill>
          <w:lang w:val="en-US" w:eastAsia="zh-CN"/>
        </w:rPr>
        <w:t>卡口补点建设195.8万元</w:t>
      </w:r>
      <w:r>
        <w:rPr>
          <w:rFonts w:ascii="仿宋_GB2312" w:eastAsia="仿宋_GB2312" w:hint="eastAsia"/>
          <w:color w:val="000000"/>
          <w:sz w:val="32"/>
          <w:szCs w:val="32"/>
          <w14:textFill>
            <w14:solidFill>
              <w14:srgbClr w14:val="000000"/>
            </w14:solidFill>
          </w14:textFill>
        </w:rPr>
        <w:t>；</w:t>
      </w:r>
      <w:r>
        <w:rPr>
          <w:rFonts w:ascii="仿宋_GB2312" w:eastAsia="仿宋_GB2312" w:hint="eastAsia"/>
          <w:color w:val="000000"/>
          <w:sz w:val="32"/>
          <w:szCs w:val="32"/>
          <w14:textFill>
            <w14:solidFill>
              <w14:srgbClr w14:val="000000"/>
            </w14:solidFill>
          </w14:textFill>
          <w:lang w:val="en-US" w:eastAsia="zh-CN"/>
        </w:rPr>
        <w:t>交</w:t>
      </w:r>
      <w:r>
        <w:rPr>
          <w:rFonts w:ascii="仿宋_GB2312" w:eastAsia="仿宋_GB2312"/>
          <w:color w:val="000000"/>
          <w:sz w:val="32"/>
          <w:szCs w:val="32"/>
          <w14:textFill>
            <w14:solidFill>
              <w14:srgbClr w14:val="000000"/>
            </w14:solidFill>
          </w14:textFill>
          <w:lang w:val="en-US" w:eastAsia="zh-CN"/>
        </w:rPr>
        <w:t>管</w:t>
      </w:r>
      <w:r>
        <w:rPr>
          <w:rFonts w:ascii="仿宋_GB2312" w:eastAsia="仿宋_GB2312" w:hint="eastAsia"/>
          <w:color w:val="000000"/>
          <w:sz w:val="32"/>
          <w:szCs w:val="32"/>
          <w14:textFill>
            <w14:solidFill>
              <w14:srgbClr w14:val="000000"/>
            </w14:solidFill>
          </w14:textFill>
          <w:lang w:val="en-US" w:eastAsia="zh-CN"/>
        </w:rPr>
        <w:t>装备购置158.81万元，4G执法记录仪购置53.52万元。</w:t>
      </w:r>
    </w:p>
    <w:p>
      <w:pPr>
        <w:snapToGrid w:val="0"/>
        <w:spacing w:line="560" w:lineRule="exact"/>
        <w:ind w:firstLineChars="200" w:firstLine="640"/>
        <w:rPr>
          <w:rFonts w:ascii="楷体" w:eastAsia="楷体" w:cs="宋体"/>
          <w:b/>
          <w:bCs/>
          <w:color w:val="000000"/>
          <w:kern w:val="0"/>
          <w:sz w:val="32"/>
          <w:szCs w:val="32"/>
          <w:shd w:val="clear" w:color="auto" w:fill="FFFFFF"/>
        </w:rPr>
      </w:pPr>
      <w:r>
        <w:rPr>
          <w:rFonts w:ascii="楷体" w:eastAsia="楷体" w:cs="宋体" w:hint="eastAsia"/>
          <w:b/>
          <w:bCs/>
          <w:color w:val="000000"/>
          <w:kern w:val="0"/>
          <w:sz w:val="32"/>
          <w:szCs w:val="32"/>
          <w:shd w:val="clear" w:color="auto" w:fill="FFFFFF"/>
        </w:rPr>
        <w:t>（四）绩效结果应用情况</w:t>
      </w:r>
    </w:p>
    <w:p>
      <w:pPr>
        <w:spacing w:line="560" w:lineRule="exact"/>
        <w:ind w:firstLineChars="200" w:firstLine="640"/>
        <w:rPr>
          <w:rFonts w:ascii="仿宋_GB2312" w:eastAsia="仿宋_GB2312" w:cs="黑体" w:hint="eastAsia"/>
          <w:sz w:val="32"/>
          <w:szCs w:val="32"/>
        </w:rPr>
      </w:pPr>
      <w:r>
        <w:rPr>
          <w:rFonts w:ascii="仿宋_GB2312" w:eastAsia="仿宋_GB2312" w:hint="eastAsia"/>
          <w:b/>
          <w:sz w:val="32"/>
          <w:szCs w:val="32"/>
        </w:rPr>
        <w:t>信息公开方面：</w:t>
      </w:r>
      <w:r>
        <w:rPr>
          <w:rFonts w:ascii="仿宋_GB2312" w:eastAsia="仿宋_GB2312"/>
          <w:sz w:val="32"/>
          <w:szCs w:val="32"/>
        </w:rPr>
        <w:t>州公安局交管</w:t>
      </w:r>
      <w:r>
        <w:rPr>
          <w:rFonts w:ascii="仿宋_GB2312" w:eastAsia="仿宋_GB2312" w:cs="仿宋_GB2312" w:hint="eastAsia"/>
          <w:sz w:val="32"/>
          <w:szCs w:val="32"/>
        </w:rPr>
        <w:t>支队严格按照相关文件规定对预决算</w:t>
      </w:r>
      <w:r>
        <w:rPr>
          <w:rFonts w:ascii="仿宋_GB2312" w:eastAsia="仿宋_GB2312" w:hint="eastAsia"/>
          <w:sz w:val="32"/>
          <w:szCs w:val="32"/>
        </w:rPr>
        <w:t>情况级部门门户网站及相关网站进行了公开。</w:t>
      </w:r>
      <w:r>
        <w:rPr>
          <w:rFonts w:ascii="仿宋_GB2312" w:eastAsia="仿宋_GB2312" w:cs="仿宋_GB2312" w:hint="eastAsia"/>
          <w:sz w:val="32"/>
          <w:szCs w:val="32"/>
        </w:rPr>
        <w:t>部门预算公开内容包括一般公共预算、财政拨款收支预算、政府性基金收支预算；同级财政部门批复的部门预算报表及相关说明全部公开；本部门“三公</w:t>
      </w:r>
      <w:r>
        <w:rPr>
          <w:rFonts w:ascii="仿宋_GB2312" w:eastAsia="仿宋_GB2312" w:cs="仿宋_GB2312"/>
          <w:sz w:val="32"/>
          <w:szCs w:val="32"/>
        </w:rPr>
        <w:t>”</w:t>
      </w:r>
      <w:r>
        <w:rPr>
          <w:rFonts w:ascii="仿宋_GB2312" w:eastAsia="仿宋_GB2312" w:cs="仿宋_GB2312" w:hint="eastAsia"/>
          <w:sz w:val="32"/>
          <w:szCs w:val="32"/>
        </w:rPr>
        <w:t>经费财政拨款预算总额和分项数额等全部公开。公开的所有数据、文字内容等全部真实。</w:t>
      </w:r>
    </w:p>
    <w:p>
      <w:pPr>
        <w:spacing w:line="560" w:lineRule="exact"/>
        <w:ind w:firstLineChars="200" w:firstLine="632"/>
        <w:jc w:val="both"/>
        <w:rPr>
          <w:rFonts w:ascii="仿宋_GB2312" w:eastAsia="仿宋_GB2312" w:cs="仿宋_GB2312" w:hint="eastAsia"/>
          <w:color w:val="000000"/>
          <w:spacing w:val="-2"/>
          <w:kern w:val="0"/>
          <w:sz w:val="32"/>
          <w:szCs w:val="32"/>
        </w:rPr>
      </w:pPr>
      <w:r>
        <w:rPr>
          <w:rFonts w:ascii="仿宋_GB2312" w:eastAsia="仿宋_GB2312" w:cs="宋体" w:hint="eastAsia"/>
          <w:b/>
          <w:color w:val="000000"/>
          <w:spacing w:val="-2"/>
          <w:kern w:val="0"/>
          <w:sz w:val="32"/>
          <w:szCs w:val="32"/>
        </w:rPr>
        <w:t>整改反馈方面：</w:t>
      </w:r>
      <w:r>
        <w:rPr>
          <w:rFonts w:ascii="仿宋_GB2312" w:eastAsia="仿宋_GB2312" w:cs="仿宋_GB2312" w:hint="eastAsia"/>
          <w:b/>
          <w:bCs/>
          <w:sz w:val="32"/>
          <w:szCs w:val="32"/>
        </w:rPr>
        <w:t>一是</w:t>
      </w:r>
      <w:r>
        <w:rPr>
          <w:rFonts w:ascii="仿宋_GB2312" w:eastAsia="仿宋_GB2312" w:cs="仿宋_GB2312" w:hint="eastAsia"/>
          <w:sz w:val="32"/>
          <w:szCs w:val="32"/>
        </w:rPr>
        <w:t>抓实单位财务收支管控，持续做好增收节支，严控各类经费开支，切实提</w:t>
      </w:r>
      <w:r>
        <w:rPr>
          <w:rFonts w:ascii="仿宋_GB2312" w:eastAsia="仿宋_GB2312" w:cs="仿宋_GB2312"/>
          <w:sz w:val="32"/>
          <w:szCs w:val="32"/>
        </w:rPr>
        <w:t>高</w:t>
      </w:r>
      <w:r>
        <w:rPr>
          <w:rFonts w:ascii="仿宋_GB2312" w:eastAsia="仿宋_GB2312" w:cs="仿宋_GB2312" w:hint="eastAsia"/>
          <w:sz w:val="32"/>
          <w:szCs w:val="32"/>
        </w:rPr>
        <w:t>财政资金使用效益。</w:t>
      </w:r>
      <w:r>
        <w:rPr>
          <w:rFonts w:ascii="仿宋_GB2312" w:eastAsia="仿宋_GB2312" w:cs="仿宋_GB2312" w:hint="eastAsia"/>
          <w:b/>
          <w:bCs/>
          <w:sz w:val="32"/>
          <w:szCs w:val="32"/>
        </w:rPr>
        <w:t>二是</w:t>
      </w:r>
      <w:r>
        <w:rPr>
          <w:rFonts w:ascii="仿宋_GB2312" w:eastAsia="仿宋_GB2312" w:cs="仿宋_GB2312" w:hint="eastAsia"/>
          <w:sz w:val="32"/>
          <w:szCs w:val="32"/>
        </w:rPr>
        <w:t>高质量完成年度预决算编制执行工作，规范落实阳光采购机制，对采购预算申报、采购方式报批、资金拨付、账务核算、资产登记等全流程公开透明，筑牢廉政防线，提高资金使用效能。</w:t>
      </w:r>
      <w:r>
        <w:rPr>
          <w:rFonts w:ascii="仿宋_GB2312" w:eastAsia="仿宋_GB2312" w:cs="仿宋_GB2312" w:hint="eastAsia"/>
          <w:b/>
          <w:bCs/>
          <w:sz w:val="32"/>
          <w:szCs w:val="32"/>
        </w:rPr>
        <w:t>三是</w:t>
      </w:r>
      <w:r>
        <w:rPr>
          <w:rFonts w:ascii="仿宋_GB2312" w:eastAsia="仿宋_GB2312" w:cs="仿宋_GB2312" w:hint="eastAsia"/>
          <w:sz w:val="32"/>
          <w:szCs w:val="32"/>
        </w:rPr>
        <w:t>健全内部稽核、审计机制及各项财务管理制度，细化审批权限与工作流程，压实财务岗位责任，所有经费支出严格执行经办人签字、科室负责人初审、财务人员复核、单位领导审批的审核程序。</w:t>
      </w:r>
      <w:r>
        <w:rPr>
          <w:rFonts w:ascii="仿宋_GB2312" w:eastAsia="仿宋_GB2312" w:cs="仿宋_GB2312" w:hint="eastAsia"/>
          <w:b/>
          <w:bCs/>
          <w:sz w:val="32"/>
          <w:szCs w:val="32"/>
        </w:rPr>
        <w:t>四是</w:t>
      </w:r>
      <w:r>
        <w:rPr>
          <w:rFonts w:ascii="仿宋_GB2312" w:eastAsia="仿宋_GB2312" w:cs="仿宋_GB2312" w:hint="eastAsia"/>
          <w:sz w:val="32"/>
          <w:szCs w:val="32"/>
        </w:rPr>
        <w:t>从严管控各类非经常性开支，强化财务监管与过程监督，规范单位经济业务事项的决策、实施及绩效评价，保障单位决策民主科学、内控管理规范有效。</w:t>
      </w:r>
    </w:p>
    <w:p>
      <w:pPr>
        <w:snapToGrid w:val="0"/>
        <w:spacing w:line="560" w:lineRule="exact"/>
        <w:ind w:firstLineChars="200" w:firstLine="640"/>
        <w:rPr>
          <w:rFonts w:ascii="黑体" w:eastAsia="黑体" w:cs="宋体" w:hint="eastAsia"/>
          <w:bCs/>
          <w:color w:val="000000"/>
          <w:kern w:val="0"/>
          <w:sz w:val="32"/>
          <w:szCs w:val="32"/>
          <w:shd w:val="clear" w:color="auto" w:fill="FFFFFF"/>
        </w:rPr>
      </w:pPr>
      <w:r>
        <w:rPr>
          <w:rFonts w:ascii="黑体" w:eastAsia="黑体" w:cs="宋体" w:hint="eastAsia"/>
          <w:bCs/>
          <w:color w:val="000000"/>
          <w:kern w:val="0"/>
          <w:sz w:val="32"/>
          <w:szCs w:val="32"/>
          <w:shd w:val="clear" w:color="auto" w:fill="FFFFFF"/>
        </w:rPr>
        <w:t>四、评价结论及建议</w:t>
      </w:r>
    </w:p>
    <w:p>
      <w:pPr>
        <w:snapToGrid w:val="0"/>
        <w:spacing w:line="560" w:lineRule="exact"/>
        <w:ind w:firstLineChars="200" w:firstLine="640"/>
        <w:rPr>
          <w:rFonts w:ascii="楷体" w:eastAsia="楷体" w:cs="宋体" w:hint="eastAsia"/>
          <w:b/>
          <w:bCs/>
          <w:color w:val="000000"/>
          <w:kern w:val="0"/>
          <w:sz w:val="32"/>
          <w:szCs w:val="32"/>
          <w:shd w:val="clear" w:color="auto" w:fill="FFFFFF"/>
        </w:rPr>
      </w:pPr>
      <w:r>
        <w:rPr>
          <w:rFonts w:ascii="楷体" w:eastAsia="楷体" w:cs="宋体" w:hint="eastAsia"/>
          <w:b/>
          <w:bCs/>
          <w:color w:val="000000"/>
          <w:kern w:val="0"/>
          <w:sz w:val="32"/>
          <w:szCs w:val="32"/>
          <w:shd w:val="clear" w:color="auto" w:fill="FFFFFF"/>
        </w:rPr>
        <w:t>（一）评价结论</w:t>
      </w:r>
    </w:p>
    <w:p>
      <w:pPr>
        <w:tabs>
          <w:tab w:val="left" w:pos="3885"/>
        </w:tabs>
        <w:snapToGrid w:val="0"/>
        <w:spacing w:line="560" w:lineRule="exact"/>
        <w:ind w:firstLineChars="200" w:firstLine="640"/>
        <w:rPr>
          <w:rFonts w:ascii="仿宋_GB2312" w:eastAsia="仿宋_GB2312" w:cs="仿宋" w:hint="eastAsia"/>
          <w:bCs/>
          <w:color w:val="000000"/>
          <w:sz w:val="32"/>
          <w:szCs w:val="32"/>
          <w14:textFill>
            <w14:solidFill>
              <w14:srgbClr w14:val="000000"/>
            </w14:solidFill>
          </w14:textFill>
        </w:rPr>
      </w:pPr>
      <w:r>
        <w:rPr>
          <w:rFonts w:ascii="仿宋_GB2312" w:eastAsia="仿宋_GB2312" w:cs="宋体" w:hint="eastAsia"/>
          <w:color w:val="2A2A2A"/>
          <w:sz w:val="32"/>
          <w:szCs w:val="32"/>
        </w:rPr>
        <w:t>从整体上看，202</w:t>
      </w:r>
      <w:r>
        <w:rPr>
          <w:rFonts w:ascii="仿宋_GB2312" w:eastAsia="仿宋_GB2312" w:cs="宋体" w:hint="eastAsia"/>
          <w:color w:val="2A2A2A"/>
          <w:sz w:val="32"/>
          <w:szCs w:val="32"/>
          <w:lang w:val="en-US" w:eastAsia="zh-CN"/>
        </w:rPr>
        <w:t>5</w:t>
      </w:r>
      <w:r>
        <w:rPr>
          <w:rFonts w:ascii="仿宋_GB2312" w:eastAsia="仿宋_GB2312" w:cs="宋体" w:hint="eastAsia"/>
          <w:color w:val="2A2A2A"/>
          <w:sz w:val="32"/>
          <w:szCs w:val="32"/>
        </w:rPr>
        <w:t>年我支队资金运行维护决策正确，资金管理规范，项目管理到位，政策执行有力，有效发挥了财政资金的使用效率，顺利完成了各项任务。</w:t>
      </w:r>
      <w:r>
        <w:rPr>
          <w:rFonts w:ascii="仿宋_GB2312" w:eastAsia="仿宋_GB2312" w:cs="宋体"/>
          <w:color w:val="2A2A2A"/>
          <w:sz w:val="32"/>
          <w:szCs w:val="32"/>
        </w:rPr>
        <w:t>“</w:t>
      </w:r>
      <w:r>
        <w:rPr>
          <w:rFonts w:ascii="仿宋_GB2312" w:eastAsia="仿宋_GB2312" w:cs="宋体" w:hint="eastAsia"/>
          <w:color w:val="2A2A2A"/>
          <w:sz w:val="32"/>
          <w:szCs w:val="32"/>
        </w:rPr>
        <w:t>三公</w:t>
      </w:r>
      <w:r>
        <w:rPr>
          <w:rFonts w:ascii="仿宋_GB2312" w:eastAsia="仿宋_GB2312" w:cs="宋体"/>
          <w:color w:val="2A2A2A"/>
          <w:sz w:val="32"/>
          <w:szCs w:val="32"/>
        </w:rPr>
        <w:t>”</w:t>
      </w:r>
      <w:r>
        <w:rPr>
          <w:rFonts w:ascii="仿宋_GB2312" w:eastAsia="仿宋_GB2312" w:cs="宋体" w:hint="eastAsia"/>
          <w:color w:val="2A2A2A"/>
          <w:sz w:val="32"/>
          <w:szCs w:val="32"/>
        </w:rPr>
        <w:t>经费严格控制在预算范围内，严格落实了厉行节约的原则。</w:t>
      </w:r>
      <w:r>
        <w:rPr>
          <w:rFonts w:ascii="仿宋_GB2312" w:eastAsia="仿宋_GB2312" w:cs="仿宋" w:hint="eastAsia"/>
          <w:kern w:val="0"/>
          <w:sz w:val="32"/>
          <w:szCs w:val="32"/>
          <w:lang w:val="zh-CN"/>
        </w:rPr>
        <w:t>参照专项预算项目支出绩效评价指标体系计算，</w:t>
      </w:r>
      <w:r>
        <w:rPr>
          <w:rFonts w:ascii="仿宋_GB2312" w:eastAsia="仿宋_GB2312" w:cs="仿宋" w:hint="eastAsia"/>
          <w:color w:val="000000"/>
          <w:kern w:val="0"/>
          <w:sz w:val="32"/>
          <w:szCs w:val="32"/>
          <w14:textFill>
            <w14:solidFill>
              <w14:srgbClr w14:val="000000"/>
            </w14:solidFill>
          </w14:textFill>
        </w:rPr>
        <w:t>202</w:t>
      </w:r>
      <w:r>
        <w:rPr>
          <w:rFonts w:ascii="仿宋_GB2312" w:eastAsia="仿宋_GB2312" w:cs="仿宋" w:hint="eastAsia"/>
          <w:color w:val="000000"/>
          <w:kern w:val="0"/>
          <w:sz w:val="32"/>
          <w:szCs w:val="32"/>
          <w14:textFill>
            <w14:solidFill>
              <w14:srgbClr w14:val="000000"/>
            </w14:solidFill>
          </w14:textFill>
          <w:lang w:val="en-US" w:eastAsia="zh-CN"/>
        </w:rPr>
        <w:t>5</w:t>
      </w:r>
      <w:r>
        <w:rPr>
          <w:rFonts w:ascii="仿宋_GB2312" w:eastAsia="仿宋_GB2312" w:cs="仿宋" w:hint="eastAsia"/>
          <w:color w:val="000000"/>
          <w:kern w:val="0"/>
          <w:sz w:val="32"/>
          <w:szCs w:val="32"/>
          <w14:textFill>
            <w14:solidFill>
              <w14:srgbClr w14:val="000000"/>
            </w14:solidFill>
          </w14:textFill>
        </w:rPr>
        <w:t>年整体</w:t>
      </w:r>
      <w:r>
        <w:rPr>
          <w:rFonts w:ascii="仿宋_GB2312" w:eastAsia="仿宋_GB2312" w:cs="仿宋" w:hint="eastAsia"/>
          <w:color w:val="000000"/>
          <w:kern w:val="0"/>
          <w:sz w:val="32"/>
          <w:szCs w:val="32"/>
          <w14:textFill>
            <w14:solidFill>
              <w14:srgbClr w14:val="000000"/>
            </w14:solidFill>
          </w14:textFill>
          <w:lang w:val="zh-CN"/>
        </w:rPr>
        <w:t>绩效评价得分是：</w:t>
      </w:r>
      <w:r>
        <w:rPr>
          <w:rFonts w:ascii="仿宋_GB2312" w:eastAsia="仿宋_GB2312" w:cs="仿宋" w:hint="eastAsia"/>
          <w:color w:val="000000"/>
          <w:kern w:val="0"/>
          <w:sz w:val="32"/>
          <w:szCs w:val="32"/>
          <w14:textFill>
            <w14:solidFill>
              <w14:srgbClr w14:val="000000"/>
            </w14:solidFill>
          </w14:textFill>
          <w:lang w:val="en-US" w:eastAsia="zh-CN"/>
        </w:rPr>
        <w:t>92</w:t>
      </w:r>
      <w:r>
        <w:rPr>
          <w:rFonts w:ascii="仿宋_GB2312" w:eastAsia="仿宋_GB2312" w:cs="仿宋" w:hint="eastAsia"/>
          <w:color w:val="000000"/>
          <w:kern w:val="0"/>
          <w:sz w:val="32"/>
          <w:szCs w:val="32"/>
          <w14:textFill>
            <w14:solidFill>
              <w14:srgbClr w14:val="000000"/>
            </w14:solidFill>
          </w14:textFill>
        </w:rPr>
        <w:t>分。</w:t>
      </w:r>
    </w:p>
    <w:p>
      <w:pPr>
        <w:snapToGrid w:val="0"/>
        <w:spacing w:line="560" w:lineRule="exact"/>
        <w:ind w:firstLineChars="200" w:firstLine="640"/>
        <w:rPr>
          <w:rFonts w:ascii="楷体" w:eastAsia="楷体" w:cs="宋体" w:hint="eastAsia"/>
          <w:bCs/>
          <w:color w:val="000000"/>
          <w:kern w:val="0"/>
          <w:sz w:val="32"/>
          <w:szCs w:val="32"/>
          <w:shd w:val="clear" w:color="auto" w:fill="FFFFFF"/>
        </w:rPr>
      </w:pPr>
      <w:r>
        <w:rPr>
          <w:rFonts w:ascii="楷体" w:eastAsia="楷体" w:cs="宋体" w:hint="eastAsia"/>
          <w:b/>
          <w:bCs/>
          <w:color w:val="000000"/>
          <w:kern w:val="0"/>
          <w:sz w:val="32"/>
          <w:szCs w:val="32"/>
          <w:shd w:val="clear" w:color="auto" w:fill="FFFFFF"/>
        </w:rPr>
        <w:t>（二）存在问题</w:t>
      </w:r>
    </w:p>
    <w:p>
      <w:pPr>
        <w:pStyle w:val="22"/>
        <w:widowControl/>
        <w:spacing w:line="560" w:lineRule="exact"/>
        <w:ind w:firstLineChars="200" w:firstLine="632"/>
        <w:rPr>
          <w:rFonts w:ascii="仿宋_GB2312" w:eastAsia="仿宋_GB2312" w:cs="宋体" w:hint="eastAsia"/>
          <w:color w:val="000000"/>
          <w:sz w:val="32"/>
          <w:szCs w:val="32"/>
          <w14:textFill>
            <w14:solidFill>
              <w14:srgbClr w14:val="000000"/>
            </w14:solidFill>
          </w14:textFill>
        </w:rPr>
      </w:pPr>
      <w:r>
        <w:rPr>
          <w:rFonts w:ascii="仿宋_GB2312" w:eastAsia="仿宋_GB2312" w:cs="宋体" w:hint="eastAsia"/>
          <w:color w:val="000000"/>
          <w:spacing w:val="-2"/>
          <w:sz w:val="32"/>
          <w:szCs w:val="32"/>
          <w14:textFill>
            <w14:solidFill>
              <w14:srgbClr w14:val="000000"/>
            </w14:solidFill>
          </w14:textFill>
        </w:rPr>
        <w:t>从资金来源、资金性质结转和结余情况，特别是项目经费结转和结余情况来看，一是</w:t>
      </w:r>
      <w:r>
        <w:rPr>
          <w:rFonts w:ascii="仿宋_GB2312" w:eastAsia="仿宋_GB2312" w:cs="宋体" w:hint="eastAsia"/>
          <w:bCs/>
          <w:color w:val="000000"/>
          <w:sz w:val="32"/>
          <w:szCs w:val="32"/>
          <w:shd w:val="clear" w:color="auto" w:fill="FFFFFF"/>
          <w14:textFill>
            <w14:solidFill>
              <w14:srgbClr w14:val="000000"/>
            </w14:solidFill>
          </w14:textFill>
        </w:rPr>
        <w:t>部门预算项目执行及资金支付进度偏慢。</w:t>
      </w:r>
      <w:r>
        <w:rPr>
          <w:rFonts w:ascii="仿宋_GB2312" w:eastAsia="仿宋_GB2312" w:cs="宋体" w:hint="eastAsia"/>
          <w:color w:val="000000"/>
          <w:sz w:val="32"/>
          <w:szCs w:val="32"/>
          <w14:textFill>
            <w14:solidFill>
              <w14:srgbClr w14:val="000000"/>
            </w14:solidFill>
          </w14:textFill>
        </w:rPr>
        <w:t>二是资金使用效益有待进一步提高，三是加强财务人员的专业培训力度，提高财务业务水平，促进资金的管理更加规范化、合理化。</w:t>
      </w:r>
    </w:p>
    <w:p>
      <w:pPr>
        <w:pStyle w:val="22"/>
        <w:widowControl/>
        <w:spacing w:line="560" w:lineRule="exact"/>
        <w:ind w:firstLineChars="200" w:firstLine="640"/>
        <w:rPr>
          <w:rFonts w:ascii="楷体" w:eastAsia="楷体" w:cs="宋体" w:hint="eastAsia"/>
          <w:b/>
          <w:color w:val="000000"/>
          <w:sz w:val="32"/>
          <w:szCs w:val="32"/>
          <w14:textFill>
            <w14:solidFill>
              <w14:srgbClr w14:val="000000"/>
            </w14:solidFill>
          </w14:textFill>
        </w:rPr>
      </w:pPr>
      <w:r>
        <w:rPr>
          <w:rFonts w:ascii="楷体" w:eastAsia="楷体" w:cs="宋体" w:hint="eastAsia"/>
          <w:b/>
          <w:color w:val="000000"/>
          <w:sz w:val="32"/>
          <w:szCs w:val="32"/>
          <w14:textFill>
            <w14:solidFill>
              <w14:srgbClr w14:val="000000"/>
            </w14:solidFill>
          </w14:textFill>
        </w:rPr>
        <w:t>（三）改进和建议</w:t>
      </w:r>
    </w:p>
    <w:p>
      <w:pPr>
        <w:pStyle w:val="22"/>
        <w:shd w:val="clear" w:color="auto" w:fill="FFFFFF"/>
        <w:spacing w:line="560" w:lineRule="exact"/>
        <w:ind w:firstLineChars="200" w:firstLine="640"/>
        <w:rPr>
          <w:rFonts w:ascii="仿宋_GB2312" w:eastAsia="仿宋_GB2312" w:cs="宋体" w:hint="eastAsia"/>
          <w:bCs/>
          <w:color w:val="000000"/>
          <w:sz w:val="32"/>
          <w:szCs w:val="32"/>
          <w:shd w:val="clear" w:color="auto" w:fill="FFFFFF"/>
          <w14:textFill>
            <w14:solidFill>
              <w14:srgbClr w14:val="000000"/>
            </w14:solidFill>
          </w14:textFill>
        </w:rPr>
      </w:pPr>
      <w:r>
        <w:rPr>
          <w:rFonts w:ascii="仿宋_GB2312" w:eastAsia="仿宋_GB2312" w:hint="eastAsia"/>
          <w:b/>
          <w:bCs/>
          <w:color w:val="000000"/>
          <w:sz w:val="32"/>
          <w:szCs w:val="32"/>
          <w:shd w:val="clear" w:color="auto" w:fill="FFFFFF"/>
          <w14:textFill>
            <w14:solidFill>
              <w14:srgbClr w14:val="000000"/>
            </w14:solidFill>
          </w14:textFill>
        </w:rPr>
        <w:t>1、精准编制预算。</w:t>
      </w:r>
      <w:r>
        <w:rPr>
          <w:rFonts w:ascii="仿宋_GB2312" w:eastAsia="仿宋_GB2312" w:hint="eastAsia"/>
          <w:bCs/>
          <w:color w:val="000000"/>
          <w:sz w:val="32"/>
          <w:szCs w:val="32"/>
          <w:shd w:val="clear" w:color="auto" w:fill="FFFFFF"/>
          <w14:textFill>
            <w14:solidFill>
              <w14:srgbClr w14:val="000000"/>
            </w14:solidFill>
          </w14:textFill>
        </w:rPr>
        <w:t>严格按照政策标准，优化支出结构，提高预算编制的科学化精细化水平。</w:t>
      </w:r>
    </w:p>
    <w:p>
      <w:pPr>
        <w:snapToGrid w:val="0"/>
        <w:spacing w:line="560" w:lineRule="exact"/>
        <w:ind w:firstLineChars="200" w:firstLine="640"/>
        <w:rPr>
          <w:rFonts w:ascii="仿宋_GB2312" w:eastAsia="仿宋_GB2312" w:cs="宋体" w:hint="eastAsia"/>
          <w:bCs/>
          <w:color w:val="000000"/>
          <w:kern w:val="0"/>
          <w:sz w:val="32"/>
          <w:szCs w:val="32"/>
          <w:shd w:val="clear" w:color="auto" w:fill="FFFFFF"/>
          <w14:textFill>
            <w14:solidFill>
              <w14:srgbClr w14:val="000000"/>
            </w14:solidFill>
          </w14:textFill>
        </w:rPr>
      </w:pPr>
      <w:r>
        <w:rPr>
          <w:rFonts w:ascii="仿宋_GB2312" w:eastAsia="仿宋_GB2312" w:hint="eastAsia"/>
          <w:b/>
          <w:bCs/>
          <w:color w:val="000000"/>
          <w:sz w:val="32"/>
          <w:szCs w:val="32"/>
          <w:shd w:val="clear" w:color="auto" w:fill="FFFFFF"/>
          <w14:textFill>
            <w14:solidFill>
              <w14:srgbClr w14:val="000000"/>
            </w14:solidFill>
          </w14:textFill>
        </w:rPr>
        <w:t>2、完善项目执行责任制。</w:t>
      </w:r>
      <w:r>
        <w:rPr>
          <w:rFonts w:ascii="仿宋_GB2312" w:eastAsia="仿宋_GB2312" w:cs="宋体" w:hint="eastAsia"/>
          <w:bCs/>
          <w:color w:val="000000"/>
          <w:kern w:val="0"/>
          <w:sz w:val="32"/>
          <w:szCs w:val="32"/>
          <w:shd w:val="clear" w:color="auto" w:fill="FFFFFF"/>
          <w14:textFill>
            <w14:solidFill>
              <w14:srgbClr w14:val="000000"/>
            </w14:solidFill>
          </w14:textFill>
        </w:rPr>
        <w:t>针对结余结转资金较多和预算执行进度偏慢等问题，单位将加强和规范项目管理，充分发挥财政资金使用效益，提高预算支付进度，按照工作重点，结合经费预算情况，建立项目执行责任制，将项目支出责任逐一分解落实到具体执行科室和责任人，形成领导重视、各科室联动共同促进项目执行的良好格局。针对资金支付进度偏慢的问题，单位及时催办相关科室及责任人要求加快项目的实施进度。</w:t>
      </w:r>
    </w:p>
    <w:p>
      <w:pPr>
        <w:snapToGrid w:val="0"/>
        <w:spacing w:line="560" w:lineRule="exact"/>
        <w:ind w:firstLineChars="200" w:firstLine="640"/>
        <w:rPr>
          <w:rFonts w:ascii="仿宋_GB2312" w:eastAsia="仿宋_GB2312" w:cs="宋体" w:hint="eastAsia"/>
          <w:bCs/>
          <w:color w:val="000000"/>
          <w:kern w:val="0"/>
          <w:sz w:val="32"/>
          <w:szCs w:val="32"/>
          <w:shd w:val="clear" w:color="auto" w:fill="FFFFFF"/>
        </w:rPr>
      </w:pPr>
    </w:p>
    <w:p>
      <w:pPr>
        <w:snapToGrid w:val="0"/>
        <w:spacing w:line="560" w:lineRule="exact"/>
        <w:ind w:firstLineChars="200" w:firstLine="640"/>
        <w:rPr>
          <w:rFonts w:ascii="仿宋_GB2312" w:eastAsia="仿宋_GB2312" w:cs="宋体" w:hint="eastAsia"/>
          <w:bCs/>
          <w:color w:val="000000"/>
          <w:kern w:val="0"/>
          <w:sz w:val="32"/>
          <w:szCs w:val="32"/>
          <w:shd w:val="clear" w:color="auto" w:fill="FFFFFF"/>
        </w:rPr>
      </w:pPr>
    </w:p>
    <w:p>
      <w:pPr>
        <w:snapToGrid w:val="0"/>
        <w:spacing w:line="560" w:lineRule="exact"/>
        <w:ind w:firstLineChars="200" w:firstLine="640"/>
        <w:rPr>
          <w:rFonts w:ascii="仿宋_GB2312" w:eastAsia="仿宋_GB2312" w:cs="宋体" w:hint="eastAsia"/>
          <w:bCs/>
          <w:color w:val="000000"/>
          <w:kern w:val="0"/>
          <w:sz w:val="32"/>
          <w:szCs w:val="32"/>
          <w:shd w:val="clear" w:color="auto" w:fill="FFFFFF"/>
        </w:rPr>
      </w:pPr>
    </w:p>
    <w:p>
      <w:pPr>
        <w:snapToGrid w:val="0"/>
        <w:spacing w:line="560" w:lineRule="exact"/>
        <w:ind w:firstLineChars="200" w:firstLine="640"/>
        <w:rPr>
          <w:rFonts w:ascii="仿宋_GB2312" w:eastAsia="仿宋_GB2312" w:cs="宋体" w:hint="eastAsia"/>
          <w:bCs/>
          <w:color w:val="000000"/>
          <w:kern w:val="0"/>
          <w:sz w:val="32"/>
          <w:szCs w:val="32"/>
          <w:shd w:val="clear" w:color="auto" w:fill="FFFFFF"/>
        </w:rPr>
      </w:pPr>
    </w:p>
    <w:p>
      <w:pPr>
        <w:pStyle w:val="15"/>
        <w:spacing w:beforeLines="0" w:before="93"/>
      </w:pPr>
      <w:r>
        <w:drawing>
          <wp:inline distT="0" distB="0" distL="114300" distR="114300">
            <wp:extent cx="5271770" cy="8363584"/>
            <wp:effectExtent l="0" t="0" r="46" b="0"/>
            <wp:docPr id="11" name="图片 45"/>
            <wp:cNvGraphicFramePr>
              <a:graphicFrameLocks noChangeAspect="1"/>
            </wp:cNvGraphicFramePr>
            <a:graphic>
              <a:graphicData uri="http://schemas.openxmlformats.org/drawingml/2006/picture">
                <pic:pic>
                  <pic:nvPicPr>
                    <pic:cNvPr id="13" name="图片 45 13"/>
                    <pic:cNvPicPr/>
                  </pic:nvPicPr>
                  <pic:blipFill>
                    <a:blip r:embed="rId15"/>
                    <a:stretch>
                      <a:fillRect/>
                    </a:stretch>
                  </pic:blipFill>
                  <pic:spPr>
                    <a:xfrm rot="0">
                      <a:off x="0" y="0"/>
                      <a:ext cx="5271770" cy="8363584"/>
                    </a:xfrm>
                    <a:prstGeom prst="rect"/>
                    <a:noFill/>
                    <a:ln w="9525" cmpd="sng" cap="flat">
                      <a:noFill/>
                      <a:prstDash val="solid"/>
                      <a:round/>
                    </a:ln>
                  </pic:spPr>
                </pic:pic>
              </a:graphicData>
            </a:graphic>
          </wp:inline>
        </w:drawing>
      </w:r>
    </w:p>
    <w:p>
      <w:pPr>
        <w:pStyle w:val="15"/>
        <w:spacing w:beforeLines="0" w:before="93"/>
      </w:pPr>
      <w:r>
        <w:drawing>
          <wp:inline distT="0" distB="0" distL="114300" distR="114300">
            <wp:extent cx="5267960" cy="8359775"/>
            <wp:effectExtent l="0" t="0" r="47" b="1"/>
            <wp:docPr id="14" name="图片 22"/>
            <wp:cNvGraphicFramePr>
              <a:graphicFrameLocks noChangeAspect="1"/>
            </wp:cNvGraphicFramePr>
            <a:graphic>
              <a:graphicData uri="http://schemas.openxmlformats.org/drawingml/2006/picture">
                <pic:pic>
                  <pic:nvPicPr>
                    <pic:cNvPr id="16" name="图片 22 16"/>
                    <pic:cNvPicPr/>
                  </pic:nvPicPr>
                  <pic:blipFill>
                    <a:blip r:embed="rId16"/>
                    <a:stretch>
                      <a:fillRect/>
                    </a:stretch>
                  </pic:blipFill>
                  <pic:spPr>
                    <a:xfrm rot="0">
                      <a:off x="0" y="0"/>
                      <a:ext cx="5267960" cy="8359775"/>
                    </a:xfrm>
                    <a:prstGeom prst="rect"/>
                    <a:noFill/>
                    <a:ln w="9525" cmpd="sng" cap="flat">
                      <a:noFill/>
                      <a:prstDash val="solid"/>
                      <a:round/>
                    </a:ln>
                  </pic:spPr>
                </pic:pic>
              </a:graphicData>
            </a:graphic>
          </wp:inline>
        </w:drawing>
      </w:r>
    </w:p>
    <w:p>
      <w:pPr>
        <w:pStyle w:val="15"/>
        <w:spacing w:beforeLines="0" w:before="93"/>
      </w:pPr>
      <w:r>
        <w:drawing>
          <wp:inline distT="0" distB="0" distL="114300" distR="114300">
            <wp:extent cx="5266055" cy="8376920"/>
            <wp:effectExtent l="0" t="0" r="47" b="1"/>
            <wp:docPr id="17" name="图片 23"/>
            <wp:cNvGraphicFramePr>
              <a:graphicFrameLocks noChangeAspect="1"/>
            </wp:cNvGraphicFramePr>
            <a:graphic>
              <a:graphicData uri="http://schemas.openxmlformats.org/drawingml/2006/picture">
                <pic:pic>
                  <pic:nvPicPr>
                    <pic:cNvPr id="19" name="图片 23 19"/>
                    <pic:cNvPicPr/>
                  </pic:nvPicPr>
                  <pic:blipFill>
                    <a:blip r:embed="rId17"/>
                    <a:stretch>
                      <a:fillRect/>
                    </a:stretch>
                  </pic:blipFill>
                  <pic:spPr>
                    <a:xfrm rot="0">
                      <a:off x="0" y="0"/>
                      <a:ext cx="5266055" cy="8376920"/>
                    </a:xfrm>
                    <a:prstGeom prst="rect"/>
                    <a:noFill/>
                    <a:ln w="9525" cmpd="sng" cap="flat">
                      <a:noFill/>
                      <a:prstDash val="solid"/>
                      <a:round/>
                    </a:ln>
                  </pic:spPr>
                </pic:pic>
              </a:graphicData>
            </a:graphic>
          </wp:inline>
        </w:drawing>
      </w:r>
    </w:p>
    <w:p>
      <w:pPr>
        <w:pStyle w:val="15"/>
        <w:spacing w:beforeLines="0" w:before="93"/>
        <w:rPr>
          <w:rFonts w:eastAsia="仿宋_GB2312" w:hint="eastAsia"/>
          <w:lang w:eastAsia="zh-CN"/>
        </w:rPr>
      </w:pPr>
      <w:r>
        <w:drawing>
          <wp:inline distT="0" distB="0" distL="114300" distR="114300">
            <wp:extent cx="5272404" cy="8202930"/>
            <wp:effectExtent l="0" t="1" r="16" b="31"/>
            <wp:docPr id="20" name="图片 24"/>
            <wp:cNvGraphicFramePr>
              <a:graphicFrameLocks noChangeAspect="1"/>
            </wp:cNvGraphicFramePr>
            <a:graphic>
              <a:graphicData uri="http://schemas.openxmlformats.org/drawingml/2006/picture">
                <pic:pic>
                  <pic:nvPicPr>
                    <pic:cNvPr id="22" name="图片 24 22"/>
                    <pic:cNvPicPr/>
                  </pic:nvPicPr>
                  <pic:blipFill>
                    <a:blip r:embed="rId18"/>
                    <a:stretch>
                      <a:fillRect/>
                    </a:stretch>
                  </pic:blipFill>
                  <pic:spPr>
                    <a:xfrm rot="0">
                      <a:off x="0" y="0"/>
                      <a:ext cx="5272404" cy="8202930"/>
                    </a:xfrm>
                    <a:prstGeom prst="rect"/>
                    <a:noFill/>
                    <a:ln w="9525" cmpd="sng" cap="flat">
                      <a:noFill/>
                      <a:prstDash val="solid"/>
                      <a:round/>
                    </a:ln>
                  </pic:spPr>
                </pic:pic>
              </a:graphicData>
            </a:graphic>
          </wp:inline>
        </w:drawing>
      </w:r>
    </w:p>
    <w:p>
      <w:pPr>
        <w:pStyle w:val="15"/>
        <w:spacing w:beforeLines="0" w:before="93"/>
        <w:rPr>
          <w:rFonts w:eastAsia="仿宋_GB2312" w:hint="eastAsia"/>
          <w:lang w:eastAsia="zh-CN"/>
        </w:rPr>
      </w:pPr>
    </w:p>
    <w:p>
      <w:pPr>
        <w:pStyle w:val="15"/>
        <w:spacing w:beforeLines="0" w:before="93"/>
      </w:pPr>
      <w:r>
        <w:drawing>
          <wp:inline distT="0" distB="0" distL="114300" distR="114300">
            <wp:extent cx="5271134" cy="8341994"/>
            <wp:effectExtent l="0" t="1" r="15" b="32"/>
            <wp:docPr id="23" name="图片 25"/>
            <wp:cNvGraphicFramePr>
              <a:graphicFrameLocks noChangeAspect="1"/>
            </wp:cNvGraphicFramePr>
            <a:graphic>
              <a:graphicData uri="http://schemas.openxmlformats.org/drawingml/2006/picture">
                <pic:pic>
                  <pic:nvPicPr>
                    <pic:cNvPr id="25" name="图片 25 25"/>
                    <pic:cNvPicPr/>
                  </pic:nvPicPr>
                  <pic:blipFill>
                    <a:blip r:embed="rId19"/>
                    <a:stretch>
                      <a:fillRect/>
                    </a:stretch>
                  </pic:blipFill>
                  <pic:spPr>
                    <a:xfrm rot="0">
                      <a:off x="0" y="0"/>
                      <a:ext cx="5271134" cy="8341994"/>
                    </a:xfrm>
                    <a:prstGeom prst="rect"/>
                    <a:noFill/>
                    <a:ln w="9525" cmpd="sng" cap="flat">
                      <a:noFill/>
                      <a:prstDash val="solid"/>
                      <a:round/>
                    </a:ln>
                  </pic:spPr>
                </pic:pic>
              </a:graphicData>
            </a:graphic>
          </wp:inline>
        </w:drawing>
      </w:r>
    </w:p>
    <w:p>
      <w:pPr>
        <w:pStyle w:val="15"/>
        <w:spacing w:beforeLines="0" w:before="93"/>
      </w:pPr>
      <w:r>
        <w:drawing>
          <wp:inline distT="0" distB="0" distL="114300" distR="114300">
            <wp:extent cx="5266690" cy="8321040"/>
            <wp:effectExtent l="0" t="1" r="17" b="31"/>
            <wp:docPr id="26" name="图片 26"/>
            <wp:cNvGraphicFramePr>
              <a:graphicFrameLocks noChangeAspect="1"/>
            </wp:cNvGraphicFramePr>
            <a:graphic>
              <a:graphicData uri="http://schemas.openxmlformats.org/drawingml/2006/picture">
                <pic:pic>
                  <pic:nvPicPr>
                    <pic:cNvPr id="28" name="图片 26 28"/>
                    <pic:cNvPicPr/>
                  </pic:nvPicPr>
                  <pic:blipFill>
                    <a:blip r:embed="rId20"/>
                    <a:stretch>
                      <a:fillRect/>
                    </a:stretch>
                  </pic:blipFill>
                  <pic:spPr>
                    <a:xfrm rot="0">
                      <a:off x="0" y="0"/>
                      <a:ext cx="5266690" cy="8321040"/>
                    </a:xfrm>
                    <a:prstGeom prst="rect"/>
                    <a:noFill/>
                    <a:ln w="9525" cmpd="sng" cap="flat">
                      <a:noFill/>
                      <a:prstDash val="solid"/>
                      <a:round/>
                    </a:ln>
                  </pic:spPr>
                </pic:pic>
              </a:graphicData>
            </a:graphic>
          </wp:inline>
        </w:drawing>
      </w:r>
    </w:p>
    <w:p>
      <w:pPr>
        <w:pStyle w:val="15"/>
        <w:spacing w:beforeLines="0" w:before="93"/>
      </w:pPr>
      <w:r>
        <w:drawing>
          <wp:inline distT="0" distB="0" distL="114300" distR="114300">
            <wp:extent cx="5267960" cy="8251190"/>
            <wp:effectExtent l="0" t="0" r="47" b="1"/>
            <wp:docPr id="29" name="图片 27"/>
            <wp:cNvGraphicFramePr>
              <a:graphicFrameLocks noChangeAspect="1"/>
            </wp:cNvGraphicFramePr>
            <a:graphic>
              <a:graphicData uri="http://schemas.openxmlformats.org/drawingml/2006/picture">
                <pic:pic>
                  <pic:nvPicPr>
                    <pic:cNvPr id="31" name="图片 27 31"/>
                    <pic:cNvPicPr/>
                  </pic:nvPicPr>
                  <pic:blipFill>
                    <a:blip r:embed="rId21"/>
                    <a:stretch>
                      <a:fillRect/>
                    </a:stretch>
                  </pic:blipFill>
                  <pic:spPr>
                    <a:xfrm rot="0">
                      <a:off x="0" y="0"/>
                      <a:ext cx="5267960" cy="8251190"/>
                    </a:xfrm>
                    <a:prstGeom prst="rect"/>
                    <a:noFill/>
                    <a:ln w="9525" cmpd="sng" cap="flat">
                      <a:noFill/>
                      <a:prstDash val="solid"/>
                      <a:round/>
                    </a:ln>
                  </pic:spPr>
                </pic:pic>
              </a:graphicData>
            </a:graphic>
          </wp:inline>
        </w:drawing>
      </w:r>
    </w:p>
    <w:p>
      <w:pPr>
        <w:pStyle w:val="15"/>
        <w:spacing w:beforeLines="0" w:before="93"/>
      </w:pPr>
    </w:p>
    <w:p>
      <w:pPr>
        <w:pStyle w:val="15"/>
        <w:spacing w:beforeLines="0" w:before="93"/>
      </w:pPr>
      <w:r>
        <w:drawing>
          <wp:inline distT="0" distB="0" distL="114300" distR="114300">
            <wp:extent cx="5267960" cy="8295005"/>
            <wp:effectExtent l="0" t="0" r="47" b="0"/>
            <wp:docPr id="32" name="图片 28"/>
            <wp:cNvGraphicFramePr>
              <a:graphicFrameLocks noChangeAspect="1"/>
            </wp:cNvGraphicFramePr>
            <a:graphic>
              <a:graphicData uri="http://schemas.openxmlformats.org/drawingml/2006/picture">
                <pic:pic>
                  <pic:nvPicPr>
                    <pic:cNvPr id="34" name="图片 28 34"/>
                    <pic:cNvPicPr/>
                  </pic:nvPicPr>
                  <pic:blipFill>
                    <a:blip r:embed="rId22"/>
                    <a:stretch>
                      <a:fillRect/>
                    </a:stretch>
                  </pic:blipFill>
                  <pic:spPr>
                    <a:xfrm rot="0">
                      <a:off x="0" y="0"/>
                      <a:ext cx="5267960" cy="8295005"/>
                    </a:xfrm>
                    <a:prstGeom prst="rect"/>
                    <a:noFill/>
                    <a:ln w="9525" cmpd="sng" cap="flat">
                      <a:noFill/>
                      <a:prstDash val="solid"/>
                      <a:round/>
                    </a:ln>
                  </pic:spPr>
                </pic:pic>
              </a:graphicData>
            </a:graphic>
          </wp:inline>
        </w:drawing>
      </w:r>
    </w:p>
    <w:p>
      <w:pPr>
        <w:pStyle w:val="15"/>
        <w:spacing w:beforeLines="0" w:before="93"/>
      </w:pPr>
    </w:p>
    <w:p>
      <w:pPr>
        <w:pStyle w:val="15"/>
        <w:spacing w:beforeLines="0" w:before="93"/>
      </w:pPr>
      <w:r>
        <w:drawing>
          <wp:inline distT="0" distB="0" distL="114300" distR="114300">
            <wp:extent cx="5268595" cy="8387715"/>
            <wp:effectExtent l="0" t="0" r="17" b="33"/>
            <wp:docPr id="35" name="图片 29"/>
            <wp:cNvGraphicFramePr>
              <a:graphicFrameLocks noChangeAspect="1"/>
            </wp:cNvGraphicFramePr>
            <a:graphic>
              <a:graphicData uri="http://schemas.openxmlformats.org/drawingml/2006/picture">
                <pic:pic>
                  <pic:nvPicPr>
                    <pic:cNvPr id="37" name="图片 29 37"/>
                    <pic:cNvPicPr/>
                  </pic:nvPicPr>
                  <pic:blipFill>
                    <a:blip r:embed="rId23"/>
                    <a:stretch>
                      <a:fillRect/>
                    </a:stretch>
                  </pic:blipFill>
                  <pic:spPr>
                    <a:xfrm rot="0">
                      <a:off x="0" y="0"/>
                      <a:ext cx="5268595" cy="8387715"/>
                    </a:xfrm>
                    <a:prstGeom prst="rect"/>
                    <a:noFill/>
                    <a:ln w="9525" cmpd="sng" cap="flat">
                      <a:noFill/>
                      <a:prstDash val="solid"/>
                      <a:round/>
                    </a:ln>
                  </pic:spPr>
                </pic:pic>
              </a:graphicData>
            </a:graphic>
          </wp:inline>
        </w:drawing>
      </w:r>
    </w:p>
    <w:p>
      <w:pPr>
        <w:pStyle w:val="15"/>
        <w:spacing w:beforeLines="0" w:before="93"/>
      </w:pPr>
      <w:r>
        <w:drawing>
          <wp:inline distT="0" distB="0" distL="114300" distR="114300">
            <wp:extent cx="5271134" cy="8279765"/>
            <wp:effectExtent l="0" t="1" r="15" b="0"/>
            <wp:docPr id="38" name="图片 30"/>
            <wp:cNvGraphicFramePr>
              <a:graphicFrameLocks noChangeAspect="1"/>
            </wp:cNvGraphicFramePr>
            <a:graphic>
              <a:graphicData uri="http://schemas.openxmlformats.org/drawingml/2006/picture">
                <pic:pic>
                  <pic:nvPicPr>
                    <pic:cNvPr id="40" name="图片 30 40"/>
                    <pic:cNvPicPr/>
                  </pic:nvPicPr>
                  <pic:blipFill>
                    <a:blip r:embed="rId24"/>
                    <a:stretch>
                      <a:fillRect/>
                    </a:stretch>
                  </pic:blipFill>
                  <pic:spPr>
                    <a:xfrm rot="0">
                      <a:off x="0" y="0"/>
                      <a:ext cx="5271134" cy="8279765"/>
                    </a:xfrm>
                    <a:prstGeom prst="rect"/>
                    <a:noFill/>
                    <a:ln w="9525" cmpd="sng" cap="flat">
                      <a:noFill/>
                      <a:prstDash val="solid"/>
                      <a:round/>
                    </a:ln>
                  </pic:spPr>
                </pic:pic>
              </a:graphicData>
            </a:graphic>
          </wp:inline>
        </w:drawing>
      </w:r>
    </w:p>
    <w:p>
      <w:pPr>
        <w:pStyle w:val="15"/>
        <w:spacing w:beforeLines="0" w:before="93"/>
      </w:pPr>
    </w:p>
    <w:p>
      <w:pPr>
        <w:pStyle w:val="15"/>
        <w:spacing w:beforeLines="0" w:before="93"/>
      </w:pPr>
      <w:r>
        <w:drawing>
          <wp:inline distT="0" distB="0" distL="114300" distR="114300">
            <wp:extent cx="5268595" cy="8355330"/>
            <wp:effectExtent l="0" t="1" r="17" b="33"/>
            <wp:docPr id="41" name="图片 31"/>
            <wp:cNvGraphicFramePr>
              <a:graphicFrameLocks noChangeAspect="1"/>
            </wp:cNvGraphicFramePr>
            <a:graphic>
              <a:graphicData uri="http://schemas.openxmlformats.org/drawingml/2006/picture">
                <pic:pic>
                  <pic:nvPicPr>
                    <pic:cNvPr id="43" name="图片 31 43"/>
                    <pic:cNvPicPr/>
                  </pic:nvPicPr>
                  <pic:blipFill>
                    <a:blip r:embed="rId25"/>
                    <a:stretch>
                      <a:fillRect/>
                    </a:stretch>
                  </pic:blipFill>
                  <pic:spPr>
                    <a:xfrm rot="0">
                      <a:off x="0" y="0"/>
                      <a:ext cx="5268595" cy="8355330"/>
                    </a:xfrm>
                    <a:prstGeom prst="rect"/>
                    <a:noFill/>
                    <a:ln w="9525" cmpd="sng" cap="flat">
                      <a:noFill/>
                      <a:prstDash val="solid"/>
                      <a:round/>
                    </a:ln>
                  </pic:spPr>
                </pic:pic>
              </a:graphicData>
            </a:graphic>
          </wp:inline>
        </w:drawing>
      </w:r>
    </w:p>
    <w:p>
      <w:pPr>
        <w:pStyle w:val="15"/>
        <w:spacing w:beforeLines="0" w:before="93"/>
      </w:pPr>
      <w:r>
        <w:drawing>
          <wp:inline distT="0" distB="0" distL="114300" distR="114300">
            <wp:extent cx="5271134" cy="8272144"/>
            <wp:effectExtent l="0" t="0" r="15" b="2"/>
            <wp:docPr id="44" name="图片 32"/>
            <wp:cNvGraphicFramePr>
              <a:graphicFrameLocks noChangeAspect="1"/>
            </wp:cNvGraphicFramePr>
            <a:graphic>
              <a:graphicData uri="http://schemas.openxmlformats.org/drawingml/2006/picture">
                <pic:pic>
                  <pic:nvPicPr>
                    <pic:cNvPr id="46" name="图片 32 46"/>
                    <pic:cNvPicPr/>
                  </pic:nvPicPr>
                  <pic:blipFill>
                    <a:blip r:embed="rId26"/>
                    <a:stretch>
                      <a:fillRect/>
                    </a:stretch>
                  </pic:blipFill>
                  <pic:spPr>
                    <a:xfrm rot="0">
                      <a:off x="0" y="0"/>
                      <a:ext cx="5271134" cy="8272144"/>
                    </a:xfrm>
                    <a:prstGeom prst="rect"/>
                    <a:noFill/>
                    <a:ln w="9525" cmpd="sng" cap="flat">
                      <a:noFill/>
                      <a:prstDash val="solid"/>
                      <a:round/>
                    </a:ln>
                  </pic:spPr>
                </pic:pic>
              </a:graphicData>
            </a:graphic>
          </wp:inline>
        </w:drawing>
      </w:r>
    </w:p>
    <w:p>
      <w:pPr>
        <w:pStyle w:val="15"/>
        <w:spacing w:beforeLines="0" w:before="93"/>
      </w:pPr>
    </w:p>
    <w:p>
      <w:pPr>
        <w:pStyle w:val="15"/>
        <w:spacing w:beforeLines="0" w:before="93"/>
      </w:pPr>
      <w:r>
        <w:drawing>
          <wp:inline distT="0" distB="0" distL="114300" distR="114300">
            <wp:extent cx="5271134" cy="8368665"/>
            <wp:effectExtent l="0" t="0" r="15" b="32"/>
            <wp:docPr id="47" name="图片 33"/>
            <wp:cNvGraphicFramePr>
              <a:graphicFrameLocks noChangeAspect="1"/>
            </wp:cNvGraphicFramePr>
            <a:graphic>
              <a:graphicData uri="http://schemas.openxmlformats.org/drawingml/2006/picture">
                <pic:pic>
                  <pic:nvPicPr>
                    <pic:cNvPr id="49" name="图片 33 49"/>
                    <pic:cNvPicPr/>
                  </pic:nvPicPr>
                  <pic:blipFill>
                    <a:blip r:embed="rId27"/>
                    <a:stretch>
                      <a:fillRect/>
                    </a:stretch>
                  </pic:blipFill>
                  <pic:spPr>
                    <a:xfrm rot="0">
                      <a:off x="0" y="0"/>
                      <a:ext cx="5271134" cy="8368665"/>
                    </a:xfrm>
                    <a:prstGeom prst="rect"/>
                    <a:noFill/>
                    <a:ln w="9525" cmpd="sng" cap="flat">
                      <a:noFill/>
                      <a:prstDash val="solid"/>
                      <a:round/>
                    </a:ln>
                  </pic:spPr>
                </pic:pic>
              </a:graphicData>
            </a:graphic>
          </wp:inline>
        </w:drawing>
      </w:r>
    </w:p>
    <w:p>
      <w:pPr>
        <w:pStyle w:val="15"/>
        <w:spacing w:beforeLines="0" w:before="93"/>
      </w:pPr>
      <w:r>
        <w:drawing>
          <wp:inline distT="0" distB="0" distL="114300" distR="114300">
            <wp:extent cx="5267325" cy="8335009"/>
            <wp:effectExtent l="0" t="0" r="15" b="1"/>
            <wp:docPr id="50" name="图片 34"/>
            <wp:cNvGraphicFramePr>
              <a:graphicFrameLocks noChangeAspect="1"/>
            </wp:cNvGraphicFramePr>
            <a:graphic>
              <a:graphicData uri="http://schemas.openxmlformats.org/drawingml/2006/picture">
                <pic:pic>
                  <pic:nvPicPr>
                    <pic:cNvPr id="52" name="图片 34 52"/>
                    <pic:cNvPicPr/>
                  </pic:nvPicPr>
                  <pic:blipFill>
                    <a:blip r:embed="rId28"/>
                    <a:stretch>
                      <a:fillRect/>
                    </a:stretch>
                  </pic:blipFill>
                  <pic:spPr>
                    <a:xfrm rot="0">
                      <a:off x="0" y="0"/>
                      <a:ext cx="5267325" cy="8335009"/>
                    </a:xfrm>
                    <a:prstGeom prst="rect"/>
                    <a:noFill/>
                    <a:ln w="9525" cmpd="sng" cap="flat">
                      <a:noFill/>
                      <a:prstDash val="solid"/>
                      <a:round/>
                    </a:ln>
                  </pic:spPr>
                </pic:pic>
              </a:graphicData>
            </a:graphic>
          </wp:inline>
        </w:drawing>
      </w:r>
    </w:p>
    <w:p>
      <w:pPr>
        <w:pStyle w:val="15"/>
        <w:spacing w:beforeLines="0" w:before="93"/>
      </w:pPr>
      <w:r>
        <w:drawing>
          <wp:inline distT="0" distB="0" distL="114300" distR="114300">
            <wp:extent cx="5272404" cy="8401685"/>
            <wp:effectExtent l="0" t="0" r="16" b="1"/>
            <wp:docPr id="53" name="图片 35"/>
            <wp:cNvGraphicFramePr>
              <a:graphicFrameLocks noChangeAspect="1"/>
            </wp:cNvGraphicFramePr>
            <a:graphic>
              <a:graphicData uri="http://schemas.openxmlformats.org/drawingml/2006/picture">
                <pic:pic>
                  <pic:nvPicPr>
                    <pic:cNvPr id="55" name="图片 35 55"/>
                    <pic:cNvPicPr/>
                  </pic:nvPicPr>
                  <pic:blipFill>
                    <a:blip r:embed="rId29"/>
                    <a:stretch>
                      <a:fillRect/>
                    </a:stretch>
                  </pic:blipFill>
                  <pic:spPr>
                    <a:xfrm rot="0">
                      <a:off x="0" y="0"/>
                      <a:ext cx="5272404" cy="8401685"/>
                    </a:xfrm>
                    <a:prstGeom prst="rect"/>
                    <a:noFill/>
                    <a:ln w="9525" cmpd="sng" cap="flat">
                      <a:noFill/>
                      <a:prstDash val="solid"/>
                      <a:round/>
                    </a:ln>
                  </pic:spPr>
                </pic:pic>
              </a:graphicData>
            </a:graphic>
          </wp:inline>
        </w:drawing>
      </w:r>
    </w:p>
    <w:p>
      <w:pPr>
        <w:pStyle w:val="15"/>
        <w:spacing w:beforeLines="0" w:before="93"/>
      </w:pPr>
      <w:r>
        <w:drawing>
          <wp:inline distT="0" distB="0" distL="114300" distR="114300">
            <wp:extent cx="5266690" cy="8392160"/>
            <wp:effectExtent l="0" t="1" r="17" b="2"/>
            <wp:docPr id="56" name="图片 36"/>
            <wp:cNvGraphicFramePr>
              <a:graphicFrameLocks noChangeAspect="1"/>
            </wp:cNvGraphicFramePr>
            <a:graphic>
              <a:graphicData uri="http://schemas.openxmlformats.org/drawingml/2006/picture">
                <pic:pic>
                  <pic:nvPicPr>
                    <pic:cNvPr id="58" name="图片 36 58"/>
                    <pic:cNvPicPr/>
                  </pic:nvPicPr>
                  <pic:blipFill>
                    <a:blip r:embed="rId30"/>
                    <a:stretch>
                      <a:fillRect/>
                    </a:stretch>
                  </pic:blipFill>
                  <pic:spPr>
                    <a:xfrm rot="0">
                      <a:off x="0" y="0"/>
                      <a:ext cx="5266690" cy="8392160"/>
                    </a:xfrm>
                    <a:prstGeom prst="rect"/>
                    <a:noFill/>
                    <a:ln w="9525" cmpd="sng" cap="flat">
                      <a:noFill/>
                      <a:prstDash val="solid"/>
                      <a:round/>
                    </a:ln>
                  </pic:spPr>
                </pic:pic>
              </a:graphicData>
            </a:graphic>
          </wp:inline>
        </w:drawing>
      </w:r>
    </w:p>
    <w:p>
      <w:pPr>
        <w:pStyle w:val="15"/>
        <w:spacing w:beforeLines="0" w:before="93"/>
      </w:pPr>
      <w:r>
        <w:drawing>
          <wp:inline distT="0" distB="0" distL="114300" distR="114300">
            <wp:extent cx="5271134" cy="8451216"/>
            <wp:effectExtent l="0" t="1" r="15" b="4"/>
            <wp:docPr id="59" name="图片 37"/>
            <wp:cNvGraphicFramePr>
              <a:graphicFrameLocks noChangeAspect="1"/>
            </wp:cNvGraphicFramePr>
            <a:graphic>
              <a:graphicData uri="http://schemas.openxmlformats.org/drawingml/2006/picture">
                <pic:pic>
                  <pic:nvPicPr>
                    <pic:cNvPr id="61" name="图片 37 61"/>
                    <pic:cNvPicPr/>
                  </pic:nvPicPr>
                  <pic:blipFill>
                    <a:blip r:embed="rId31"/>
                    <a:stretch>
                      <a:fillRect/>
                    </a:stretch>
                  </pic:blipFill>
                  <pic:spPr>
                    <a:xfrm rot="0">
                      <a:off x="0" y="0"/>
                      <a:ext cx="5271134" cy="8451216"/>
                    </a:xfrm>
                    <a:prstGeom prst="rect"/>
                    <a:noFill/>
                    <a:ln w="9525" cmpd="sng" cap="flat">
                      <a:noFill/>
                      <a:prstDash val="solid"/>
                      <a:round/>
                    </a:ln>
                  </pic:spPr>
                </pic:pic>
              </a:graphicData>
            </a:graphic>
          </wp:inline>
        </w:drawing>
      </w:r>
    </w:p>
    <w:p>
      <w:pPr>
        <w:pStyle w:val="15"/>
        <w:spacing w:beforeLines="0" w:before="93"/>
      </w:pPr>
      <w:r>
        <w:drawing>
          <wp:inline distT="0" distB="0" distL="114300" distR="114300">
            <wp:extent cx="5271770" cy="8308340"/>
            <wp:effectExtent l="0" t="0" r="46" b="0"/>
            <wp:docPr id="62" name="图片 38"/>
            <wp:cNvGraphicFramePr>
              <a:graphicFrameLocks noChangeAspect="1"/>
            </wp:cNvGraphicFramePr>
            <a:graphic>
              <a:graphicData uri="http://schemas.openxmlformats.org/drawingml/2006/picture">
                <pic:pic>
                  <pic:nvPicPr>
                    <pic:cNvPr id="64" name="图片 38 64"/>
                    <pic:cNvPicPr/>
                  </pic:nvPicPr>
                  <pic:blipFill>
                    <a:blip r:embed="rId32"/>
                    <a:stretch>
                      <a:fillRect/>
                    </a:stretch>
                  </pic:blipFill>
                  <pic:spPr>
                    <a:xfrm rot="0">
                      <a:off x="0" y="0"/>
                      <a:ext cx="5271770" cy="8308340"/>
                    </a:xfrm>
                    <a:prstGeom prst="rect"/>
                    <a:noFill/>
                    <a:ln w="9525" cmpd="sng" cap="flat">
                      <a:noFill/>
                      <a:prstDash val="solid"/>
                      <a:round/>
                    </a:ln>
                  </pic:spPr>
                </pic:pic>
              </a:graphicData>
            </a:graphic>
          </wp:inline>
        </w:drawing>
      </w:r>
    </w:p>
    <w:p>
      <w:pPr>
        <w:pStyle w:val="15"/>
        <w:spacing w:beforeLines="0" w:before="93"/>
      </w:pPr>
      <w:r>
        <w:drawing>
          <wp:inline distT="0" distB="0" distL="114300" distR="114300">
            <wp:extent cx="5271134" cy="8352790"/>
            <wp:effectExtent l="0" t="0" r="15" b="31"/>
            <wp:docPr id="65" name="图片 39"/>
            <wp:cNvGraphicFramePr>
              <a:graphicFrameLocks noChangeAspect="1"/>
            </wp:cNvGraphicFramePr>
            <a:graphic>
              <a:graphicData uri="http://schemas.openxmlformats.org/drawingml/2006/picture">
                <pic:pic>
                  <pic:nvPicPr>
                    <pic:cNvPr id="67" name="图片 39 67"/>
                    <pic:cNvPicPr/>
                  </pic:nvPicPr>
                  <pic:blipFill>
                    <a:blip r:embed="rId33"/>
                    <a:stretch>
                      <a:fillRect/>
                    </a:stretch>
                  </pic:blipFill>
                  <pic:spPr>
                    <a:xfrm rot="0">
                      <a:off x="0" y="0"/>
                      <a:ext cx="5271134" cy="8352790"/>
                    </a:xfrm>
                    <a:prstGeom prst="rect"/>
                    <a:noFill/>
                    <a:ln w="9525" cmpd="sng" cap="flat">
                      <a:noFill/>
                      <a:prstDash val="solid"/>
                      <a:round/>
                    </a:ln>
                  </pic:spPr>
                </pic:pic>
              </a:graphicData>
            </a:graphic>
          </wp:inline>
        </w:drawing>
      </w:r>
    </w:p>
    <w:p>
      <w:pPr>
        <w:pStyle w:val="15"/>
        <w:spacing w:beforeLines="0" w:before="93"/>
      </w:pPr>
      <w:r>
        <w:drawing>
          <wp:inline distT="0" distB="0" distL="114300" distR="114300">
            <wp:extent cx="5272404" cy="8185150"/>
            <wp:effectExtent l="0" t="0" r="16" b="34"/>
            <wp:docPr id="68" name="图片 40"/>
            <wp:cNvGraphicFramePr>
              <a:graphicFrameLocks noChangeAspect="1"/>
            </wp:cNvGraphicFramePr>
            <a:graphic>
              <a:graphicData uri="http://schemas.openxmlformats.org/drawingml/2006/picture">
                <pic:pic>
                  <pic:nvPicPr>
                    <pic:cNvPr id="70" name="图片 40 70"/>
                    <pic:cNvPicPr/>
                  </pic:nvPicPr>
                  <pic:blipFill>
                    <a:blip r:embed="rId34"/>
                    <a:stretch>
                      <a:fillRect/>
                    </a:stretch>
                  </pic:blipFill>
                  <pic:spPr>
                    <a:xfrm rot="0">
                      <a:off x="0" y="0"/>
                      <a:ext cx="5272404" cy="8185150"/>
                    </a:xfrm>
                    <a:prstGeom prst="rect"/>
                    <a:noFill/>
                    <a:ln w="9525" cmpd="sng" cap="flat">
                      <a:noFill/>
                      <a:prstDash val="solid"/>
                      <a:round/>
                    </a:ln>
                  </pic:spPr>
                </pic:pic>
              </a:graphicData>
            </a:graphic>
          </wp:inline>
        </w:drawing>
      </w:r>
    </w:p>
    <w:p>
      <w:pPr>
        <w:pStyle w:val="15"/>
        <w:spacing w:beforeLines="0" w:before="93"/>
      </w:pPr>
    </w:p>
    <w:p>
      <w:pPr>
        <w:pStyle w:val="15"/>
        <w:spacing w:beforeLines="0" w:before="93"/>
      </w:pPr>
      <w:r>
        <w:drawing>
          <wp:inline distT="0" distB="0" distL="114300" distR="114300">
            <wp:extent cx="5268595" cy="8156575"/>
            <wp:effectExtent l="0" t="0" r="17" b="34"/>
            <wp:docPr id="71" name="图片 41"/>
            <wp:cNvGraphicFramePr>
              <a:graphicFrameLocks noChangeAspect="1"/>
            </wp:cNvGraphicFramePr>
            <a:graphic>
              <a:graphicData uri="http://schemas.openxmlformats.org/drawingml/2006/picture">
                <pic:pic>
                  <pic:nvPicPr>
                    <pic:cNvPr id="73" name="图片 41 73"/>
                    <pic:cNvPicPr/>
                  </pic:nvPicPr>
                  <pic:blipFill>
                    <a:blip r:embed="rId35"/>
                    <a:stretch>
                      <a:fillRect/>
                    </a:stretch>
                  </pic:blipFill>
                  <pic:spPr>
                    <a:xfrm rot="0">
                      <a:off x="0" y="0"/>
                      <a:ext cx="5268595" cy="8156575"/>
                    </a:xfrm>
                    <a:prstGeom prst="rect"/>
                    <a:noFill/>
                    <a:ln w="9525" cmpd="sng" cap="flat">
                      <a:noFill/>
                      <a:prstDash val="solid"/>
                      <a:round/>
                    </a:ln>
                  </pic:spPr>
                </pic:pic>
              </a:graphicData>
            </a:graphic>
          </wp:inline>
        </w:drawing>
      </w:r>
    </w:p>
    <w:p>
      <w:pPr>
        <w:pStyle w:val="15"/>
        <w:spacing w:beforeLines="0" w:before="93"/>
      </w:pPr>
    </w:p>
    <w:p>
      <w:pPr>
        <w:pStyle w:val="15"/>
        <w:spacing w:beforeLines="0" w:before="93"/>
      </w:pPr>
      <w:r>
        <w:drawing>
          <wp:inline distT="0" distB="0" distL="114300" distR="114300">
            <wp:extent cx="5271134" cy="8180705"/>
            <wp:effectExtent l="0" t="0" r="15" b="2"/>
            <wp:docPr id="74" name="图片 42"/>
            <wp:cNvGraphicFramePr>
              <a:graphicFrameLocks noChangeAspect="1"/>
            </wp:cNvGraphicFramePr>
            <a:graphic>
              <a:graphicData uri="http://schemas.openxmlformats.org/drawingml/2006/picture">
                <pic:pic>
                  <pic:nvPicPr>
                    <pic:cNvPr id="76" name="图片 42 76"/>
                    <pic:cNvPicPr/>
                  </pic:nvPicPr>
                  <pic:blipFill>
                    <a:blip r:embed="rId36"/>
                    <a:stretch>
                      <a:fillRect/>
                    </a:stretch>
                  </pic:blipFill>
                  <pic:spPr>
                    <a:xfrm rot="0">
                      <a:off x="0" y="0"/>
                      <a:ext cx="5271134" cy="8180705"/>
                    </a:xfrm>
                    <a:prstGeom prst="rect"/>
                    <a:noFill/>
                    <a:ln w="9525" cmpd="sng" cap="flat">
                      <a:noFill/>
                      <a:prstDash val="solid"/>
                      <a:round/>
                    </a:ln>
                  </pic:spPr>
                </pic:pic>
              </a:graphicData>
            </a:graphic>
          </wp:inline>
        </w:drawing>
      </w:r>
    </w:p>
    <w:p>
      <w:pPr>
        <w:pStyle w:val="15"/>
        <w:spacing w:beforeLines="0" w:before="93"/>
      </w:pPr>
    </w:p>
    <w:p>
      <w:pPr>
        <w:pStyle w:val="15"/>
        <w:spacing w:beforeLines="0" w:before="93"/>
      </w:pPr>
      <w:r>
        <w:drawing>
          <wp:inline distT="0" distB="0" distL="114300" distR="114300">
            <wp:extent cx="5267960" cy="8216265"/>
            <wp:effectExtent l="0" t="0" r="47" b="30"/>
            <wp:docPr id="77" name="图片 43"/>
            <wp:cNvGraphicFramePr>
              <a:graphicFrameLocks noChangeAspect="1"/>
            </wp:cNvGraphicFramePr>
            <a:graphic>
              <a:graphicData uri="http://schemas.openxmlformats.org/drawingml/2006/picture">
                <pic:pic>
                  <pic:nvPicPr>
                    <pic:cNvPr id="79" name="图片 43 79"/>
                    <pic:cNvPicPr/>
                  </pic:nvPicPr>
                  <pic:blipFill>
                    <a:blip r:embed="rId37"/>
                    <a:stretch>
                      <a:fillRect/>
                    </a:stretch>
                  </pic:blipFill>
                  <pic:spPr>
                    <a:xfrm rot="0">
                      <a:off x="0" y="0"/>
                      <a:ext cx="5267960" cy="8216265"/>
                    </a:xfrm>
                    <a:prstGeom prst="rect"/>
                    <a:noFill/>
                    <a:ln w="9525" cmpd="sng" cap="flat">
                      <a:noFill/>
                      <a:prstDash val="solid"/>
                      <a:round/>
                    </a:ln>
                  </pic:spPr>
                </pic:pic>
              </a:graphicData>
            </a:graphic>
          </wp:inline>
        </w:drawing>
      </w:r>
    </w:p>
    <w:p>
      <w:pPr>
        <w:pStyle w:val="15"/>
        <w:spacing w:beforeLines="0" w:before="93"/>
      </w:pPr>
    </w:p>
    <w:p>
      <w:pPr>
        <w:pStyle w:val="15"/>
        <w:spacing w:beforeLines="0" w:before="93"/>
      </w:pPr>
      <w:r>
        <w:drawing>
          <wp:inline distT="0" distB="0" distL="114300" distR="114300">
            <wp:extent cx="5271134" cy="8326119"/>
            <wp:effectExtent l="0" t="0" r="15" b="33"/>
            <wp:docPr id="80" name="图片 44"/>
            <wp:cNvGraphicFramePr>
              <a:graphicFrameLocks noChangeAspect="1"/>
            </wp:cNvGraphicFramePr>
            <a:graphic>
              <a:graphicData uri="http://schemas.openxmlformats.org/drawingml/2006/picture">
                <pic:pic>
                  <pic:nvPicPr>
                    <pic:cNvPr id="82" name="图片 44 82"/>
                    <pic:cNvPicPr/>
                  </pic:nvPicPr>
                  <pic:blipFill>
                    <a:blip r:embed="rId38"/>
                    <a:stretch>
                      <a:fillRect/>
                    </a:stretch>
                  </pic:blipFill>
                  <pic:spPr>
                    <a:xfrm rot="0">
                      <a:off x="0" y="0"/>
                      <a:ext cx="5271134" cy="8326119"/>
                    </a:xfrm>
                    <a:prstGeom prst="rect"/>
                    <a:noFill/>
                    <a:ln w="9525" cmpd="sng" cap="flat">
                      <a:noFill/>
                      <a:prstDash val="solid"/>
                      <a:round/>
                    </a:ln>
                  </pic:spPr>
                </pic:pic>
              </a:graphicData>
            </a:graphic>
          </wp:inline>
        </w:drawing>
      </w:r>
    </w:p>
    <w:p>
      <w:pPr>
        <w:pStyle w:val="15"/>
        <w:spacing w:beforeLines="0" w:before="93"/>
      </w:pPr>
      <w:r>
        <w:drawing>
          <wp:inline distT="0" distB="0" distL="114300" distR="114300">
            <wp:extent cx="5266055" cy="8515350"/>
            <wp:effectExtent l="0" t="0" r="47" b="34"/>
            <wp:docPr id="83" name="图片 46"/>
            <wp:cNvGraphicFramePr>
              <a:graphicFrameLocks noChangeAspect="1"/>
            </wp:cNvGraphicFramePr>
            <a:graphic>
              <a:graphicData uri="http://schemas.openxmlformats.org/drawingml/2006/picture">
                <pic:pic>
                  <pic:nvPicPr>
                    <pic:cNvPr id="85" name="图片 46 85"/>
                    <pic:cNvPicPr/>
                  </pic:nvPicPr>
                  <pic:blipFill>
                    <a:blip r:embed="rId39"/>
                    <a:stretch>
                      <a:fillRect/>
                    </a:stretch>
                  </pic:blipFill>
                  <pic:spPr>
                    <a:xfrm rot="0">
                      <a:off x="0" y="0"/>
                      <a:ext cx="5266055" cy="8515350"/>
                    </a:xfrm>
                    <a:prstGeom prst="rect"/>
                    <a:noFill/>
                    <a:ln w="9525" cmpd="sng" cap="flat">
                      <a:noFill/>
                      <a:prstDash val="solid"/>
                      <a:round/>
                    </a:ln>
                  </pic:spPr>
                </pic:pic>
              </a:graphicData>
            </a:graphic>
          </wp:inline>
        </w:drawing>
      </w:r>
    </w:p>
    <w:p>
      <w:pPr>
        <w:pStyle w:val="1"/>
        <w:jc w:val="center"/>
        <w:rPr>
          <w:rStyle w:val="1Char"/>
          <w:rFonts w:ascii="方正小标宋简体" w:eastAsia="方正小标宋简体"/>
          <w:b w:val="0"/>
          <w:bCs/>
        </w:rPr>
      </w:pPr>
      <w:bookmarkStart w:id="80" w:name="_Toc79163635"/>
      <w:bookmarkStart w:id="81" w:name="_Toc79163885"/>
      <w:bookmarkStart w:id="82" w:name="_Toc15396618"/>
      <w:bookmarkStart w:id="83" w:name="_Toc28353"/>
      <w:r>
        <w:rPr>
          <w:rStyle w:val="1Char"/>
          <w:rFonts w:ascii="方正小标宋简体" w:eastAsia="方正小标宋简体" w:hint="eastAsia"/>
          <w:b w:val="0"/>
          <w:bCs/>
        </w:rPr>
        <w:t>第五部分 附</w:t>
      </w:r>
      <w:bookmarkEnd w:id="77"/>
      <w:bookmarkEnd w:id="80"/>
      <w:bookmarkEnd w:id="81"/>
      <w:bookmarkEnd w:id="82"/>
      <w:r>
        <w:rPr>
          <w:rStyle w:val="1Char"/>
          <w:rFonts w:ascii="方正小标宋简体" w:eastAsia="方正小标宋简体" w:hint="eastAsia"/>
          <w:b w:val="0"/>
          <w:bCs/>
        </w:rPr>
        <w:t>表</w:t>
      </w:r>
      <w:bookmarkEnd w:id="83"/>
    </w:p>
    <w:p>
      <w:pPr>
        <w:rPr>
          <w:rFonts w:ascii="仿宋_GB2312" w:eastAsia="仿宋_GB2312" w:hint="eastAsia"/>
          <w:sz w:val="32"/>
          <w:szCs w:val="32"/>
        </w:rPr>
      </w:pPr>
      <w:bookmarkStart w:id="84" w:name="_Toc79163886"/>
      <w:bookmarkStart w:id="85" w:name="_Toc79163636"/>
      <w:bookmarkStart w:id="86" w:name="_Toc15396619"/>
      <w:r>
        <w:rPr>
          <w:rFonts w:ascii="仿宋_GB2312" w:eastAsia="仿宋_GB2312" w:hint="eastAsia"/>
          <w:sz w:val="32"/>
          <w:szCs w:val="32"/>
        </w:rPr>
        <w:t>一、收入支出决算总表</w:t>
      </w:r>
      <w:bookmarkEnd w:id="84"/>
      <w:bookmarkEnd w:id="85"/>
      <w:bookmarkEnd w:id="86"/>
    </w:p>
    <w:p>
      <w:pPr>
        <w:rPr>
          <w:rFonts w:ascii="仿宋_GB2312" w:eastAsia="仿宋_GB2312" w:hint="eastAsia"/>
          <w:sz w:val="32"/>
          <w:szCs w:val="32"/>
        </w:rPr>
      </w:pPr>
      <w:bookmarkStart w:id="87" w:name="_Toc79163887"/>
      <w:bookmarkStart w:id="88" w:name="_Toc15396620"/>
      <w:bookmarkStart w:id="89" w:name="_Toc79163637"/>
      <w:r>
        <w:rPr>
          <w:rFonts w:ascii="仿宋_GB2312" w:eastAsia="仿宋_GB2312" w:hint="eastAsia"/>
          <w:sz w:val="32"/>
          <w:szCs w:val="32"/>
        </w:rPr>
        <w:t>二、收入决算表</w:t>
      </w:r>
      <w:bookmarkEnd w:id="87"/>
      <w:bookmarkEnd w:id="88"/>
      <w:bookmarkEnd w:id="89"/>
    </w:p>
    <w:p>
      <w:pPr>
        <w:rPr>
          <w:rFonts w:ascii="仿宋_GB2312" w:eastAsia="仿宋_GB2312" w:hint="eastAsia"/>
          <w:sz w:val="32"/>
          <w:szCs w:val="32"/>
        </w:rPr>
      </w:pPr>
      <w:bookmarkStart w:id="90" w:name="_Toc79163888"/>
      <w:bookmarkStart w:id="91" w:name="_Toc79163638"/>
      <w:bookmarkStart w:id="92" w:name="_Toc15396621"/>
      <w:r>
        <w:rPr>
          <w:rFonts w:ascii="仿宋_GB2312" w:eastAsia="仿宋_GB2312" w:hint="eastAsia"/>
          <w:sz w:val="32"/>
          <w:szCs w:val="32"/>
        </w:rPr>
        <w:t>三、支出决算表</w:t>
      </w:r>
      <w:bookmarkEnd w:id="90"/>
      <w:bookmarkEnd w:id="91"/>
      <w:bookmarkEnd w:id="92"/>
    </w:p>
    <w:p>
      <w:pPr>
        <w:rPr>
          <w:rFonts w:ascii="仿宋_GB2312" w:eastAsia="仿宋_GB2312" w:hint="eastAsia"/>
          <w:sz w:val="32"/>
          <w:szCs w:val="32"/>
        </w:rPr>
      </w:pPr>
      <w:bookmarkStart w:id="93" w:name="_Toc79163889"/>
      <w:bookmarkStart w:id="94" w:name="_Toc15396622"/>
      <w:bookmarkStart w:id="95" w:name="_Toc79163639"/>
      <w:r>
        <w:rPr>
          <w:rFonts w:ascii="仿宋_GB2312" w:eastAsia="仿宋_GB2312" w:hint="eastAsia"/>
          <w:sz w:val="32"/>
          <w:szCs w:val="32"/>
        </w:rPr>
        <w:t>四、财政拨款收入支出决算总表</w:t>
      </w:r>
      <w:bookmarkEnd w:id="93"/>
      <w:bookmarkEnd w:id="94"/>
      <w:bookmarkEnd w:id="95"/>
    </w:p>
    <w:p>
      <w:pPr>
        <w:rPr>
          <w:rFonts w:ascii="仿宋_GB2312" w:eastAsia="仿宋_GB2312" w:hint="eastAsia"/>
          <w:sz w:val="32"/>
          <w:szCs w:val="32"/>
        </w:rPr>
      </w:pPr>
      <w:bookmarkStart w:id="96" w:name="_Toc79163890"/>
      <w:bookmarkStart w:id="97" w:name="_Toc15396623"/>
      <w:bookmarkStart w:id="98" w:name="_Toc79163640"/>
      <w:r>
        <w:rPr>
          <w:rFonts w:ascii="仿宋_GB2312" w:eastAsia="仿宋_GB2312" w:hint="eastAsia"/>
          <w:sz w:val="32"/>
          <w:szCs w:val="32"/>
        </w:rPr>
        <w:t>五、财政拨款支出决算明细表</w:t>
      </w:r>
      <w:bookmarkStart w:id="99" w:name="_Toc15396624"/>
      <w:bookmarkEnd w:id="96"/>
      <w:bookmarkEnd w:id="97"/>
      <w:bookmarkEnd w:id="98"/>
    </w:p>
    <w:p>
      <w:pPr>
        <w:rPr>
          <w:rFonts w:ascii="仿宋_GB2312" w:eastAsia="仿宋_GB2312" w:hint="eastAsia"/>
          <w:sz w:val="32"/>
          <w:szCs w:val="32"/>
        </w:rPr>
      </w:pPr>
      <w:bookmarkStart w:id="100" w:name="_Toc79163891"/>
      <w:bookmarkStart w:id="101" w:name="_Toc79163641"/>
      <w:r>
        <w:rPr>
          <w:rFonts w:ascii="仿宋_GB2312" w:eastAsia="仿宋_GB2312" w:hint="eastAsia"/>
          <w:sz w:val="32"/>
          <w:szCs w:val="32"/>
        </w:rPr>
        <w:t>六、一般公共预算财政拨款支出决算表</w:t>
      </w:r>
      <w:bookmarkEnd w:id="99"/>
      <w:bookmarkEnd w:id="100"/>
      <w:bookmarkEnd w:id="101"/>
    </w:p>
    <w:p>
      <w:pPr>
        <w:rPr>
          <w:rFonts w:ascii="仿宋_GB2312" w:eastAsia="仿宋_GB2312" w:hint="eastAsia"/>
          <w:sz w:val="32"/>
          <w:szCs w:val="32"/>
        </w:rPr>
      </w:pPr>
      <w:bookmarkStart w:id="102" w:name="_Toc79163892"/>
      <w:bookmarkStart w:id="103" w:name="_Toc79163642"/>
      <w:bookmarkStart w:id="104" w:name="_Toc15396625"/>
      <w:r>
        <w:rPr>
          <w:rFonts w:ascii="仿宋_GB2312" w:eastAsia="仿宋_GB2312" w:hint="eastAsia"/>
          <w:sz w:val="32"/>
          <w:szCs w:val="32"/>
        </w:rPr>
        <w:t>七、一般公共预算财政拨款支出决算明细表</w:t>
      </w:r>
      <w:bookmarkEnd w:id="102"/>
      <w:bookmarkEnd w:id="103"/>
      <w:bookmarkEnd w:id="104"/>
    </w:p>
    <w:p>
      <w:pPr>
        <w:rPr>
          <w:rFonts w:ascii="仿宋_GB2312" w:eastAsia="仿宋_GB2312" w:hint="eastAsia"/>
          <w:sz w:val="32"/>
          <w:szCs w:val="32"/>
        </w:rPr>
      </w:pPr>
      <w:bookmarkStart w:id="105" w:name="_Toc15396626"/>
      <w:bookmarkStart w:id="106" w:name="_Toc79163643"/>
      <w:bookmarkStart w:id="107" w:name="_Toc79163893"/>
      <w:r>
        <w:rPr>
          <w:rFonts w:ascii="仿宋_GB2312" w:eastAsia="仿宋_GB2312" w:hint="eastAsia"/>
          <w:sz w:val="32"/>
          <w:szCs w:val="32"/>
        </w:rPr>
        <w:t>八、一般公共预算财政拨款基本支出决算表</w:t>
      </w:r>
      <w:bookmarkEnd w:id="105"/>
      <w:bookmarkEnd w:id="106"/>
      <w:bookmarkEnd w:id="107"/>
    </w:p>
    <w:p>
      <w:pPr>
        <w:rPr>
          <w:rFonts w:ascii="仿宋_GB2312" w:eastAsia="仿宋_GB2312" w:hint="eastAsia"/>
          <w:sz w:val="32"/>
          <w:szCs w:val="32"/>
        </w:rPr>
      </w:pPr>
      <w:bookmarkStart w:id="108" w:name="_Toc15396627"/>
      <w:bookmarkStart w:id="109" w:name="_Toc79163644"/>
      <w:bookmarkStart w:id="110" w:name="_Toc79163894"/>
      <w:r>
        <w:rPr>
          <w:rFonts w:ascii="仿宋_GB2312" w:eastAsia="仿宋_GB2312" w:hint="eastAsia"/>
          <w:sz w:val="32"/>
          <w:szCs w:val="32"/>
        </w:rPr>
        <w:t>九、一般公共预算财政拨款项目支出决算表</w:t>
      </w:r>
      <w:bookmarkEnd w:id="108"/>
      <w:bookmarkEnd w:id="109"/>
      <w:bookmarkEnd w:id="110"/>
    </w:p>
    <w:p>
      <w:pPr>
        <w:rPr>
          <w:rFonts w:ascii="仿宋_GB2312" w:eastAsia="仿宋_GB2312" w:hint="eastAsia"/>
          <w:sz w:val="32"/>
          <w:szCs w:val="32"/>
        </w:rPr>
      </w:pPr>
      <w:bookmarkStart w:id="111" w:name="_Toc15396628"/>
      <w:bookmarkStart w:id="112" w:name="_Toc79163645"/>
      <w:bookmarkStart w:id="113" w:name="_Toc79163895"/>
      <w:r>
        <w:rPr>
          <w:rFonts w:ascii="仿宋_GB2312" w:eastAsia="仿宋_GB2312" w:hint="eastAsia"/>
          <w:sz w:val="32"/>
          <w:szCs w:val="32"/>
        </w:rPr>
        <w:t>十、一般公共预算财政拨款“三公”经费支出决算表</w:t>
      </w:r>
      <w:bookmarkEnd w:id="111"/>
      <w:bookmarkEnd w:id="112"/>
      <w:bookmarkEnd w:id="113"/>
    </w:p>
    <w:p>
      <w:pPr>
        <w:rPr>
          <w:rFonts w:ascii="仿宋_GB2312" w:eastAsia="仿宋_GB2312" w:hint="eastAsia"/>
          <w:sz w:val="32"/>
          <w:szCs w:val="32"/>
        </w:rPr>
      </w:pPr>
      <w:bookmarkStart w:id="114" w:name="_Toc79163896"/>
      <w:bookmarkStart w:id="115" w:name="_Toc15396629"/>
      <w:bookmarkStart w:id="116" w:name="_Toc79163646"/>
      <w:r>
        <w:rPr>
          <w:rFonts w:ascii="仿宋_GB2312" w:eastAsia="仿宋_GB2312" w:hint="eastAsia"/>
          <w:sz w:val="32"/>
          <w:szCs w:val="32"/>
        </w:rPr>
        <w:t>十一、政府性基金预算财政拨款收入支出决算表</w:t>
      </w:r>
      <w:bookmarkEnd w:id="114"/>
      <w:bookmarkEnd w:id="115"/>
      <w:bookmarkEnd w:id="116"/>
    </w:p>
    <w:p>
      <w:pPr>
        <w:rPr>
          <w:rFonts w:ascii="仿宋_GB2312" w:eastAsia="仿宋_GB2312" w:hint="eastAsia"/>
          <w:sz w:val="32"/>
          <w:szCs w:val="32"/>
        </w:rPr>
      </w:pPr>
      <w:bookmarkStart w:id="117" w:name="_Toc15396630"/>
      <w:bookmarkStart w:id="118" w:name="_Toc79163897"/>
      <w:bookmarkStart w:id="119" w:name="_Toc79163647"/>
      <w:r>
        <w:rPr>
          <w:rFonts w:ascii="仿宋_GB2312" w:eastAsia="仿宋_GB2312" w:hint="eastAsia"/>
          <w:sz w:val="32"/>
          <w:szCs w:val="32"/>
        </w:rPr>
        <w:t>十二、政府性基金预算财政拨款“三公”经费支出决算表</w:t>
      </w:r>
      <w:bookmarkEnd w:id="117"/>
      <w:bookmarkEnd w:id="118"/>
      <w:bookmarkEnd w:id="119"/>
    </w:p>
    <w:p>
      <w:pPr>
        <w:rPr>
          <w:rFonts w:ascii="仿宋_GB2312" w:eastAsia="仿宋_GB2312" w:hint="eastAsia"/>
          <w:sz w:val="32"/>
          <w:szCs w:val="32"/>
        </w:rPr>
      </w:pPr>
      <w:bookmarkStart w:id="120" w:name="_Toc79163898"/>
      <w:bookmarkStart w:id="121" w:name="_Toc15396631"/>
      <w:bookmarkStart w:id="122" w:name="_Toc79163648"/>
      <w:r>
        <w:rPr>
          <w:rFonts w:ascii="仿宋_GB2312" w:eastAsia="仿宋_GB2312" w:hint="eastAsia"/>
          <w:sz w:val="32"/>
          <w:szCs w:val="32"/>
        </w:rPr>
        <w:t>十三、国有资本经营预算财政拨款支出决算表</w:t>
      </w:r>
      <w:bookmarkEnd w:id="120"/>
      <w:bookmarkEnd w:id="121"/>
      <w:bookmarkEnd w:id="122"/>
    </w:p>
    <w:p>
      <w:pPr>
        <w:rPr>
          <w:rFonts w:ascii="仿宋_GB2312" w:eastAsia="仿宋_GB2312" w:hint="eastAsia"/>
          <w:sz w:val="32"/>
          <w:szCs w:val="32"/>
        </w:rPr>
      </w:pPr>
      <w:bookmarkStart w:id="123" w:name="_Toc79163649"/>
      <w:bookmarkStart w:id="124" w:name="_Toc79163899"/>
      <w:r>
        <w:rPr>
          <w:rFonts w:ascii="仿宋_GB2312" w:eastAsia="仿宋_GB2312" w:hint="eastAsia"/>
          <w:sz w:val="32"/>
          <w:szCs w:val="32"/>
        </w:rPr>
        <w:t>十四、国有资本经营预算财政拨款支出决算表</w:t>
      </w:r>
      <w:bookmarkEnd w:id="123"/>
      <w:bookmarkEnd w:id="124"/>
    </w:p>
    <w:p/>
    <w:p/>
    <w:p/>
    <w:p/>
    <w:p/>
    <w:p/>
    <w:p/>
    <w:p/>
    <w:p/>
    <w:p/>
    <w:p/>
    <w:p/>
    <w:sectPr>
      <w:footerReference w:type="default" r:id="rId6"/>
      <w:footerReference w:type="first" r:id="rId7"/>
      <w:pgSz w:w="11906" w:h="16838"/>
      <w:pgMar w:top="1440" w:right="1800" w:bottom="1440" w:left="1800" w:header="851" w:footer="992" w:gutter="0"/>
      <w:pgNumType w:start="1"/>
      <w:docGrid w:type="lines" w:linePitch="312" w:charSpace="0"/>
    </w:sectPr>
  </w:body>
</w:document>
</file>

<file path=word/fontTable.xml><?xml version="1.0" encoding="utf-8"?>
<w:fonts xmlns:w="http://schemas.openxmlformats.org/wordprocessingml/2006/main" xmlns:r="http://schemas.openxmlformats.org/officeDocument/2006/relationships">
  <w:font w:name="华文仿宋">
    <w:altName w:val="宋体"/>
    <w:panose1 w:val="02010600040101010101"/>
    <w:charset w:val="86"/>
    <w:family w:val="auto"/>
    <w:pitch w:val="variable"/>
    <w:sig w:usb0="00000287" w:usb1="080F0000" w:usb2="00000000" w:usb3="00000000" w:csb0="0004009F" w:csb1="DFD70000"/>
  </w:font>
  <w:font w:name="方正小标宋简体">
    <w:panose1 w:val="03000509000000000000"/>
    <w:charset w:val="86"/>
    <w:family w:val="script"/>
    <w:pitch w:val="variable"/>
    <w:sig w:usb0="00000001" w:usb1="080E0000" w:usb2="00000000" w:usb3="00000000" w:csb0="00040000" w:csb1="00000000"/>
  </w:font>
  <w:font w:name="仿宋_GB2312">
    <w:panose1 w:val="02010609030101010101"/>
    <w:charset w:val="86"/>
    <w:family w:val="modern"/>
    <w:pitch w:val="variable"/>
    <w:sig w:usb0="00000001" w:usb1="080E0000" w:usb2="00000000" w:usb3="00000000" w:csb0="00040000" w:csb1="00000000"/>
  </w:font>
  <w:font w:name="黑体">
    <w:panose1 w:val="02010609060101010101"/>
    <w:charset w:val="86"/>
    <w:family w:val="auto"/>
    <w:pitch w:val="variable"/>
    <w:sig w:usb0="800002BF" w:usb1="38CF7CFA" w:usb2="00000016" w:usb3="00000000" w:csb0="00040001" w:csb1="00000000"/>
  </w:font>
  <w:font w:name="Arial">
    <w:altName w:val="DejaVu Sans"/>
    <w:panose1 w:val="020B0604020202020204"/>
    <w:charset w:val="01"/>
    <w:family w:val="swiss"/>
    <w:pitch w:val="variable"/>
    <w:sig w:usb0="E0002EFF" w:usb1="C000785B" w:usb2="00000009" w:usb3="00000000" w:csb0="400001FF" w:csb1="FFFF0000"/>
  </w:font>
  <w:font w:name="Times New Roman">
    <w:panose1 w:val="02020603050405020304"/>
    <w:charset w:val="01"/>
    <w:family w:val="auto"/>
    <w:pitch w:val="variable"/>
    <w:sig w:usb0="E0002EFF" w:usb1="C000785B" w:usb2="00000009" w:usb3="00000000" w:csb0="400001FF" w:csb1="FFFF0000"/>
  </w:font>
  <w:font w:name="仿宋">
    <w:panose1 w:val="02010609060101010101"/>
    <w:charset w:val="86"/>
    <w:family w:val="modern"/>
    <w:pitch w:val="variable"/>
    <w:sig w:usb0="800002BF" w:usb1="38CF7CFA" w:usb2="00000016" w:usb3="00000000" w:csb0="00040001" w:csb1="00000000"/>
  </w:font>
  <w:font w:name="宋体">
    <w:panose1 w:val="02010600030101010101"/>
    <w:charset w:val="86"/>
    <w:family w:val="auto"/>
    <w:pitch w:val="variable"/>
    <w:sig w:usb0="00000003" w:usb1="288F0000" w:usb2="00000006" w:usb3="00000000" w:csb0="00040001" w:csb1="00000000"/>
  </w:font>
  <w:font w:name="楷体_GB2312">
    <w:panose1 w:val="02010609030101010101"/>
    <w:charset w:val="86"/>
    <w:family w:val="auto"/>
    <w:pitch w:val="variable"/>
    <w:sig w:usb0="00000001" w:usb1="080E0000" w:usb2="00000000" w:usb3="00000000" w:csb0="00040000" w:csb1="00000000"/>
  </w:font>
  <w:font w:name="Calibri">
    <w:altName w:val="Times New Roman"/>
    <w:panose1 w:val="020F0502020204030204"/>
    <w:charset w:val="00"/>
    <w:family w:val="swiss"/>
    <w:pitch w:val="variable"/>
    <w:sig w:usb0="E4002EFF" w:usb1="C000247B" w:usb2="00000009" w:usb3="00000000" w:csb0="200001FF" w:csb1="00000000"/>
  </w:font>
  <w:font w:name="方正仿宋_GBK">
    <w:panose1 w:val="03000509000000000000"/>
    <w:charset w:val="86"/>
    <w:family w:val="script"/>
    <w:pitch w:val="variable"/>
    <w:sig w:usb0="00000001" w:usb1="080E0000" w:usb2="00000000" w:usb3="00000000" w:csb0="00040000" w:csb1="00000000"/>
  </w:font>
  <w:font w:name="楷体">
    <w:panose1 w:val="02010609060101010101"/>
    <w:charset w:val="86"/>
    <w:family w:val="modern"/>
    <w:pitch w:val="variable"/>
    <w:sig w:usb0="800002BF" w:usb1="38CF7CFA" w:usb2="00000016" w:usb3="00000000" w:csb0="00040001" w:csb1="00000000"/>
  </w:font>
  <w:font w:name="微软雅黑">
    <w:altName w:val="宋体"/>
    <w:panose1 w:val="020B0503020204020204"/>
    <w:charset w:val="86"/>
    <w:family w:val="swiss"/>
    <w:pitch w:val="variable"/>
    <w:sig w:usb0="80000287" w:usb1="2ACF3C50" w:usb2="00000016" w:usb3="00000000" w:csb0="0004001F" w:csb1="00000000"/>
  </w:font>
  <w:font w:name="Cambria">
    <w:altName w:val="DejaVu Sans"/>
    <w:panose1 w:val="02040503050406030204"/>
    <w:charset w:val="00"/>
    <w:family w:val="roman"/>
    <w:pitch w:val="variable"/>
    <w:sig w:usb0="E00006FF" w:usb1="420024FF" w:usb2="02000000" w:usb3="00000000" w:csb0="2000019F" w:csb1="00000000"/>
  </w:font>
  <w:font w:name="等线 Light">
    <w:altName w:val="宋体"/>
    <w:panose1 w:val="02010600030101010101"/>
    <w:charset w:val="86"/>
    <w:family w:val="auto"/>
    <w:pitch w:val="variable"/>
    <w:sig w:usb0="A00002BF" w:usb1="38CF7CFA" w:usb2="00000016" w:usb3="00000000" w:csb0="0004000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sdt>
    <w:sdtPr>
      <w:id w:val="1863687920"/>
    </w:sdtPr>
    <w:sdtContent>
      <w:p>
        <w:pPr>
          <w:pStyle w:val="18"/>
          <w:tabs>
            <w:tab w:val="center" w:pos="4153"/>
            <w:tab w:val="right" w:pos="8306"/>
          </w:tabs>
          <w:jc w:val="center"/>
        </w:pPr>
        <w:r>
          <w:fldChar w:fldCharType="begin"/>
        </w:r>
        <w:r>
          <w:instrText>PAGE   \* MERGEFORMAT</w:instrText>
        </w:r>
        <w:r>
          <w:fldChar w:fldCharType="separate"/>
        </w:r>
        <w:r>
          <w:rPr>
            <w:lang w:val="zh-CN"/>
          </w:rPr>
          <w:t>3</w:t>
        </w:r>
        <w:r>
          <w:fldChar w:fldCharType="end"/>
        </w:r>
      </w:p>
    </w:sdtContent>
  </w:sdt>
  <w:p>
    <w:pPr>
      <w:pStyle w:val="18"/>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6"/>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6"/>
      </w:tabs>
    </w:pP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6"/>
      </w:tabs>
      <w:jc w:val="center"/>
    </w:pPr>
    <w:r>
      <mc:AlternateContent>
        <mc:Choice Requires="wps">
          <w:drawing>
            <wp:anchor distT="0" distB="0" distL="114298" distR="114298" simplePos="0" relativeHeight="108" behindDoc="0" locked="0" layoutInCell="1" hidden="0" allowOverlap="1">
              <wp:simplePos x="0" y="0"/>
              <wp:positionH relativeFrom="margin">
                <wp:align>center</wp:align>
              </wp:positionH>
              <wp:positionV relativeFrom="paragraph">
                <wp:posOffset>-19598182</wp:posOffset>
              </wp:positionV>
              <wp:extent cx="114300" cy="687166"/>
              <wp:effectExtent l="0" t="0" r="0" b="0"/>
              <wp:wrapNone/>
              <wp:docPr id="1" name="文本框 2"/>
              <wp:cNvGraphicFramePr>
                <a:graphicFrameLocks noChangeAspect="0"/>
              </wp:cNvGraphicFramePr>
              <a:graphic>
                <a:graphicData uri="http://schemas.microsoft.com/office/word/2010/wordprocessingShape">
                  <wps:wsp>
                    <wps:cNvSpPr/>
                    <wps:spPr>
                      <a:xfrm rot="0">
                        <a:off x="0" y="0"/>
                        <a:ext cx="114300" cy="687166"/>
                      </a:xfrm>
                      <a:prstGeom prst="rect"/>
                      <a:noFill/>
                      <a:ln w="6350" cmpd="sng" cap="flat">
                        <a:noFill/>
                        <a:prstDash val="solid"/>
                        <a:round/>
                      </a:ln>
                    </wps:spPr>
                    <wps:txbx id="2">
                      <w:txbxContent>
                        <w:sdt>
                          <w:sdtPr>
                            <w:id w:val="-263947874"/>
                          </w:sdtPr>
                          <w:sdtContent>
                            <w:p>
                              <w:pPr>
                                <w:pStyle w:val="18"/>
                                <w:tabs>
                                  <w:tab w:val="center" w:pos="4153"/>
                                  <w:tab w:val="right" w:pos="8306"/>
                                </w:tabs>
                                <w:jc w:val="center"/>
                              </w:pPr>
                              <w:r>
                                <w:fldChar w:fldCharType="begin"/>
                              </w:r>
                              <w:r>
                                <w:instrText>PAGE   \* MERGEFORMAT</w:instrText>
                              </w:r>
                              <w:r>
                                <w:fldChar w:fldCharType="separate"/>
                              </w:r>
                              <w:r>
                                <w:rPr>
                                  <w:lang w:val="zh-CN"/>
                                </w:rPr>
                                <w:t>8</w:t>
                              </w:r>
                              <w:r>
                                <w:fldChar w:fldCharType="end"/>
                              </w:r>
                            </w:p>
                          </w:sdtContent>
                        </w:sdt>
                        <w:p>
                          <w:pPr>
                            <w:pStyle w:val="25"/>
                          </w:pPr>
                        </w:p>
                      </w:txbxContent>
                    </wps:txbx>
                    <wps:bodyPr vert="horz" wrap="none" lIns="0" tIns="0" rIns="0" bIns="0" anchor="t" anchorCtr="0" upright="0">
                      <a:spAutoFit/>
                    </wps:bodyPr>
                  </wps:wsp>
                </a:graphicData>
              </a:graphic>
            </wp:anchor>
          </w:drawing>
        </mc:Choice>
        <mc:Fallback>
          <w:pict>
            <v:rect type="#_x0000_t1" id="文本框 2 3" o:spid="_x0000_s3" filled="f" stroked="f" strokeweight="0.5pt" style="position:absolute;margin-left:-872.7001pt;margin-top:-1543.164pt;width:9.0pt;height:54.10762pt;z-index:108;mso-position-horizontal:center;mso-position-horizontal-relative:margin;mso-position-vertical:absolute;mso-wrap-distance-left:8.999863pt;mso-wrap-distance-right:8.999863pt;mso-wrap-style:none;">
              <v:stroke color="#000000"/>
              <v:textbox id="880" inset="0mm,0mm,0mm,0mm" o:insetmode="custom" style="layout-flow:horizontal;v-text-anchor:top;mso-fit-shape-to-text:t;">
                <w:txbxContent>
                  <w:sdt>
                    <w:sdtPr>
                      <w:id w:val="-263947874"/>
                    </w:sdtPr>
                    <w:sdtContent>
                      <w:p>
                        <w:pPr>
                          <w:pStyle w:val="18"/>
                          <w:tabs>
                            <w:tab w:val="center" w:pos="4153"/>
                            <w:tab w:val="right" w:pos="8306"/>
                          </w:tabs>
                          <w:jc w:val="center"/>
                        </w:pPr>
                        <w:r>
                          <w:fldChar w:fldCharType="begin"/>
                        </w:r>
                        <w:r>
                          <w:instrText>PAGE   \* MERGEFORMAT</w:instrText>
                        </w:r>
                        <w:r>
                          <w:fldChar w:fldCharType="separate"/>
                        </w:r>
                        <w:r>
                          <w:rPr>
                            <w:lang w:val="zh-CN"/>
                          </w:rPr>
                          <w:t>8</w:t>
                        </w:r>
                        <w:r>
                          <w:fldChar w:fldCharType="end"/>
                        </w:r>
                      </w:p>
                    </w:sdtContent>
                  </w:sdt>
                  <w:p>
                    <w:pPr>
                      <w:pStyle w:val="25"/>
                    </w:pPr>
                  </w:p>
                </w:txbxContent>
              </v:textbox>
            </v:rect>
          </w:pict>
        </mc:Fallback>
      </mc:AlternateContent>
    </w:r>
  </w:p>
  <w:p>
    <w:pPr>
      <w:pStyle w:val="18"/>
      <w:tabs>
        <w:tab w:val="center" w:pos="4153"/>
        <w:tab w:val="right" w:pos="8306"/>
      </w:tabs>
    </w:pPr>
  </w:p>
</w:ftr>
</file>

<file path=word/footer5.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6"/>
      </w:tabs>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9"/>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1272550B"/>
    <w:multiLevelType w:val="multilevel"/>
    <w:tmpl w:val="1272550B"/>
    <w:lvl w:ilvl="0">
      <w:start w:val="1"/>
      <w:numFmt w:val="japaneseCounting"/>
      <w:lvlRestart w:val="0"/>
      <w:lvlText w:val="%1、"/>
      <w:lvlJc w:val="left"/>
      <w:pPr>
        <w:ind w:left="1360" w:hanging="720"/>
      </w:pPr>
      <w:rPr>
        <w:rFonts w:hint="default"/>
        <w:b w:val="0"/>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
    <w:nsid w:val="1CF2CD84"/>
    <w:multiLevelType w:val="multilevel"/>
    <w:tmpl w:val="1CF2CD84"/>
    <w:lvl w:ilvl="0">
      <w:start w:val="1"/>
      <w:numFmt w:val="japaneseCounting"/>
      <w:lvlRestart w:val="0"/>
      <w:lvlText w:val="%1、"/>
      <w:lvlJc w:val="left"/>
      <w:pPr>
        <w:ind w:left="1360" w:hanging="720"/>
      </w:pPr>
      <w:rPr>
        <w:rFonts w:hint="default"/>
        <w:b w:val="0"/>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5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5"/>
  </w:compat>
  <w:docVars>
    <w:docVar w:name="commondata" w:val="eyJoZGlkIjoiOGI4NjI5OTBmMDM1ODFlMDkzNDFlZTFiMWNhZWU5ZTM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pPr>
      <w:keepNext/>
      <w:keepLines/>
      <w:widowControl w:val="0"/>
      <w:spacing w:before="260" w:after="260" w:line="415" w:lineRule="auto"/>
      <w:outlineLvl w:val="1"/>
    </w:pPr>
    <w:rPr>
      <w:rFonts w:ascii="Cambria" w:hAnsi="Cambria"/>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Body Text"/>
    <w:basedOn w:val="0"/>
    <w:pPr>
      <w:spacing w:beforeLines="30" w:before="30"/>
    </w:pPr>
    <w:rPr>
      <w:rFonts w:ascii="仿宋_GB2312" w:eastAsia="仿宋_GB2312"/>
      <w:kern w:val="0"/>
      <w:sz w:val="30"/>
    </w:rPr>
  </w:style>
  <w:style w:type="paragraph" w:styleId="16">
    <w:name w:val="toc 3"/>
    <w:basedOn w:val="0"/>
    <w:next w:val="0"/>
    <w:pPr>
      <w:tabs>
        <w:tab w:val="right" w:leader="dot" w:pos="8296"/>
      </w:tabs>
      <w:ind w:leftChars="400" w:left="400"/>
    </w:pPr>
  </w:style>
  <w:style w:type="paragraph" w:styleId="17">
    <w:name w:val="Balloon Text"/>
    <w:basedOn w:val="0"/>
    <w:rPr>
      <w:sz w:val="18"/>
      <w:szCs w:val="18"/>
    </w:rPr>
  </w:style>
  <w:style w:type="paragraph" w:styleId="18">
    <w:name w:val="footer"/>
    <w:basedOn w:val="0"/>
    <w:pPr>
      <w:tabs>
        <w:tab w:val="center" w:pos="4153"/>
        <w:tab w:val="right" w:pos="8306"/>
      </w:tabs>
      <w:snapToGrid w:val="0"/>
      <w:jc w:val="left"/>
    </w:pPr>
    <w:rPr>
      <w:rFonts w:ascii="Calibri" w:hAnsi="Calibri"/>
      <w:kern w:val="0"/>
      <w:sz w:val="18"/>
      <w:szCs w:val="18"/>
    </w:rPr>
  </w:style>
  <w:style w:type="paragraph" w:styleId="19">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0">
    <w:name w:val="toc 1"/>
    <w:basedOn w:val="0"/>
    <w:next w:val="0"/>
    <w:pPr>
      <w:tabs>
        <w:tab w:val="right" w:leader="dot" w:pos="8296"/>
      </w:tabs>
      <w:spacing w:before="93"/>
      <w:jc w:val="center"/>
    </w:pPr>
    <w:rPr>
      <w:rFonts w:ascii="仿宋" w:eastAsia="仿宋"/>
      <w:sz w:val="28"/>
      <w:szCs w:val="28"/>
    </w:rPr>
  </w:style>
  <w:style w:type="paragraph" w:styleId="21">
    <w:name w:val="toc 2"/>
    <w:basedOn w:val="0"/>
    <w:next w:val="0"/>
    <w:pPr>
      <w:tabs>
        <w:tab w:val="right" w:leader="dot" w:pos="8296"/>
      </w:tabs>
      <w:ind w:leftChars="200" w:left="200"/>
    </w:pPr>
  </w:style>
  <w:style w:type="paragraph" w:styleId="22">
    <w:name w:val="Normal (Web)"/>
    <w:basedOn w:val="0"/>
    <w:pPr>
      <w:widowControl/>
      <w:jc w:val="left"/>
    </w:pPr>
    <w:rPr>
      <w:rFonts w:ascii="宋体" w:cs="宋体"/>
      <w:kern w:val="0"/>
      <w:sz w:val="24"/>
    </w:rPr>
  </w:style>
  <w:style w:type="character" w:styleId="23">
    <w:name w:val="Strong"/>
    <w:basedOn w:val="10"/>
    <w:rPr>
      <w:b/>
    </w:rPr>
  </w:style>
  <w:style w:type="character" w:styleId="24">
    <w:name w:val="Hyperlink"/>
    <w:basedOn w:val="10"/>
    <w:rPr>
      <w:color w:val="0000FF"/>
      <w:u w:val="single"/>
    </w:rPr>
  </w:style>
  <w:style w:type="paragraph" w:customStyle="1" w:styleId="25">
    <w:name w:val="标题 5（有编号）（绿盟科技）"/>
    <w:next w:val="0"/>
    <w:pPr>
      <w:keepNext/>
      <w:keepLines/>
      <w:widowControl w:val="0"/>
      <w:spacing w:before="280" w:after="156" w:line="377" w:lineRule="auto"/>
      <w:outlineLvl w:val="4"/>
    </w:pPr>
    <w:rPr>
      <w:rFonts w:ascii="Arial" w:eastAsia="黑体" w:cs="Times New Roman" w:hAnsi="Arial"/>
      <w:b/>
      <w:kern w:val="2"/>
      <w:sz w:val="24"/>
      <w:szCs w:val="28"/>
      <w:lang w:val="en-US" w:eastAsia="zh-CN" w:bidi="ar-SA"/>
    </w:rPr>
  </w:style>
  <w:style w:type="character" w:customStyle="1" w:styleId="26">
    <w:name w:val="Header Char"/>
    <w:basedOn w:val="10"/>
    <w:rPr>
      <w:rFonts w:ascii="Times New Roman" w:hAnsi="Times New Roman"/>
      <w:sz w:val="18"/>
      <w:szCs w:val="18"/>
    </w:rPr>
  </w:style>
  <w:style w:type="character" w:customStyle="1" w:styleId="27">
    <w:name w:val="Footer Char"/>
    <w:basedOn w:val="10"/>
    <w:rPr>
      <w:rFonts w:ascii="Times New Roman" w:hAnsi="Times New Roman"/>
      <w:sz w:val="18"/>
      <w:szCs w:val="18"/>
    </w:rPr>
  </w:style>
  <w:style w:type="character" w:customStyle="1" w:styleId="28">
    <w:name w:val="Body Text Char"/>
    <w:basedOn w:val="10"/>
    <w:rPr>
      <w:rFonts w:ascii="Times New Roman" w:hAnsi="Times New Roman"/>
      <w:szCs w:val="24"/>
    </w:rPr>
  </w:style>
  <w:style w:type="paragraph" w:customStyle="1" w:styleId="29">
    <w:name w:val="Default"/>
    <w:pPr>
      <w:widowControl w:val="0"/>
      <w:autoSpaceDE w:val="0"/>
      <w:autoSpaceDN w:val="0"/>
      <w:adjustRightInd w:val="0"/>
    </w:pPr>
    <w:rPr>
      <w:rFonts w:ascii="仿宋" w:eastAsia="仿宋" w:cs="仿宋"/>
      <w:color w:val="000000"/>
      <w:sz w:val="24"/>
      <w:szCs w:val="24"/>
      <w:lang w:val="en-US" w:eastAsia="zh-CN" w:bidi="ar-SA"/>
    </w:rPr>
  </w:style>
  <w:style w:type="paragraph" w:styleId="30">
    <w:name w:val="List Paragraph"/>
    <w:basedOn w:val="0"/>
    <w:pPr>
      <w:ind w:firstLineChars="200" w:firstLine="200"/>
    </w:pPr>
  </w:style>
  <w:style w:type="paragraph" w:customStyle="1" w:styleId="31">
    <w:name w:val="TOC 标题1"/>
    <w:basedOn w:val="1"/>
    <w:next w:val="0"/>
    <w:pPr>
      <w:keepNext/>
      <w:keepLines/>
      <w:widowControl/>
      <w:spacing w:before="480" w:after="0" w:line="276" w:lineRule="auto"/>
      <w:jc w:val="left"/>
      <w:outlineLvl w:val="9"/>
    </w:pPr>
    <w:rPr>
      <w:rFonts w:ascii="Cambria" w:hAnsi="Cambria"/>
      <w:color w:val="376092"/>
      <w:kern w:val="0"/>
      <w:sz w:val="28"/>
      <w:szCs w:val="28"/>
    </w:rPr>
  </w:style>
  <w:style w:type="paragraph" w:customStyle="1" w:styleId="32">
    <w:name w:val="TOC 标题2"/>
    <w:basedOn w:val="1"/>
    <w:next w:val="0"/>
    <w:pPr>
      <w:keepNext/>
      <w:keepLines/>
      <w:widowControl/>
      <w:spacing w:before="480" w:after="0" w:line="276" w:lineRule="auto"/>
      <w:jc w:val="left"/>
      <w:outlineLvl w:val="9"/>
    </w:pPr>
    <w:rPr>
      <w:rFonts w:ascii="Cambria" w:hAnsi="Cambria"/>
      <w:color w:val="376092"/>
      <w:kern w:val="0"/>
      <w:sz w:val="28"/>
      <w:szCs w:val="28"/>
    </w:rPr>
  </w:style>
  <w:style w:type="paragraph" w:customStyle="1" w:styleId="33">
    <w:name w:val="列表段落1"/>
    <w:basedOn w:val="0"/>
    <w:pPr>
      <w:ind w:firstLineChars="200" w:firstLine="200"/>
    </w:pPr>
  </w:style>
  <w:style w:type="paragraph" w:customStyle="1" w:styleId="34">
    <w:name w:val="目录 11"/>
    <w:next w:val="0"/>
    <w:pPr>
      <w:wordWrap w:val="0"/>
      <w:jc w:val="both"/>
    </w:pPr>
    <w:rPr>
      <w:rFonts w:ascii="宋体" w:eastAsia="Times New Roman" w:cs="Times New Roman" w:hAnsi="宋体"/>
      <w:sz w:val="21"/>
      <w:szCs w:val="20"/>
      <w:lang w:val="en-US" w:eastAsia="zh-CN" w:bidi="ar-SA"/>
    </w:rPr>
  </w:style>
  <w:style w:type="paragraph" w:customStyle="1" w:styleId="35">
    <w:name w:val="TOC 标题3"/>
    <w:basedOn w:val="1"/>
    <w:next w:val="0"/>
    <w:pPr>
      <w:keepNext/>
      <w:keepLines/>
      <w:widowControl/>
      <w:spacing w:before="240" w:after="0" w:line="259" w:lineRule="auto"/>
      <w:jc w:val="left"/>
      <w:outlineLvl w:val="9"/>
    </w:pPr>
    <w:rPr>
      <w:rFonts w:ascii="等线 Light" w:eastAsia="等线 Light" w:cs="Times New Roman"/>
      <w:b w:val="0"/>
      <w:bCs w:val="0"/>
      <w:color w:val="2F5597"/>
      <w:kern w:val="0"/>
      <w:sz w:val="32"/>
      <w:szCs w:val="32"/>
    </w:rPr>
  </w:style>
  <w:style w:type="paragraph" w:customStyle="1" w:styleId="36">
    <w:name w:val="TOC 标题4"/>
    <w:basedOn w:val="1"/>
    <w:next w:val="0"/>
    <w:pPr>
      <w:keepNext/>
      <w:keepLines/>
      <w:widowControl/>
      <w:spacing w:before="240" w:after="0" w:line="259" w:lineRule="auto"/>
      <w:jc w:val="left"/>
      <w:outlineLvl w:val="9"/>
    </w:pPr>
    <w:rPr>
      <w:rFonts w:ascii="等线 Light" w:eastAsia="等线 Light" w:cs="Times New Roman"/>
      <w:b w:val="0"/>
      <w:bCs w:val="0"/>
      <w:color w:val="2F5597"/>
      <w:kern w:val="0"/>
      <w:sz w:val="32"/>
      <w:szCs w:val="32"/>
    </w:rPr>
  </w:style>
  <w:style w:type="paragraph" w:customStyle="1" w:styleId="37">
    <w:name w:val="WPSOffice手动目录 1"/>
    <w:rPr>
      <w:rFonts w:ascii="Times New Roman" w:eastAsia="宋体" w:cs="Times New Roman" w:hAnsi="Times New Roman"/>
      <w:sz w:val="20"/>
      <w:szCs w:val="20"/>
      <w:lang w:val="en-US" w:eastAsia="zh-CN" w:bidi="ar-SA"/>
    </w:rPr>
  </w:style>
  <w:style w:type="paragraph" w:customStyle="1" w:styleId="38">
    <w:name w:val="WPSOffice手动目录 2"/>
    <w:pPr>
      <w:ind w:leftChars="200" w:left="200"/>
    </w:pPr>
    <w:rPr>
      <w:rFonts w:ascii="Times New Roman" w:eastAsia="宋体" w:cs="Times New Roman" w:hAnsi="Times New Roman"/>
      <w:sz w:val="20"/>
      <w:szCs w:val="20"/>
      <w:lang w:val="en-US" w:eastAsia="zh-CN" w:bidi="ar-SA"/>
    </w:rPr>
  </w:style>
  <w:style w:type="paragraph" w:customStyle="1" w:styleId="39">
    <w:name w:val="WPSOffice手动目录 3"/>
    <w:pPr>
      <w:ind w:leftChars="400" w:left="400"/>
    </w:pPr>
    <w:rPr>
      <w:rFonts w:ascii="Times New Roman" w:eastAsia="宋体" w:cs="Times New Roman" w:hAnsi="Times New Roman"/>
      <w:sz w:val="20"/>
      <w:szCs w:val="20"/>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footer" Target="footer5.xml"/><Relationship Id="rId8" Type="http://schemas.openxmlformats.org/officeDocument/2006/relationships/chart" Target="charts/chart1.xml"/><Relationship Id="rId9" Type="http://schemas.openxmlformats.org/officeDocument/2006/relationships/chart" Target="charts/chart2.xml"/><Relationship Id="rId10" Type="http://schemas.openxmlformats.org/officeDocument/2006/relationships/chart" Target="charts/chart3.xml"/><Relationship Id="rId11" Type="http://schemas.openxmlformats.org/officeDocument/2006/relationships/chart" Target="charts/chart4.xml"/><Relationship Id="rId12" Type="http://schemas.openxmlformats.org/officeDocument/2006/relationships/chart" Target="charts/chart5.xml"/><Relationship Id="rId13" Type="http://schemas.openxmlformats.org/officeDocument/2006/relationships/chart" Target="charts/chart6.xml"/><Relationship Id="rId14" Type="http://schemas.openxmlformats.org/officeDocument/2006/relationships/chart" Target="charts/chart7.xml"/><Relationship Id="rId15" Type="http://schemas.openxmlformats.org/officeDocument/2006/relationships/image" Target="media/12.png"/><Relationship Id="rId16" Type="http://schemas.openxmlformats.org/officeDocument/2006/relationships/image" Target="media/15.png"/><Relationship Id="rId17" Type="http://schemas.openxmlformats.org/officeDocument/2006/relationships/image" Target="media/18.png"/><Relationship Id="rId18" Type="http://schemas.openxmlformats.org/officeDocument/2006/relationships/image" Target="media/21.png"/><Relationship Id="rId19" Type="http://schemas.openxmlformats.org/officeDocument/2006/relationships/image" Target="media/24.png"/><Relationship Id="rId20" Type="http://schemas.openxmlformats.org/officeDocument/2006/relationships/image" Target="media/27.png"/><Relationship Id="rId21" Type="http://schemas.openxmlformats.org/officeDocument/2006/relationships/image" Target="media/30.png"/><Relationship Id="rId22" Type="http://schemas.openxmlformats.org/officeDocument/2006/relationships/image" Target="media/33.png"/><Relationship Id="rId23" Type="http://schemas.openxmlformats.org/officeDocument/2006/relationships/image" Target="media/36.png"/><Relationship Id="rId24" Type="http://schemas.openxmlformats.org/officeDocument/2006/relationships/image" Target="media/39.png"/><Relationship Id="rId25" Type="http://schemas.openxmlformats.org/officeDocument/2006/relationships/image" Target="media/42.png"/><Relationship Id="rId26" Type="http://schemas.openxmlformats.org/officeDocument/2006/relationships/image" Target="media/45.png"/><Relationship Id="rId27" Type="http://schemas.openxmlformats.org/officeDocument/2006/relationships/image" Target="media/48.png"/><Relationship Id="rId28" Type="http://schemas.openxmlformats.org/officeDocument/2006/relationships/image" Target="media/51.png"/><Relationship Id="rId29" Type="http://schemas.openxmlformats.org/officeDocument/2006/relationships/image" Target="media/54.png"/><Relationship Id="rId30" Type="http://schemas.openxmlformats.org/officeDocument/2006/relationships/image" Target="media/57.png"/><Relationship Id="rId31" Type="http://schemas.openxmlformats.org/officeDocument/2006/relationships/image" Target="media/60.png"/><Relationship Id="rId32" Type="http://schemas.openxmlformats.org/officeDocument/2006/relationships/image" Target="media/63.png"/><Relationship Id="rId33" Type="http://schemas.openxmlformats.org/officeDocument/2006/relationships/image" Target="media/66.png"/><Relationship Id="rId34" Type="http://schemas.openxmlformats.org/officeDocument/2006/relationships/image" Target="media/69.png"/><Relationship Id="rId35" Type="http://schemas.openxmlformats.org/officeDocument/2006/relationships/image" Target="media/72.png"/><Relationship Id="rId36" Type="http://schemas.openxmlformats.org/officeDocument/2006/relationships/image" Target="media/75.png"/><Relationship Id="rId37" Type="http://schemas.openxmlformats.org/officeDocument/2006/relationships/image" Target="media/78.png"/><Relationship Id="rId38" Type="http://schemas.openxmlformats.org/officeDocument/2006/relationships/image" Target="media/81.png"/><Relationship Id="rId39" Type="http://schemas.openxmlformats.org/officeDocument/2006/relationships/image" Target="media/84.png"/><Relationship Id="rId40" Type="http://schemas.openxmlformats.org/officeDocument/2006/relationships/styles" Target="styles.xml"/><Relationship Id="rId41" Type="http://schemas.openxmlformats.org/officeDocument/2006/relationships/numbering" Target="numbering.xml"/><Relationship Id="rId4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char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char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收支决算图</a:t>
            </a:r>
          </a:p>
        </c:rich>
      </c:tx>
      <c:layout/>
      <c:overlay val="0"/>
      <c:spPr>
        <a:noFill/>
        <a:ln>
          <a:noFill/>
        </a:ln>
      </c:spPr>
    </c:title>
    <c:autoTitleDeleted val="1"/>
    <c:plotArea>
      <c:layout/>
      <c:barChart>
        <c:barDir val="col"/>
        <c:grouping val="clustered"/>
        <c:varyColors val="0"/>
        <c:ser>
          <c:idx val="0"/>
          <c:order val="0"/>
          <c:tx>
            <c:v>收入</c:v>
          </c:tx>
          <c:spPr>
            <a:solidFill>
              <a:srgbClr val="4F81B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General" sourceLinked="0"/>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numRef>
              <c:numCache>
                <c:ptCount val="2"/>
                <c:pt idx="0">
                  <c:v>2024</c:v>
                </c:pt>
                <c:pt idx="1">
                  <c:v>2025</c:v>
                </c:pt>
              </c:numCache>
            </c:numRef>
          </c:cat>
          <c:val>
            <c:numRef>
              <c:f/>
              <c:numCache>
                <c:formatCode>General</c:formatCode>
                <c:ptCount val="2"/>
                <c:pt idx="0">
                  <c:v>2455.15</c:v>
                </c:pt>
                <c:pt idx="1">
                  <c:v>3596.8</c:v>
                </c:pt>
              </c:numCache>
            </c:numRef>
          </c:val>
        </c:ser>
        <c:ser>
          <c:idx val="1"/>
          <c:order val="1"/>
          <c:tx>
            <c:v>支出</c:v>
          </c:tx>
          <c:spPr>
            <a:solidFill>
              <a:srgbClr val="C0504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General" sourceLinked="0"/>
            <c:dLbl>
              <c:idx val="1"/>
              <c:numFmt formatCode="General"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dLblPos val="outEnd"/>
              <c:tx>
                <c:rich>
                  <a:bodyPr vert="horz"/>
                  <a:lstStyle/>
                  <a:p>
                    <a:pPr>
                      <a:defRPr sz="1000" b="0" i="0" u="none" strike="noStrike" baseline="0">
                        <a:solidFill>
                          <a:srgbClr val="404040"/>
                        </a:solidFill>
                        <a:latin typeface="Times New Roman"/>
                        <a:ea typeface="宋体"/>
                        <a:cs typeface="Lucida Sans"/>
                      </a:defRPr>
                    </a:pPr>
                    <a:r>
                      <a:rPr lang="zh-CN" sz="1000" b="0" i="0" u="none" strike="noStrike" baseline="0">
                        <a:solidFill>
                          <a:srgbClr val="404040"/>
                        </a:solidFill>
                        <a:latin typeface="Times New Roman"/>
                        <a:ea typeface="宋体"/>
                        <a:cs typeface="Lucida Sans"/>
                      </a:rPr>
                      <a:t>3596.</a:t>
                    </a:r>
                    <a:r>
                      <a:rPr lang="zh-CN" sz="1000" b="0" i="0" u="none" strike="noStrike" baseline="0">
                        <a:solidFill>
                          <a:srgbClr val="404040"/>
                        </a:solidFill>
                        <a:latin typeface="Times New Roman"/>
                        <a:ea typeface="宋体"/>
                        <a:cs typeface="Lucida Sans"/>
                      </a:rPr>
                      <a:t>.8</a:t>
                    </a:r>
                  </a:p>
                </c:rich>
              </c:tx>
              <c:showLegendKey val="0"/>
              <c:showVal val="1"/>
              <c:showCatName val="0"/>
              <c:showSerName val="0"/>
              <c:showPercent val="0"/>
              <c:showBubbleSize val="0"/>
            </c:dLbl>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numRef>
              <c:numCache>
                <c:ptCount val="2"/>
                <c:pt idx="0">
                  <c:v>2024</c:v>
                </c:pt>
                <c:pt idx="1">
                  <c:v>2025</c:v>
                </c:pt>
              </c:numCache>
            </c:numRef>
          </c:cat>
          <c:val>
            <c:numRef>
              <c:f/>
              <c:numCache>
                <c:formatCode>General</c:formatCode>
                <c:ptCount val="2"/>
                <c:pt idx="0">
                  <c:v>2455.15</c:v>
                </c:pt>
                <c:pt idx="1">
                  <c:v>3647.84</c:v>
                </c:pt>
              </c:numCache>
            </c:numRef>
          </c:val>
        </c:ser>
        <c:overlap val="-28"/>
        <c:gapWidth val="246"/>
        <c:axId val="0"/>
        <c:axId val="1"/>
      </c:barChart>
      <c:catAx>
        <c:axId val="0"/>
        <c:scaling>
          <c:orientation val="minMax"/>
        </c:scaling>
        <c:delete val="0"/>
        <c:axPos val="b"/>
        <c:numFmt formatCode="General" sourceLinked="0"/>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E6E6E6"/>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tx>
            <c:v>金额（万元）</c:v>
          </c:tx>
          <c:spPr>
            <a:solidFill>
              <a:srgbClr val="4F81BD"/>
            </a:solidFill>
            <a:ln>
              <a:noFill/>
            </a:ln>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General" sourceLinked="0"/>
            <c:dLbl>
              <c:idx val="0"/>
              <c:numFmt formatCode="General"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tx>
                <c:rich>
                  <a:bodyPr vert="horz"/>
                  <a:lstStyle/>
                  <a:p>
                    <a:pPr>
                      <a:defRPr sz="1000" b="0" i="0" u="none" strike="noStrike" baseline="0">
                        <a:solidFill>
                          <a:srgbClr val="404040"/>
                        </a:solidFill>
                        <a:latin typeface="Times New Roman"/>
                        <a:ea typeface="宋体"/>
                        <a:cs typeface="Lucida Sans"/>
                      </a:defRPr>
                    </a:pPr>
                    <a:r>
                      <a:rPr lang="zh-CN"/>
                      <a:t>3595.8万元</a:t>
                    </a:r>
                  </a:p>
                </c:rich>
              </c:tx>
              <c:showLegendKey val="0"/>
              <c:showVal val="1"/>
              <c:showCatName val="0"/>
              <c:showSerName val="0"/>
              <c:showPercent val="0"/>
              <c:showBubbleSize val="0"/>
            </c:dLbl>
            <c:dLbl>
              <c:idx val="1"/>
              <c:numFmt formatCode="General"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tx>
                <c:rich>
                  <a:bodyPr vert="horz"/>
                  <a:lstStyle/>
                  <a:p>
                    <a:pPr>
                      <a:defRPr sz="1000" b="0" i="0" u="none" strike="noStrike" baseline="0">
                        <a:solidFill>
                          <a:srgbClr val="404040"/>
                        </a:solidFill>
                        <a:latin typeface="Times New Roman"/>
                        <a:ea typeface="宋体"/>
                        <a:cs typeface="Lucida Sans"/>
                      </a:defRPr>
                    </a:pPr>
                    <a:r>
                      <a:rPr lang="zh-CN" sz="1000" b="0" i="0" u="none" strike="noStrike" baseline="0">
                        <a:solidFill>
                          <a:srgbClr val="404040"/>
                        </a:solidFill>
                        <a:latin typeface="Times New Roman"/>
                        <a:ea typeface="宋体"/>
                        <a:cs typeface="Lucida Sans"/>
                      </a:rPr>
                      <a:t>1</a:t>
                    </a:r>
                    <a:r>
                      <a:rPr lang="zh-CN" sz="1000" b="0" i="0" u="none" strike="noStrike" baseline="0">
                        <a:solidFill>
                          <a:srgbClr val="404040"/>
                        </a:solidFill>
                        <a:latin typeface="Times New Roman"/>
                        <a:ea typeface="宋体"/>
                        <a:cs typeface="Lucida Sans"/>
                      </a:rPr>
                      <a:t>.0</a:t>
                    </a:r>
                    <a:r>
                      <a:rPr lang="zh-CN" sz="1000" b="0" i="0" u="none" strike="noStrike" baseline="0">
                        <a:solidFill>
                          <a:srgbClr val="404040"/>
                        </a:solidFill>
                        <a:latin typeface="Times New Roman"/>
                        <a:ea typeface="宋体"/>
                        <a:cs typeface="Lucida Sans"/>
                      </a:rPr>
                      <a:t>万元</a:t>
                    </a:r>
                  </a:p>
                </c:rich>
              </c:tx>
              <c:showLegendKey val="0"/>
              <c:showVal val="1"/>
              <c:showCatName val="0"/>
              <c:showSerName val="0"/>
              <c:showPercent val="0"/>
              <c:showBubbleSize val="0"/>
            </c:dLbl>
            <c:showLegendKey val="0"/>
            <c:showVal val="1"/>
            <c:showCatName val="0"/>
            <c:showSerName val="0"/>
            <c:showPercent val="0"/>
            <c:showBubbleSize val="0"/>
            <c:showLeaderLines val="1"/>
          </c:dLbls>
          <c:cat>
            <c:strLit>
              <c:ptCount val="2"/>
              <c:pt idx="0">
                <c:v>财政拨款收入</c:v>
              </c:pt>
              <c:pt idx="1">
                <c:v>其他收入</c:v>
              </c:pt>
            </c:strLit>
          </c:cat>
          <c:val>
            <c:numRef>
              <c:f/>
              <c:numCache>
                <c:formatCode>General</c:formatCode>
                <c:ptCount val="2"/>
                <c:pt idx="0">
                  <c:v>3595.8</c:v>
                </c:pt>
                <c:pt idx="1">
                  <c:v>1.0</c:v>
                </c:pt>
              </c:numCache>
            </c:numRef>
          </c:val>
        </c:ser>
        <c:firstSliceAng val="0"/>
      </c:pieChart>
      <c:spPr>
        <a:noFill/>
        <a:ln>
          <a:noFill/>
        </a:ln>
      </c:spPr>
    </c:plotArea>
    <c:legend>
      <c:legendPos val="t"/>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支出决算结构图</a:t>
            </a:r>
          </a:p>
        </c:rich>
      </c:tx>
      <c:layout>
        <c:manualLayout>
          <c:xMode val="edge"/>
          <c:yMode val="edge"/>
          <c:x val="0.36078948"/>
          <c:y val="0.024305556"/>
        </c:manualLayout>
      </c:layout>
      <c:overlay val="0"/>
      <c:spPr>
        <a:noFill/>
        <a:ln>
          <a:noFill/>
        </a:ln>
      </c:spPr>
    </c:title>
    <c:autoTitleDeleted val="1"/>
    <c:view3D>
      <c:rotX val="30"/>
      <c:hPercent val="100"/>
      <c:rotY val="0"/>
      <c:depthPercent val="100"/>
      <c:rAngAx val="0"/>
      <c:perspective val="0"/>
    </c:view3D>
    <c:floor>
      <c:thickness val="0"/>
      <c:spPr>
        <a:ln>
          <a:noFill/>
        </a:ln>
      </c:spPr>
    </c:floor>
    <c:sideWall>
      <c:thickness val="0"/>
      <c:spPr>
        <a:ln>
          <a:noFill/>
        </a:ln>
      </c:spPr>
    </c:sideWall>
    <c:backWall>
      <c:thickness val="0"/>
      <c:spPr>
        <a:noFill/>
        <a:ln>
          <a:noFill/>
        </a:ln>
      </c:spPr>
    </c:backWall>
    <c:plotArea>
      <c:layout/>
      <c:pie3DChart>
        <c:varyColors val="1"/>
        <c:ser>
          <c:idx val="0"/>
          <c:order val="0"/>
          <c:tx>
            <c:v>收入（万元）</c:v>
          </c:tx>
          <c:spPr>
            <a:solidFill>
              <a:srgbClr val="4F81BD"/>
            </a:solidFill>
          </c:spPr>
          <c:dPt>
            <c:idx val="0"/>
            <c:bubble3D val="0"/>
            <c:spPr>
              <a:solidFill>
                <a:srgbClr val="0070C0"/>
              </a:solidFill>
              <a:ln w="25400">
                <a:solidFill>
                  <a:srgbClr val="FFFFFF"/>
                </a:solidFill>
                <a:prstDash val="solid"/>
              </a:ln>
            </c:spPr>
          </c:dPt>
          <c:dPt>
            <c:idx val="1"/>
            <c:bubble3D val="0"/>
            <c:spPr>
              <a:solidFill>
                <a:srgbClr val="FF0000"/>
              </a:solidFill>
              <a:ln w="2540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General" sourceLinked="0"/>
            <c:showLegendKey val="0"/>
            <c:showVal val="1"/>
            <c:showCatName val="0"/>
            <c:showSerName val="0"/>
            <c:showPercent val="0"/>
            <c:showBubbleSize val="0"/>
            <c:showLeaderLines val="1"/>
          </c:dLbls>
          <c:cat>
            <c:strLit>
              <c:ptCount val="2"/>
              <c:pt idx="0">
                <c:v>基本支出</c:v>
              </c:pt>
              <c:pt idx="1">
                <c:v>项目支出</c:v>
              </c:pt>
            </c:strLit>
          </c:cat>
          <c:val>
            <c:numRef>
              <c:f/>
              <c:numCache>
                <c:formatCode>General</c:formatCode>
                <c:ptCount val="2"/>
                <c:pt idx="0">
                  <c:v>1103.74</c:v>
                </c:pt>
                <c:pt idx="1">
                  <c:v>2493.06</c:v>
                </c:pt>
              </c:numCache>
            </c:numRef>
          </c:val>
        </c:ser>
        <c:gapDepth val="150"/>
        <c:firstSliceAng val="0"/>
      </c:pie3DChart>
      <c:spPr>
        <a:noFill/>
        <a:ln>
          <a:noFill/>
        </a:ln>
      </c:spPr>
    </c:plotArea>
    <c:legend>
      <c:legendPos val="t"/>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财政拨款收支决算表</a:t>
            </a:r>
          </a:p>
        </c:rich>
      </c:tx>
      <c:layout/>
      <c:overlay val="0"/>
      <c:spPr>
        <a:noFill/>
        <a:ln>
          <a:noFill/>
        </a:ln>
      </c:spPr>
    </c:title>
    <c:autoTitleDeleted val="1"/>
    <c:plotArea>
      <c:layout/>
      <c:barChart>
        <c:barDir val="col"/>
        <c:grouping val="clustered"/>
        <c:varyColors val="0"/>
        <c:ser>
          <c:idx val="0"/>
          <c:order val="0"/>
          <c:tx>
            <c:v>财政拨款收入</c:v>
          </c:tx>
          <c:spPr>
            <a:solidFill>
              <a:srgbClr val="4F81B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General" sourceLinked="0"/>
            <c:dLbl>
              <c:idx val="1"/>
              <c:numFmt formatCode="General"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dLblPos val="outEnd"/>
              <c:tx>
                <c:rich>
                  <a:bodyPr vert="horz"/>
                  <a:lstStyle/>
                  <a:p>
                    <a:pPr>
                      <a:defRPr sz="1000" b="0" i="0" u="none" strike="noStrike" baseline="0">
                        <a:solidFill>
                          <a:srgbClr val="404040"/>
                        </a:solidFill>
                        <a:latin typeface="Times New Roman"/>
                        <a:ea typeface="宋体"/>
                        <a:cs typeface="Lucida Sans"/>
                      </a:defRPr>
                    </a:pPr>
                    <a:r>
                      <a:rPr lang="zh-CN" sz="1000" b="0" i="0" u="none" strike="noStrike" baseline="0">
                        <a:solidFill>
                          <a:srgbClr val="404040"/>
                        </a:solidFill>
                        <a:latin typeface="Times New Roman"/>
                        <a:ea typeface="宋体"/>
                        <a:cs typeface="Lucida Sans"/>
                      </a:rPr>
                      <a:t>3</a:t>
                    </a:r>
                    <a:r>
                      <a:rPr lang="zh-CN" sz="1000" b="0" i="0" u="none" strike="noStrike" baseline="0">
                        <a:solidFill>
                          <a:srgbClr val="404040"/>
                        </a:solidFill>
                        <a:latin typeface="Times New Roman"/>
                        <a:ea typeface="宋体"/>
                        <a:cs typeface="Lucida Sans"/>
                      </a:rPr>
                      <a:t>596</a:t>
                    </a:r>
                    <a:r>
                      <a:rPr lang="zh-CN" sz="1000" b="0" i="0" u="none" strike="noStrike" baseline="0">
                        <a:solidFill>
                          <a:srgbClr val="404040"/>
                        </a:solidFill>
                        <a:latin typeface="Times New Roman"/>
                        <a:ea typeface="宋体"/>
                        <a:cs typeface="Lucida Sans"/>
                      </a:rPr>
                      <a:t>.8</a:t>
                    </a:r>
                  </a:p>
                </c:rich>
              </c:tx>
              <c:showLegendKey val="0"/>
              <c:showVal val="1"/>
              <c:showCatName val="0"/>
              <c:showSerName val="0"/>
              <c:showPercent val="0"/>
              <c:showBubbleSize val="0"/>
            </c:dLbl>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numRef>
              <c:numCache>
                <c:ptCount val="2"/>
                <c:pt idx="0">
                  <c:v>2024</c:v>
                </c:pt>
                <c:pt idx="1">
                  <c:v>2025</c:v>
                </c:pt>
              </c:numCache>
            </c:numRef>
          </c:cat>
          <c:val>
            <c:numRef>
              <c:f/>
              <c:numCache>
                <c:formatCode>General</c:formatCode>
                <c:ptCount val="2"/>
                <c:pt idx="0">
                  <c:v>2455.15</c:v>
                </c:pt>
                <c:pt idx="1">
                  <c:v>3647.84</c:v>
                </c:pt>
              </c:numCache>
            </c:numRef>
          </c:val>
        </c:ser>
        <c:ser>
          <c:idx val="1"/>
          <c:order val="1"/>
          <c:tx>
            <c:v>财政拨款支出</c:v>
          </c:tx>
          <c:spPr>
            <a:solidFill>
              <a:srgbClr val="FF0000"/>
            </a:solidFill>
            <a:ln w="6350">
              <a:solidFill>
                <a:srgbClr val="000000"/>
              </a:solidFill>
              <a:prstDash val="solid"/>
            </a:ln>
          </c:spPr>
          <c:invertIfNegative val="0"/>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General" sourceLinked="0"/>
            <c:dLbl>
              <c:idx val="1"/>
              <c:numFmt formatCode="General"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dLblPos val="outEnd"/>
              <c:tx>
                <c:rich>
                  <a:bodyPr vert="horz"/>
                  <a:lstStyle/>
                  <a:p>
                    <a:pPr>
                      <a:defRPr sz="1000" b="0" i="0" u="none" strike="noStrike" baseline="0">
                        <a:solidFill>
                          <a:srgbClr val="404040"/>
                        </a:solidFill>
                        <a:latin typeface="Times New Roman"/>
                        <a:ea typeface="宋体"/>
                        <a:cs typeface="Lucida Sans"/>
                      </a:defRPr>
                    </a:pPr>
                    <a:r>
                      <a:rPr lang="zh-CN" sz="1000" b="0" i="0" u="none" strike="noStrike" baseline="0">
                        <a:solidFill>
                          <a:srgbClr val="404040"/>
                        </a:solidFill>
                        <a:latin typeface="Times New Roman"/>
                        <a:ea typeface="宋体"/>
                        <a:cs typeface="Lucida Sans"/>
                      </a:rPr>
                      <a:t>3</a:t>
                    </a:r>
                    <a:r>
                      <a:rPr lang="zh-CN" sz="1000" b="0" i="0" u="none" strike="noStrike" baseline="0">
                        <a:solidFill>
                          <a:srgbClr val="404040"/>
                        </a:solidFill>
                        <a:latin typeface="Times New Roman"/>
                        <a:ea typeface="宋体"/>
                        <a:cs typeface="Lucida Sans"/>
                      </a:rPr>
                      <a:t>596</a:t>
                    </a:r>
                    <a:r>
                      <a:rPr lang="zh-CN" sz="1000" b="0" i="0" u="none" strike="noStrike" baseline="0">
                        <a:solidFill>
                          <a:srgbClr val="404040"/>
                        </a:solidFill>
                        <a:latin typeface="Times New Roman"/>
                        <a:ea typeface="宋体"/>
                        <a:cs typeface="Lucida Sans"/>
                      </a:rPr>
                      <a:t>.8</a:t>
                    </a:r>
                  </a:p>
                </c:rich>
              </c:tx>
              <c:showLegendKey val="0"/>
              <c:showVal val="1"/>
              <c:showCatName val="0"/>
              <c:showSerName val="0"/>
              <c:showPercent val="0"/>
              <c:showBubbleSize val="0"/>
            </c:dLbl>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numRef>
              <c:numCache>
                <c:ptCount val="2"/>
                <c:pt idx="0">
                  <c:v>2024</c:v>
                </c:pt>
                <c:pt idx="1">
                  <c:v>2025</c:v>
                </c:pt>
              </c:numCache>
            </c:numRef>
          </c:cat>
          <c:val>
            <c:numRef>
              <c:f/>
              <c:numCache>
                <c:formatCode>General</c:formatCode>
                <c:ptCount val="2"/>
                <c:pt idx="0">
                  <c:v>2455.15</c:v>
                </c:pt>
                <c:pt idx="1">
                  <c:v>3647.84</c:v>
                </c:pt>
              </c:numCache>
            </c:numRef>
          </c:val>
        </c:ser>
        <c:overlap val="-28"/>
        <c:gapWidth val="246"/>
        <c:axId val="0"/>
        <c:axId val="1"/>
      </c:barChart>
      <c:catAx>
        <c:axId val="0"/>
        <c:scaling>
          <c:orientation val="minMax"/>
        </c:scaling>
        <c:delete val="0"/>
        <c:axPos val="b"/>
        <c:numFmt formatCode="General" sourceLinked="0"/>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E6E6E6"/>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财政拨款支出图</a:t>
            </a:r>
          </a:p>
        </c:rich>
      </c:tx>
      <c:layout/>
      <c:overlay val="0"/>
      <c:spPr>
        <a:noFill/>
        <a:ln>
          <a:noFill/>
        </a:ln>
      </c:spPr>
    </c:title>
    <c:autoTitleDeleted val="1"/>
    <c:plotArea>
      <c:layout>
        <c:manualLayout>
          <c:layoutTarget val="inner"/>
          <c:xMode val="edge"/>
          <c:yMode val="edge"/>
          <c:x val="0.082842104"/>
          <c:y val="0.17291667"/>
          <c:w val="0.88821054"/>
          <c:h val="0.71166664"/>
        </c:manualLayout>
      </c:layout>
      <c:barChart>
        <c:barDir val="col"/>
        <c:grouping val="clustered"/>
        <c:varyColors val="0"/>
        <c:ser>
          <c:idx val="0"/>
          <c:order val="0"/>
          <c:spPr>
            <a:solidFill>
              <a:srgbClr val="4F81B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General" sourceLinked="0"/>
            <c:dLbl>
              <c:idx val="0"/>
              <c:layout>
                <c:manualLayout>
                  <c:x val="-0.0039473684"/>
                  <c:y val="0.1701389"/>
                </c:manualLayout>
              </c:layout>
              <c:numFmt formatCode="General"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dLblPos val="outEnd"/>
              <c:showLegendKey val="0"/>
              <c:showVal val="1"/>
              <c:showCatName val="0"/>
              <c:showSerName val="0"/>
              <c:showPercent val="0"/>
              <c:showBubbleSize val="0"/>
            </c:dLbl>
            <c:dLbl>
              <c:idx val="1"/>
              <c:layout>
                <c:manualLayout>
                  <c:x val="0.0019736842"/>
                  <c:y val="0.3402778"/>
                </c:manualLayout>
              </c:layout>
              <c:numFmt formatCode="General"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dLblPos val="outEnd"/>
              <c:showLegendKey val="0"/>
              <c:showVal val="1"/>
              <c:showCatName val="0"/>
              <c:showSerName val="0"/>
              <c:showPercent val="0"/>
              <c:showBubbleSize val="0"/>
            </c:dLbl>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Lit>
              <c:ptCount val="2"/>
              <c:pt idx="0">
                <c:v>2024 年</c:v>
              </c:pt>
              <c:pt idx="1">
                <c:v>2025 年</c:v>
              </c:pt>
            </c:strLit>
          </c:cat>
          <c:val>
            <c:numRef>
              <c:f/>
              <c:numCache>
                <c:formatCode>General</c:formatCode>
                <c:ptCount val="2"/>
                <c:pt idx="0">
                  <c:v>2455.15</c:v>
                </c:pt>
                <c:pt idx="1">
                  <c:v>3596.8</c:v>
                </c:pt>
              </c:numCache>
            </c:numRef>
          </c:val>
        </c:ser>
        <c:overlap val="-28"/>
        <c:gapWidth val="246"/>
        <c:axId val="0"/>
        <c:axId val="1"/>
      </c:barChart>
      <c:catAx>
        <c:axId val="0"/>
        <c:scaling>
          <c:orientation val="minMax"/>
        </c:scaling>
        <c:delete val="0"/>
        <c:axPos val="b"/>
        <c:numFmt formatCode="General" sourceLinked="0"/>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E6E6E6"/>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spPr>
        <a:noFill/>
        <a:ln>
          <a:noFill/>
        </a:ln>
      </c:spPr>
    </c:plotArea>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hPercent val="100"/>
      <c:rotY val="0"/>
      <c:depthPercent val="100"/>
      <c:rAngAx val="0"/>
      <c:perspective val="0"/>
    </c:view3D>
    <c:floor>
      <c:thickness val="0"/>
      <c:spPr>
        <a:ln>
          <a:noFill/>
        </a:ln>
      </c:spPr>
    </c:floor>
    <c:sideWall>
      <c:thickness val="0"/>
      <c:spPr>
        <a:ln>
          <a:noFill/>
        </a:ln>
      </c:spPr>
    </c:sideWall>
    <c:backWall>
      <c:thickness val="0"/>
      <c:spPr>
        <a:noFill/>
        <a:ln>
          <a:noFill/>
        </a:ln>
      </c:spPr>
    </c:backWall>
    <c:plotArea>
      <c:layout/>
      <c:pie3DChart>
        <c:varyColors val="1"/>
        <c:ser>
          <c:idx val="0"/>
          <c:order val="0"/>
          <c:tx>
            <c:v>一般公共预算财政拨款支出决算结构图</c:v>
          </c:tx>
          <c:spPr>
            <a:solidFill>
              <a:srgbClr val="4F81BD"/>
            </a:solidFill>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Pt>
            <c:idx val="3"/>
            <c:bubble3D val="0"/>
            <c:spPr>
              <a:solidFill>
                <a:srgbClr val="8064A2"/>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General" sourceLinked="0"/>
            <c:showLegendKey val="0"/>
            <c:showVal val="1"/>
            <c:showCatName val="0"/>
            <c:showSerName val="0"/>
            <c:showPercent val="0"/>
            <c:showBubbleSize val="0"/>
            <c:showLeaderLines val="1"/>
          </c:dLbls>
          <c:cat>
            <c:strLit>
              <c:ptCount val="4"/>
              <c:pt idx="0">
                <c:v>公共安全支出</c:v>
              </c:pt>
              <c:pt idx="1">
                <c:v>社会保障和就业支出</c:v>
              </c:pt>
              <c:pt idx="2">
                <c:v>卫生健康支出</c:v>
              </c:pt>
              <c:pt idx="3">
                <c:v>住房保障支出</c:v>
              </c:pt>
            </c:strLit>
          </c:cat>
          <c:val>
            <c:numRef>
              <c:f/>
              <c:numCache>
                <c:formatCode>General</c:formatCode>
                <c:ptCount val="4"/>
                <c:pt idx="0">
                  <c:v>3486.79</c:v>
                </c:pt>
                <c:pt idx="1">
                  <c:v>54.2</c:v>
                </c:pt>
                <c:pt idx="2">
                  <c:v>24.52</c:v>
                </c:pt>
                <c:pt idx="3">
                  <c:v>31.3</c:v>
                </c:pt>
              </c:numCache>
            </c:numRef>
          </c:val>
        </c:ser>
        <c:ser>
          <c:idx val="1"/>
          <c:order val="1"/>
          <c:tx>
            <c:v>占比</c:v>
          </c:tx>
          <c:spPr>
            <a:solidFill>
              <a:srgbClr val="C0504D"/>
            </a:solidFill>
          </c:spPr>
          <c:dPt>
            <c:idx val="0"/>
            <c:invertIfNegative val="0"/>
            <c:bubble3D val="0"/>
            <c:spPr>
              <a:ln w="6350">
                <a:solidFill>
                  <a:srgbClr val="FFFFFF"/>
                </a:solidFill>
                <a:prstDash val="solid"/>
              </a:ln>
            </c:spPr>
          </c:dPt>
          <c:dPt>
            <c:idx val="1"/>
            <c:invertIfNegative val="0"/>
            <c:bubble3D val="0"/>
            <c:spPr>
              <a:ln w="6350">
                <a:solidFill>
                  <a:srgbClr val="FFFFFF"/>
                </a:solidFill>
                <a:prstDash val="solid"/>
              </a:ln>
            </c:spPr>
          </c:dPt>
          <c:dPt>
            <c:idx val="2"/>
            <c:invertIfNegative val="0"/>
            <c:bubble3D val="0"/>
            <c:spPr>
              <a:ln w="6350">
                <a:solidFill>
                  <a:srgbClr val="FFFFFF"/>
                </a:solidFill>
                <a:prstDash val="solid"/>
              </a:ln>
            </c:spPr>
          </c:dPt>
          <c:dPt>
            <c:idx val="3"/>
            <c:invertIfNegative val="0"/>
            <c:bubble3D val="0"/>
            <c:spPr>
              <a:ln w="6350">
                <a:solidFill>
                  <a:srgbClr val="FFFFFF"/>
                </a:solidFill>
                <a:prstDash val="solid"/>
              </a:ln>
            </c:spPr>
          </c:dPt>
          <c:dLbls>
            <c:txPr>
              <a:bodyPr/>
              <a:lstStyle/>
              <a:p>
                <a:pPr>
                  <a:defRPr sz="1000" b="0" i="0" u="none" strike="noStrike" baseline="0">
                    <a:solidFill>
                      <a:srgbClr val="000000"/>
                    </a:solidFill>
                    <a:latin typeface="Times New Roman"/>
                    <a:ea typeface="宋体"/>
                    <a:cs typeface="Lucida Sans"/>
                  </a:defRPr>
                </a:pPr>
                <a:endParaRPr lang="zh-CN"/>
              </a:p>
            </c:txPr>
            <c:numFmt formatCode="0.00%" sourceLinked="0"/>
            <c:showLegendKey val="0"/>
            <c:showVal val="1"/>
            <c:showCatName val="0"/>
            <c:showSerName val="0"/>
            <c:showPercent val="0"/>
            <c:showBubbleSize val="0"/>
            <c:showLeaderLines val="1"/>
          </c:dLbls>
          <c:cat>
            <c:strLit>
              <c:ptCount val="4"/>
              <c:pt idx="0">
                <c:v>公共安全支出</c:v>
              </c:pt>
              <c:pt idx="1">
                <c:v>社会保障和就业支出</c:v>
              </c:pt>
              <c:pt idx="2">
                <c:v>卫生健康支出</c:v>
              </c:pt>
              <c:pt idx="3">
                <c:v>住房保障支出</c:v>
              </c:pt>
            </c:strLit>
          </c:cat>
          <c:val>
            <c:numRef>
              <c:f/>
              <c:numCache>
                <c:formatCode>General</c:formatCode>
                <c:ptCount val="4"/>
                <c:pt idx="0">
                  <c:v>0.9694</c:v>
                </c:pt>
                <c:pt idx="1">
                  <c:v>0.0151</c:v>
                </c:pt>
                <c:pt idx="2">
                  <c:v>0.0068</c:v>
                </c:pt>
                <c:pt idx="3">
                  <c:v>0.0087</c:v>
                </c:pt>
              </c:numCache>
            </c:numRef>
          </c:val>
        </c:ser>
        <c:gapDepth val="150"/>
        <c:firstSliceAng val="0"/>
      </c:pie3DChart>
      <c:spPr>
        <a:noFill/>
        <a:ln>
          <a:noFill/>
        </a:ln>
      </c:spPr>
    </c:plotArea>
    <c:legend>
      <c:legendPos val="t"/>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三公经费支出图</a:t>
            </a:r>
          </a:p>
        </c:rich>
      </c:tx>
      <c:layout/>
      <c:overlay val="0"/>
      <c:spPr>
        <a:noFill/>
        <a:ln>
          <a:noFill/>
        </a:ln>
      </c:spPr>
    </c:title>
    <c:autoTitleDeleted val="1"/>
    <c:plotArea>
      <c:layout>
        <c:manualLayout>
          <c:layoutTarget val="inner"/>
          <c:xMode val="edge"/>
          <c:yMode val="edge"/>
          <c:x val="0.3329737"/>
          <c:y val="0.31784722"/>
          <c:w val="0.33405262"/>
          <c:h val="0.58768517"/>
        </c:manualLayout>
      </c:layout>
      <c:pieChart>
        <c:varyColors val="1"/>
        <c:ser>
          <c:idx val="0"/>
          <c:order val="0"/>
          <c:tx>
            <c:v>金额</c:v>
          </c:tx>
          <c:spPr>
            <a:solidFill>
              <a:srgbClr val="4F81BD"/>
            </a:solidFill>
            <a:ln>
              <a:noFill/>
            </a:ln>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General" sourceLinked="0"/>
            <c:dLbl>
              <c:idx val="1"/>
              <c:numFmt formatCode="General"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tx>
                <c:rich>
                  <a:bodyPr vert="horz"/>
                  <a:lstStyle/>
                  <a:p>
                    <a:pPr>
                      <a:defRPr sz="1000" b="0" i="0" u="none" strike="noStrike" baseline="0">
                        <a:solidFill>
                          <a:srgbClr val="404040"/>
                        </a:solidFill>
                        <a:latin typeface="Times New Roman"/>
                        <a:ea typeface="宋体"/>
                        <a:cs typeface="Lucida Sans"/>
                      </a:defRPr>
                    </a:pPr>
                    <a:r>
                      <a:rPr lang="zh-CN"/>
                      <a:t>62.45万元</a:t>
                    </a:r>
                  </a:p>
                </c:rich>
              </c:tx>
              <c:showLegendKey val="0"/>
              <c:showVal val="1"/>
              <c:showCatName val="0"/>
              <c:showSerName val="0"/>
              <c:showPercent val="0"/>
              <c:showBubbleSize val="0"/>
            </c:dLbl>
            <c:showLegendKey val="0"/>
            <c:showVal val="1"/>
            <c:showCatName val="0"/>
            <c:showSerName val="0"/>
            <c:showPercent val="0"/>
            <c:showBubbleSize val="0"/>
            <c:showLeaderLines val="1"/>
          </c:dLbls>
          <c:cat>
            <c:strLit>
              <c:ptCount val="3"/>
              <c:pt idx="0">
                <c:v>因公出国费</c:v>
              </c:pt>
              <c:pt idx="1">
                <c:v>公务用车运行费</c:v>
              </c:pt>
              <c:pt idx="2">
                <c:v>公务接待费</c:v>
              </c:pt>
            </c:strLit>
          </c:cat>
          <c:val>
            <c:numRef>
              <c:f/>
              <c:numCache>
                <c:formatCode>General</c:formatCode>
                <c:ptCount val="3"/>
                <c:pt idx="0">
                  <c:v>0.0</c:v>
                </c:pt>
                <c:pt idx="1">
                  <c:v>62.45</c:v>
                </c:pt>
                <c:pt idx="2">
                  <c:v>0.0</c:v>
                </c:pt>
              </c:numCache>
            </c:numRef>
          </c:val>
        </c:ser>
        <c:firstSliceAng val="0"/>
      </c:pieChart>
      <c:spPr>
        <a:noFill/>
        <a:ln>
          <a:noFill/>
        </a:ln>
      </c:spPr>
    </c:plotArea>
    <c:legend>
      <c:legendPos val="t"/>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docProps/app.xml><?xml version="1.0" encoding="utf-8"?>
<Properties xmlns="http://schemas.openxmlformats.org/officeDocument/2006/extended-properties">
  <Template>Normal.eit</Template>
  <TotalTime>36</TotalTime>
  <Application>Yozo_Office27021597764231179</Application>
  <Pages>54</Pages>
  <Words>10926</Words>
  <Characters>11911</Characters>
  <Lines>622</Lines>
  <Paragraphs>194</Paragraphs>
  <CharactersWithSpaces>11983</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user</cp:lastModifiedBy>
  <cp:revision>45</cp:revision>
  <cp:lastPrinted>2025-09-17T08:24:00Z</cp:lastPrinted>
  <dcterms:created xsi:type="dcterms:W3CDTF">2025-09-15T01:41:00Z</dcterms:created>
  <dcterms:modified xsi:type="dcterms:W3CDTF">2026-09-16T03:52:56Z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2052-12.1.0.21915</vt:lpwstr>
  </property>
  <property fmtid="{D5CDD505-2E9C-101B-9397-08002B2CF9AE}" pid="3" name="ICV">
    <vt:lpwstr>0A6B10F893E94A6A838C8307DF6EF8A8_13</vt:lpwstr>
  </property>
  <property fmtid="{D5CDD505-2E9C-101B-9397-08002B2CF9AE}" pid="4" name="KSOTemplateDocerSaveRecord">
    <vt:lpwstr>eyJoZGlkIjoiZWU3MTBjOTYxN2E3ZmQ1NGMyYzMyMGJjZDJkZWYwY2EifQ==</vt:lpwstr>
  </property>
</Properties>
</file>