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四川阿坝工业园区管理委员会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2024年部门预算</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pPr>
        <w:ind w:firstLine="3080" w:firstLineChars="700"/>
        <w:rPr>
          <w:rFonts w:ascii="黑体" w:eastAsia="黑体"/>
          <w:sz w:val="44"/>
          <w:szCs w:val="44"/>
        </w:rPr>
      </w:pPr>
    </w:p>
    <w:p>
      <w:pPr>
        <w:pStyle w:val="11"/>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一、基本职能及主要工作</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（一）部门职能简介</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（二）2024年重点工作</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二、部门预算单位构成</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三、收支预算情况说明</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（一）收入预算情况</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（二）支出预算情况</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四、财政拨款收支预算情况说明</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五、一般公共预算当年拨款情况说明</w:t>
      </w:r>
    </w:p>
    <w:p>
      <w:pPr>
        <w:keepNext w:val="0"/>
        <w:keepLines w:val="0"/>
        <w:pageBreakBefore w:val="0"/>
        <w:kinsoku/>
        <w:wordWrap/>
        <w:overflowPunct/>
        <w:topLinePunct w:val="0"/>
        <w:autoSpaceDE/>
        <w:autoSpaceDN/>
        <w:bidi w:val="0"/>
        <w:adjustRightInd/>
        <w:snapToGrid/>
        <w:spacing w:line="520" w:lineRule="exact"/>
        <w:ind w:left="638" w:leftChars="304" w:firstLine="0" w:firstLineChars="0"/>
        <w:jc w:val="both"/>
        <w:rPr>
          <w:rFonts w:hint="eastAsia" w:ascii="黑体" w:hAnsi="黑体" w:eastAsia="黑体" w:cs="黑体"/>
          <w:sz w:val="32"/>
          <w:szCs w:val="32"/>
        </w:rPr>
      </w:pPr>
      <w:r>
        <w:rPr>
          <w:rFonts w:hint="eastAsia" w:ascii="楷体_GB2312" w:hAnsi="楷体_GB2312" w:eastAsia="楷体_GB2312" w:cs="楷体_GB2312"/>
          <w:b/>
          <w:bCs/>
          <w:sz w:val="32"/>
          <w:szCs w:val="32"/>
        </w:rPr>
        <w:t>（一）一般公共预算当年拨款规模变化情况</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b/>
          <w:bCs/>
          <w:sz w:val="32"/>
          <w:szCs w:val="32"/>
        </w:rPr>
        <w:t>（二）一般公共预算当年拨款结构情况</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b/>
          <w:bCs/>
          <w:sz w:val="32"/>
          <w:szCs w:val="32"/>
        </w:rPr>
        <w:t>（三）一般公共预算当年拨款具体使用情况</w:t>
      </w:r>
      <w:r>
        <w:rPr>
          <w:rFonts w:hint="eastAsia" w:ascii="楷体_GB2312" w:hAnsi="楷体_GB2312" w:eastAsia="楷体_GB2312" w:cs="楷体_GB2312"/>
          <w:kern w:val="0"/>
          <w:sz w:val="16"/>
          <w:szCs w:val="16"/>
        </w:rPr>
        <w:br w:type="textWrapping"/>
      </w:r>
      <w:r>
        <w:rPr>
          <w:rFonts w:hint="eastAsia" w:ascii="黑体" w:hAnsi="黑体" w:eastAsia="黑体" w:cs="黑体"/>
          <w:kern w:val="2"/>
          <w:sz w:val="32"/>
          <w:szCs w:val="32"/>
          <w:lang w:val="en-US" w:eastAsia="zh-CN" w:bidi="ar-SA"/>
        </w:rPr>
        <w:t>六、一般公共预算基本支出情况说明</w:t>
      </w:r>
      <w:r>
        <w:rPr>
          <w:rFonts w:hint="eastAsia" w:ascii="黑体" w:hAnsi="黑体" w:eastAsia="黑体" w:cs="黑体"/>
          <w:sz w:val="32"/>
          <w:szCs w:val="32"/>
        </w:rPr>
        <w:br w:type="textWrapping"/>
      </w:r>
      <w:r>
        <w:rPr>
          <w:rFonts w:hint="eastAsia" w:ascii="黑体" w:hAnsi="黑体" w:eastAsia="黑体" w:cs="黑体"/>
          <w:kern w:val="2"/>
          <w:sz w:val="32"/>
          <w:szCs w:val="32"/>
          <w:lang w:val="en-US" w:eastAsia="zh-CN" w:bidi="ar-SA"/>
        </w:rPr>
        <w:t>七、“三公”经费财政拨款预算安排情况说明</w:t>
      </w:r>
      <w:r>
        <w:rPr>
          <w:rFonts w:hint="eastAsia" w:ascii="黑体" w:hAnsi="黑体" w:eastAsia="黑体" w:cs="黑体"/>
          <w:sz w:val="32"/>
          <w:szCs w:val="32"/>
        </w:rPr>
        <w:br w:type="textWrapping"/>
      </w:r>
      <w:r>
        <w:rPr>
          <w:rFonts w:hint="eastAsia" w:ascii="黑体" w:hAnsi="黑体" w:eastAsia="黑体" w:cs="黑体"/>
          <w:kern w:val="2"/>
          <w:sz w:val="32"/>
          <w:szCs w:val="32"/>
          <w:lang w:val="en-US" w:eastAsia="zh-CN" w:bidi="ar-SA"/>
        </w:rPr>
        <w:t>八、政府性基金预算支出情况说明</w:t>
      </w:r>
      <w:r>
        <w:rPr>
          <w:rFonts w:hint="eastAsia" w:ascii="黑体" w:hAnsi="黑体" w:eastAsia="黑体" w:cs="黑体"/>
          <w:sz w:val="32"/>
          <w:szCs w:val="32"/>
        </w:rPr>
        <w:br w:type="textWrapping"/>
      </w:r>
      <w:r>
        <w:rPr>
          <w:rFonts w:hint="eastAsia" w:ascii="黑体" w:hAnsi="黑体" w:eastAsia="黑体" w:cs="黑体"/>
          <w:kern w:val="2"/>
          <w:sz w:val="32"/>
          <w:szCs w:val="32"/>
          <w:lang w:val="en-US" w:eastAsia="zh-CN" w:bidi="ar-SA"/>
        </w:rPr>
        <w:t>九、其他重要事项的情况说明</w:t>
      </w:r>
      <w:r>
        <w:rPr>
          <w:rFonts w:hint="eastAsia" w:ascii="黑体" w:hAnsi="黑体" w:eastAsia="黑体" w:cs="黑体"/>
          <w:sz w:val="32"/>
          <w:szCs w:val="32"/>
        </w:rPr>
        <w:br w:type="textWrapping"/>
      </w:r>
      <w:r>
        <w:rPr>
          <w:rFonts w:hint="eastAsia" w:ascii="黑体" w:hAnsi="黑体" w:eastAsia="黑体" w:cs="黑体"/>
          <w:kern w:val="2"/>
          <w:sz w:val="32"/>
          <w:szCs w:val="32"/>
          <w:lang w:val="en-US" w:eastAsia="zh-CN" w:bidi="ar-SA"/>
        </w:rPr>
        <w:t>十、名称解释</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20" w:lineRule="exact"/>
        <w:ind w:right="300"/>
        <w:jc w:val="both"/>
        <w:rPr>
          <w:rFonts w:ascii="??" w:hAnsi="??" w:cs="宋体"/>
          <w:kern w:val="0"/>
          <w:sz w:val="12"/>
          <w:szCs w:val="12"/>
        </w:rPr>
      </w:pPr>
    </w:p>
    <w:p>
      <w:pPr>
        <w:pStyle w:val="11"/>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一、基本职能及主要工作</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（一）部门职能简介</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四川阿坝</w:t>
      </w:r>
      <w:r>
        <w:rPr>
          <w:rFonts w:hint="eastAsia" w:ascii="仿宋_GB2312" w:hAnsi="仿宋_GB2312" w:eastAsia="仿宋_GB2312" w:cs="仿宋_GB2312"/>
          <w:sz w:val="32"/>
          <w:szCs w:val="32"/>
        </w:rPr>
        <w:t>工业园区管</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会为全额拨款参公事业单位,主要职责是为园区企业服务，协助园区企业开展招商引资、督</w:t>
      </w:r>
      <w:r>
        <w:rPr>
          <w:rFonts w:hint="eastAsia" w:ascii="仿宋_GB2312" w:hAnsi="仿宋_GB2312" w:eastAsia="仿宋_GB2312" w:cs="仿宋_GB2312"/>
          <w:sz w:val="32"/>
          <w:szCs w:val="32"/>
          <w:lang w:eastAsia="zh-CN"/>
        </w:rPr>
        <w:t>导</w:t>
      </w:r>
      <w:r>
        <w:rPr>
          <w:rFonts w:hint="eastAsia" w:ascii="仿宋_GB2312" w:hAnsi="仿宋_GB2312" w:eastAsia="仿宋_GB2312" w:cs="仿宋_GB2312"/>
          <w:sz w:val="32"/>
          <w:szCs w:val="32"/>
        </w:rPr>
        <w:t>企业安全生产和环保</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督促企业推进重大项目</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等工作。</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（二）2024年重点工作</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2024年，四川阿坝工业园区管理委员会将认真贯彻落实州委、州政府决策部署，坚持围绕中心、服务大局，为促进园区企业健康发展、助力企业发展积极贡献更多力量。拟重点做好以下五个方面工作：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1.抢抓改革机遇，强化运行机制保障力。</w:t>
      </w:r>
      <w:r>
        <w:rPr>
          <w:rFonts w:hint="eastAsia" w:ascii="仿宋_GB2312" w:hAnsi="仿宋_GB2312" w:eastAsia="仿宋_GB2312" w:cs="仿宋_GB2312"/>
          <w:sz w:val="32"/>
          <w:szCs w:val="32"/>
          <w:lang w:eastAsia="zh-CN"/>
        </w:rPr>
        <w:t>发挥省级园区优势，</w:t>
      </w:r>
      <w:r>
        <w:rPr>
          <w:rFonts w:hint="eastAsia" w:ascii="仿宋_GB2312" w:hAnsi="仿宋_GB2312" w:eastAsia="仿宋_GB2312" w:cs="仿宋_GB2312"/>
          <w:sz w:val="32"/>
          <w:szCs w:val="32"/>
          <w:lang w:val="en-US" w:eastAsia="zh-CN"/>
        </w:rPr>
        <w:t>抓住深化开发区管理制度改革的机遇期，</w:t>
      </w:r>
      <w:r>
        <w:rPr>
          <w:rFonts w:hint="eastAsia" w:ascii="仿宋_GB2312" w:hAnsi="仿宋_GB2312" w:eastAsia="仿宋_GB2312" w:cs="仿宋_GB2312"/>
          <w:sz w:val="32"/>
          <w:szCs w:val="32"/>
          <w:lang w:eastAsia="zh-CN"/>
        </w:rPr>
        <w:t>逐</w:t>
      </w:r>
      <w:r>
        <w:rPr>
          <w:rFonts w:hint="eastAsia" w:ascii="仿宋_GB2312" w:hAnsi="仿宋_GB2312" w:eastAsia="仿宋_GB2312" w:cs="仿宋_GB2312"/>
          <w:sz w:val="32"/>
          <w:szCs w:val="32"/>
          <w:lang w:val="en-US" w:eastAsia="zh-CN"/>
        </w:rPr>
        <w:t xml:space="preserve">步理顺州县园区管理责任和权限，完善州工业园区发展建设管理规范化运行机制，助推高质量发展。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2.围绕主责主业，强化创新升级引领力。</w:t>
      </w:r>
      <w:r>
        <w:rPr>
          <w:rFonts w:hint="eastAsia" w:ascii="仿宋_GB2312" w:hAnsi="仿宋_GB2312" w:eastAsia="仿宋_GB2312" w:cs="仿宋_GB2312"/>
          <w:sz w:val="32"/>
          <w:szCs w:val="32"/>
          <w:lang w:val="en-US" w:eastAsia="zh-CN"/>
        </w:rPr>
        <w:t>以州委“关停并转”的思路推动“三高”企业创新高质量发展。督促园区企业循环化改造，推动余热发电、集中供暖、分布式光伏等内循环化改造；鼓励企业间产品、副产品以及废物废气等循环利用，打造绿色产业体系。主动靠前服务，积极协助解决企业建设、验收、生产等实际困难，保障项目快建设、早投产。</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3.提升营商环境，提升产业招商支持力。</w:t>
      </w:r>
      <w:r>
        <w:rPr>
          <w:rFonts w:hint="eastAsia" w:ascii="仿宋_GB2312" w:hAnsi="仿宋_GB2312" w:eastAsia="仿宋_GB2312" w:cs="仿宋_GB2312"/>
          <w:sz w:val="32"/>
          <w:szCs w:val="32"/>
          <w:lang w:val="en-US" w:eastAsia="zh-CN"/>
        </w:rPr>
        <w:t>用好招商引资优惠政策，州内园区和州外园区联动发展，聚焦“链主型”企业和关键企业的招引,在保持园区存量的基础上，挖掘和培育新能源、新材料等新型工业产业增长点，在特色农牧产业、中藏羌医药产业等方面加大招商引资力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高效推进工作，增强服务企业行动力。</w:t>
      </w:r>
      <w:r>
        <w:rPr>
          <w:rFonts w:hint="eastAsia" w:ascii="仿宋_GB2312" w:hAnsi="仿宋_GB2312" w:eastAsia="仿宋_GB2312" w:cs="仿宋_GB2312"/>
          <w:sz w:val="32"/>
          <w:szCs w:val="32"/>
          <w:lang w:val="en-US" w:eastAsia="zh-CN"/>
        </w:rPr>
        <w:t>积极协调相关部门、属地县贯彻落实国家、省、州支持企业减负担降成本的系列措施，持续推动企业减负，帮助协调解决生产过程中的实际困难。引导企业积极对接市场，畅通销售渠道，尽可能释放产能，增加效益，提升市场竞争力。具体而言：</w:t>
      </w:r>
      <w:r>
        <w:rPr>
          <w:rFonts w:hint="eastAsia" w:ascii="仿宋_GB2312" w:hAnsi="仿宋_GB2312" w:eastAsia="仿宋_GB2312" w:cs="仿宋_GB2312"/>
          <w:b/>
          <w:bCs/>
          <w:sz w:val="32"/>
          <w:szCs w:val="32"/>
          <w:lang w:val="en-US" w:eastAsia="zh-CN"/>
        </w:rPr>
        <w:t>一要</w:t>
      </w:r>
      <w:r>
        <w:rPr>
          <w:rFonts w:hint="eastAsia" w:ascii="仿宋_GB2312" w:hAnsi="仿宋_GB2312" w:eastAsia="仿宋_GB2312" w:cs="仿宋_GB2312"/>
          <w:sz w:val="32"/>
          <w:szCs w:val="32"/>
          <w:lang w:val="en-US" w:eastAsia="zh-CN"/>
        </w:rPr>
        <w:t>全力顺利完成新一轮省级开发区综合评价考核工作；</w:t>
      </w:r>
      <w:r>
        <w:rPr>
          <w:rFonts w:hint="eastAsia" w:ascii="仿宋_GB2312" w:hAnsi="仿宋_GB2312" w:eastAsia="仿宋_GB2312" w:cs="仿宋_GB2312"/>
          <w:b/>
          <w:bCs/>
          <w:sz w:val="32"/>
          <w:szCs w:val="32"/>
          <w:lang w:val="en-US" w:eastAsia="zh-CN"/>
        </w:rPr>
        <w:t>二要</w:t>
      </w:r>
      <w:r>
        <w:rPr>
          <w:rFonts w:hint="eastAsia" w:ascii="仿宋_GB2312" w:hAnsi="仿宋_GB2312" w:eastAsia="仿宋_GB2312" w:cs="仿宋_GB2312"/>
          <w:sz w:val="32"/>
          <w:szCs w:val="32"/>
          <w:lang w:val="en-US" w:eastAsia="zh-CN"/>
        </w:rPr>
        <w:t>全力协助州内相关园区开展“十四五”涉藏项目申报建设工作；</w:t>
      </w:r>
      <w:r>
        <w:rPr>
          <w:rFonts w:hint="eastAsia" w:ascii="仿宋_GB2312" w:hAnsi="仿宋_GB2312" w:eastAsia="仿宋_GB2312" w:cs="仿宋_GB2312"/>
          <w:b/>
          <w:bCs/>
          <w:sz w:val="32"/>
          <w:szCs w:val="32"/>
          <w:lang w:val="en-US" w:eastAsia="zh-CN"/>
        </w:rPr>
        <w:t>三要</w:t>
      </w:r>
      <w:r>
        <w:rPr>
          <w:rFonts w:hint="eastAsia" w:ascii="仿宋_GB2312" w:hAnsi="仿宋_GB2312" w:eastAsia="仿宋_GB2312" w:cs="仿宋_GB2312"/>
          <w:sz w:val="32"/>
          <w:szCs w:val="32"/>
          <w:lang w:val="en-US" w:eastAsia="zh-CN"/>
        </w:rPr>
        <w:t xml:space="preserve">督促鸿泰锆业10台炼化嵌炉技改项目、仁杰珠宝39台打磨机安装调试项目、神州锆业7台高频炉技改项目、岷江电化石灰窑综合节能技术改造项目顺利实施。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围绕安全运行，增强风险防控管控力。</w:t>
      </w:r>
      <w:r>
        <w:rPr>
          <w:rFonts w:hint="eastAsia" w:ascii="仿宋_GB2312" w:hAnsi="仿宋_GB2312" w:eastAsia="仿宋_GB2312" w:cs="仿宋_GB2312"/>
          <w:sz w:val="32"/>
          <w:szCs w:val="32"/>
          <w:lang w:val="en-US" w:eastAsia="zh-CN"/>
        </w:rPr>
        <w:t>以更高站位抓好安全生产工作，牢固树立“防范胜于救灾”和“隐患就是事故”理念，督促园区企业全面落细落实安全生产各项防范措施，协助属地县以更实的举措推进园区企业安全生产工作，压实安全生产责任。</w:t>
      </w:r>
    </w:p>
    <w:p>
      <w:pPr>
        <w:pStyle w:val="11"/>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部门预算单位构成</w:t>
      </w:r>
    </w:p>
    <w:p>
      <w:pPr>
        <w:pStyle w:val="11"/>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现有机构1个，为参公事业单位，机构无变动。</w:t>
      </w:r>
    </w:p>
    <w:p>
      <w:pPr>
        <w:pStyle w:val="11"/>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三、收支预算情况说明</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（一）收入预算情况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四川阿坝工业园区管理委员会所有收入和支出均纳入部门预算管理。收入包括：一般公共预算拨款总收入</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797.56</w:t>
      </w:r>
      <w:r>
        <w:rPr>
          <w:rFonts w:hint="eastAsia" w:ascii="仿宋_GB2312" w:hAnsi="仿宋_GB2312" w:eastAsia="仿宋_GB2312" w:cs="仿宋_GB2312"/>
          <w:kern w:val="2"/>
          <w:sz w:val="32"/>
          <w:szCs w:val="32"/>
          <w:lang w:val="en-US" w:eastAsia="zh-CN" w:bidi="ar-SA"/>
        </w:rPr>
        <w:t>万元，其中：机关事业单位基本养老保险收入63.27万元，机关事业单位职业年金收入31.64万元，行政单位医疗收入27.68万元，公务员医疗补助收入8.22万元，行政运行收入574.15万元，</w:t>
      </w:r>
      <w:r>
        <w:rPr>
          <w:rFonts w:hint="eastAsia" w:ascii="仿宋_GB2312" w:hAnsi="仿宋_GB2312" w:eastAsia="仿宋_GB2312" w:cs="仿宋_GB2312"/>
          <w:color w:val="auto"/>
          <w:kern w:val="2"/>
          <w:sz w:val="32"/>
          <w:szCs w:val="32"/>
          <w:lang w:val="en-US" w:eastAsia="zh-CN" w:bidi="ar-SA"/>
        </w:rPr>
        <w:t>项目收入46.47万元，</w:t>
      </w:r>
      <w:r>
        <w:rPr>
          <w:rFonts w:hint="eastAsia" w:ascii="仿宋_GB2312" w:hAnsi="仿宋_GB2312" w:eastAsia="仿宋_GB2312" w:cs="仿宋_GB2312"/>
          <w:kern w:val="2"/>
          <w:sz w:val="32"/>
          <w:szCs w:val="32"/>
          <w:lang w:val="en-US" w:eastAsia="zh-CN" w:bidi="ar-SA"/>
        </w:rPr>
        <w:t>住房公积金收入46.13万元。</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支出预算情况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四川阿坝工业园区管理委员会所有收入和支出均纳入部门预算管理。支出包括：我委预算总支出</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797.56</w:t>
      </w:r>
      <w:r>
        <w:rPr>
          <w:rFonts w:hint="eastAsia" w:ascii="仿宋_GB2312" w:hAnsi="仿宋_GB2312" w:eastAsia="仿宋_GB2312" w:cs="仿宋_GB2312"/>
          <w:kern w:val="2"/>
          <w:sz w:val="32"/>
          <w:szCs w:val="32"/>
          <w:lang w:val="en-US" w:eastAsia="zh-CN" w:bidi="ar-SA"/>
        </w:rPr>
        <w:t>万元 ，其中：机关事业单位基本养老保险缴费支出63.27万元，机关事业单位职业年金缴费支出31.64万元，行政单位医疗支出27.68万元，公务员医疗补助支出8.22万元，行政运行支出574.15万元， 项目</w:t>
      </w:r>
      <w:r>
        <w:rPr>
          <w:rFonts w:hint="eastAsia" w:ascii="仿宋_GB2312" w:hAnsi="仿宋_GB2312" w:eastAsia="仿宋_GB2312" w:cs="仿宋_GB2312"/>
          <w:color w:val="auto"/>
          <w:kern w:val="2"/>
          <w:sz w:val="32"/>
          <w:szCs w:val="32"/>
          <w:lang w:val="en-US" w:eastAsia="zh-CN" w:bidi="ar-SA"/>
        </w:rPr>
        <w:t>支出46.47万元，</w:t>
      </w:r>
      <w:r>
        <w:rPr>
          <w:rFonts w:hint="eastAsia" w:ascii="仿宋_GB2312" w:hAnsi="仿宋_GB2312" w:eastAsia="仿宋_GB2312" w:cs="仿宋_GB2312"/>
          <w:kern w:val="2"/>
          <w:sz w:val="32"/>
          <w:szCs w:val="32"/>
          <w:lang w:val="en-US" w:eastAsia="zh-CN" w:bidi="ar-SA"/>
        </w:rPr>
        <w:t>住房公积金支出46.13万元。</w:t>
      </w:r>
    </w:p>
    <w:p>
      <w:pPr>
        <w:pStyle w:val="11"/>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财政拨款收支预算情况说明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四川阿坝工业园区管理委员会2024年财政拨款收支总预算</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797.56万元,较2023年财政拨款收支总预算增加0.9万元，主</w:t>
      </w:r>
      <w:r>
        <w:rPr>
          <w:rFonts w:hint="eastAsia" w:ascii="仿宋_GB2312" w:hAnsi="仿宋_GB2312" w:eastAsia="仿宋_GB2312" w:cs="仿宋_GB2312"/>
          <w:kern w:val="2"/>
          <w:sz w:val="32"/>
          <w:szCs w:val="32"/>
          <w:lang w:val="en-US" w:eastAsia="zh-CN" w:bidi="ar-SA"/>
        </w:rPr>
        <w:t>要原因:职工工资、社保和住房公积金较2023年有所增加。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收入包括：</w:t>
      </w:r>
      <w:r>
        <w:rPr>
          <w:rFonts w:hint="eastAsia" w:ascii="仿宋_GB2312" w:hAnsi="仿宋_GB2312" w:eastAsia="仿宋_GB2312" w:cs="仿宋_GB2312"/>
          <w:kern w:val="2"/>
          <w:sz w:val="32"/>
          <w:szCs w:val="32"/>
          <w:lang w:val="en-US" w:eastAsia="zh-CN" w:bidi="ar-SA"/>
        </w:rPr>
        <w:t>一般公共预算拨款总收入</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797.56</w:t>
      </w:r>
      <w:r>
        <w:rPr>
          <w:rFonts w:hint="eastAsia" w:ascii="仿宋_GB2312" w:hAnsi="仿宋_GB2312" w:eastAsia="仿宋_GB2312" w:cs="仿宋_GB2312"/>
          <w:kern w:val="2"/>
          <w:sz w:val="32"/>
          <w:szCs w:val="32"/>
          <w:lang w:val="en-US" w:eastAsia="zh-CN" w:bidi="ar-SA"/>
        </w:rPr>
        <w:t>万元，其中：机关事业单位基本养老保险收入63.27万元，机关事业单位职业年金收入31.64万元，行政单位医疗收入27.68万元，公务员医疗补助收入8.22万元，行政运行收入574.15万元，项目收入46.47万元，住房公积金收入46.13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支出包括：</w:t>
      </w:r>
      <w:r>
        <w:rPr>
          <w:rFonts w:hint="eastAsia" w:ascii="仿宋_GB2312" w:hAnsi="仿宋_GB2312" w:eastAsia="仿宋_GB2312" w:cs="仿宋_GB2312"/>
          <w:kern w:val="2"/>
          <w:sz w:val="32"/>
          <w:szCs w:val="32"/>
          <w:lang w:val="en-US" w:eastAsia="zh-CN" w:bidi="ar-SA"/>
        </w:rPr>
        <w:t>我委预算总支出</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797.56</w:t>
      </w:r>
      <w:r>
        <w:rPr>
          <w:rFonts w:hint="eastAsia" w:ascii="仿宋_GB2312" w:hAnsi="仿宋_GB2312" w:eastAsia="仿宋_GB2312" w:cs="仿宋_GB2312"/>
          <w:kern w:val="2"/>
          <w:sz w:val="32"/>
          <w:szCs w:val="32"/>
          <w:lang w:val="en-US" w:eastAsia="zh-CN" w:bidi="ar-SA"/>
        </w:rPr>
        <w:t>万元 ，其中：机关事业单位基本养老保险缴费支出63.27万元，机关事业单位职业年金缴费支出31.64万元，行政单位医疗支出27.68万元，公务员医疗补助支出8.22万元，行政运行支出574.15万元， 项目支出46.47万元，住房公积金支出46.13万元。</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五、一般公共预算当年拨款情况说明</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（一）一般公共预算当年拨款规模变化情况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四川阿坝工业园区管理委员会2024年一般公共预算当年拨款</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797.56</w:t>
      </w:r>
      <w:r>
        <w:rPr>
          <w:rFonts w:hint="eastAsia" w:ascii="仿宋_GB2312" w:hAnsi="仿宋_GB2312" w:eastAsia="仿宋_GB2312" w:cs="仿宋_GB2312"/>
          <w:kern w:val="2"/>
          <w:sz w:val="32"/>
          <w:szCs w:val="32"/>
          <w:lang w:val="en-US" w:eastAsia="zh-CN" w:bidi="ar-SA"/>
        </w:rPr>
        <w:t>万元，较2023年预算数增加0.09万元，主要原因:职工工资、社保和住房公积金较2023年有所增加。　</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（二）一般公共预算当年拨款结构情况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我委拨款预算总支出</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797.56</w:t>
      </w:r>
      <w:r>
        <w:rPr>
          <w:rFonts w:hint="eastAsia" w:ascii="仿宋_GB2312" w:hAnsi="仿宋_GB2312" w:eastAsia="仿宋_GB2312" w:cs="仿宋_GB2312"/>
          <w:kern w:val="2"/>
          <w:sz w:val="32"/>
          <w:szCs w:val="32"/>
          <w:lang w:val="en-US" w:eastAsia="zh-CN" w:bidi="ar-SA"/>
        </w:rPr>
        <w:t>万元 ，其中：社会保障和就业支出94.91万元，占11.9%；卫生健康支出35.91万元，占4.5%；资源勘探信息等支出620.61万元，占77.82%；住房保障支出46.13万元，占5.78%。</w:t>
      </w:r>
    </w:p>
    <w:p>
      <w:pPr>
        <w:keepNext w:val="0"/>
        <w:keepLines w:val="0"/>
        <w:pageBreakBefore w:val="0"/>
        <w:kinsoku/>
        <w:wordWrap/>
        <w:overflowPunct/>
        <w:topLinePunct w:val="0"/>
        <w:autoSpaceDE/>
        <w:autoSpaceDN/>
        <w:bidi w:val="0"/>
        <w:adjustRightInd/>
        <w:snapToGrid/>
        <w:spacing w:line="52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（三）一般公共预算当年拨款具体使用情况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1.行政运行2024年预算数为574.15万元，主要用于:维持本单位正常运转的人员经费和公用经费支出，其中：三公经费44.60万元。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2.项目支出2024年预算数为46.47万元，主要用于：园区开展招商引资、工业推进、职工伤残补助、车辆大修，电脑更新。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3.社会保障和就业支出——机关事业单位基本养老保险缴费支出2024年预算数为63.27万元，主要用于:为职工缴存养老保险单位部分。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4.社会保障和就业支出——机关事业单位职业年金缴费支出2024年预算数为31.64万元，主要用于:为职工缴存职业年金单位部分。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5.医疗卫生与计划生育支出——行政单位医疗2024年预算数为27.68万元，主要用于:为职工缴存基本医疗保险单位部分。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6.卫生健康支出——公务员医疗补助支出2024年预算数为8.22万元，主要用于:为职工缴存行政事业单位补充医疗保险单位部分。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7.住房保障支出——住房改革支出——住房公积金2024年预算数为46.13万元，主要用于:为职工缴存住房公积金单位部分。</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color w:val="535353" w:themeColor="text1"/>
          <w:kern w:val="2"/>
          <w:sz w:val="32"/>
          <w:szCs w:val="32"/>
          <w:lang w:val="en-US" w:eastAsia="zh-CN" w:bidi="ar-SA"/>
          <w14:textFill>
            <w14:solidFill>
              <w14:schemeClr w14:val="tx1"/>
            </w14:solidFill>
          </w14:textFill>
        </w:rPr>
      </w:pPr>
      <w:r>
        <w:rPr>
          <w:rFonts w:hint="eastAsia" w:ascii="黑体" w:hAnsi="黑体" w:eastAsia="黑体" w:cs="黑体"/>
          <w:color w:val="535353" w:themeColor="text1"/>
          <w:kern w:val="2"/>
          <w:sz w:val="32"/>
          <w:szCs w:val="32"/>
          <w:lang w:val="en-US" w:eastAsia="zh-CN" w:bidi="ar-SA"/>
          <w14:textFill>
            <w14:solidFill>
              <w14:schemeClr w14:val="tx1"/>
            </w14:solidFill>
          </w14:textFill>
        </w:rPr>
        <w:t>六、一般公共预算基本支出情况说明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四川阿坝工业园区管理委员会2024年一般公共预算基本支出</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751.09万元，其中：人员经费627.12万元，主要包括：基本工资、</w:t>
      </w:r>
      <w:r>
        <w:rPr>
          <w:rFonts w:hint="eastAsia" w:ascii="仿宋_GB2312" w:hAnsi="仿宋_GB2312" w:eastAsia="仿宋_GB2312" w:cs="仿宋_GB2312"/>
          <w:kern w:val="2"/>
          <w:sz w:val="32"/>
          <w:szCs w:val="32"/>
          <w:lang w:val="en-US" w:eastAsia="zh-CN" w:bidi="ar-SA"/>
        </w:rPr>
        <w:t>津贴补贴、奖金、其他社会保障缴费、绩效工资、机关事业单位基本养老保险缴费、职业年金缴费、其他工资福利支出、离休费、奖励金、住房公积金、其他对个人和家庭的补助支出。</w:t>
      </w:r>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公用经费</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123.97</w:t>
      </w:r>
      <w:r>
        <w:rPr>
          <w:rFonts w:hint="eastAsia" w:ascii="仿宋_GB2312" w:hAnsi="仿宋_GB2312" w:eastAsia="仿宋_GB2312" w:cs="仿宋_GB2312"/>
          <w:kern w:val="2"/>
          <w:sz w:val="32"/>
          <w:szCs w:val="32"/>
          <w:lang w:val="en-US" w:eastAsia="zh-CN" w:bidi="ar-SA"/>
        </w:rPr>
        <w:t>万元，主要包括：办公费、印刷费、手续费、水费、电费、邮电费、差旅费、维修（护）费、租赁费、会议费、培训费、劳务费、工会经费、福利费、其他交通工具运行维护费、其他商品和服务支出。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sz w:val="32"/>
          <w:szCs w:val="32"/>
        </w:rPr>
        <w:t xml:space="preserve">   </w:t>
      </w:r>
      <w:r>
        <w:rPr>
          <w:rFonts w:hint="eastAsia" w:ascii="黑体" w:hAnsi="黑体" w:eastAsia="黑体" w:cs="黑体"/>
          <w:kern w:val="2"/>
          <w:sz w:val="32"/>
          <w:szCs w:val="32"/>
          <w:lang w:val="en-US" w:eastAsia="zh-CN" w:bidi="ar-SA"/>
        </w:rPr>
        <w:t xml:space="preserve"> 七、“三公”经费财政拨款预算安排情况说明</w:t>
      </w:r>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四川阿坝工业园区管理委员会2024年“三公”经费财政拨款预算数</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44.60</w:t>
      </w:r>
      <w:r>
        <w:rPr>
          <w:rFonts w:hint="eastAsia" w:ascii="仿宋_GB2312" w:hAnsi="仿宋_GB2312" w:eastAsia="仿宋_GB2312" w:cs="仿宋_GB2312"/>
          <w:kern w:val="2"/>
          <w:sz w:val="32"/>
          <w:szCs w:val="32"/>
          <w:lang w:val="en-US" w:eastAsia="zh-CN" w:bidi="ar-SA"/>
        </w:rPr>
        <w:t>万元，其中：因公出国（境）经费0.00万元，公务接待费2.04万元，公务用车</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购置</w:t>
      </w:r>
      <w:r>
        <w:rPr>
          <w:rFonts w:hint="eastAsia" w:ascii="仿宋_GB2312" w:hAnsi="仿宋_GB2312" w:eastAsia="仿宋_GB2312" w:cs="仿宋_GB2312"/>
          <w:kern w:val="2"/>
          <w:sz w:val="32"/>
          <w:szCs w:val="32"/>
          <w:lang w:val="en-US" w:eastAsia="zh-CN" w:bidi="ar-SA"/>
        </w:rPr>
        <w:t>及运行维护费42.56万元。</w:t>
      </w:r>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（一）2024年因公出国（境）经费0.00万元。</w:t>
      </w:r>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（二）2024年公务接待经费2.04万元。较2023年预算经费0.05万元，增长2.5%，基本持平。</w:t>
      </w:r>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kern w:val="2"/>
          <w:sz w:val="32"/>
          <w:szCs w:val="32"/>
          <w:lang w:val="en-US" w:eastAsia="zh-CN" w:bidi="ar-SA"/>
        </w:rPr>
        <w:t>（三）2024年</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公务用车购置及运行维护费42.56万元。较2023年预算经费增加8万元，增</w:t>
      </w:r>
      <w:r>
        <w:rPr>
          <w:rFonts w:hint="eastAsia" w:ascii="仿宋_GB2312" w:hAnsi="仿宋_GB2312" w:eastAsia="仿宋_GB2312" w:cs="仿宋_GB2312"/>
          <w:kern w:val="2"/>
          <w:sz w:val="32"/>
          <w:szCs w:val="32"/>
          <w:lang w:val="en-US" w:eastAsia="zh-CN" w:bidi="ar-SA"/>
        </w:rPr>
        <w:t>长23.14%，</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主要原因：增加</w:t>
      </w:r>
      <w:r>
        <w:rPr>
          <w:rFonts w:hint="eastAsia" w:hAnsi="仿宋_GB2312" w:cs="仿宋_GB2312"/>
          <w:color w:val="535353" w:themeColor="text1"/>
          <w:kern w:val="2"/>
          <w:sz w:val="32"/>
          <w:szCs w:val="32"/>
          <w:lang w:val="en-US" w:eastAsia="zh-CN" w:bidi="ar-SA"/>
          <w14:textFill>
            <w14:solidFill>
              <w14:schemeClr w14:val="tx1"/>
            </w14:solidFill>
          </w14:textFill>
        </w:rPr>
        <w:t>了车辆大修费用</w:t>
      </w:r>
      <w:r>
        <w:rPr>
          <w:rFonts w:hint="eastAsia" w:ascii="仿宋_GB2312" w:hAnsi="仿宋_GB2312" w:eastAsia="仿宋_GB2312" w:cs="仿宋_GB2312"/>
          <w:color w:val="535353" w:themeColor="text1"/>
          <w:kern w:val="2"/>
          <w:sz w:val="32"/>
          <w:szCs w:val="32"/>
          <w:lang w:val="en-US" w:eastAsia="zh-CN" w:bidi="ar-SA"/>
          <w14:textFill>
            <w14:solidFill>
              <w14:schemeClr w14:val="tx1"/>
            </w14:solidFill>
          </w14:textFill>
        </w:rPr>
        <w:t>。</w:t>
      </w:r>
      <w:bookmarkStart w:id="0" w:name="_GoBack"/>
      <w:bookmarkEnd w:id="0"/>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八、政府性基金预算支出情况说明</w:t>
      </w:r>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四川阿坝工业园区管理委员会2024年政府性基金预算拨款安排的支出0.00万元。较2023年预算经费增加/减少0.00万元，增长0.00%。</w:t>
      </w:r>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九、其他重要事项的情况说明</w:t>
      </w:r>
    </w:p>
    <w:p>
      <w:pPr>
        <w:pStyle w:val="12"/>
        <w:keepNext w:val="0"/>
        <w:keepLines w:val="0"/>
        <w:pageBreakBefore w:val="0"/>
        <w:kinsoku/>
        <w:wordWrap/>
        <w:overflowPunct/>
        <w:topLinePunct w:val="0"/>
        <w:autoSpaceDE/>
        <w:autoSpaceDN/>
        <w:bidi w:val="0"/>
        <w:adjustRightInd/>
        <w:snapToGrid/>
        <w:spacing w:before="0" w:line="520" w:lineRule="exact"/>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（一）机关运行经费</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w:t>
      </w:r>
      <w:r>
        <w:rPr>
          <w:rFonts w:hint="eastAsia" w:ascii="仿宋_GB2312" w:hAnsi="仿宋_GB2312" w:eastAsia="仿宋_GB2312" w:cs="仿宋_GB2312"/>
          <w:kern w:val="2"/>
          <w:sz w:val="32"/>
          <w:szCs w:val="32"/>
          <w:lang w:val="en-US" w:eastAsia="zh-CN" w:bidi="ar-SA"/>
        </w:rPr>
        <w:t xml:space="preserve">  四川阿坝工业园区管理委员会2024年机关运行经费财政拨款预算为123.97万元。</w:t>
      </w:r>
    </w:p>
    <w:p>
      <w:pPr>
        <w:pStyle w:val="12"/>
        <w:keepNext w:val="0"/>
        <w:keepLines w:val="0"/>
        <w:pageBreakBefore w:val="0"/>
        <w:kinsoku/>
        <w:wordWrap/>
        <w:overflowPunct/>
        <w:topLinePunct w:val="0"/>
        <w:autoSpaceDE/>
        <w:autoSpaceDN/>
        <w:bidi w:val="0"/>
        <w:adjustRightInd/>
        <w:snapToGrid/>
        <w:spacing w:before="0" w:line="520" w:lineRule="exact"/>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（二）政府采购情况</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w:t>
      </w: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kern w:val="2"/>
          <w:sz w:val="32"/>
          <w:szCs w:val="32"/>
          <w:lang w:val="en-US" w:eastAsia="zh-CN" w:bidi="ar-SA"/>
        </w:rPr>
        <w:t>2024年部门（单位）安排政府采购预算0.00万元。</w:t>
      </w:r>
    </w:p>
    <w:p>
      <w:pPr>
        <w:pStyle w:val="12"/>
        <w:keepNext w:val="0"/>
        <w:keepLines w:val="0"/>
        <w:pageBreakBefore w:val="0"/>
        <w:kinsoku/>
        <w:wordWrap/>
        <w:overflowPunct/>
        <w:topLinePunct w:val="0"/>
        <w:autoSpaceDE/>
        <w:autoSpaceDN/>
        <w:bidi w:val="0"/>
        <w:adjustRightInd/>
        <w:snapToGrid/>
        <w:spacing w:before="0" w:line="520" w:lineRule="exact"/>
        <w:ind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（三）国有资产占有使用情况</w:t>
      </w:r>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截至2023年12月31日，我单位固定资产2058.15万元。</w:t>
      </w:r>
    </w:p>
    <w:p>
      <w:pPr>
        <w:pStyle w:val="12"/>
        <w:keepNext w:val="0"/>
        <w:keepLines w:val="0"/>
        <w:pageBreakBefore w:val="0"/>
        <w:kinsoku/>
        <w:wordWrap/>
        <w:overflowPunct/>
        <w:topLinePunct w:val="0"/>
        <w:autoSpaceDE/>
        <w:autoSpaceDN/>
        <w:bidi w:val="0"/>
        <w:adjustRightInd/>
        <w:snapToGrid/>
        <w:spacing w:before="0" w:line="520" w:lineRule="exact"/>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（四）绩效目标设置情况</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w:t>
      </w:r>
      <w:r>
        <w:rPr>
          <w:rFonts w:hint="eastAsia" w:ascii="仿宋_GB2312" w:hAnsi="仿宋_GB2312" w:eastAsia="仿宋_GB2312" w:cs="仿宋_GB2312"/>
          <w:kern w:val="2"/>
          <w:sz w:val="32"/>
          <w:szCs w:val="32"/>
          <w:lang w:val="en-US" w:eastAsia="zh-CN" w:bidi="ar-SA"/>
        </w:rPr>
        <w:t>2024年部门（单位）通用项目和专用项目均按要求实行绩效目标管理，涉及一般公共预算当年拨款46.47万元。</w:t>
      </w:r>
    </w:p>
    <w:p>
      <w:pPr>
        <w:pStyle w:val="12"/>
        <w:keepNext w:val="0"/>
        <w:keepLines w:val="0"/>
        <w:pageBreakBefore w:val="0"/>
        <w:kinsoku/>
        <w:wordWrap/>
        <w:overflowPunct/>
        <w:topLinePunct w:val="0"/>
        <w:autoSpaceDE/>
        <w:autoSpaceDN/>
        <w:bidi w:val="0"/>
        <w:adjustRightInd/>
        <w:snapToGrid/>
        <w:spacing w:before="0" w:line="52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十、名称解释 </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sz w:val="32"/>
          <w:szCs w:val="32"/>
        </w:rPr>
        <w:t>　　</w:t>
      </w:r>
      <w:r>
        <w:rPr>
          <w:rFonts w:hint="eastAsia" w:ascii="楷体_GB2312" w:hAnsi="楷体_GB2312" w:eastAsia="楷体_GB2312" w:cs="楷体_GB2312"/>
          <w:b/>
          <w:bCs/>
          <w:kern w:val="2"/>
          <w:sz w:val="32"/>
          <w:szCs w:val="32"/>
          <w:lang w:val="en-US" w:eastAsia="zh-CN" w:bidi="ar-SA"/>
        </w:rPr>
        <w:t>（一）财政拨款收入</w:t>
      </w:r>
      <w:r>
        <w:rPr>
          <w:rFonts w:hint="eastAsia" w:ascii="楷体_GB2312" w:hAnsi="楷体_GB2312" w:eastAsia="楷体_GB2312" w:cs="楷体_GB2312"/>
          <w:kern w:val="2"/>
          <w:sz w:val="32"/>
          <w:szCs w:val="32"/>
        </w:rPr>
        <w:t>：</w:t>
      </w:r>
      <w:r>
        <w:rPr>
          <w:rFonts w:hint="eastAsia" w:ascii="仿宋_GB2312" w:hAnsi="仿宋_GB2312" w:eastAsia="仿宋_GB2312" w:cs="仿宋_GB2312"/>
          <w:kern w:val="2"/>
          <w:sz w:val="32"/>
          <w:szCs w:val="32"/>
          <w:lang w:val="en-US" w:eastAsia="zh-CN" w:bidi="ar-SA"/>
        </w:rPr>
        <w:t>指由财政拨款形成的部门收入。按现行管理制度，部门预算中反映的财政拨款仅包括一般公共预算拨</w:t>
      </w:r>
      <w:r>
        <w:rPr>
          <w:rFonts w:hint="eastAsia" w:ascii="楷体_GB2312" w:hAnsi="楷体_GB2312" w:eastAsia="楷体_GB2312" w:cs="楷体_GB2312"/>
          <w:kern w:val="2"/>
          <w:sz w:val="32"/>
          <w:szCs w:val="32"/>
          <w:lang w:val="en-US" w:eastAsia="zh-CN" w:bidi="ar-SA"/>
        </w:rPr>
        <w:t>款和政府性基金预算拨款。</w:t>
      </w:r>
      <w:r>
        <w:rPr>
          <w:rFonts w:hint="eastAsia" w:ascii="楷体_GB2312" w:hAnsi="楷体_GB2312" w:eastAsia="楷体_GB2312" w:cs="楷体_GB2312"/>
          <w:kern w:val="2"/>
          <w:sz w:val="32"/>
          <w:szCs w:val="32"/>
          <w:lang w:val="en-US" w:eastAsia="zh-CN" w:bidi="ar-SA"/>
        </w:rPr>
        <w:br w:type="textWrapping"/>
      </w:r>
      <w:r>
        <w:rPr>
          <w:rFonts w:hint="eastAsia" w:ascii="楷体_GB2312" w:hAnsi="楷体_GB2312" w:eastAsia="楷体_GB2312" w:cs="楷体_GB2312"/>
          <w:kern w:val="2"/>
          <w:sz w:val="32"/>
          <w:szCs w:val="32"/>
        </w:rPr>
        <w:t>　　</w:t>
      </w:r>
      <w:r>
        <w:rPr>
          <w:rFonts w:hint="eastAsia" w:ascii="楷体_GB2312" w:hAnsi="楷体_GB2312" w:eastAsia="楷体_GB2312" w:cs="楷体_GB2312"/>
          <w:b/>
          <w:bCs/>
          <w:kern w:val="2"/>
          <w:sz w:val="32"/>
          <w:szCs w:val="32"/>
          <w:lang w:val="en-US" w:eastAsia="zh-CN" w:bidi="ar-SA"/>
        </w:rPr>
        <w:t>（二）事业收入：</w:t>
      </w:r>
      <w:r>
        <w:rPr>
          <w:rFonts w:hint="eastAsia" w:ascii="仿宋_GB2312" w:hAnsi="仿宋_GB2312" w:eastAsia="仿宋_GB2312" w:cs="仿宋_GB2312"/>
          <w:kern w:val="2"/>
          <w:sz w:val="32"/>
          <w:szCs w:val="32"/>
          <w:lang w:val="en-US" w:eastAsia="zh-CN" w:bidi="ar-SA"/>
        </w:rPr>
        <w:t>指所属事业单位开展专业业务活动及辅助活动所取得的收入。</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rPr>
        <w:t>　</w:t>
      </w:r>
      <w:r>
        <w:rPr>
          <w:rFonts w:hint="eastAsia" w:ascii="楷体_GB2312" w:hAnsi="楷体_GB2312" w:eastAsia="楷体_GB2312" w:cs="楷体_GB2312"/>
          <w:kern w:val="2"/>
          <w:sz w:val="32"/>
          <w:szCs w:val="32"/>
        </w:rPr>
        <w:t>　</w:t>
      </w:r>
      <w:r>
        <w:rPr>
          <w:rFonts w:hint="eastAsia" w:ascii="楷体_GB2312" w:hAnsi="楷体_GB2312" w:eastAsia="楷体_GB2312" w:cs="楷体_GB2312"/>
          <w:b/>
          <w:bCs/>
          <w:kern w:val="2"/>
          <w:sz w:val="32"/>
          <w:szCs w:val="32"/>
          <w:lang w:val="en-US" w:eastAsia="zh-CN" w:bidi="ar-SA"/>
        </w:rPr>
        <w:t>（三）事业单位经营收入：</w:t>
      </w:r>
      <w:r>
        <w:rPr>
          <w:rFonts w:hint="eastAsia" w:ascii="仿宋_GB2312" w:hAnsi="仿宋_GB2312" w:eastAsia="仿宋_GB2312" w:cs="仿宋_GB2312"/>
          <w:kern w:val="2"/>
          <w:sz w:val="32"/>
          <w:szCs w:val="32"/>
          <w:lang w:val="en-US" w:eastAsia="zh-CN" w:bidi="ar-SA"/>
        </w:rPr>
        <w:t>指所属事业单位在专业业务活动及其辅助活动之外开展非独立核算经营活动取得的收入。</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b/>
          <w:bCs/>
          <w:kern w:val="2"/>
          <w:sz w:val="32"/>
          <w:szCs w:val="32"/>
          <w:lang w:val="en-US" w:eastAsia="zh-CN" w:bidi="ar-SA"/>
        </w:rPr>
        <w:t>　</w:t>
      </w:r>
      <w:r>
        <w:rPr>
          <w:rFonts w:hint="eastAsia" w:ascii="楷体_GB2312" w:hAnsi="楷体_GB2312" w:eastAsia="楷体_GB2312" w:cs="楷体_GB2312"/>
          <w:b/>
          <w:bCs/>
          <w:kern w:val="2"/>
          <w:sz w:val="32"/>
          <w:szCs w:val="32"/>
          <w:lang w:val="en-US" w:eastAsia="zh-CN" w:bidi="ar-SA"/>
        </w:rPr>
        <w:t>　（四）其他收入：</w:t>
      </w:r>
      <w:r>
        <w:rPr>
          <w:rFonts w:hint="eastAsia" w:ascii="仿宋_GB2312" w:hAnsi="仿宋_GB2312" w:eastAsia="仿宋_GB2312" w:cs="仿宋_GB2312"/>
          <w:kern w:val="2"/>
          <w:sz w:val="32"/>
          <w:szCs w:val="32"/>
          <w:lang w:val="en-US" w:eastAsia="zh-CN" w:bidi="ar-SA"/>
        </w:rPr>
        <w:t>指除上述“财政拨款收入”、“事业收入”、“事业单位经营收入”等以外的收入，主要是所属行政事业单位按规定动用的售房收入、存款利息收入等。</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rPr>
        <w:t>　</w:t>
      </w:r>
      <w:r>
        <w:rPr>
          <w:rFonts w:hint="eastAsia" w:ascii="楷体_GB2312" w:hAnsi="楷体_GB2312" w:eastAsia="楷体_GB2312" w:cs="楷体_GB2312"/>
          <w:kern w:val="2"/>
          <w:sz w:val="32"/>
          <w:szCs w:val="32"/>
        </w:rPr>
        <w:t>　</w:t>
      </w:r>
      <w:r>
        <w:rPr>
          <w:rFonts w:hint="eastAsia" w:ascii="楷体_GB2312" w:hAnsi="楷体_GB2312" w:eastAsia="楷体_GB2312" w:cs="楷体_GB2312"/>
          <w:b/>
          <w:bCs/>
          <w:kern w:val="2"/>
          <w:sz w:val="32"/>
          <w:szCs w:val="32"/>
          <w:lang w:val="en-US" w:eastAsia="zh-CN" w:bidi="ar-SA"/>
        </w:rPr>
        <w:t>（五）用事业基金弥补收支差额：</w:t>
      </w:r>
      <w:r>
        <w:rPr>
          <w:rFonts w:hint="eastAsia" w:ascii="仿宋_GB2312" w:hAnsi="仿宋_GB2312" w:eastAsia="仿宋_GB2312" w:cs="仿宋_GB2312"/>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rPr>
        <w:t>　</w:t>
      </w:r>
      <w:r>
        <w:rPr>
          <w:rFonts w:hint="eastAsia" w:ascii="楷体_GB2312" w:hAnsi="楷体_GB2312" w:eastAsia="楷体_GB2312" w:cs="楷体_GB2312"/>
          <w:b/>
          <w:bCs/>
          <w:kern w:val="2"/>
          <w:sz w:val="32"/>
          <w:szCs w:val="32"/>
          <w:lang w:val="en-US" w:eastAsia="zh-CN" w:bidi="ar-SA"/>
        </w:rPr>
        <w:t>　（六）上年结转：</w:t>
      </w:r>
      <w:r>
        <w:rPr>
          <w:rFonts w:hint="eastAsia" w:ascii="仿宋_GB2312" w:hAnsi="仿宋_GB2312" w:eastAsia="仿宋_GB2312" w:cs="仿宋_GB2312"/>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ascii="仿宋_GB2312" w:eastAsia="仿宋_GB2312" w:cs="仿宋_GB2312"/>
          <w:sz w:val="32"/>
          <w:szCs w:val="32"/>
        </w:rPr>
      </w:pPr>
    </w:p>
    <w:sectPr>
      <w:headerReference r:id="rId3" w:type="default"/>
      <w:footerReference r:id="rId4" w:type="default"/>
      <w:pgSz w:w="11906" w:h="16838"/>
      <w:pgMar w:top="2120" w:right="1519" w:bottom="2007"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DVlMWExNWNhZmU5NmNhMDdmM2Y2MmFmMWJhOWM0ZDgifQ=="/>
  </w:docVars>
  <w:rsids>
    <w:rsidRoot w:val="00000000"/>
    <w:rsid w:val="01D03296"/>
    <w:rsid w:val="041B2008"/>
    <w:rsid w:val="089821DC"/>
    <w:rsid w:val="0ABA2D7D"/>
    <w:rsid w:val="0ADE714F"/>
    <w:rsid w:val="0C9E3D6D"/>
    <w:rsid w:val="0CF7084B"/>
    <w:rsid w:val="0DD63B30"/>
    <w:rsid w:val="0ECA6FA0"/>
    <w:rsid w:val="11F1104F"/>
    <w:rsid w:val="12805248"/>
    <w:rsid w:val="12E960D7"/>
    <w:rsid w:val="144F5A7C"/>
    <w:rsid w:val="14DA35C2"/>
    <w:rsid w:val="15AA2708"/>
    <w:rsid w:val="170442B0"/>
    <w:rsid w:val="17611086"/>
    <w:rsid w:val="1C4A78F4"/>
    <w:rsid w:val="1DA848AF"/>
    <w:rsid w:val="1FE128DD"/>
    <w:rsid w:val="211C34E3"/>
    <w:rsid w:val="22C41D55"/>
    <w:rsid w:val="22D30AF1"/>
    <w:rsid w:val="23452FA8"/>
    <w:rsid w:val="235A6A1F"/>
    <w:rsid w:val="248800BA"/>
    <w:rsid w:val="25156BB8"/>
    <w:rsid w:val="277A3B68"/>
    <w:rsid w:val="2B4D3342"/>
    <w:rsid w:val="2C7843EE"/>
    <w:rsid w:val="311A3CC6"/>
    <w:rsid w:val="31FB58A6"/>
    <w:rsid w:val="32391C13"/>
    <w:rsid w:val="338E1523"/>
    <w:rsid w:val="369342FF"/>
    <w:rsid w:val="369C324C"/>
    <w:rsid w:val="38063B1E"/>
    <w:rsid w:val="385B00ED"/>
    <w:rsid w:val="391E700B"/>
    <w:rsid w:val="39F82659"/>
    <w:rsid w:val="3AF9002E"/>
    <w:rsid w:val="3B7A75F7"/>
    <w:rsid w:val="3C5207B8"/>
    <w:rsid w:val="3CBE432E"/>
    <w:rsid w:val="3CED4ADC"/>
    <w:rsid w:val="3D2402B9"/>
    <w:rsid w:val="3D585316"/>
    <w:rsid w:val="40381640"/>
    <w:rsid w:val="41172C48"/>
    <w:rsid w:val="418A4550"/>
    <w:rsid w:val="41B87FCE"/>
    <w:rsid w:val="4229291A"/>
    <w:rsid w:val="4251128C"/>
    <w:rsid w:val="428471F1"/>
    <w:rsid w:val="42AE0712"/>
    <w:rsid w:val="42ED23AC"/>
    <w:rsid w:val="44DB6EFF"/>
    <w:rsid w:val="453942C3"/>
    <w:rsid w:val="45A262E6"/>
    <w:rsid w:val="45D51325"/>
    <w:rsid w:val="4627674C"/>
    <w:rsid w:val="469F0A9E"/>
    <w:rsid w:val="470536E9"/>
    <w:rsid w:val="47243D6E"/>
    <w:rsid w:val="4C3D1214"/>
    <w:rsid w:val="4CC5545B"/>
    <w:rsid w:val="4DAC584E"/>
    <w:rsid w:val="4E532B97"/>
    <w:rsid w:val="4E532DB0"/>
    <w:rsid w:val="5224454D"/>
    <w:rsid w:val="528575B3"/>
    <w:rsid w:val="52E134E9"/>
    <w:rsid w:val="54997C8E"/>
    <w:rsid w:val="55883C90"/>
    <w:rsid w:val="58F31AEC"/>
    <w:rsid w:val="5B001401"/>
    <w:rsid w:val="5B9444F1"/>
    <w:rsid w:val="5C2C211A"/>
    <w:rsid w:val="5C304F0D"/>
    <w:rsid w:val="5EB17167"/>
    <w:rsid w:val="5ED8403B"/>
    <w:rsid w:val="609B6EF6"/>
    <w:rsid w:val="63D22876"/>
    <w:rsid w:val="64346872"/>
    <w:rsid w:val="656842E0"/>
    <w:rsid w:val="657231CB"/>
    <w:rsid w:val="65841133"/>
    <w:rsid w:val="671D2A14"/>
    <w:rsid w:val="67341693"/>
    <w:rsid w:val="681E3A20"/>
    <w:rsid w:val="69882FB4"/>
    <w:rsid w:val="6A401D47"/>
    <w:rsid w:val="6AC32A7F"/>
    <w:rsid w:val="6B5050C9"/>
    <w:rsid w:val="6BF97D99"/>
    <w:rsid w:val="6C8C5F63"/>
    <w:rsid w:val="6CE1330F"/>
    <w:rsid w:val="6CE612E6"/>
    <w:rsid w:val="6E326115"/>
    <w:rsid w:val="6E43706F"/>
    <w:rsid w:val="6EDF42AE"/>
    <w:rsid w:val="706D2410"/>
    <w:rsid w:val="70D421D0"/>
    <w:rsid w:val="71BF0BC8"/>
    <w:rsid w:val="72007A43"/>
    <w:rsid w:val="72A50764"/>
    <w:rsid w:val="7366723F"/>
    <w:rsid w:val="7970341A"/>
    <w:rsid w:val="7A7A445B"/>
    <w:rsid w:val="7B4157BC"/>
    <w:rsid w:val="7B717812"/>
    <w:rsid w:val="7E334C7F"/>
    <w:rsid w:val="7EDB5E10"/>
    <w:rsid w:val="7F104775"/>
    <w:rsid w:val="7F3216F7"/>
    <w:rsid w:val="7F6862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widowControl w:val="0"/>
      <w:jc w:val="both"/>
    </w:pPr>
    <w:rPr>
      <w:rFonts w:ascii="Calibri" w:hAnsi="Calibri" w:eastAsia="宋体" w:cs="Arial"/>
      <w:kern w:val="2"/>
      <w:sz w:val="21"/>
      <w:szCs w:val="22"/>
      <w:lang w:val="en-US" w:eastAsia="zh-CN" w:bidi="ar-SA"/>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List Paragraph"/>
    <w:basedOn w:val="1"/>
    <w:autoRedefine/>
    <w:qFormat/>
    <w:uiPriority w:val="0"/>
    <w:pPr>
      <w:ind w:firstLine="200" w:firstLineChars="200"/>
    </w:pPr>
  </w:style>
  <w:style w:type="paragraph" w:customStyle="1" w:styleId="12">
    <w:name w:val="正文文本1"/>
    <w:basedOn w:val="1"/>
    <w:autoRedefine/>
    <w:qFormat/>
    <w:uiPriority w:val="0"/>
    <w:pPr>
      <w:spacing w:before="93"/>
    </w:pPr>
    <w:rPr>
      <w:rFonts w:ascii="仿宋_GB2312" w:eastAsia="仿宋_GB2312"/>
      <w:kern w:val="0"/>
      <w:sz w:val="30"/>
      <w:szCs w:val="20"/>
    </w:rPr>
  </w:style>
  <w:style w:type="paragraph" w:customStyle="1" w:styleId="13">
    <w:name w:val="页脚1"/>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75</TotalTime>
  <ScaleCrop>false</ScaleCrop>
  <LinksUpToDate>false</LinksUpToDate>
  <CharactersWithSpaces>1800</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美美</cp:lastModifiedBy>
  <cp:lastPrinted>2024-01-30T06:23:00Z</cp:lastPrinted>
  <dcterms:modified xsi:type="dcterms:W3CDTF">2024-02-02T08:43:45Z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DCB2617020F449E9BF9BEAE91BCD8B8A_13</vt:lpwstr>
  </property>
</Properties>
</file>