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39096">
      <w:pPr>
        <w:rPr>
          <w:rFonts w:ascii="黑体" w:hAnsi="黑体" w:eastAsia="黑体" w:cs="Times New Roman"/>
          <w:sz w:val="44"/>
          <w:szCs w:val="44"/>
        </w:rPr>
      </w:pPr>
    </w:p>
    <w:p w14:paraId="304C4E94">
      <w:pPr>
        <w:rPr>
          <w:rFonts w:ascii="黑体" w:hAnsi="黑体" w:eastAsia="黑体" w:cs="Times New Roman"/>
          <w:sz w:val="44"/>
          <w:szCs w:val="44"/>
        </w:rPr>
      </w:pPr>
    </w:p>
    <w:p w14:paraId="3963B689">
      <w:pPr>
        <w:rPr>
          <w:rFonts w:ascii="黑体" w:hAnsi="黑体" w:eastAsia="黑体" w:cs="Times New Roman"/>
          <w:sz w:val="44"/>
          <w:szCs w:val="44"/>
        </w:rPr>
      </w:pPr>
    </w:p>
    <w:p w14:paraId="47A5D455">
      <w:pPr>
        <w:jc w:val="center"/>
        <w:rPr>
          <w:rFonts w:ascii="黑体" w:hAnsi="黑体" w:eastAsia="黑体" w:cs="Times New Roman"/>
          <w:sz w:val="72"/>
          <w:szCs w:val="72"/>
        </w:rPr>
      </w:pPr>
      <w:r>
        <w:rPr>
          <w:rFonts w:hint="eastAsia" w:ascii="黑体" w:hAnsi="黑体" w:eastAsia="黑体" w:cs="黑体"/>
          <w:sz w:val="72"/>
          <w:szCs w:val="72"/>
          <w:lang w:val="en-US" w:eastAsia="zh-CN"/>
        </w:rPr>
        <w:t>阿坝州壤塘生态环境局</w:t>
      </w:r>
      <w:r>
        <w:rPr>
          <w:rFonts w:ascii="黑体" w:hAnsi="黑体" w:eastAsia="黑体" w:cs="黑体"/>
          <w:sz w:val="72"/>
          <w:szCs w:val="72"/>
        </w:rPr>
        <w:t>202</w:t>
      </w:r>
      <w:r>
        <w:rPr>
          <w:rFonts w:hint="eastAsia" w:ascii="黑体" w:hAnsi="黑体" w:eastAsia="黑体" w:cs="黑体"/>
          <w:sz w:val="72"/>
          <w:szCs w:val="72"/>
          <w:lang w:val="en-US" w:eastAsia="zh-CN"/>
        </w:rPr>
        <w:t>5</w:t>
      </w:r>
      <w:r>
        <w:rPr>
          <w:rFonts w:ascii="黑体" w:hAnsi="黑体" w:eastAsia="黑体" w:cs="黑体"/>
          <w:sz w:val="72"/>
          <w:szCs w:val="72"/>
        </w:rPr>
        <w:t>年</w:t>
      </w:r>
      <w:r>
        <w:rPr>
          <w:rFonts w:hint="eastAsia" w:ascii="黑体" w:hAnsi="黑体" w:eastAsia="黑体" w:cs="黑体"/>
          <w:sz w:val="72"/>
          <w:szCs w:val="72"/>
        </w:rPr>
        <w:t>部门预算</w:t>
      </w:r>
    </w:p>
    <w:p w14:paraId="6B595AAA">
      <w:pPr>
        <w:jc w:val="center"/>
        <w:rPr>
          <w:rFonts w:ascii="黑体" w:hAnsi="黑体" w:eastAsia="黑体" w:cs="Times New Roman"/>
          <w:sz w:val="72"/>
          <w:szCs w:val="72"/>
        </w:rPr>
      </w:pPr>
    </w:p>
    <w:p w14:paraId="697B801F">
      <w:pPr>
        <w:jc w:val="center"/>
        <w:rPr>
          <w:rFonts w:ascii="黑体" w:hAnsi="黑体" w:eastAsia="黑体" w:cs="Times New Roman"/>
          <w:sz w:val="44"/>
          <w:szCs w:val="44"/>
        </w:rPr>
      </w:pPr>
    </w:p>
    <w:p w14:paraId="0189B57B">
      <w:pPr>
        <w:jc w:val="center"/>
        <w:rPr>
          <w:rFonts w:ascii="黑体" w:hAnsi="黑体" w:eastAsia="黑体" w:cs="Times New Roman"/>
          <w:sz w:val="44"/>
          <w:szCs w:val="44"/>
        </w:rPr>
      </w:pPr>
    </w:p>
    <w:p w14:paraId="426B1AD3">
      <w:pPr>
        <w:jc w:val="center"/>
        <w:rPr>
          <w:rFonts w:ascii="黑体" w:hAnsi="黑体" w:eastAsia="黑体" w:cs="Times New Roman"/>
          <w:sz w:val="44"/>
          <w:szCs w:val="44"/>
        </w:rPr>
      </w:pPr>
    </w:p>
    <w:p w14:paraId="45099BB0">
      <w:pPr>
        <w:jc w:val="center"/>
        <w:rPr>
          <w:rFonts w:ascii="黑体" w:hAnsi="黑体" w:eastAsia="黑体" w:cs="Times New Roman"/>
          <w:sz w:val="44"/>
          <w:szCs w:val="44"/>
        </w:rPr>
      </w:pPr>
    </w:p>
    <w:p w14:paraId="155E88C9">
      <w:pPr>
        <w:jc w:val="center"/>
        <w:rPr>
          <w:rFonts w:ascii="黑体" w:hAnsi="黑体" w:eastAsia="黑体" w:cs="Times New Roman"/>
          <w:sz w:val="44"/>
          <w:szCs w:val="44"/>
        </w:rPr>
      </w:pPr>
    </w:p>
    <w:p w14:paraId="40041447">
      <w:pPr>
        <w:jc w:val="center"/>
        <w:rPr>
          <w:rFonts w:ascii="黑体" w:hAnsi="黑体" w:eastAsia="黑体" w:cs="Times New Roman"/>
          <w:sz w:val="44"/>
          <w:szCs w:val="44"/>
        </w:rPr>
      </w:pPr>
    </w:p>
    <w:p w14:paraId="7C1CD8B6">
      <w:pPr>
        <w:jc w:val="center"/>
        <w:rPr>
          <w:rFonts w:ascii="黑体" w:hAnsi="黑体" w:eastAsia="黑体" w:cs="Times New Roman"/>
          <w:sz w:val="44"/>
          <w:szCs w:val="44"/>
        </w:rPr>
      </w:pPr>
    </w:p>
    <w:p w14:paraId="23FAF58D">
      <w:pPr>
        <w:jc w:val="center"/>
        <w:rPr>
          <w:rFonts w:ascii="黑体" w:hAnsi="黑体" w:eastAsia="黑体" w:cs="Times New Roman"/>
          <w:sz w:val="44"/>
          <w:szCs w:val="44"/>
        </w:rPr>
      </w:pPr>
    </w:p>
    <w:p w14:paraId="4B398F78">
      <w:pPr>
        <w:jc w:val="center"/>
        <w:rPr>
          <w:rFonts w:ascii="黑体" w:hAnsi="黑体" w:eastAsia="黑体" w:cs="Times New Roman"/>
          <w:sz w:val="44"/>
          <w:szCs w:val="44"/>
        </w:rPr>
      </w:pPr>
    </w:p>
    <w:p w14:paraId="6F0123DD">
      <w:pPr>
        <w:jc w:val="center"/>
        <w:rPr>
          <w:rFonts w:ascii="黑体" w:hAnsi="黑体" w:eastAsia="黑体" w:cs="Times New Roman"/>
          <w:sz w:val="44"/>
          <w:szCs w:val="44"/>
        </w:rPr>
      </w:pPr>
    </w:p>
    <w:p w14:paraId="30A1B1A4">
      <w:pPr>
        <w:jc w:val="center"/>
        <w:rPr>
          <w:rFonts w:ascii="黑体" w:hAnsi="黑体" w:eastAsia="黑体" w:cs="Times New Roman"/>
          <w:sz w:val="52"/>
          <w:szCs w:val="52"/>
        </w:rPr>
      </w:pPr>
      <w:r>
        <w:rPr>
          <w:rFonts w:hint="eastAsia" w:ascii="黑体" w:hAnsi="黑体" w:eastAsia="黑体" w:cs="黑体"/>
          <w:sz w:val="52"/>
          <w:szCs w:val="52"/>
          <w:lang w:val="en-US" w:eastAsia="zh-CN"/>
        </w:rPr>
        <w:t>2025</w:t>
      </w:r>
      <w:r>
        <w:rPr>
          <w:rFonts w:hint="eastAsia" w:ascii="黑体" w:hAnsi="黑体" w:eastAsia="黑体" w:cs="黑体"/>
          <w:sz w:val="52"/>
          <w:szCs w:val="52"/>
        </w:rPr>
        <w:t>年</w:t>
      </w:r>
      <w:r>
        <w:rPr>
          <w:rFonts w:hint="eastAsia" w:ascii="黑体" w:hAnsi="黑体" w:eastAsia="黑体" w:cs="黑体"/>
          <w:sz w:val="52"/>
          <w:szCs w:val="52"/>
          <w:lang w:val="en-US" w:eastAsia="zh-CN"/>
        </w:rPr>
        <w:t>2</w:t>
      </w:r>
      <w:r>
        <w:rPr>
          <w:rFonts w:hint="eastAsia" w:ascii="黑体" w:hAnsi="黑体" w:eastAsia="黑体" w:cs="黑体"/>
          <w:sz w:val="52"/>
          <w:szCs w:val="52"/>
        </w:rPr>
        <w:t>月</w:t>
      </w:r>
      <w:r>
        <w:rPr>
          <w:rFonts w:hint="eastAsia" w:ascii="黑体" w:hAnsi="黑体" w:eastAsia="黑体" w:cs="黑体"/>
          <w:sz w:val="52"/>
          <w:szCs w:val="52"/>
          <w:lang w:val="en-US" w:eastAsia="zh-CN"/>
        </w:rPr>
        <w:t>24</w:t>
      </w:r>
      <w:r>
        <w:rPr>
          <w:rFonts w:hint="eastAsia" w:ascii="黑体" w:hAnsi="黑体" w:eastAsia="黑体" w:cs="黑体"/>
          <w:sz w:val="52"/>
          <w:szCs w:val="52"/>
        </w:rPr>
        <w:t>日</w:t>
      </w:r>
    </w:p>
    <w:p w14:paraId="517C00FA">
      <w:pPr>
        <w:rPr>
          <w:rFonts w:ascii="黑体" w:hAnsi="黑体" w:eastAsia="黑体" w:cs="Times New Roman"/>
          <w:sz w:val="44"/>
          <w:szCs w:val="44"/>
        </w:rPr>
      </w:pPr>
    </w:p>
    <w:p w14:paraId="1957A987">
      <w:pPr>
        <w:rPr>
          <w:rFonts w:ascii="黑体" w:hAnsi="黑体" w:eastAsia="黑体" w:cs="Times New Roman"/>
          <w:sz w:val="44"/>
          <w:szCs w:val="44"/>
        </w:rPr>
      </w:pPr>
    </w:p>
    <w:p w14:paraId="01E9F6F5">
      <w:pPr>
        <w:pStyle w:val="7"/>
      </w:pPr>
    </w:p>
    <w:p w14:paraId="66529D67">
      <w:pPr>
        <w:pStyle w:val="7"/>
      </w:pPr>
    </w:p>
    <w:p w14:paraId="5EC8A210">
      <w:pPr>
        <w:spacing w:before="0" w:beforeLines="0" w:after="0" w:afterLines="0" w:line="240" w:lineRule="auto"/>
        <w:ind w:left="0" w:leftChars="0" w:right="0" w:rightChars="0" w:firstLine="0" w:firstLineChars="0"/>
        <w:jc w:val="center"/>
        <w:rPr>
          <w:rFonts w:hint="eastAsia" w:ascii="黑体" w:hAnsi="黑体" w:eastAsia="黑体" w:cs="黑体"/>
          <w:sz w:val="52"/>
          <w:szCs w:val="52"/>
        </w:rPr>
      </w:pPr>
      <w:r>
        <w:rPr>
          <w:rFonts w:hint="eastAsia" w:ascii="黑体" w:hAnsi="黑体" w:eastAsia="黑体" w:cs="黑体"/>
          <w:sz w:val="52"/>
          <w:szCs w:val="52"/>
        </w:rPr>
        <w:t>目录</w:t>
      </w:r>
    </w:p>
    <w:p w14:paraId="621632AA">
      <w:pPr>
        <w:pStyle w:val="9"/>
        <w:tabs>
          <w:tab w:val="right" w:leader="dot" w:pos="8306"/>
        </w:tabs>
        <w:rPr>
          <w:sz w:val="28"/>
          <w:szCs w:val="28"/>
        </w:rPr>
      </w:pPr>
      <w:r>
        <w:rPr>
          <w:rFonts w:ascii="黑体" w:hAnsi="黑体" w:eastAsia="黑体" w:cs="Times New Roman"/>
          <w:sz w:val="44"/>
          <w:szCs w:val="44"/>
        </w:rPr>
        <w:fldChar w:fldCharType="begin"/>
      </w:r>
      <w:r>
        <w:rPr>
          <w:rFonts w:ascii="黑体" w:hAnsi="黑体" w:eastAsia="黑体" w:cs="Times New Roman"/>
          <w:sz w:val="44"/>
          <w:szCs w:val="44"/>
        </w:rPr>
        <w:instrText xml:space="preserve">TOC \o "1-2" \h \u </w:instrText>
      </w:r>
      <w:r>
        <w:rPr>
          <w:rFonts w:ascii="黑体" w:hAnsi="黑体" w:eastAsia="黑体" w:cs="Times New Roman"/>
          <w:sz w:val="44"/>
          <w:szCs w:val="44"/>
        </w:rPr>
        <w:fldChar w:fldCharType="separate"/>
      </w: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_Toc12278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一、</w:t>
      </w:r>
      <w:r>
        <w:rPr>
          <w:rFonts w:hint="eastAsia" w:ascii="黑体" w:hAnsi="黑体" w:eastAsia="黑体" w:cs="黑体"/>
          <w:bCs/>
          <w:sz w:val="28"/>
          <w:szCs w:val="28"/>
        </w:rPr>
        <w:t>基本职能及主要工作</w:t>
      </w:r>
      <w:r>
        <w:rPr>
          <w:sz w:val="28"/>
          <w:szCs w:val="28"/>
        </w:rPr>
        <w:tab/>
      </w:r>
      <w:r>
        <w:rPr>
          <w:sz w:val="28"/>
          <w:szCs w:val="28"/>
        </w:rPr>
        <w:fldChar w:fldCharType="begin"/>
      </w:r>
      <w:r>
        <w:rPr>
          <w:sz w:val="28"/>
          <w:szCs w:val="28"/>
        </w:rPr>
        <w:instrText xml:space="preserve"> PAGEREF _Toc12278 \h </w:instrText>
      </w:r>
      <w:r>
        <w:rPr>
          <w:sz w:val="28"/>
          <w:szCs w:val="28"/>
        </w:rPr>
        <w:fldChar w:fldCharType="separate"/>
      </w:r>
      <w:r>
        <w:rPr>
          <w:sz w:val="28"/>
          <w:szCs w:val="28"/>
        </w:rPr>
        <w:t>3</w:t>
      </w:r>
      <w:r>
        <w:rPr>
          <w:sz w:val="28"/>
          <w:szCs w:val="28"/>
        </w:rPr>
        <w:fldChar w:fldCharType="end"/>
      </w:r>
      <w:r>
        <w:rPr>
          <w:rFonts w:ascii="黑体" w:hAnsi="黑体" w:eastAsia="黑体" w:cs="Times New Roman"/>
          <w:sz w:val="28"/>
          <w:szCs w:val="28"/>
        </w:rPr>
        <w:fldChar w:fldCharType="end"/>
      </w:r>
    </w:p>
    <w:p w14:paraId="01AF789A">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_Toc29348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部门职能简介</w:t>
      </w:r>
      <w:r>
        <w:rPr>
          <w:sz w:val="28"/>
          <w:szCs w:val="28"/>
        </w:rPr>
        <w:tab/>
      </w:r>
      <w:r>
        <w:rPr>
          <w:sz w:val="28"/>
          <w:szCs w:val="28"/>
        </w:rPr>
        <w:fldChar w:fldCharType="begin"/>
      </w:r>
      <w:r>
        <w:rPr>
          <w:sz w:val="28"/>
          <w:szCs w:val="28"/>
        </w:rPr>
        <w:instrText xml:space="preserve"> PAGEREF _Toc29348 \h </w:instrText>
      </w:r>
      <w:r>
        <w:rPr>
          <w:sz w:val="28"/>
          <w:szCs w:val="28"/>
        </w:rPr>
        <w:fldChar w:fldCharType="separate"/>
      </w:r>
      <w:r>
        <w:rPr>
          <w:sz w:val="28"/>
          <w:szCs w:val="28"/>
        </w:rPr>
        <w:t>3</w:t>
      </w:r>
      <w:r>
        <w:rPr>
          <w:sz w:val="28"/>
          <w:szCs w:val="28"/>
        </w:rPr>
        <w:fldChar w:fldCharType="end"/>
      </w:r>
      <w:r>
        <w:rPr>
          <w:rFonts w:ascii="黑体" w:hAnsi="黑体" w:eastAsia="黑体" w:cs="Times New Roman"/>
          <w:sz w:val="28"/>
          <w:szCs w:val="28"/>
        </w:rPr>
        <w:fldChar w:fldCharType="end"/>
      </w:r>
    </w:p>
    <w:p w14:paraId="74B70832">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_Toc12953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年重点工作</w:t>
      </w:r>
      <w:r>
        <w:rPr>
          <w:sz w:val="28"/>
          <w:szCs w:val="28"/>
        </w:rPr>
        <w:tab/>
      </w:r>
      <w:r>
        <w:rPr>
          <w:rFonts w:hint="eastAsia"/>
          <w:sz w:val="28"/>
          <w:szCs w:val="28"/>
          <w:lang w:val="en-US" w:eastAsia="zh-CN"/>
        </w:rPr>
        <w:t>4</w:t>
      </w:r>
      <w:r>
        <w:rPr>
          <w:rFonts w:ascii="黑体" w:hAnsi="黑体" w:eastAsia="黑体" w:cs="Times New Roman"/>
          <w:sz w:val="28"/>
          <w:szCs w:val="28"/>
        </w:rPr>
        <w:fldChar w:fldCharType="end"/>
      </w:r>
    </w:p>
    <w:p w14:paraId="19C9EE4E">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_Toc14511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二、部门预算单位构成</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68CB4EE8">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_Toc31424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三、收支预算情况说明</w:t>
      </w:r>
      <w:r>
        <w:rPr>
          <w:sz w:val="28"/>
          <w:szCs w:val="28"/>
        </w:rPr>
        <w:tab/>
      </w:r>
      <w:r>
        <w:rPr>
          <w:rFonts w:hint="eastAsia"/>
          <w:sz w:val="28"/>
          <w:szCs w:val="28"/>
          <w:lang w:val="en-US" w:eastAsia="zh-CN"/>
        </w:rPr>
        <w:t>5</w:t>
      </w:r>
      <w:r>
        <w:rPr>
          <w:rFonts w:ascii="黑体" w:hAnsi="黑体" w:eastAsia="黑体" w:cs="Times New Roman"/>
          <w:sz w:val="28"/>
          <w:szCs w:val="28"/>
        </w:rPr>
        <w:fldChar w:fldCharType="end"/>
      </w:r>
    </w:p>
    <w:p w14:paraId="14F4B85B">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_Toc1279 </w:instrText>
      </w:r>
      <w:r>
        <w:rPr>
          <w:rFonts w:ascii="黑体" w:hAnsi="黑体" w:eastAsia="黑体" w:cs="Times New Roman"/>
          <w:sz w:val="28"/>
          <w:szCs w:val="28"/>
        </w:rPr>
        <w:fldChar w:fldCharType="separate"/>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）收入预算情况</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1859264C">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_Toc19613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（二） 支出预算情况</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6AAE1E40">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_Toc31654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四、财政拨款收支预算情况说明</w:t>
      </w:r>
      <w:r>
        <w:rPr>
          <w:sz w:val="28"/>
          <w:szCs w:val="28"/>
        </w:rPr>
        <w:tab/>
      </w:r>
      <w:r>
        <w:rPr>
          <w:rFonts w:hint="eastAsia"/>
          <w:sz w:val="28"/>
          <w:szCs w:val="28"/>
          <w:lang w:val="en-US" w:eastAsia="zh-CN"/>
        </w:rPr>
        <w:t>6</w:t>
      </w:r>
      <w:r>
        <w:rPr>
          <w:rFonts w:ascii="黑体" w:hAnsi="黑体" w:eastAsia="黑体" w:cs="Times New Roman"/>
          <w:sz w:val="28"/>
          <w:szCs w:val="28"/>
        </w:rPr>
        <w:fldChar w:fldCharType="end"/>
      </w:r>
    </w:p>
    <w:p w14:paraId="1E21340B">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_Toc29200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五、一般公共预算当年拨款情况说明</w:t>
      </w:r>
      <w:r>
        <w:rPr>
          <w:sz w:val="28"/>
          <w:szCs w:val="28"/>
        </w:rPr>
        <w:tab/>
      </w:r>
      <w:r>
        <w:rPr>
          <w:rFonts w:hint="eastAsia"/>
          <w:sz w:val="28"/>
          <w:szCs w:val="28"/>
          <w:lang w:val="en-US" w:eastAsia="zh-CN"/>
        </w:rPr>
        <w:t>7</w:t>
      </w:r>
      <w:r>
        <w:rPr>
          <w:rFonts w:ascii="黑体" w:hAnsi="黑体" w:eastAsia="黑体" w:cs="Times New Roman"/>
          <w:sz w:val="28"/>
          <w:szCs w:val="28"/>
        </w:rPr>
        <w:fldChar w:fldCharType="end"/>
      </w:r>
    </w:p>
    <w:p w14:paraId="17BC62E5">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_Toc1201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六、一般公共预算基本支出情况说明</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1E10851B">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_Toc10718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七、“三公”经费财政拨款预算安排情况说明</w:t>
      </w:r>
      <w:r>
        <w:rPr>
          <w:sz w:val="28"/>
          <w:szCs w:val="28"/>
        </w:rPr>
        <w:tab/>
      </w:r>
      <w:r>
        <w:rPr>
          <w:rFonts w:hint="eastAsia"/>
          <w:sz w:val="28"/>
          <w:szCs w:val="28"/>
          <w:lang w:val="en-US" w:eastAsia="zh-CN"/>
        </w:rPr>
        <w:t>8</w:t>
      </w:r>
      <w:r>
        <w:rPr>
          <w:rFonts w:ascii="黑体" w:hAnsi="黑体" w:eastAsia="黑体" w:cs="Times New Roman"/>
          <w:sz w:val="28"/>
          <w:szCs w:val="28"/>
        </w:rPr>
        <w:fldChar w:fldCharType="end"/>
      </w:r>
    </w:p>
    <w:p w14:paraId="0EF83958">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_Toc10007 </w:instrText>
      </w:r>
      <w:r>
        <w:rPr>
          <w:rFonts w:ascii="黑体" w:hAnsi="黑体" w:eastAsia="黑体" w:cs="Times New Roman"/>
          <w:sz w:val="28"/>
          <w:szCs w:val="28"/>
        </w:rPr>
        <w:fldChar w:fldCharType="separate"/>
      </w:r>
      <w:r>
        <w:rPr>
          <w:rFonts w:hint="eastAsia" w:ascii="黑体" w:hAnsi="黑体" w:eastAsia="黑体" w:cs="黑体"/>
          <w:bCs/>
          <w:sz w:val="28"/>
          <w:szCs w:val="28"/>
          <w:lang w:val="en-US" w:eastAsia="zh-CN"/>
        </w:rPr>
        <w:t>八、政府性基金预算支出情况说明</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5E6EDB39">
      <w:pPr>
        <w:pStyle w:val="9"/>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_Toc7518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九、其他重要事项的情况说明</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70CC8A0C">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_Toc5156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（一）机关运行经费</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03DD7BF8">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_Toc30900 </w:instrText>
      </w:r>
      <w:r>
        <w:rPr>
          <w:rFonts w:ascii="黑体" w:hAnsi="黑体" w:eastAsia="黑体" w:cs="Times New Roman"/>
          <w:sz w:val="28"/>
          <w:szCs w:val="28"/>
        </w:rPr>
        <w:fldChar w:fldCharType="separate"/>
      </w:r>
      <w:r>
        <w:rPr>
          <w:rFonts w:hint="eastAsia" w:ascii="仿宋_GB2312" w:hAnsi="仿宋_GB2312" w:eastAsia="仿宋_GB2312" w:cs="仿宋_GB2312"/>
          <w:kern w:val="2"/>
          <w:sz w:val="28"/>
          <w:szCs w:val="28"/>
          <w:lang w:val="en-US" w:eastAsia="zh-CN" w:bidi="ar-SA"/>
        </w:rPr>
        <w:t>（二）政府采购情况</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45E25222">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_Toc12108 </w:instrText>
      </w:r>
      <w:r>
        <w:rPr>
          <w:rFonts w:ascii="黑体" w:hAnsi="黑体" w:eastAsia="黑体" w:cs="Times New Roman"/>
          <w:sz w:val="28"/>
          <w:szCs w:val="28"/>
        </w:rPr>
        <w:fldChar w:fldCharType="separate"/>
      </w:r>
      <w:r>
        <w:rPr>
          <w:rFonts w:hint="eastAsia" w:cs="仿宋_GB2312"/>
          <w:kern w:val="2"/>
          <w:sz w:val="28"/>
          <w:szCs w:val="28"/>
          <w:lang w:val="en-US" w:eastAsia="zh-CN" w:bidi="ar-SA"/>
        </w:rPr>
        <w:t>（三）</w:t>
      </w:r>
      <w:r>
        <w:rPr>
          <w:rFonts w:hint="eastAsia" w:ascii="仿宋_GB2312" w:hAnsi="仿宋_GB2312" w:eastAsia="仿宋_GB2312" w:cs="仿宋_GB2312"/>
          <w:kern w:val="2"/>
          <w:sz w:val="28"/>
          <w:szCs w:val="28"/>
          <w:lang w:val="en-US" w:eastAsia="zh-CN" w:bidi="ar-SA"/>
        </w:rPr>
        <w:t>国有资产占有使用情况</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7107F512">
      <w:pPr>
        <w:pStyle w:val="10"/>
        <w:tabs>
          <w:tab w:val="right" w:leader="dot" w:pos="8306"/>
        </w:tabs>
        <w:rPr>
          <w:sz w:val="28"/>
          <w:szCs w:val="28"/>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_Toc25053 </w:instrText>
      </w:r>
      <w:r>
        <w:rPr>
          <w:rFonts w:ascii="黑体" w:hAnsi="黑体" w:eastAsia="黑体" w:cs="Times New Roman"/>
          <w:sz w:val="28"/>
          <w:szCs w:val="28"/>
        </w:rPr>
        <w:fldChar w:fldCharType="separate"/>
      </w:r>
      <w:r>
        <w:rPr>
          <w:rFonts w:hint="eastAsia" w:cs="仿宋_GB2312"/>
          <w:kern w:val="2"/>
          <w:sz w:val="28"/>
          <w:szCs w:val="28"/>
          <w:lang w:val="en-US" w:eastAsia="zh-CN" w:bidi="ar-SA"/>
        </w:rPr>
        <w:t>（四）绩效目标设置情况</w:t>
      </w:r>
      <w:r>
        <w:rPr>
          <w:sz w:val="28"/>
          <w:szCs w:val="28"/>
        </w:rPr>
        <w:tab/>
      </w:r>
      <w:r>
        <w:rPr>
          <w:rFonts w:hint="eastAsia"/>
          <w:sz w:val="28"/>
          <w:szCs w:val="28"/>
          <w:lang w:val="en-US" w:eastAsia="zh-CN"/>
        </w:rPr>
        <w:t>9</w:t>
      </w:r>
      <w:r>
        <w:rPr>
          <w:rFonts w:ascii="黑体" w:hAnsi="黑体" w:eastAsia="黑体" w:cs="Times New Roman"/>
          <w:sz w:val="28"/>
          <w:szCs w:val="28"/>
        </w:rPr>
        <w:fldChar w:fldCharType="end"/>
      </w:r>
    </w:p>
    <w:p w14:paraId="5AE6914A">
      <w:pPr>
        <w:pStyle w:val="9"/>
        <w:tabs>
          <w:tab w:val="right" w:leader="dot" w:pos="8306"/>
        </w:tabs>
        <w:rPr>
          <w:rFonts w:hint="eastAsia" w:eastAsia="黑体"/>
          <w:lang w:val="en-US" w:eastAsia="zh-CN"/>
        </w:rPr>
      </w:pPr>
      <w:r>
        <w:rPr>
          <w:rFonts w:ascii="黑体" w:hAnsi="黑体" w:eastAsia="黑体" w:cs="Times New Roman"/>
          <w:sz w:val="28"/>
          <w:szCs w:val="28"/>
        </w:rPr>
        <w:fldChar w:fldCharType="begin"/>
      </w:r>
      <w:r>
        <w:rPr>
          <w:rFonts w:ascii="黑体" w:hAnsi="黑体" w:eastAsia="黑体" w:cs="Times New Roman"/>
          <w:sz w:val="28"/>
          <w:szCs w:val="28"/>
        </w:rPr>
        <w:instrText xml:space="preserve"> HYPERLINK \l _Toc32139 </w:instrText>
      </w:r>
      <w:r>
        <w:rPr>
          <w:rFonts w:ascii="黑体" w:hAnsi="黑体" w:eastAsia="黑体" w:cs="Times New Roman"/>
          <w:sz w:val="28"/>
          <w:szCs w:val="28"/>
        </w:rPr>
        <w:fldChar w:fldCharType="separate"/>
      </w:r>
      <w:r>
        <w:rPr>
          <w:rFonts w:hint="eastAsia" w:ascii="黑体" w:hAnsi="黑体" w:eastAsia="黑体" w:cs="黑体"/>
          <w:bCs/>
          <w:kern w:val="44"/>
          <w:sz w:val="28"/>
          <w:szCs w:val="28"/>
          <w:lang w:val="en-US" w:eastAsia="zh-CN" w:bidi="ar-SA"/>
        </w:rPr>
        <w:t>十、名称解释</w:t>
      </w:r>
      <w:r>
        <w:rPr>
          <w:sz w:val="28"/>
          <w:szCs w:val="28"/>
        </w:rPr>
        <w:tab/>
      </w:r>
      <w:r>
        <w:rPr>
          <w:rFonts w:hint="eastAsia"/>
          <w:sz w:val="28"/>
          <w:szCs w:val="28"/>
          <w:lang w:val="en-US" w:eastAsia="zh-CN"/>
        </w:rPr>
        <w:t>1</w:t>
      </w:r>
      <w:r>
        <w:rPr>
          <w:rFonts w:ascii="黑体" w:hAnsi="黑体" w:eastAsia="黑体" w:cs="Times New Roman"/>
          <w:sz w:val="28"/>
          <w:szCs w:val="28"/>
        </w:rPr>
        <w:fldChar w:fldCharType="end"/>
      </w:r>
      <w:r>
        <w:rPr>
          <w:rFonts w:hint="eastAsia" w:ascii="黑体" w:hAnsi="黑体" w:eastAsia="黑体" w:cs="Times New Roman"/>
          <w:sz w:val="28"/>
          <w:szCs w:val="28"/>
          <w:lang w:val="en-US" w:eastAsia="zh-CN"/>
        </w:rPr>
        <w:t>0</w:t>
      </w:r>
    </w:p>
    <w:p w14:paraId="56B357FF">
      <w:pPr>
        <w:rPr>
          <w:rFonts w:ascii="黑体" w:hAnsi="黑体" w:eastAsia="黑体" w:cs="Times New Roman"/>
          <w:sz w:val="44"/>
          <w:szCs w:val="44"/>
        </w:rPr>
      </w:pPr>
      <w:r>
        <w:rPr>
          <w:rFonts w:ascii="黑体" w:hAnsi="黑体" w:eastAsia="黑体" w:cs="Times New Roman"/>
          <w:szCs w:val="44"/>
        </w:rPr>
        <w:fldChar w:fldCharType="end"/>
      </w:r>
    </w:p>
    <w:p w14:paraId="74F09E52">
      <w:pPr>
        <w:rPr>
          <w:rFonts w:ascii="??" w:hAnsi="??" w:cs="??"/>
          <w:kern w:val="0"/>
          <w:sz w:val="12"/>
          <w:szCs w:val="12"/>
        </w:rPr>
      </w:pPr>
    </w:p>
    <w:p w14:paraId="6057F8CD">
      <w:pPr>
        <w:pStyle w:val="12"/>
        <w:rPr>
          <w:rFonts w:ascii="??" w:hAnsi="??" w:cs="??"/>
          <w:kern w:val="0"/>
          <w:sz w:val="12"/>
          <w:szCs w:val="12"/>
        </w:rPr>
      </w:pPr>
    </w:p>
    <w:p w14:paraId="6F038BC7">
      <w:pPr>
        <w:pStyle w:val="7"/>
      </w:pPr>
    </w:p>
    <w:p w14:paraId="1A546D64">
      <w:pPr>
        <w:pStyle w:val="18"/>
        <w:numPr>
          <w:ilvl w:val="0"/>
          <w:numId w:val="1"/>
        </w:numPr>
        <w:spacing w:before="0" w:line="360" w:lineRule="auto"/>
        <w:ind w:firstLine="627" w:firstLineChars="196"/>
        <w:rPr>
          <w:rFonts w:hint="eastAsia" w:ascii="黑体" w:hAnsi="黑体" w:eastAsia="黑体" w:cs="黑体"/>
          <w:kern w:val="2"/>
          <w:sz w:val="32"/>
          <w:szCs w:val="32"/>
        </w:rPr>
      </w:pPr>
      <w:r>
        <w:rPr>
          <w:rFonts w:hint="eastAsia" w:ascii="黑体" w:hAnsi="黑体" w:eastAsia="黑体" w:cs="黑体"/>
          <w:kern w:val="2"/>
          <w:sz w:val="32"/>
          <w:szCs w:val="32"/>
        </w:rPr>
        <w:t>基本职能及主要工作</w:t>
      </w:r>
    </w:p>
    <w:p w14:paraId="1B286CDD">
      <w:pPr>
        <w:pStyle w:val="18"/>
        <w:numPr>
          <w:ilvl w:val="0"/>
          <w:numId w:val="0"/>
        </w:numPr>
        <w:spacing w:before="0" w:line="360" w:lineRule="auto"/>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（一）部门职能简介</w:t>
      </w:r>
    </w:p>
    <w:p w14:paraId="7746501D">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1.负责贯彻落实国家、省、州生态环境基本制度。组织编制县域环境功能区划，会同有关部门编制并监督实施重点区域、流域、饮用水水源地生态环境规划和水功能区划。</w:t>
      </w:r>
    </w:p>
    <w:p w14:paraId="5AE80B34">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5EB25386">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3.负责落实县域污染物减排工作。完成污染物减排任务，实施生态环境保护目标责任制。承担排污许可证相关工作。负责应对气候变化工作。</w:t>
      </w:r>
    </w:p>
    <w:p w14:paraId="00B86743">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4.负责县域环境污染防治的监督管理。负责大气、水、土壤、噪声、光、恶臭、固体废物、化学品、机动车等的污染防治工作。</w:t>
      </w:r>
    </w:p>
    <w:p w14:paraId="6106F25B">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7E25EDB6">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6.组织县域开展生态环境保护督察。建立健全生态环境保护督察制度，组织协调州生态环境保护督察工作。</w:t>
      </w:r>
    </w:p>
    <w:p w14:paraId="160D3A8B">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7.负责县域生态环境监督执法。组织开展生态环境保护执法检查活动。开展态环境保护综合执法队伍建设和业务工作。</w:t>
      </w:r>
    </w:p>
    <w:p w14:paraId="300FBA3B">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8.组织县域生态环境宣传教育工作，推动社会组织和公众参与生态环境保护。</w:t>
      </w:r>
    </w:p>
    <w:p w14:paraId="4CC01417">
      <w:pPr>
        <w:pStyle w:val="18"/>
        <w:spacing w:before="0" w:line="360" w:lineRule="auto"/>
        <w:ind w:firstLine="627" w:firstLineChars="196"/>
        <w:rPr>
          <w:rFonts w:hint="eastAsia" w:hAnsi="黑体"/>
          <w:kern w:val="2"/>
          <w:sz w:val="32"/>
          <w:szCs w:val="32"/>
          <w:lang w:val="en-US" w:eastAsia="zh-CN"/>
        </w:rPr>
      </w:pPr>
      <w:r>
        <w:rPr>
          <w:rFonts w:hint="eastAsia" w:hAnsi="黑体"/>
          <w:kern w:val="2"/>
          <w:sz w:val="32"/>
          <w:szCs w:val="32"/>
          <w:lang w:val="en-US" w:eastAsia="zh-CN"/>
        </w:rPr>
        <w:t>9.完成州生态环境局交办的其他任务。</w:t>
      </w:r>
    </w:p>
    <w:p w14:paraId="6633AD66">
      <w:pPr>
        <w:pStyle w:val="18"/>
        <w:spacing w:before="0" w:line="360" w:lineRule="auto"/>
        <w:ind w:firstLine="630" w:firstLineChars="196"/>
        <w:rPr>
          <w:rFonts w:hint="eastAsia" w:hAnsi="黑体"/>
          <w:b/>
          <w:bCs/>
          <w:kern w:val="2"/>
          <w:sz w:val="32"/>
          <w:szCs w:val="32"/>
        </w:rPr>
      </w:pPr>
      <w:r>
        <w:rPr>
          <w:rFonts w:hint="eastAsia" w:hAnsi="黑体"/>
          <w:b/>
          <w:bCs/>
          <w:kern w:val="2"/>
          <w:sz w:val="32"/>
          <w:szCs w:val="32"/>
        </w:rPr>
        <w:t>（二）202</w:t>
      </w:r>
      <w:r>
        <w:rPr>
          <w:rFonts w:hint="eastAsia" w:hAnsi="黑体"/>
          <w:b/>
          <w:bCs/>
          <w:kern w:val="2"/>
          <w:sz w:val="32"/>
          <w:szCs w:val="32"/>
          <w:lang w:val="en-US" w:eastAsia="zh-CN"/>
        </w:rPr>
        <w:t>5</w:t>
      </w:r>
      <w:r>
        <w:rPr>
          <w:rFonts w:hint="eastAsia" w:hAnsi="黑体"/>
          <w:b/>
          <w:bCs/>
          <w:kern w:val="2"/>
          <w:sz w:val="32"/>
          <w:szCs w:val="32"/>
        </w:rPr>
        <w:t>年重点工作</w:t>
      </w:r>
    </w:p>
    <w:p w14:paraId="3FB37402">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仿宋_GB2312" w:eastAsia="仿宋_GB2312"/>
          <w:sz w:val="32"/>
          <w:szCs w:val="32"/>
        </w:rPr>
        <w:t>年，我局将</w:t>
      </w:r>
      <w:r>
        <w:rPr>
          <w:rFonts w:hint="eastAsia" w:ascii="仿宋_GB2312" w:hAnsi="仿宋_GB2312" w:eastAsia="仿宋_GB2312" w:cs="仿宋_GB2312"/>
          <w:sz w:val="32"/>
          <w:szCs w:val="32"/>
        </w:rPr>
        <w:t>坚定以习近平生态文明思想为指导,</w:t>
      </w:r>
      <w:r>
        <w:rPr>
          <w:rFonts w:hint="eastAsia" w:ascii="仿宋_GB2312" w:eastAsia="仿宋_GB2312"/>
          <w:sz w:val="32"/>
          <w:szCs w:val="32"/>
        </w:rPr>
        <w:t>以生态文明建设为龙头，以污染防治为重点，以环境管控为手段，以能力提升和作风建设为保障，</w:t>
      </w:r>
      <w:r>
        <w:rPr>
          <w:rFonts w:hint="eastAsia" w:ascii="Times New Roman" w:eastAsia="仿宋_GB2312" w:cs="Times New Roman"/>
          <w:sz w:val="32"/>
          <w:szCs w:val="32"/>
        </w:rPr>
        <w:t>以绝对忠诚诠释责任担当、以精诚团结凝聚发展合力</w:t>
      </w:r>
      <w:r>
        <w:rPr>
          <w:rFonts w:hint="eastAsia" w:ascii="Times New Roman" w:eastAsia="仿宋_GB2312" w:cs="Times New Roman"/>
          <w:sz w:val="32"/>
          <w:szCs w:val="32"/>
          <w:lang w:eastAsia="zh-CN"/>
        </w:rPr>
        <w:t>，</w:t>
      </w:r>
      <w:r>
        <w:rPr>
          <w:rFonts w:hint="eastAsia" w:ascii="仿宋_GB2312" w:eastAsia="仿宋_GB2312"/>
          <w:sz w:val="32"/>
          <w:szCs w:val="32"/>
        </w:rPr>
        <w:t>求真务实，真抓实干，扎实抓好各项工作落实。</w:t>
      </w:r>
    </w:p>
    <w:p w14:paraId="569F6A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持续推进污染防治工作。</w:t>
      </w:r>
      <w:r>
        <w:rPr>
          <w:rFonts w:hint="eastAsia" w:ascii="仿宋_GB2312" w:hAnsi="仿宋_GB2312" w:eastAsia="仿宋_GB2312" w:cs="仿宋_GB2312"/>
          <w:sz w:val="32"/>
          <w:szCs w:val="32"/>
        </w:rPr>
        <w:t>不断推进大气、水、土壤污染防治工作，</w:t>
      </w:r>
      <w:r>
        <w:rPr>
          <w:rFonts w:hint="eastAsia" w:ascii="仿宋_GB2312" w:eastAsia="仿宋_GB2312"/>
          <w:sz w:val="32"/>
          <w:szCs w:val="32"/>
        </w:rPr>
        <w:t>积极开展</w:t>
      </w:r>
      <w:r>
        <w:rPr>
          <w:rFonts w:hint="eastAsia" w:ascii="仿宋_GB2312" w:eastAsia="仿宋_GB2312"/>
          <w:sz w:val="32"/>
          <w:szCs w:val="32"/>
          <w:lang w:eastAsia="zh-CN"/>
        </w:rPr>
        <w:t>环境质量</w:t>
      </w:r>
      <w:r>
        <w:rPr>
          <w:rFonts w:hint="eastAsia" w:ascii="仿宋_GB2312" w:eastAsia="仿宋_GB2312"/>
          <w:sz w:val="32"/>
          <w:szCs w:val="32"/>
        </w:rPr>
        <w:t>监测</w:t>
      </w:r>
      <w:r>
        <w:rPr>
          <w:rFonts w:hint="eastAsia" w:ascii="仿宋_GB2312" w:eastAsia="仿宋_GB2312"/>
          <w:sz w:val="32"/>
          <w:szCs w:val="32"/>
          <w:lang w:eastAsia="zh-CN"/>
        </w:rPr>
        <w:t>，按照省州下达任务，实施“农村生活污水治理千村示范工程”，</w:t>
      </w:r>
      <w:r>
        <w:rPr>
          <w:rFonts w:hint="eastAsia" w:ascii="仿宋_GB2312" w:hAnsi="仿宋_GB2312" w:eastAsia="仿宋_GB2312" w:cs="仿宋_GB2312"/>
          <w:sz w:val="32"/>
          <w:szCs w:val="32"/>
        </w:rPr>
        <w:t>持续推动空水、气</w:t>
      </w:r>
      <w:r>
        <w:rPr>
          <w:rFonts w:hint="eastAsia" w:ascii="仿宋_GB2312" w:hAnsi="仿宋_GB2312" w:eastAsia="仿宋_GB2312" w:cs="仿宋_GB2312"/>
          <w:sz w:val="32"/>
          <w:szCs w:val="32"/>
          <w:lang w:eastAsia="zh-CN"/>
        </w:rPr>
        <w:t>、土</w:t>
      </w:r>
      <w:r>
        <w:rPr>
          <w:rFonts w:hint="eastAsia" w:ascii="仿宋_GB2312" w:hAnsi="仿宋_GB2312" w:eastAsia="仿宋_GB2312" w:cs="仿宋_GB2312"/>
          <w:sz w:val="32"/>
          <w:szCs w:val="32"/>
        </w:rPr>
        <w:t>等环境质量改善,不断提升城市环境品质和生态魅力。</w:t>
      </w:r>
      <w:r>
        <w:rPr>
          <w:rFonts w:hint="eastAsia" w:ascii="仿宋_GB2312" w:hAnsi="仿宋_GB2312" w:eastAsia="仿宋_GB2312" w:cs="仿宋_GB2312"/>
          <w:sz w:val="32"/>
          <w:szCs w:val="32"/>
          <w:lang w:eastAsia="zh-CN"/>
        </w:rPr>
        <w:t>持续推进“七大保护”行动“七大治理”工程。</w:t>
      </w:r>
    </w:p>
    <w:p w14:paraId="554344FD">
      <w:pPr>
        <w:keepNext w:val="0"/>
        <w:keepLines w:val="0"/>
        <w:pageBreakBefore w:val="0"/>
        <w:kinsoku/>
        <w:wordWrap/>
        <w:overflowPunct/>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持续加强环保执法监管。</w:t>
      </w:r>
      <w:r>
        <w:rPr>
          <w:rFonts w:hint="eastAsia" w:ascii="仿宋_GB2312" w:hAnsi="仿宋_GB2312" w:eastAsia="仿宋_GB2312" w:cs="仿宋_GB2312"/>
          <w:sz w:val="32"/>
          <w:szCs w:val="32"/>
        </w:rPr>
        <w:t>优化“双随机”机制，进一步加强环境执法监管，建立完善长效监管机制，严厉打击各类环境违法行为,大力解决突出环境问题。</w:t>
      </w:r>
    </w:p>
    <w:p w14:paraId="4767E669">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持续推进示范创建工作。</w:t>
      </w:r>
      <w:r>
        <w:rPr>
          <w:rFonts w:hint="eastAsia" w:ascii="仿宋_GB2312" w:hAnsi="仿宋_GB2312" w:eastAsia="仿宋_GB2312" w:cs="仿宋_GB2312"/>
          <w:sz w:val="32"/>
          <w:szCs w:val="32"/>
        </w:rPr>
        <w:t>按照《阿坝藏族羌族自治州壤塘县国家生态文明建设示范县规划（</w:t>
      </w:r>
      <w:r>
        <w:rPr>
          <w:rFonts w:hint="eastAsia" w:ascii="Times New Roman" w:hAnsi="Times New Roman" w:eastAsia="仿宋_GB2312" w:cs="Times New Roman"/>
          <w:sz w:val="32"/>
          <w:szCs w:val="32"/>
        </w:rPr>
        <w:t>2021-203</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）》时间节点推进</w:t>
      </w:r>
      <w:r>
        <w:rPr>
          <w:rFonts w:hint="eastAsia" w:ascii="仿宋_GB2312" w:hAnsi="仿宋_GB2312" w:eastAsia="仿宋_GB2312" w:cs="仿宋_GB2312"/>
          <w:sz w:val="32"/>
          <w:szCs w:val="32"/>
          <w:lang w:eastAsia="zh-CN"/>
        </w:rPr>
        <w:t>示范县创建</w:t>
      </w:r>
      <w:r>
        <w:rPr>
          <w:rFonts w:hint="eastAsia" w:ascii="仿宋_GB2312" w:hAnsi="仿宋_GB2312" w:eastAsia="仿宋_GB2312" w:cs="仿宋_GB2312"/>
          <w:sz w:val="32"/>
          <w:szCs w:val="32"/>
        </w:rPr>
        <w:t>工作，确保创建任务如期完成。</w:t>
      </w:r>
      <w:r>
        <w:rPr>
          <w:rFonts w:hint="eastAsia" w:ascii="仿宋_GB2312" w:hAnsi="仿宋_GB2312" w:eastAsia="仿宋_GB2312" w:cs="仿宋_GB2312"/>
          <w:sz w:val="32"/>
          <w:szCs w:val="32"/>
          <w:lang w:eastAsia="zh-CN"/>
        </w:rPr>
        <w:t>持续推进川甘青结合部河源生态文明示范县创建。</w:t>
      </w:r>
    </w:p>
    <w:p w14:paraId="00288A3A">
      <w:pPr>
        <w:pStyle w:val="2"/>
        <w:keepNext w:val="0"/>
        <w:keepLines w:val="0"/>
        <w:pageBreakBefore w:val="0"/>
        <w:kinsoku/>
        <w:wordWrap/>
        <w:overflowPunct/>
        <w:autoSpaceDE/>
        <w:autoSpaceDN/>
        <w:bidi w:val="0"/>
        <w:adjustRightInd/>
        <w:snapToGrid/>
        <w:spacing w:line="56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持续加强环保宣传教育。</w:t>
      </w:r>
      <w:r>
        <w:rPr>
          <w:rFonts w:hint="eastAsia" w:ascii="仿宋_GB2312" w:hAnsi="仿宋_GB2312" w:eastAsia="仿宋_GB2312" w:cs="仿宋_GB2312"/>
          <w:sz w:val="32"/>
          <w:szCs w:val="32"/>
        </w:rPr>
        <w:t>加强部门合作，扩大公众参与渠道，引导环保社会组织和志愿者队伍健康发展，努力营造全社会参与生态文明建设和生态环境保护的浓厚氛围。</w:t>
      </w:r>
    </w:p>
    <w:p w14:paraId="545AC0E3">
      <w:pPr>
        <w:pStyle w:val="18"/>
        <w:spacing w:before="0" w:line="360" w:lineRule="auto"/>
        <w:ind w:firstLine="627" w:firstLineChars="196"/>
        <w:rPr>
          <w:rFonts w:hint="eastAsia" w:ascii="黑体" w:hAnsi="黑体" w:eastAsia="黑体" w:cs="黑体"/>
          <w:kern w:val="2"/>
          <w:sz w:val="32"/>
          <w:szCs w:val="32"/>
          <w:lang w:eastAsia="zh-CN"/>
        </w:rPr>
      </w:pPr>
      <w:r>
        <w:rPr>
          <w:rFonts w:hint="eastAsia" w:ascii="黑体" w:hAnsi="黑体" w:eastAsia="黑体" w:cs="黑体"/>
          <w:kern w:val="2"/>
          <w:sz w:val="32"/>
          <w:szCs w:val="32"/>
        </w:rPr>
        <w:t>二、部门预算单位构成</w:t>
      </w:r>
    </w:p>
    <w:p w14:paraId="1B7A955A">
      <w:pPr>
        <w:pStyle w:val="18"/>
        <w:spacing w:before="0" w:line="360" w:lineRule="auto"/>
        <w:ind w:firstLine="627" w:firstLineChars="196"/>
        <w:rPr>
          <w:rFonts w:hint="eastAsia" w:hAnsi="黑体"/>
          <w:kern w:val="2"/>
          <w:sz w:val="32"/>
          <w:szCs w:val="32"/>
          <w:lang w:eastAsia="zh-CN"/>
        </w:rPr>
      </w:pPr>
      <w:r>
        <w:rPr>
          <w:rFonts w:hint="eastAsia" w:hAnsi="黑体"/>
          <w:kern w:val="2"/>
          <w:sz w:val="32"/>
          <w:szCs w:val="32"/>
          <w:lang w:val="en-US" w:eastAsia="zh-CN"/>
        </w:rPr>
        <w:t>壤塘生态环境局</w:t>
      </w:r>
      <w:r>
        <w:rPr>
          <w:rFonts w:hint="eastAsia" w:hAnsi="黑体"/>
          <w:kern w:val="2"/>
          <w:sz w:val="32"/>
          <w:szCs w:val="32"/>
        </w:rPr>
        <w:t>属一级预算单位，下属二级预算单位</w:t>
      </w:r>
      <w:r>
        <w:rPr>
          <w:rFonts w:hint="eastAsia" w:hAnsi="黑体"/>
          <w:kern w:val="2"/>
          <w:sz w:val="32"/>
          <w:szCs w:val="32"/>
          <w:lang w:val="en-US" w:eastAsia="zh-CN"/>
        </w:rPr>
        <w:t>1</w:t>
      </w:r>
      <w:r>
        <w:rPr>
          <w:rFonts w:hint="eastAsia" w:hAnsi="黑体"/>
          <w:kern w:val="2"/>
          <w:sz w:val="32"/>
          <w:szCs w:val="32"/>
        </w:rPr>
        <w:t>个，其中：行政单位</w:t>
      </w:r>
      <w:r>
        <w:rPr>
          <w:rFonts w:hint="eastAsia" w:hAnsi="黑体"/>
          <w:kern w:val="2"/>
          <w:sz w:val="32"/>
          <w:szCs w:val="32"/>
          <w:lang w:val="en-US" w:eastAsia="zh-CN"/>
        </w:rPr>
        <w:t>1</w:t>
      </w:r>
      <w:r>
        <w:rPr>
          <w:rFonts w:hint="eastAsia" w:hAnsi="黑体"/>
          <w:kern w:val="2"/>
          <w:sz w:val="32"/>
          <w:szCs w:val="32"/>
        </w:rPr>
        <w:t>个；参照公务员法管理的事业单位</w:t>
      </w:r>
      <w:r>
        <w:rPr>
          <w:rFonts w:hint="eastAsia" w:hAnsi="黑体"/>
          <w:kern w:val="2"/>
          <w:sz w:val="32"/>
          <w:szCs w:val="32"/>
          <w:lang w:val="en-US" w:eastAsia="zh-CN"/>
        </w:rPr>
        <w:t>0</w:t>
      </w:r>
      <w:r>
        <w:rPr>
          <w:rFonts w:hint="eastAsia" w:hAnsi="黑体"/>
          <w:kern w:val="2"/>
          <w:sz w:val="32"/>
          <w:szCs w:val="32"/>
        </w:rPr>
        <w:t>个；其他事业单位</w:t>
      </w:r>
      <w:r>
        <w:rPr>
          <w:rFonts w:hint="eastAsia" w:hAnsi="黑体"/>
          <w:kern w:val="2"/>
          <w:sz w:val="32"/>
          <w:szCs w:val="32"/>
          <w:lang w:val="en-US" w:eastAsia="zh-CN"/>
        </w:rPr>
        <w:t>1</w:t>
      </w:r>
      <w:r>
        <w:rPr>
          <w:rFonts w:hint="eastAsia" w:hAnsi="黑体"/>
          <w:kern w:val="2"/>
          <w:sz w:val="32"/>
          <w:szCs w:val="32"/>
        </w:rPr>
        <w:t>个。</w:t>
      </w:r>
      <w:r>
        <w:rPr>
          <w:rFonts w:hint="eastAsia" w:hAnsi="黑体"/>
          <w:kern w:val="2"/>
          <w:sz w:val="32"/>
          <w:szCs w:val="32"/>
          <w:lang w:val="en-US" w:eastAsia="zh-CN"/>
        </w:rPr>
        <w:t>本部门内设机构4个。总编制19名，其中：行政编制5名，参照公务员法管理的事业编制7名，其他事业单位7名。在职人员总数16名，其中：行政人员4名，参照公务员法管理的事业人员5名，其他事业单位7名；离休人员0人，退休人员2人；编外长期聘用的人员0名。</w:t>
      </w:r>
    </w:p>
    <w:p w14:paraId="554AFB0E">
      <w:pPr>
        <w:pStyle w:val="18"/>
        <w:spacing w:before="0" w:line="360" w:lineRule="auto"/>
        <w:ind w:firstLine="627" w:firstLineChars="196"/>
        <w:rPr>
          <w:rFonts w:hint="eastAsia" w:ascii="黑体" w:hAnsi="黑体" w:eastAsia="黑体" w:cs="黑体"/>
          <w:kern w:val="2"/>
          <w:sz w:val="32"/>
          <w:szCs w:val="32"/>
          <w:lang w:eastAsia="zh-CN"/>
        </w:rPr>
      </w:pPr>
      <w:r>
        <w:rPr>
          <w:rFonts w:hint="eastAsia" w:ascii="黑体" w:hAnsi="黑体" w:eastAsia="黑体" w:cs="黑体"/>
          <w:kern w:val="2"/>
          <w:sz w:val="32"/>
          <w:szCs w:val="32"/>
        </w:rPr>
        <w:t>三、收支预算情况说明</w:t>
      </w:r>
    </w:p>
    <w:p w14:paraId="68A81B96">
      <w:pPr>
        <w:pStyle w:val="18"/>
        <w:spacing w:before="0" w:line="360" w:lineRule="auto"/>
        <w:ind w:firstLine="313" w:firstLineChars="196"/>
        <w:rPr>
          <w:rFonts w:hint="eastAsia" w:hAnsi="黑体"/>
          <w:kern w:val="2"/>
          <w:sz w:val="32"/>
          <w:szCs w:val="32"/>
          <w:lang w:val="en-US" w:eastAsia="zh-CN"/>
        </w:rPr>
      </w:pPr>
      <w:r>
        <w:rPr>
          <w:rFonts w:hint="eastAsia" w:ascii="??" w:hAnsi="??" w:eastAsia="宋体" w:cs="宋体"/>
          <w:sz w:val="16"/>
          <w:szCs w:val="16"/>
        </w:rPr>
        <w:t>　　</w:t>
      </w:r>
      <w:r>
        <w:rPr>
          <w:rFonts w:hint="eastAsia" w:hAnsi="黑体"/>
          <w:kern w:val="2"/>
          <w:sz w:val="32"/>
          <w:szCs w:val="32"/>
        </w:rPr>
        <w:t>按照综合预算的原则，</w:t>
      </w:r>
      <w:r>
        <w:rPr>
          <w:rFonts w:hint="eastAsia" w:hAnsi="黑体"/>
          <w:kern w:val="2"/>
          <w:sz w:val="32"/>
          <w:szCs w:val="32"/>
          <w:lang w:val="en-US" w:eastAsia="zh-CN"/>
        </w:rPr>
        <w:t>壤塘生态环境局</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109.69</w:t>
      </w:r>
      <w:r>
        <w:rPr>
          <w:rFonts w:hint="eastAsia" w:hAnsi="黑体"/>
          <w:kern w:val="2"/>
          <w:sz w:val="32"/>
          <w:szCs w:val="32"/>
        </w:rPr>
        <w:t>万元，事业收入</w:t>
      </w:r>
      <w:r>
        <w:rPr>
          <w:rFonts w:hint="eastAsia" w:hAnsi="黑体" w:cs="Times New Roman"/>
          <w:kern w:val="2"/>
          <w:sz w:val="32"/>
          <w:szCs w:val="32"/>
          <w:lang w:val="en-US" w:eastAsia="zh-CN"/>
        </w:rPr>
        <w:t>0</w:t>
      </w:r>
      <w:r>
        <w:rPr>
          <w:rFonts w:hint="eastAsia" w:hAnsi="黑体"/>
          <w:kern w:val="2"/>
          <w:sz w:val="32"/>
          <w:szCs w:val="32"/>
        </w:rPr>
        <w:t>万元，其他收入</w:t>
      </w:r>
      <w:r>
        <w:rPr>
          <w:rFonts w:hint="eastAsia" w:hAnsi="黑体" w:cs="Times New Roman"/>
          <w:kern w:val="2"/>
          <w:sz w:val="32"/>
          <w:szCs w:val="32"/>
          <w:lang w:val="en-US" w:eastAsia="zh-CN"/>
        </w:rPr>
        <w:t>0</w:t>
      </w:r>
      <w:r>
        <w:rPr>
          <w:rFonts w:hint="eastAsia" w:hAnsi="黑体"/>
          <w:kern w:val="2"/>
          <w:sz w:val="32"/>
          <w:szCs w:val="32"/>
        </w:rPr>
        <w:t>万元，上年结转</w:t>
      </w:r>
      <w:r>
        <w:rPr>
          <w:rFonts w:hint="eastAsia" w:hAnsi="黑体" w:cs="Times New Roman"/>
          <w:kern w:val="2"/>
          <w:sz w:val="32"/>
          <w:szCs w:val="32"/>
          <w:lang w:val="en-US" w:eastAsia="zh-CN"/>
        </w:rPr>
        <w:t>0</w:t>
      </w:r>
      <w:r>
        <w:rPr>
          <w:rFonts w:hint="eastAsia" w:hAnsi="黑体"/>
          <w:kern w:val="2"/>
          <w:sz w:val="32"/>
          <w:szCs w:val="32"/>
        </w:rPr>
        <w:t>万元；支出包括：一般公共服务支出</w:t>
      </w:r>
      <w:r>
        <w:rPr>
          <w:rFonts w:hint="eastAsia" w:hAnsi="黑体" w:cs="Times New Roman"/>
          <w:kern w:val="2"/>
          <w:sz w:val="32"/>
          <w:szCs w:val="32"/>
          <w:lang w:val="en-US" w:eastAsia="zh-CN"/>
        </w:rPr>
        <w:t>0</w:t>
      </w:r>
      <w:r>
        <w:rPr>
          <w:rFonts w:hint="eastAsia" w:hAnsi="黑体"/>
          <w:kern w:val="2"/>
          <w:sz w:val="32"/>
          <w:szCs w:val="32"/>
        </w:rPr>
        <w:t>万元， 节能环保支出</w:t>
      </w:r>
      <w:r>
        <w:rPr>
          <w:rFonts w:hint="eastAsia" w:hAnsi="黑体" w:cs="Times New Roman"/>
          <w:kern w:val="2"/>
          <w:sz w:val="32"/>
          <w:szCs w:val="32"/>
          <w:lang w:val="en-US" w:eastAsia="zh-CN"/>
        </w:rPr>
        <w:t>84.78</w:t>
      </w:r>
      <w:r>
        <w:rPr>
          <w:rFonts w:hint="eastAsia" w:hAnsi="黑体"/>
          <w:kern w:val="2"/>
          <w:sz w:val="32"/>
          <w:szCs w:val="32"/>
        </w:rPr>
        <w:t>万元，文化体育与传媒支出</w:t>
      </w:r>
      <w:r>
        <w:rPr>
          <w:rFonts w:hint="eastAsia" w:hAnsi="黑体" w:cs="Times New Roman"/>
          <w:kern w:val="2"/>
          <w:sz w:val="32"/>
          <w:szCs w:val="32"/>
          <w:lang w:val="en-US" w:eastAsia="zh-CN"/>
        </w:rPr>
        <w:t>0</w:t>
      </w:r>
      <w:r>
        <w:rPr>
          <w:rFonts w:hint="eastAsia" w:hAnsi="黑体"/>
          <w:kern w:val="2"/>
          <w:sz w:val="32"/>
          <w:szCs w:val="32"/>
        </w:rPr>
        <w:t>万元，社会保障和就业支出</w:t>
      </w:r>
      <w:r>
        <w:rPr>
          <w:rFonts w:hint="eastAsia" w:hAnsi="黑体" w:cs="Times New Roman"/>
          <w:kern w:val="2"/>
          <w:sz w:val="32"/>
          <w:szCs w:val="32"/>
          <w:lang w:val="en-US" w:eastAsia="zh-CN"/>
        </w:rPr>
        <w:t>13.01</w:t>
      </w:r>
      <w:r>
        <w:rPr>
          <w:rFonts w:hint="eastAsia" w:hAnsi="黑体"/>
          <w:kern w:val="2"/>
          <w:sz w:val="32"/>
          <w:szCs w:val="32"/>
        </w:rPr>
        <w:t>万元，卫生健康支出支出</w:t>
      </w:r>
      <w:r>
        <w:rPr>
          <w:rFonts w:hint="eastAsia" w:hAnsi="黑体" w:cs="Times New Roman"/>
          <w:kern w:val="2"/>
          <w:sz w:val="32"/>
          <w:szCs w:val="32"/>
          <w:lang w:val="en-US" w:eastAsia="zh-CN"/>
        </w:rPr>
        <w:t>5.53</w:t>
      </w:r>
      <w:r>
        <w:rPr>
          <w:rFonts w:hint="eastAsia" w:hAnsi="黑体"/>
          <w:kern w:val="2"/>
          <w:sz w:val="32"/>
          <w:szCs w:val="32"/>
        </w:rPr>
        <w:t>万元，住房保障支出</w:t>
      </w:r>
      <w:r>
        <w:rPr>
          <w:rFonts w:hint="eastAsia" w:hAnsi="黑体" w:cs="Times New Roman"/>
          <w:kern w:val="2"/>
          <w:sz w:val="32"/>
          <w:szCs w:val="32"/>
          <w:lang w:val="en-US" w:eastAsia="zh-CN"/>
        </w:rPr>
        <w:t>6.37</w:t>
      </w:r>
      <w:r>
        <w:rPr>
          <w:rFonts w:hint="eastAsia" w:hAnsi="黑体"/>
          <w:kern w:val="2"/>
          <w:sz w:val="32"/>
          <w:szCs w:val="32"/>
        </w:rPr>
        <w:t>万元。</w:t>
      </w:r>
      <w:r>
        <w:rPr>
          <w:rFonts w:hint="eastAsia" w:hAnsi="黑体"/>
          <w:kern w:val="2"/>
          <w:sz w:val="32"/>
          <w:szCs w:val="32"/>
          <w:lang w:val="en-US" w:eastAsia="zh-CN"/>
        </w:rPr>
        <w:t>壤塘生态环境局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109.69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减少</w:t>
      </w:r>
      <w:r>
        <w:rPr>
          <w:rFonts w:hint="eastAsia" w:hAnsi="黑体" w:cs="Times New Roman"/>
          <w:kern w:val="2"/>
          <w:sz w:val="32"/>
          <w:szCs w:val="32"/>
          <w:lang w:val="en-US" w:eastAsia="zh-CN"/>
        </w:rPr>
        <w:t>78.64</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在职人员的职业年金、养老保险、住房公积金及其他社会保险的基数下降，公务用车维护费减少及项目预算减少。</w:t>
      </w:r>
    </w:p>
    <w:p w14:paraId="4A182B47">
      <w:pPr>
        <w:pStyle w:val="18"/>
        <w:spacing w:before="0" w:line="360" w:lineRule="auto"/>
        <w:ind w:firstLine="643" w:firstLineChars="200"/>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（一）收入预算情况</w:t>
      </w:r>
    </w:p>
    <w:p w14:paraId="6C41E153">
      <w:pPr>
        <w:pStyle w:val="18"/>
        <w:spacing w:before="0" w:line="360" w:lineRule="auto"/>
        <w:ind w:firstLine="627" w:firstLineChars="196"/>
        <w:rPr>
          <w:rFonts w:hint="eastAsia" w:hAnsi="黑体" w:eastAsia="仿宋_GB2312"/>
          <w:kern w:val="2"/>
          <w:sz w:val="32"/>
          <w:szCs w:val="32"/>
          <w:lang w:eastAsia="zh-CN"/>
        </w:rPr>
      </w:pPr>
      <w:r>
        <w:rPr>
          <w:rFonts w:hint="eastAsia" w:hAnsi="黑体"/>
          <w:kern w:val="2"/>
          <w:sz w:val="32"/>
          <w:szCs w:val="32"/>
          <w:lang w:val="en-US" w:eastAsia="zh-CN"/>
        </w:rPr>
        <w:t>壤塘生态环境局</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109.69</w:t>
      </w:r>
      <w:r>
        <w:rPr>
          <w:rFonts w:hint="eastAsia" w:hAnsi="黑体"/>
          <w:kern w:val="2"/>
          <w:sz w:val="32"/>
          <w:szCs w:val="32"/>
        </w:rPr>
        <w:t>万元，其中：上年结转</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lang w:val="en-US" w:eastAsia="zh-CN"/>
        </w:rPr>
        <w:t>109.69</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lang w:val="en-US" w:eastAsia="zh-CN"/>
        </w:rPr>
        <w:t>0</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1B7D60A7">
      <w:pPr>
        <w:pStyle w:val="18"/>
        <w:spacing w:before="0" w:line="360" w:lineRule="auto"/>
        <w:ind w:firstLine="643" w:firstLineChars="2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（二）支出预算情况</w:t>
      </w:r>
    </w:p>
    <w:p w14:paraId="18B2FF24">
      <w:pPr>
        <w:pStyle w:val="18"/>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壤塘生态环境局</w:t>
      </w:r>
      <w:r>
        <w:rPr>
          <w:rFonts w:hint="eastAsia" w:hAnsi="黑体"/>
          <w:kern w:val="2"/>
          <w:sz w:val="32"/>
          <w:szCs w:val="32"/>
          <w:lang w:eastAsia="zh-CN"/>
        </w:rPr>
        <w:t>2025年</w:t>
      </w:r>
      <w:r>
        <w:rPr>
          <w:rFonts w:hint="eastAsia" w:hAnsi="黑体"/>
          <w:kern w:val="2"/>
          <w:sz w:val="32"/>
          <w:szCs w:val="32"/>
        </w:rPr>
        <w:t>支出预算</w:t>
      </w:r>
      <w:r>
        <w:rPr>
          <w:rFonts w:hint="eastAsia" w:hAnsi="黑体" w:cs="Times New Roman"/>
          <w:kern w:val="2"/>
          <w:sz w:val="32"/>
          <w:szCs w:val="32"/>
          <w:lang w:val="en-US" w:eastAsia="zh-CN"/>
        </w:rPr>
        <w:t>109.69</w:t>
      </w:r>
      <w:r>
        <w:rPr>
          <w:rFonts w:hint="eastAsia" w:hAnsi="黑体"/>
          <w:kern w:val="2"/>
          <w:sz w:val="32"/>
          <w:szCs w:val="32"/>
        </w:rPr>
        <w:t>万元，其中：基本支出</w:t>
      </w:r>
      <w:r>
        <w:rPr>
          <w:rFonts w:hint="eastAsia" w:hAnsi="黑体" w:cs="Times New Roman"/>
          <w:kern w:val="2"/>
          <w:sz w:val="32"/>
          <w:szCs w:val="32"/>
          <w:lang w:val="en-US" w:eastAsia="zh-CN"/>
        </w:rPr>
        <w:t>91.01</w:t>
      </w:r>
      <w:r>
        <w:rPr>
          <w:rFonts w:hint="eastAsia" w:hAnsi="黑体"/>
          <w:kern w:val="2"/>
          <w:sz w:val="32"/>
          <w:szCs w:val="32"/>
        </w:rPr>
        <w:t>万元，占</w:t>
      </w:r>
      <w:r>
        <w:rPr>
          <w:rFonts w:hint="eastAsia" w:hAnsi="黑体" w:cs="Times New Roman"/>
          <w:kern w:val="2"/>
          <w:sz w:val="32"/>
          <w:szCs w:val="32"/>
          <w:lang w:val="en-US" w:eastAsia="zh-CN"/>
        </w:rPr>
        <w:t>91.41</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18.68</w:t>
      </w:r>
      <w:r>
        <w:rPr>
          <w:rFonts w:hint="eastAsia" w:hAnsi="黑体"/>
          <w:kern w:val="2"/>
          <w:sz w:val="32"/>
          <w:szCs w:val="32"/>
        </w:rPr>
        <w:t>万元，占</w:t>
      </w:r>
      <w:r>
        <w:rPr>
          <w:rFonts w:hint="eastAsia" w:hAnsi="黑体" w:cs="Times New Roman"/>
          <w:kern w:val="2"/>
          <w:sz w:val="32"/>
          <w:szCs w:val="32"/>
          <w:lang w:val="en-US" w:eastAsia="zh-CN"/>
        </w:rPr>
        <w:t>8.59</w:t>
      </w:r>
      <w:r>
        <w:rPr>
          <w:rFonts w:hAnsi="黑体"/>
          <w:kern w:val="2"/>
          <w:sz w:val="32"/>
          <w:szCs w:val="32"/>
        </w:rPr>
        <w:t>%</w:t>
      </w:r>
      <w:r>
        <w:rPr>
          <w:rFonts w:hint="eastAsia" w:hAnsi="黑体"/>
          <w:kern w:val="2"/>
          <w:sz w:val="32"/>
          <w:szCs w:val="32"/>
        </w:rPr>
        <w:t>　。</w:t>
      </w:r>
    </w:p>
    <w:p w14:paraId="23675341">
      <w:pPr>
        <w:pStyle w:val="18"/>
        <w:spacing w:before="0" w:line="360" w:lineRule="auto"/>
        <w:ind w:firstLine="627" w:firstLineChars="196"/>
        <w:rPr>
          <w:rFonts w:hint="eastAsia" w:ascii="黑体" w:hAnsi="黑体" w:eastAsia="黑体" w:cs="黑体"/>
          <w:kern w:val="2"/>
          <w:sz w:val="32"/>
          <w:szCs w:val="32"/>
          <w:lang w:eastAsia="zh-CN"/>
        </w:rPr>
      </w:pPr>
      <w:r>
        <w:rPr>
          <w:rFonts w:hint="eastAsia" w:ascii="黑体" w:hAnsi="黑体" w:eastAsia="黑体" w:cs="黑体"/>
          <w:kern w:val="2"/>
          <w:sz w:val="32"/>
          <w:szCs w:val="32"/>
        </w:rPr>
        <w:t>四、财政拨款收支预算情况说明</w:t>
      </w:r>
    </w:p>
    <w:p w14:paraId="70E93BF4">
      <w:pPr>
        <w:pStyle w:val="18"/>
        <w:spacing w:before="0" w:line="360" w:lineRule="auto"/>
        <w:ind w:firstLine="313" w:firstLineChars="196"/>
        <w:rPr>
          <w:rFonts w:hint="eastAsia" w:hAnsi="黑体"/>
          <w:kern w:val="2"/>
          <w:sz w:val="32"/>
          <w:szCs w:val="32"/>
          <w:lang w:val="en-US" w:eastAsia="zh-CN"/>
        </w:rPr>
      </w:pPr>
      <w:r>
        <w:rPr>
          <w:rFonts w:hint="eastAsia" w:ascii="??" w:hAnsi="??" w:eastAsia="宋体" w:cs="宋体"/>
          <w:sz w:val="16"/>
          <w:szCs w:val="16"/>
        </w:rPr>
        <w:t>　</w:t>
      </w:r>
      <w:r>
        <w:rPr>
          <w:rFonts w:hint="eastAsia" w:hAnsi="黑体"/>
          <w:kern w:val="2"/>
          <w:sz w:val="32"/>
          <w:szCs w:val="32"/>
          <w:lang w:val="en-US" w:eastAsia="zh-CN"/>
        </w:rPr>
        <w:t>壤塘生态环境局</w:t>
      </w:r>
      <w:r>
        <w:rPr>
          <w:rFonts w:hint="eastAsia" w:hAnsi="黑体"/>
          <w:kern w:val="2"/>
          <w:sz w:val="32"/>
          <w:szCs w:val="32"/>
          <w:lang w:eastAsia="zh-CN"/>
        </w:rPr>
        <w:t>2025年</w:t>
      </w:r>
      <w:r>
        <w:rPr>
          <w:rFonts w:hint="eastAsia" w:hAnsi="黑体"/>
          <w:kern w:val="2"/>
          <w:sz w:val="32"/>
          <w:szCs w:val="32"/>
        </w:rPr>
        <w:t>财政拨款收支总预算</w:t>
      </w:r>
      <w:r>
        <w:rPr>
          <w:rFonts w:hint="eastAsia" w:hAnsi="黑体" w:cs="Times New Roman"/>
          <w:kern w:val="2"/>
          <w:sz w:val="32"/>
          <w:szCs w:val="32"/>
          <w:lang w:val="en-US" w:eastAsia="zh-CN"/>
        </w:rPr>
        <w:t>109.69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int="eastAsia" w:hAnsi="黑体"/>
          <w:kern w:val="2"/>
          <w:sz w:val="32"/>
          <w:szCs w:val="32"/>
          <w:lang w:eastAsia="zh-CN"/>
        </w:rPr>
        <w:t>2024年</w:t>
      </w:r>
      <w:r>
        <w:rPr>
          <w:rFonts w:hint="eastAsia" w:hAnsi="黑体"/>
          <w:kern w:val="2"/>
          <w:sz w:val="32"/>
          <w:szCs w:val="32"/>
        </w:rPr>
        <w:t>收支预算总数</w:t>
      </w:r>
      <w:r>
        <w:rPr>
          <w:rFonts w:hint="eastAsia" w:hAnsi="黑体"/>
          <w:kern w:val="2"/>
          <w:sz w:val="32"/>
          <w:szCs w:val="32"/>
          <w:lang w:val="en-US" w:eastAsia="zh-CN"/>
        </w:rPr>
        <w:t>减少</w:t>
      </w:r>
      <w:r>
        <w:rPr>
          <w:rFonts w:hint="eastAsia" w:hAnsi="黑体" w:cs="Times New Roman"/>
          <w:kern w:val="2"/>
          <w:sz w:val="32"/>
          <w:szCs w:val="32"/>
          <w:lang w:val="en-US" w:eastAsia="zh-CN"/>
        </w:rPr>
        <w:t>78.64</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在职人员的职业年金、养老保险、住房公积金及其他社会保险的基数下降，公务用车维护费减少及项目预算减少。</w:t>
      </w:r>
    </w:p>
    <w:p w14:paraId="4E5BD7C4">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109.69</w:t>
      </w:r>
      <w:r>
        <w:rPr>
          <w:rFonts w:hint="eastAsia" w:hAnsi="黑体"/>
          <w:kern w:val="2"/>
          <w:sz w:val="32"/>
          <w:szCs w:val="32"/>
        </w:rPr>
        <w:t>万元，上年结转一般公共预算收入</w:t>
      </w:r>
      <w:r>
        <w:rPr>
          <w:rFonts w:hint="eastAsia" w:hAnsi="黑体"/>
          <w:kern w:val="2"/>
          <w:sz w:val="32"/>
          <w:szCs w:val="32"/>
          <w:lang w:val="en-US" w:eastAsia="zh-CN"/>
        </w:rPr>
        <w:t>0</w:t>
      </w:r>
      <w:r>
        <w:rPr>
          <w:rFonts w:hint="eastAsia" w:hAnsi="黑体"/>
          <w:kern w:val="2"/>
          <w:sz w:val="32"/>
          <w:szCs w:val="32"/>
        </w:rPr>
        <w:t>万元，上年结转财政拨款资金</w:t>
      </w:r>
      <w:r>
        <w:rPr>
          <w:rFonts w:hint="eastAsia" w:hAnsi="黑体"/>
          <w:kern w:val="2"/>
          <w:sz w:val="32"/>
          <w:szCs w:val="32"/>
          <w:lang w:val="en-US" w:eastAsia="zh-CN"/>
        </w:rPr>
        <w:t>0</w:t>
      </w:r>
      <w:r>
        <w:rPr>
          <w:rFonts w:hint="eastAsia" w:hAnsi="黑体"/>
          <w:kern w:val="2"/>
          <w:sz w:val="32"/>
          <w:szCs w:val="32"/>
        </w:rPr>
        <w:t>万元；</w:t>
      </w:r>
    </w:p>
    <w:p w14:paraId="0570C750">
      <w:pPr>
        <w:pStyle w:val="18"/>
        <w:spacing w:before="0" w:line="360" w:lineRule="auto"/>
        <w:ind w:firstLine="627" w:firstLineChars="196"/>
        <w:rPr>
          <w:rFonts w:hint="eastAsia" w:hAnsi="黑体" w:eastAsia="仿宋_GB2312"/>
          <w:kern w:val="2"/>
          <w:sz w:val="32"/>
          <w:szCs w:val="32"/>
          <w:lang w:val="en-US" w:eastAsia="zh-CN"/>
        </w:rPr>
      </w:pPr>
      <w:r>
        <w:rPr>
          <w:rFonts w:hint="eastAsia" w:hAnsi="黑体"/>
          <w:kern w:val="2"/>
          <w:sz w:val="32"/>
          <w:szCs w:val="32"/>
        </w:rPr>
        <w:t>支出包括：一般公共服务支出</w:t>
      </w:r>
      <w:r>
        <w:rPr>
          <w:rFonts w:hint="eastAsia" w:hAnsi="黑体"/>
          <w:kern w:val="2"/>
          <w:sz w:val="32"/>
          <w:szCs w:val="32"/>
          <w:lang w:val="en-US" w:eastAsia="zh-CN"/>
        </w:rPr>
        <w:t>0</w:t>
      </w:r>
      <w:r>
        <w:rPr>
          <w:rFonts w:hint="eastAsia" w:hAnsi="黑体"/>
          <w:kern w:val="2"/>
          <w:sz w:val="32"/>
          <w:szCs w:val="32"/>
        </w:rPr>
        <w:t>万元，教育支出</w:t>
      </w:r>
      <w:r>
        <w:rPr>
          <w:rFonts w:hint="eastAsia" w:hAnsi="黑体"/>
          <w:kern w:val="2"/>
          <w:sz w:val="32"/>
          <w:szCs w:val="32"/>
          <w:lang w:val="en-US" w:eastAsia="zh-CN"/>
        </w:rPr>
        <w:t>0</w:t>
      </w:r>
      <w:r>
        <w:rPr>
          <w:rFonts w:hint="eastAsia" w:hAnsi="黑体"/>
          <w:kern w:val="2"/>
          <w:sz w:val="32"/>
          <w:szCs w:val="32"/>
        </w:rPr>
        <w:t>万元，文化体育与传媒支出</w:t>
      </w:r>
      <w:r>
        <w:rPr>
          <w:rFonts w:hint="eastAsia" w:hAnsi="黑体"/>
          <w:kern w:val="2"/>
          <w:sz w:val="32"/>
          <w:szCs w:val="32"/>
          <w:lang w:val="en-US" w:eastAsia="zh-CN"/>
        </w:rPr>
        <w:t>0</w:t>
      </w:r>
      <w:r>
        <w:rPr>
          <w:rFonts w:hint="eastAsia" w:hAnsi="黑体"/>
          <w:kern w:val="2"/>
          <w:sz w:val="32"/>
          <w:szCs w:val="32"/>
        </w:rPr>
        <w:t>万元，社会保障和就业支出</w:t>
      </w:r>
      <w:r>
        <w:rPr>
          <w:rFonts w:hint="eastAsia" w:hAnsi="黑体"/>
          <w:kern w:val="2"/>
          <w:sz w:val="32"/>
          <w:szCs w:val="32"/>
          <w:lang w:val="en-US" w:eastAsia="zh-CN"/>
        </w:rPr>
        <w:t>13.01</w:t>
      </w:r>
      <w:r>
        <w:rPr>
          <w:rFonts w:hint="eastAsia" w:hAnsi="黑体"/>
          <w:kern w:val="2"/>
          <w:sz w:val="32"/>
          <w:szCs w:val="32"/>
        </w:rPr>
        <w:t>万元，卫生健康支出支出</w:t>
      </w:r>
      <w:r>
        <w:rPr>
          <w:rFonts w:hint="eastAsia" w:hAnsi="黑体"/>
          <w:kern w:val="2"/>
          <w:sz w:val="32"/>
          <w:szCs w:val="32"/>
          <w:lang w:val="en-US" w:eastAsia="zh-CN"/>
        </w:rPr>
        <w:t>5.53</w:t>
      </w:r>
      <w:r>
        <w:rPr>
          <w:rFonts w:hint="eastAsia" w:hAnsi="黑体"/>
          <w:kern w:val="2"/>
          <w:sz w:val="32"/>
          <w:szCs w:val="32"/>
        </w:rPr>
        <w:t>万元，节能环保支出</w:t>
      </w:r>
      <w:r>
        <w:rPr>
          <w:rFonts w:hint="eastAsia" w:hAnsi="黑体" w:cs="Times New Roman"/>
          <w:kern w:val="2"/>
          <w:sz w:val="32"/>
          <w:szCs w:val="32"/>
          <w:lang w:val="en-US" w:eastAsia="zh-CN"/>
        </w:rPr>
        <w:t>84.78</w:t>
      </w:r>
      <w:r>
        <w:rPr>
          <w:rFonts w:hint="eastAsia" w:hAnsi="黑体"/>
          <w:kern w:val="2"/>
          <w:sz w:val="32"/>
          <w:szCs w:val="32"/>
        </w:rPr>
        <w:t>万元，住房保障支出</w:t>
      </w:r>
      <w:r>
        <w:rPr>
          <w:rFonts w:hint="eastAsia" w:hAnsi="黑体" w:cs="Times New Roman"/>
          <w:kern w:val="2"/>
          <w:sz w:val="32"/>
          <w:szCs w:val="32"/>
          <w:lang w:val="en-US" w:eastAsia="zh-CN"/>
        </w:rPr>
        <w:t>6.37</w:t>
      </w:r>
      <w:r>
        <w:rPr>
          <w:rFonts w:hint="eastAsia" w:hAnsi="黑体"/>
          <w:kern w:val="2"/>
          <w:sz w:val="32"/>
          <w:szCs w:val="32"/>
        </w:rPr>
        <w:t>万元</w:t>
      </w:r>
      <w:r>
        <w:rPr>
          <w:rFonts w:hint="eastAsia" w:hAnsi="黑体"/>
          <w:kern w:val="2"/>
          <w:sz w:val="32"/>
          <w:szCs w:val="32"/>
          <w:lang w:eastAsia="zh-CN"/>
        </w:rPr>
        <w:t>。</w:t>
      </w:r>
    </w:p>
    <w:p w14:paraId="74CA2288">
      <w:pPr>
        <w:pStyle w:val="18"/>
        <w:spacing w:before="0" w:line="360" w:lineRule="auto"/>
        <w:ind w:firstLine="320" w:firstLineChars="100"/>
        <w:rPr>
          <w:rFonts w:ascii="??" w:hAnsi="??" w:eastAsia="宋体" w:cs="Times New Roman"/>
          <w:sz w:val="16"/>
          <w:szCs w:val="16"/>
        </w:rPr>
      </w:pPr>
      <w:r>
        <w:rPr>
          <w:rFonts w:hint="eastAsia" w:ascii="黑体" w:hAnsi="黑体" w:eastAsia="黑体" w:cs="黑体"/>
          <w:kern w:val="2"/>
          <w:sz w:val="32"/>
          <w:szCs w:val="32"/>
        </w:rPr>
        <w:t>五、一般公共预算当年拨款情况说明</w:t>
      </w:r>
    </w:p>
    <w:p w14:paraId="7DAD97DF">
      <w:pPr>
        <w:pStyle w:val="18"/>
        <w:spacing w:before="0" w:line="360" w:lineRule="auto"/>
        <w:ind w:firstLine="630" w:firstLineChars="196"/>
        <w:rPr>
          <w:rFonts w:hAnsi="黑体" w:cs="Times New Roman"/>
          <w:kern w:val="2"/>
          <w:sz w:val="32"/>
          <w:szCs w:val="32"/>
        </w:rPr>
      </w:pPr>
      <w:r>
        <w:rPr>
          <w:rFonts w:hint="eastAsia" w:ascii="楷体_GB2312" w:hAnsi="黑体" w:eastAsia="楷体_GB2312" w:cs="楷体_GB2312"/>
          <w:b/>
          <w:bCs/>
          <w:kern w:val="2"/>
          <w:sz w:val="32"/>
          <w:szCs w:val="32"/>
        </w:rPr>
        <w:t>（一）一般公共预算当年拨款规模变化情况</w:t>
      </w:r>
    </w:p>
    <w:p w14:paraId="16ADF54F">
      <w:pPr>
        <w:pStyle w:val="18"/>
        <w:spacing w:before="0" w:line="360" w:lineRule="auto"/>
        <w:ind w:firstLine="627" w:firstLineChars="196"/>
        <w:rPr>
          <w:rFonts w:hint="eastAsia" w:hAnsi="黑体"/>
          <w:kern w:val="2"/>
          <w:sz w:val="30"/>
          <w:szCs w:val="30"/>
          <w:lang w:val="en-US" w:eastAsia="zh-CN"/>
        </w:rPr>
      </w:pPr>
      <w:r>
        <w:rPr>
          <w:rFonts w:hint="eastAsia" w:hAnsi="黑体"/>
          <w:kern w:val="2"/>
          <w:sz w:val="32"/>
          <w:szCs w:val="32"/>
          <w:lang w:val="en-US" w:eastAsia="zh-CN"/>
        </w:rPr>
        <w:t>壤塘生态环境局</w:t>
      </w:r>
      <w:r>
        <w:rPr>
          <w:rFonts w:hint="eastAsia" w:hAnsi="黑体"/>
          <w:kern w:val="2"/>
          <w:sz w:val="32"/>
          <w:szCs w:val="32"/>
          <w:lang w:eastAsia="zh-CN"/>
        </w:rPr>
        <w:t>2025年</w:t>
      </w:r>
      <w:r>
        <w:rPr>
          <w:rFonts w:hint="eastAsia" w:hAnsi="黑体"/>
          <w:kern w:val="2"/>
          <w:sz w:val="32"/>
          <w:szCs w:val="32"/>
        </w:rPr>
        <w:t>一般公共预算当年拨款</w:t>
      </w:r>
      <w:r>
        <w:rPr>
          <w:rFonts w:hint="eastAsia" w:hAnsi="黑体"/>
          <w:kern w:val="2"/>
          <w:sz w:val="32"/>
          <w:szCs w:val="32"/>
          <w:lang w:val="en-US" w:eastAsia="zh-CN"/>
        </w:rPr>
        <w:t>109.69</w:t>
      </w:r>
      <w:r>
        <w:rPr>
          <w:rFonts w:hint="eastAsia" w:hAnsi="黑体"/>
          <w:kern w:val="2"/>
          <w:sz w:val="32"/>
          <w:szCs w:val="32"/>
        </w:rPr>
        <w:t>万元，比</w:t>
      </w:r>
      <w:r>
        <w:rPr>
          <w:rFonts w:hint="eastAsia" w:hAnsi="黑体"/>
          <w:kern w:val="2"/>
          <w:sz w:val="32"/>
          <w:szCs w:val="32"/>
          <w:lang w:eastAsia="zh-CN"/>
        </w:rPr>
        <w:t>2024年</w:t>
      </w:r>
      <w:r>
        <w:rPr>
          <w:rFonts w:hint="eastAsia" w:hAnsi="黑体"/>
          <w:kern w:val="2"/>
          <w:sz w:val="32"/>
          <w:szCs w:val="32"/>
        </w:rPr>
        <w:t>收支预算总数</w:t>
      </w:r>
      <w:r>
        <w:rPr>
          <w:rFonts w:hint="eastAsia" w:hAnsi="黑体"/>
          <w:kern w:val="2"/>
          <w:sz w:val="32"/>
          <w:szCs w:val="32"/>
          <w:lang w:val="en-US" w:eastAsia="zh-CN"/>
        </w:rPr>
        <w:t>减少</w:t>
      </w:r>
      <w:r>
        <w:rPr>
          <w:rFonts w:hint="eastAsia" w:hAnsi="黑体" w:cs="Times New Roman"/>
          <w:kern w:val="2"/>
          <w:sz w:val="32"/>
          <w:szCs w:val="32"/>
          <w:lang w:val="en-US" w:eastAsia="zh-CN"/>
        </w:rPr>
        <w:t>78.64</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在职人员的职业年金、养老保险、住房公积金及其他社会保险的基数下降，公务用车维护费减少及项目预算减少。</w:t>
      </w:r>
    </w:p>
    <w:p w14:paraId="243F3748">
      <w:pPr>
        <w:pStyle w:val="18"/>
        <w:spacing w:before="0" w:line="360" w:lineRule="auto"/>
        <w:ind w:firstLine="630" w:firstLineChars="196"/>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（二）一般公共预算当年拨款结构情况</w:t>
      </w:r>
    </w:p>
    <w:p w14:paraId="20E241D4">
      <w:pPr>
        <w:pStyle w:val="18"/>
        <w:spacing w:before="0" w:line="360" w:lineRule="auto"/>
        <w:ind w:firstLine="627" w:firstLineChars="196"/>
        <w:rPr>
          <w:rFonts w:hint="eastAsia" w:hAnsi="黑体" w:eastAsia="仿宋_GB2312"/>
          <w:kern w:val="2"/>
          <w:sz w:val="32"/>
          <w:szCs w:val="32"/>
          <w:lang w:eastAsia="zh-CN"/>
        </w:rPr>
      </w:pPr>
      <w:r>
        <w:rPr>
          <w:rFonts w:hint="eastAsia" w:hAnsi="黑体"/>
          <w:kern w:val="2"/>
          <w:sz w:val="32"/>
          <w:szCs w:val="32"/>
        </w:rPr>
        <w:t>一般公共服务支出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；教育支出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；文化体育与传媒支出</w:t>
      </w:r>
      <w:r>
        <w:rPr>
          <w:rFonts w:hint="eastAsia" w:hAnsi="黑体"/>
          <w:kern w:val="2"/>
          <w:sz w:val="32"/>
          <w:szCs w:val="32"/>
          <w:lang w:val="en-US" w:eastAsia="zh-CN"/>
        </w:rPr>
        <w:t>0</w:t>
      </w:r>
      <w:r>
        <w:rPr>
          <w:rFonts w:hint="eastAsia" w:hAnsi="黑体"/>
          <w:kern w:val="2"/>
          <w:sz w:val="32"/>
          <w:szCs w:val="32"/>
        </w:rPr>
        <w:t>万元，占</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rPr>
        <w:t>；社会保障和就业支出</w:t>
      </w:r>
      <w:r>
        <w:rPr>
          <w:rFonts w:hint="eastAsia" w:hAnsi="黑体"/>
          <w:kern w:val="2"/>
          <w:sz w:val="32"/>
          <w:szCs w:val="32"/>
          <w:lang w:val="en-US" w:eastAsia="zh-CN"/>
        </w:rPr>
        <w:t>13.01</w:t>
      </w:r>
      <w:r>
        <w:rPr>
          <w:rFonts w:hint="eastAsia" w:hAnsi="黑体"/>
          <w:kern w:val="2"/>
          <w:sz w:val="32"/>
          <w:szCs w:val="32"/>
        </w:rPr>
        <w:t>万元，占</w:t>
      </w:r>
      <w:r>
        <w:rPr>
          <w:rFonts w:hint="eastAsia" w:hAnsi="黑体"/>
          <w:kern w:val="2"/>
          <w:sz w:val="32"/>
          <w:szCs w:val="32"/>
          <w:lang w:val="en-US" w:eastAsia="zh-CN"/>
        </w:rPr>
        <w:t>8.71</w:t>
      </w:r>
      <w:r>
        <w:rPr>
          <w:rFonts w:hAnsi="黑体"/>
          <w:kern w:val="2"/>
          <w:sz w:val="32"/>
          <w:szCs w:val="32"/>
        </w:rPr>
        <w:t>%</w:t>
      </w:r>
      <w:r>
        <w:rPr>
          <w:rFonts w:hint="eastAsia" w:hAnsi="黑体"/>
          <w:kern w:val="2"/>
          <w:sz w:val="32"/>
          <w:szCs w:val="32"/>
        </w:rPr>
        <w:t>；卫生健康支出支出</w:t>
      </w:r>
      <w:r>
        <w:rPr>
          <w:rFonts w:hint="eastAsia" w:hAnsi="黑体"/>
          <w:kern w:val="2"/>
          <w:sz w:val="32"/>
          <w:szCs w:val="32"/>
          <w:lang w:val="en-US" w:eastAsia="zh-CN"/>
        </w:rPr>
        <w:t>5.53</w:t>
      </w:r>
      <w:r>
        <w:rPr>
          <w:rFonts w:hint="eastAsia" w:hAnsi="黑体"/>
          <w:kern w:val="2"/>
          <w:sz w:val="32"/>
          <w:szCs w:val="32"/>
        </w:rPr>
        <w:t>万元，占</w:t>
      </w:r>
      <w:r>
        <w:rPr>
          <w:rFonts w:hint="eastAsia" w:hAnsi="黑体"/>
          <w:kern w:val="2"/>
          <w:sz w:val="32"/>
          <w:szCs w:val="32"/>
          <w:lang w:val="en-US" w:eastAsia="zh-CN"/>
        </w:rPr>
        <w:t>4.84</w:t>
      </w:r>
      <w:r>
        <w:rPr>
          <w:rFonts w:hAnsi="黑体"/>
          <w:kern w:val="2"/>
          <w:sz w:val="32"/>
          <w:szCs w:val="32"/>
        </w:rPr>
        <w:t>%</w:t>
      </w:r>
      <w:r>
        <w:rPr>
          <w:rFonts w:hint="eastAsia" w:hAnsi="黑体"/>
          <w:kern w:val="2"/>
          <w:sz w:val="32"/>
          <w:szCs w:val="32"/>
          <w:lang w:eastAsia="zh-CN"/>
        </w:rPr>
        <w:t>；</w:t>
      </w:r>
      <w:r>
        <w:rPr>
          <w:rFonts w:hint="eastAsia" w:hAnsi="黑体"/>
          <w:kern w:val="2"/>
          <w:sz w:val="32"/>
          <w:szCs w:val="32"/>
        </w:rPr>
        <w:t>节能环保支出</w:t>
      </w:r>
      <w:r>
        <w:rPr>
          <w:rFonts w:hint="eastAsia" w:hAnsi="黑体" w:cs="Times New Roman"/>
          <w:kern w:val="2"/>
          <w:sz w:val="32"/>
          <w:szCs w:val="32"/>
          <w:lang w:val="en-US" w:eastAsia="zh-CN"/>
        </w:rPr>
        <w:t>84.78</w:t>
      </w:r>
      <w:r>
        <w:rPr>
          <w:rFonts w:hint="eastAsia" w:hAnsi="黑体"/>
          <w:kern w:val="2"/>
          <w:sz w:val="32"/>
          <w:szCs w:val="32"/>
        </w:rPr>
        <w:t>万元，占</w:t>
      </w:r>
      <w:r>
        <w:rPr>
          <w:rFonts w:hint="eastAsia" w:hAnsi="黑体"/>
          <w:kern w:val="2"/>
          <w:sz w:val="32"/>
          <w:szCs w:val="32"/>
          <w:lang w:val="en-US" w:eastAsia="zh-CN"/>
        </w:rPr>
        <w:t>80.46</w:t>
      </w:r>
      <w:r>
        <w:rPr>
          <w:rFonts w:hAnsi="黑体"/>
          <w:kern w:val="2"/>
          <w:sz w:val="32"/>
          <w:szCs w:val="32"/>
        </w:rPr>
        <w:t>%</w:t>
      </w:r>
      <w:r>
        <w:rPr>
          <w:rFonts w:hint="eastAsia" w:hAnsi="黑体"/>
          <w:kern w:val="2"/>
          <w:sz w:val="32"/>
          <w:szCs w:val="32"/>
          <w:lang w:eastAsia="zh-CN"/>
        </w:rPr>
        <w:t>；</w:t>
      </w:r>
      <w:r>
        <w:rPr>
          <w:rFonts w:hint="eastAsia" w:hAnsi="黑体"/>
          <w:kern w:val="2"/>
          <w:sz w:val="32"/>
          <w:szCs w:val="32"/>
        </w:rPr>
        <w:t>住房保障支出</w:t>
      </w:r>
      <w:r>
        <w:rPr>
          <w:rFonts w:hint="eastAsia" w:hAnsi="黑体" w:cs="Times New Roman"/>
          <w:kern w:val="2"/>
          <w:sz w:val="32"/>
          <w:szCs w:val="32"/>
          <w:lang w:val="en-US" w:eastAsia="zh-CN"/>
        </w:rPr>
        <w:t>6.37</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占</w:t>
      </w:r>
      <w:r>
        <w:rPr>
          <w:rFonts w:hint="eastAsia" w:hAnsi="黑体"/>
          <w:kern w:val="2"/>
          <w:sz w:val="32"/>
          <w:szCs w:val="32"/>
          <w:lang w:val="en-US" w:eastAsia="zh-CN"/>
        </w:rPr>
        <w:t>6.00</w:t>
      </w:r>
      <w:r>
        <w:rPr>
          <w:rFonts w:hAnsi="黑体"/>
          <w:kern w:val="2"/>
          <w:sz w:val="32"/>
          <w:szCs w:val="32"/>
        </w:rPr>
        <w:t>%</w:t>
      </w:r>
      <w:r>
        <w:rPr>
          <w:rFonts w:hint="eastAsia" w:hAnsi="黑体"/>
          <w:kern w:val="2"/>
          <w:sz w:val="32"/>
          <w:szCs w:val="32"/>
        </w:rPr>
        <w:t>。</w:t>
      </w:r>
    </w:p>
    <w:p w14:paraId="641D7AAE">
      <w:pPr>
        <w:pStyle w:val="18"/>
        <w:spacing w:before="0" w:line="360" w:lineRule="auto"/>
        <w:ind w:firstLine="630" w:firstLineChars="196"/>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（三）一般公共预算当年拨款具体使用情况</w:t>
      </w:r>
    </w:p>
    <w:p w14:paraId="46A0B9A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1．社会保障和就业支出</w:t>
      </w:r>
      <w:r>
        <w:rPr>
          <w:rFonts w:hint="eastAsia" w:hAnsi="黑体"/>
          <w:kern w:val="2"/>
          <w:sz w:val="32"/>
          <w:szCs w:val="32"/>
          <w:lang w:val="en-US" w:eastAsia="zh-CN"/>
        </w:rPr>
        <w:t>13.01</w:t>
      </w:r>
      <w:r>
        <w:rPr>
          <w:rFonts w:hint="eastAsia" w:ascii="仿宋_GB2312" w:hAnsi="黑体" w:eastAsia="仿宋_GB2312" w:cs="仿宋_GB2312"/>
          <w:kern w:val="2"/>
          <w:sz w:val="32"/>
          <w:szCs w:val="32"/>
          <w:lang w:val="en-US" w:eastAsia="zh-CN" w:bidi="ar-SA"/>
        </w:rPr>
        <w:t>万元，主要用于购买单位职工工资、养老保险等支出。</w:t>
      </w:r>
    </w:p>
    <w:p w14:paraId="56FFA9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2.卫生健康支出</w:t>
      </w:r>
      <w:r>
        <w:rPr>
          <w:rFonts w:hint="eastAsia" w:hAnsi="黑体"/>
          <w:kern w:val="2"/>
          <w:sz w:val="32"/>
          <w:szCs w:val="32"/>
          <w:lang w:val="en-US" w:eastAsia="zh-CN"/>
        </w:rPr>
        <w:t>5.53</w:t>
      </w:r>
      <w:r>
        <w:rPr>
          <w:rFonts w:hint="eastAsia" w:ascii="仿宋_GB2312" w:hAnsi="黑体" w:eastAsia="仿宋_GB2312" w:cs="仿宋_GB2312"/>
          <w:kern w:val="2"/>
          <w:sz w:val="32"/>
          <w:szCs w:val="32"/>
          <w:lang w:val="en-US" w:eastAsia="zh-CN" w:bidi="ar-SA"/>
        </w:rPr>
        <w:t>万元，主要用于购买单位职工的医疗保险等保险类支出。</w:t>
      </w:r>
    </w:p>
    <w:p w14:paraId="281AB5B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3．节能和环保支出</w:t>
      </w:r>
      <w:r>
        <w:rPr>
          <w:rFonts w:hint="eastAsia" w:hAnsi="黑体" w:cs="Times New Roman"/>
          <w:kern w:val="2"/>
          <w:sz w:val="32"/>
          <w:szCs w:val="32"/>
          <w:lang w:val="en-US" w:eastAsia="zh-CN"/>
        </w:rPr>
        <w:t>84.78</w:t>
      </w:r>
      <w:r>
        <w:rPr>
          <w:rFonts w:hint="eastAsia" w:ascii="仿宋_GB2312" w:hAnsi="黑体" w:eastAsia="仿宋_GB2312" w:cs="仿宋_GB2312"/>
          <w:kern w:val="2"/>
          <w:sz w:val="32"/>
          <w:szCs w:val="32"/>
          <w:lang w:val="en-US" w:eastAsia="zh-CN" w:bidi="ar-SA"/>
        </w:rPr>
        <w:t>万元，主要用于：环保督察、环保宣传、生态县创建、总量减排“三大战役”工作开展、污染源普查、环保执法、饮用水源地项目建设支出。</w:t>
      </w:r>
    </w:p>
    <w:p w14:paraId="3F632DF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4．住房保障支出</w:t>
      </w:r>
      <w:r>
        <w:rPr>
          <w:rFonts w:hint="eastAsia" w:hAnsi="黑体" w:cs="Times New Roman"/>
          <w:kern w:val="2"/>
          <w:sz w:val="32"/>
          <w:szCs w:val="32"/>
          <w:lang w:val="en-US" w:eastAsia="zh-CN"/>
        </w:rPr>
        <w:t>6.37</w:t>
      </w:r>
      <w:r>
        <w:rPr>
          <w:rFonts w:hint="eastAsia" w:ascii="仿宋_GB2312" w:hAnsi="黑体" w:eastAsia="仿宋_GB2312" w:cs="仿宋_GB2312"/>
          <w:kern w:val="2"/>
          <w:sz w:val="32"/>
          <w:szCs w:val="32"/>
          <w:lang w:val="en-US" w:eastAsia="zh-CN" w:bidi="ar-SA"/>
        </w:rPr>
        <w:t>万元，主要用于购买单位职工的住房公积金等支出。</w:t>
      </w:r>
    </w:p>
    <w:p w14:paraId="44B1F9FC">
      <w:pPr>
        <w:pStyle w:val="18"/>
        <w:tabs>
          <w:tab w:val="left" w:pos="720"/>
        </w:tabs>
        <w:spacing w:before="0" w:line="360" w:lineRule="auto"/>
        <w:rPr>
          <w:rFonts w:ascii="??" w:hAnsi="??" w:eastAsia="宋体" w:cs="Times New Roman"/>
          <w:b/>
          <w:bCs/>
          <w:sz w:val="16"/>
          <w:szCs w:val="16"/>
        </w:rPr>
      </w:pPr>
      <w:r>
        <w:rPr>
          <w:rFonts w:hint="eastAsia" w:ascii="??" w:hAnsi="??" w:eastAsia="宋体" w:cs="宋体"/>
          <w:sz w:val="16"/>
          <w:szCs w:val="16"/>
        </w:rPr>
        <w:t>　</w:t>
      </w:r>
      <w:r>
        <w:rPr>
          <w:rFonts w:hint="eastAsia" w:ascii="??" w:hAnsi="??" w:eastAsia="宋体" w:cs="宋体"/>
          <w:sz w:val="16"/>
          <w:szCs w:val="16"/>
          <w:lang w:val="en-US" w:eastAsia="zh-CN"/>
        </w:rPr>
        <w:t xml:space="preserve"> </w:t>
      </w:r>
      <w:r>
        <w:rPr>
          <w:rFonts w:ascii="??" w:hAnsi="??" w:eastAsia="宋体" w:cs="??"/>
          <w:b/>
          <w:bCs/>
          <w:sz w:val="16"/>
          <w:szCs w:val="16"/>
        </w:rPr>
        <w:t xml:space="preserve">  </w:t>
      </w:r>
      <w:r>
        <w:rPr>
          <w:rFonts w:hint="eastAsia" w:ascii="黑体" w:hAnsi="黑体" w:eastAsia="黑体" w:cs="黑体"/>
          <w:kern w:val="2"/>
          <w:sz w:val="32"/>
          <w:szCs w:val="32"/>
        </w:rPr>
        <w:t>六、一般公共预算基本支出情况说明</w:t>
      </w:r>
    </w:p>
    <w:p w14:paraId="0C568E2D">
      <w:pPr>
        <w:pStyle w:val="18"/>
        <w:spacing w:before="0" w:line="360" w:lineRule="auto"/>
        <w:ind w:firstLine="640" w:firstLineChars="200"/>
        <w:rPr>
          <w:rFonts w:hint="eastAsia" w:hAnsi="黑体" w:eastAsia="仿宋_GB2312" w:cs="Times New Roman"/>
          <w:kern w:val="2"/>
          <w:sz w:val="32"/>
          <w:szCs w:val="32"/>
          <w:lang w:val="en-US" w:eastAsia="zh-CN"/>
        </w:rPr>
      </w:pPr>
      <w:r>
        <w:rPr>
          <w:rFonts w:hint="eastAsia" w:hAnsi="黑体"/>
          <w:kern w:val="2"/>
          <w:sz w:val="32"/>
          <w:szCs w:val="32"/>
          <w:lang w:val="en-US" w:eastAsia="zh-CN"/>
        </w:rPr>
        <w:t>壤塘生态环境局</w:t>
      </w:r>
      <w:r>
        <w:rPr>
          <w:rFonts w:hint="eastAsia" w:hAnsi="黑体"/>
          <w:kern w:val="2"/>
          <w:sz w:val="32"/>
          <w:szCs w:val="32"/>
          <w:lang w:eastAsia="zh-CN"/>
        </w:rPr>
        <w:t>2025年</w:t>
      </w:r>
      <w:r>
        <w:rPr>
          <w:rFonts w:hint="eastAsia" w:hAnsi="黑体"/>
          <w:kern w:val="2"/>
          <w:sz w:val="32"/>
          <w:szCs w:val="32"/>
        </w:rPr>
        <w:t>一般公共预算基本支出</w:t>
      </w:r>
      <w:r>
        <w:rPr>
          <w:rFonts w:hint="eastAsia" w:hAnsi="黑体"/>
          <w:kern w:val="2"/>
          <w:sz w:val="32"/>
          <w:szCs w:val="32"/>
          <w:lang w:val="en-US" w:eastAsia="zh-CN"/>
        </w:rPr>
        <w:t>109.69</w:t>
      </w:r>
      <w:r>
        <w:rPr>
          <w:rFonts w:hint="eastAsia" w:hAnsi="黑体"/>
          <w:kern w:val="2"/>
          <w:sz w:val="32"/>
          <w:szCs w:val="32"/>
        </w:rPr>
        <w:t>万元，其中：</w:t>
      </w:r>
      <w:r>
        <w:rPr>
          <w:rFonts w:hint="eastAsia" w:hAnsi="黑体"/>
          <w:b/>
          <w:bCs/>
          <w:kern w:val="2"/>
          <w:sz w:val="32"/>
          <w:szCs w:val="32"/>
        </w:rPr>
        <w:t>人员经费</w:t>
      </w:r>
      <w:r>
        <w:rPr>
          <w:rFonts w:hint="eastAsia" w:hAnsi="黑体"/>
          <w:b/>
          <w:bCs/>
          <w:kern w:val="2"/>
          <w:sz w:val="32"/>
          <w:szCs w:val="32"/>
          <w:lang w:val="en-US" w:eastAsia="zh-CN"/>
        </w:rPr>
        <w:t>66.17</w:t>
      </w:r>
      <w:r>
        <w:rPr>
          <w:rFonts w:hint="eastAsia" w:hAnsi="黑体"/>
          <w:b/>
          <w:bCs/>
          <w:kern w:val="2"/>
          <w:sz w:val="32"/>
          <w:szCs w:val="32"/>
        </w:rPr>
        <w:t>万元，</w:t>
      </w:r>
      <w:r>
        <w:rPr>
          <w:rFonts w:hint="eastAsia" w:hAnsi="黑体"/>
          <w:kern w:val="2"/>
          <w:sz w:val="32"/>
          <w:szCs w:val="32"/>
        </w:rPr>
        <w:t>主要包括： 其他社会保障缴费</w:t>
      </w:r>
      <w:r>
        <w:rPr>
          <w:rFonts w:hint="eastAsia" w:hAnsi="黑体"/>
          <w:kern w:val="2"/>
          <w:sz w:val="32"/>
          <w:szCs w:val="32"/>
          <w:lang w:val="en-US" w:eastAsia="zh-CN"/>
        </w:rPr>
        <w:t>0.43万元</w:t>
      </w:r>
      <w:r>
        <w:rPr>
          <w:rFonts w:hint="eastAsia" w:hAnsi="黑体"/>
          <w:kern w:val="2"/>
          <w:sz w:val="32"/>
          <w:szCs w:val="32"/>
        </w:rPr>
        <w:t>、</w:t>
      </w:r>
      <w:r>
        <w:rPr>
          <w:rFonts w:hint="eastAsia" w:hAnsi="黑体"/>
          <w:kern w:val="2"/>
          <w:sz w:val="32"/>
          <w:szCs w:val="32"/>
          <w:lang w:val="en-US" w:eastAsia="zh-CN"/>
        </w:rPr>
        <w:t>公务员医疗补助缴费1.73万元、职工基本医疗保险缴费3.79万元、津贴补贴25.72万元、奖金1.15万元、职业年金缴费4.34万元、</w:t>
      </w:r>
      <w:r>
        <w:rPr>
          <w:rFonts w:hint="eastAsia" w:hAnsi="黑体"/>
          <w:kern w:val="2"/>
          <w:sz w:val="32"/>
          <w:szCs w:val="32"/>
        </w:rPr>
        <w:t>住房公积金</w:t>
      </w:r>
      <w:r>
        <w:rPr>
          <w:rFonts w:hint="eastAsia" w:hAnsi="黑体"/>
          <w:kern w:val="2"/>
          <w:sz w:val="32"/>
          <w:szCs w:val="32"/>
          <w:lang w:val="en-US" w:eastAsia="zh-CN"/>
        </w:rPr>
        <w:t>6.37万元、基本工资13.74万元</w:t>
      </w:r>
      <w:r>
        <w:rPr>
          <w:rFonts w:hint="eastAsia" w:hAnsi="黑体"/>
          <w:kern w:val="2"/>
          <w:sz w:val="32"/>
          <w:szCs w:val="32"/>
        </w:rPr>
        <w:t>、</w:t>
      </w:r>
      <w:r>
        <w:rPr>
          <w:rFonts w:hint="eastAsia" w:hAnsi="黑体"/>
          <w:kern w:val="2"/>
          <w:sz w:val="32"/>
          <w:szCs w:val="32"/>
          <w:lang w:val="en-US" w:eastAsia="zh-CN"/>
        </w:rPr>
        <w:t>机关事业单位基本养老保险缴费8.67万元、其他商品和服务支出1.92万元</w:t>
      </w:r>
      <w:r>
        <w:rPr>
          <w:rFonts w:hint="eastAsia" w:hAnsi="黑体"/>
          <w:kern w:val="2"/>
          <w:sz w:val="32"/>
          <w:szCs w:val="32"/>
        </w:rPr>
        <w:t>。</w:t>
      </w:r>
      <w:r>
        <w:rPr>
          <w:rFonts w:hint="eastAsia" w:hAnsi="黑体"/>
          <w:b/>
          <w:bCs/>
          <w:kern w:val="2"/>
          <w:sz w:val="32"/>
          <w:szCs w:val="32"/>
        </w:rPr>
        <w:t>公用经费</w:t>
      </w:r>
      <w:r>
        <w:rPr>
          <w:rFonts w:hint="eastAsia" w:hAnsi="黑体"/>
          <w:b/>
          <w:bCs/>
          <w:kern w:val="2"/>
          <w:sz w:val="32"/>
          <w:szCs w:val="32"/>
          <w:lang w:val="en-US" w:eastAsia="zh-CN"/>
        </w:rPr>
        <w:t>25.07</w:t>
      </w:r>
      <w:r>
        <w:rPr>
          <w:rFonts w:hint="eastAsia" w:hAnsi="黑体"/>
          <w:b/>
          <w:bCs/>
          <w:kern w:val="2"/>
          <w:sz w:val="32"/>
          <w:szCs w:val="32"/>
        </w:rPr>
        <w:t>万元，</w:t>
      </w:r>
      <w:r>
        <w:rPr>
          <w:rFonts w:hint="eastAsia" w:hAnsi="黑体"/>
          <w:kern w:val="2"/>
          <w:sz w:val="32"/>
          <w:szCs w:val="32"/>
        </w:rPr>
        <w:t>主要包括：</w:t>
      </w:r>
      <w:r>
        <w:rPr>
          <w:rFonts w:hint="eastAsia" w:hAnsi="黑体"/>
          <w:kern w:val="2"/>
          <w:sz w:val="32"/>
          <w:szCs w:val="32"/>
          <w:lang w:val="en-US" w:eastAsia="zh-CN"/>
        </w:rPr>
        <w:t>取暖费0.17万元、</w:t>
      </w:r>
      <w:r>
        <w:rPr>
          <w:rFonts w:hint="eastAsia" w:hAnsi="黑体"/>
          <w:kern w:val="2"/>
          <w:sz w:val="32"/>
          <w:szCs w:val="32"/>
        </w:rPr>
        <w:t>公务用车运行维护费</w:t>
      </w:r>
      <w:r>
        <w:rPr>
          <w:rFonts w:hint="eastAsia" w:hAnsi="黑体"/>
          <w:kern w:val="2"/>
          <w:sz w:val="32"/>
          <w:szCs w:val="32"/>
          <w:lang w:val="en-US" w:eastAsia="zh-CN"/>
        </w:rPr>
        <w:t>11.52万元、</w:t>
      </w:r>
      <w:r>
        <w:rPr>
          <w:rFonts w:hint="eastAsia" w:hAnsi="黑体"/>
          <w:kern w:val="2"/>
          <w:sz w:val="32"/>
          <w:szCs w:val="32"/>
        </w:rPr>
        <w:t>培训费</w:t>
      </w:r>
      <w:r>
        <w:rPr>
          <w:rFonts w:hint="eastAsia" w:hAnsi="黑体"/>
          <w:kern w:val="2"/>
          <w:sz w:val="32"/>
          <w:szCs w:val="32"/>
          <w:lang w:val="en-US" w:eastAsia="zh-CN"/>
        </w:rPr>
        <w:t>0.72万元</w:t>
      </w:r>
      <w:r>
        <w:rPr>
          <w:rFonts w:hint="eastAsia" w:hAnsi="黑体"/>
          <w:kern w:val="2"/>
          <w:sz w:val="32"/>
          <w:szCs w:val="32"/>
        </w:rPr>
        <w:t>、维修（护）费</w:t>
      </w:r>
      <w:r>
        <w:rPr>
          <w:rFonts w:hint="eastAsia" w:hAnsi="黑体"/>
          <w:kern w:val="2"/>
          <w:sz w:val="32"/>
          <w:szCs w:val="32"/>
          <w:lang w:val="en-US" w:eastAsia="zh-CN"/>
        </w:rPr>
        <w:t>0.84万元</w:t>
      </w:r>
      <w:r>
        <w:rPr>
          <w:rFonts w:hint="eastAsia" w:hAnsi="黑体"/>
          <w:kern w:val="2"/>
          <w:sz w:val="32"/>
          <w:szCs w:val="32"/>
        </w:rPr>
        <w:t>、</w:t>
      </w:r>
      <w:r>
        <w:rPr>
          <w:rFonts w:hint="eastAsia" w:hAnsi="黑体"/>
          <w:kern w:val="2"/>
          <w:sz w:val="32"/>
          <w:szCs w:val="32"/>
          <w:lang w:val="en-US" w:eastAsia="zh-CN"/>
        </w:rPr>
        <w:t>水费0.13万元、差旅费3.83万元、邮电费1.26万元、</w:t>
      </w:r>
      <w:r>
        <w:rPr>
          <w:rFonts w:hint="eastAsia" w:hAnsi="黑体"/>
          <w:kern w:val="2"/>
          <w:sz w:val="32"/>
          <w:szCs w:val="32"/>
        </w:rPr>
        <w:t>公务接待费</w:t>
      </w:r>
      <w:r>
        <w:rPr>
          <w:rFonts w:hint="eastAsia" w:hAnsi="黑体"/>
          <w:kern w:val="2"/>
          <w:sz w:val="32"/>
          <w:szCs w:val="32"/>
          <w:lang w:val="en-US" w:eastAsia="zh-CN"/>
        </w:rPr>
        <w:t>0.46万元、</w:t>
      </w:r>
      <w:r>
        <w:rPr>
          <w:rFonts w:hint="eastAsia" w:hAnsi="黑体"/>
          <w:kern w:val="2"/>
          <w:sz w:val="32"/>
          <w:szCs w:val="32"/>
        </w:rPr>
        <w:t>其他商品和服务支出</w:t>
      </w:r>
      <w:r>
        <w:rPr>
          <w:rFonts w:hint="eastAsia" w:hAnsi="黑体"/>
          <w:kern w:val="2"/>
          <w:sz w:val="32"/>
          <w:szCs w:val="32"/>
          <w:lang w:val="en-US" w:eastAsia="zh-CN"/>
        </w:rPr>
        <w:t>1.92万元、福利费3.79万元、</w:t>
      </w:r>
      <w:r>
        <w:rPr>
          <w:rFonts w:hint="eastAsia" w:hAnsi="黑体"/>
          <w:kern w:val="2"/>
          <w:sz w:val="32"/>
          <w:szCs w:val="32"/>
        </w:rPr>
        <w:t>办公费</w:t>
      </w:r>
      <w:r>
        <w:rPr>
          <w:rFonts w:hint="eastAsia" w:hAnsi="黑体"/>
          <w:kern w:val="2"/>
          <w:sz w:val="32"/>
          <w:szCs w:val="32"/>
          <w:lang w:val="en-US" w:eastAsia="zh-CN"/>
        </w:rPr>
        <w:t>0.43万元。</w:t>
      </w:r>
    </w:p>
    <w:p w14:paraId="368C92DB">
      <w:pPr>
        <w:pStyle w:val="18"/>
        <w:spacing w:before="0" w:line="360" w:lineRule="auto"/>
        <w:ind w:firstLine="320" w:firstLineChars="100"/>
        <w:rPr>
          <w:rFonts w:ascii="??" w:hAnsi="??" w:eastAsia="宋体" w:cs="Times New Roman"/>
          <w:sz w:val="16"/>
          <w:szCs w:val="16"/>
        </w:rPr>
      </w:pPr>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p>
    <w:p w14:paraId="3D051EC2">
      <w:pPr>
        <w:pStyle w:val="18"/>
        <w:spacing w:before="0" w:line="360" w:lineRule="auto"/>
        <w:ind w:firstLine="640" w:firstLineChars="200"/>
        <w:rPr>
          <w:rFonts w:hAnsi="黑体" w:cs="Times New Roman"/>
          <w:kern w:val="2"/>
          <w:sz w:val="32"/>
          <w:szCs w:val="32"/>
        </w:rPr>
      </w:pPr>
      <w:r>
        <w:rPr>
          <w:rFonts w:hint="eastAsia" w:hAnsi="黑体"/>
          <w:kern w:val="2"/>
          <w:sz w:val="32"/>
          <w:szCs w:val="32"/>
          <w:lang w:val="en-US" w:eastAsia="zh-CN"/>
        </w:rPr>
        <w:t>阿坝州壤塘生态环境局</w:t>
      </w:r>
      <w:r>
        <w:rPr>
          <w:rFonts w:hint="eastAsia" w:hAnsi="黑体"/>
          <w:kern w:val="2"/>
          <w:sz w:val="32"/>
          <w:szCs w:val="32"/>
          <w:lang w:eastAsia="zh-CN"/>
        </w:rPr>
        <w:t>2025年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11.98</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0.46</w:t>
      </w:r>
      <w:r>
        <w:rPr>
          <w:rFonts w:hint="eastAsia" w:hAnsi="黑体"/>
          <w:kern w:val="2"/>
          <w:sz w:val="32"/>
          <w:szCs w:val="32"/>
        </w:rPr>
        <w:t>万元，公务用车购置及运行维护费</w:t>
      </w:r>
      <w:r>
        <w:rPr>
          <w:rFonts w:hint="eastAsia" w:hAnsi="黑体"/>
          <w:kern w:val="2"/>
          <w:sz w:val="32"/>
          <w:szCs w:val="32"/>
          <w:lang w:val="en-US" w:eastAsia="zh-CN"/>
        </w:rPr>
        <w:t>11.52</w:t>
      </w:r>
      <w:r>
        <w:rPr>
          <w:rFonts w:hint="eastAsia" w:hAnsi="黑体"/>
          <w:kern w:val="2"/>
          <w:sz w:val="32"/>
          <w:szCs w:val="32"/>
        </w:rPr>
        <w:t>万元。</w:t>
      </w:r>
    </w:p>
    <w:p w14:paraId="1FAE373B">
      <w:pPr>
        <w:pStyle w:val="18"/>
        <w:spacing w:before="0" w:line="360" w:lineRule="auto"/>
        <w:ind w:firstLine="640" w:firstLineChars="200"/>
        <w:rPr>
          <w:rFonts w:hint="eastAsia" w:hAnsi="黑体" w:eastAsia="仿宋_GB2312"/>
          <w:kern w:val="2"/>
          <w:sz w:val="32"/>
          <w:szCs w:val="32"/>
          <w:lang w:val="en-US" w:eastAsia="zh-CN"/>
        </w:rPr>
      </w:pPr>
      <w:r>
        <w:rPr>
          <w:rFonts w:hint="eastAsia" w:hAnsi="黑体"/>
          <w:kern w:val="2"/>
          <w:sz w:val="32"/>
          <w:szCs w:val="32"/>
        </w:rPr>
        <w:t>（一）</w:t>
      </w:r>
      <w:r>
        <w:rPr>
          <w:rFonts w:hint="eastAsia" w:hAnsi="黑体"/>
          <w:kern w:val="2"/>
          <w:sz w:val="32"/>
          <w:szCs w:val="32"/>
          <w:lang w:eastAsia="zh-CN"/>
        </w:rPr>
        <w:t>2025年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万元。较</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0</w:t>
      </w:r>
      <w:r>
        <w:rPr>
          <w:rFonts w:hint="eastAsia" w:hAnsi="黑体"/>
          <w:kern w:val="2"/>
          <w:sz w:val="32"/>
          <w:szCs w:val="32"/>
        </w:rPr>
        <w:t>万元增长</w:t>
      </w:r>
      <w:r>
        <w:rPr>
          <w:rFonts w:hint="eastAsia" w:hAnsi="黑体"/>
          <w:kern w:val="2"/>
          <w:sz w:val="32"/>
          <w:szCs w:val="32"/>
          <w:lang w:val="en-US" w:eastAsia="zh-CN"/>
        </w:rPr>
        <w:t>0</w:t>
      </w:r>
      <w:r>
        <w:rPr>
          <w:rFonts w:hAnsi="黑体"/>
          <w:kern w:val="2"/>
          <w:sz w:val="32"/>
          <w:szCs w:val="32"/>
        </w:rPr>
        <w:t>%</w:t>
      </w:r>
      <w:r>
        <w:rPr>
          <w:rFonts w:hint="eastAsia" w:hAnsi="黑体"/>
          <w:kern w:val="2"/>
          <w:sz w:val="32"/>
          <w:szCs w:val="32"/>
          <w:lang w:val="en-US" w:eastAsia="zh-CN"/>
        </w:rPr>
        <w:t>.</w:t>
      </w:r>
    </w:p>
    <w:p w14:paraId="3E9775A5">
      <w:pPr>
        <w:pStyle w:val="18"/>
        <w:spacing w:before="0" w:line="360" w:lineRule="auto"/>
        <w:ind w:firstLine="640" w:firstLineChars="200"/>
        <w:rPr>
          <w:rFonts w:hint="eastAsia" w:hAnsi="黑体"/>
          <w:kern w:val="2"/>
          <w:sz w:val="32"/>
          <w:szCs w:val="32"/>
          <w:lang w:val="en-US" w:eastAsia="zh-CN"/>
        </w:rPr>
      </w:pPr>
      <w:r>
        <w:rPr>
          <w:rFonts w:hint="eastAsia" w:hAnsi="黑体"/>
          <w:kern w:val="2"/>
          <w:sz w:val="32"/>
          <w:szCs w:val="32"/>
        </w:rPr>
        <w:t>（二）</w:t>
      </w:r>
      <w:r>
        <w:rPr>
          <w:rFonts w:hint="eastAsia" w:hAnsi="黑体"/>
          <w:kern w:val="2"/>
          <w:sz w:val="32"/>
          <w:szCs w:val="32"/>
          <w:lang w:eastAsia="zh-CN"/>
        </w:rPr>
        <w:t>2025年</w:t>
      </w:r>
      <w:r>
        <w:rPr>
          <w:rFonts w:hint="eastAsia" w:hAnsi="黑体"/>
          <w:kern w:val="2"/>
          <w:sz w:val="32"/>
          <w:szCs w:val="32"/>
          <w:lang w:val="en-US" w:eastAsia="zh-CN"/>
        </w:rPr>
        <w:t>公务接待</w:t>
      </w:r>
      <w:r>
        <w:rPr>
          <w:rFonts w:hint="eastAsia" w:hAnsi="黑体"/>
          <w:kern w:val="2"/>
          <w:sz w:val="32"/>
          <w:szCs w:val="32"/>
        </w:rPr>
        <w:t>经费</w:t>
      </w:r>
      <w:r>
        <w:rPr>
          <w:rFonts w:hint="eastAsia" w:hAnsi="黑体"/>
          <w:kern w:val="2"/>
          <w:sz w:val="32"/>
          <w:szCs w:val="32"/>
          <w:lang w:val="en-US" w:eastAsia="zh-CN"/>
        </w:rPr>
        <w:t>0.63</w:t>
      </w:r>
      <w:r>
        <w:rPr>
          <w:rFonts w:hint="eastAsia" w:hAnsi="黑体"/>
          <w:kern w:val="2"/>
          <w:sz w:val="32"/>
          <w:szCs w:val="32"/>
        </w:rPr>
        <w:t>万元。较</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减少0.22</w:t>
      </w:r>
      <w:r>
        <w:rPr>
          <w:rFonts w:hint="eastAsia" w:hAnsi="黑体"/>
          <w:kern w:val="2"/>
          <w:sz w:val="32"/>
          <w:szCs w:val="32"/>
        </w:rPr>
        <w:t>万元</w:t>
      </w:r>
      <w:r>
        <w:rPr>
          <w:rFonts w:hint="eastAsia" w:hAnsi="黑体"/>
          <w:kern w:val="2"/>
          <w:sz w:val="32"/>
          <w:szCs w:val="32"/>
          <w:lang w:val="en-US" w:eastAsia="zh-CN"/>
        </w:rPr>
        <w:t>降低34.92</w:t>
      </w:r>
      <w:r>
        <w:rPr>
          <w:rFonts w:hAnsi="黑体"/>
          <w:kern w:val="2"/>
          <w:sz w:val="32"/>
          <w:szCs w:val="32"/>
        </w:rPr>
        <w:t>%</w:t>
      </w:r>
      <w:r>
        <w:rPr>
          <w:rFonts w:hint="eastAsia" w:hAnsi="黑体"/>
          <w:kern w:val="2"/>
          <w:sz w:val="32"/>
          <w:szCs w:val="32"/>
        </w:rPr>
        <w:t>，主要原因是：</w:t>
      </w:r>
      <w:r>
        <w:rPr>
          <w:rFonts w:hint="eastAsia" w:hAnsi="黑体"/>
          <w:kern w:val="2"/>
          <w:sz w:val="32"/>
          <w:szCs w:val="32"/>
          <w:lang w:val="en-US" w:eastAsia="zh-CN"/>
        </w:rPr>
        <w:t>2025年部分接待由县公务服务中心进行接待，相关的费用由公务服务中心承担。</w:t>
      </w:r>
    </w:p>
    <w:p w14:paraId="4E6ECF42">
      <w:pPr>
        <w:pStyle w:val="18"/>
        <w:spacing w:before="0" w:line="360" w:lineRule="auto"/>
        <w:ind w:firstLine="640" w:firstLineChars="200"/>
        <w:rPr>
          <w:rFonts w:hint="default" w:hAnsi="黑体" w:eastAsia="仿宋_GB2312"/>
          <w:kern w:val="2"/>
          <w:sz w:val="32"/>
          <w:szCs w:val="32"/>
          <w:lang w:val="en-US" w:eastAsia="zh-CN"/>
        </w:rPr>
      </w:pPr>
      <w:r>
        <w:rPr>
          <w:rFonts w:hint="eastAsia" w:hAnsi="黑体"/>
          <w:kern w:val="2"/>
          <w:sz w:val="32"/>
          <w:szCs w:val="32"/>
        </w:rPr>
        <w:t>（三）</w:t>
      </w:r>
      <w:r>
        <w:rPr>
          <w:rFonts w:hint="eastAsia" w:hAnsi="黑体"/>
          <w:kern w:val="2"/>
          <w:sz w:val="32"/>
          <w:szCs w:val="32"/>
          <w:lang w:eastAsia="zh-CN"/>
        </w:rPr>
        <w:t>2025年</w:t>
      </w:r>
      <w:r>
        <w:rPr>
          <w:rFonts w:hint="eastAsia" w:hAnsi="黑体"/>
          <w:kern w:val="2"/>
          <w:sz w:val="32"/>
          <w:szCs w:val="32"/>
        </w:rPr>
        <w:t>公务用车购置及运行维护费</w:t>
      </w:r>
      <w:r>
        <w:rPr>
          <w:rFonts w:hint="eastAsia" w:hAnsi="黑体"/>
          <w:kern w:val="2"/>
          <w:sz w:val="32"/>
          <w:szCs w:val="32"/>
          <w:lang w:val="en-US" w:eastAsia="zh-CN"/>
        </w:rPr>
        <w:t>11.52</w:t>
      </w:r>
      <w:r>
        <w:rPr>
          <w:rFonts w:hint="eastAsia" w:hAnsi="黑体"/>
          <w:kern w:val="2"/>
          <w:sz w:val="32"/>
          <w:szCs w:val="32"/>
        </w:rPr>
        <w:t>万元。较</w:t>
      </w:r>
      <w:r>
        <w:rPr>
          <w:rFonts w:hint="eastAsia" w:hAnsi="黑体"/>
          <w:kern w:val="2"/>
          <w:sz w:val="32"/>
          <w:szCs w:val="32"/>
          <w:lang w:eastAsia="zh-CN"/>
        </w:rPr>
        <w:t>2024年</w:t>
      </w:r>
      <w:r>
        <w:rPr>
          <w:rFonts w:hint="eastAsia" w:hAnsi="黑体"/>
          <w:kern w:val="2"/>
          <w:sz w:val="32"/>
          <w:szCs w:val="32"/>
        </w:rPr>
        <w:t>预算经费</w:t>
      </w:r>
      <w:r>
        <w:rPr>
          <w:rFonts w:hint="eastAsia" w:hAnsi="黑体"/>
          <w:kern w:val="2"/>
          <w:sz w:val="32"/>
          <w:szCs w:val="32"/>
          <w:lang w:val="en-US" w:eastAsia="zh-CN"/>
        </w:rPr>
        <w:t>持平</w:t>
      </w:r>
      <w:bookmarkStart w:id="0" w:name="_GoBack"/>
      <w:bookmarkEnd w:id="0"/>
      <w:r>
        <w:rPr>
          <w:rFonts w:hint="eastAsia" w:hAnsi="黑体"/>
          <w:kern w:val="2"/>
          <w:sz w:val="32"/>
          <w:szCs w:val="32"/>
          <w:lang w:val="en-US" w:eastAsia="zh-CN"/>
        </w:rPr>
        <w:t>。</w:t>
      </w:r>
    </w:p>
    <w:p w14:paraId="6D340CB0">
      <w:pPr>
        <w:pStyle w:val="18"/>
        <w:spacing w:before="0" w:line="360" w:lineRule="auto"/>
        <w:ind w:firstLine="320" w:firstLineChars="100"/>
        <w:rPr>
          <w:rFonts w:hint="eastAsia" w:ascii="黑体" w:hAnsi="黑体" w:eastAsia="黑体" w:cs="黑体"/>
          <w:kern w:val="2"/>
          <w:sz w:val="32"/>
          <w:szCs w:val="32"/>
          <w:lang w:eastAsia="zh-CN"/>
        </w:rPr>
      </w:pPr>
      <w:r>
        <w:rPr>
          <w:rFonts w:hint="eastAsia" w:ascii="黑体" w:hAnsi="黑体" w:eastAsia="黑体" w:cs="黑体"/>
          <w:kern w:val="2"/>
          <w:sz w:val="32"/>
          <w:szCs w:val="32"/>
        </w:rPr>
        <w:t>八、政府性基金预算支出情况说明</w:t>
      </w:r>
    </w:p>
    <w:p w14:paraId="1395B3F8">
      <w:pPr>
        <w:pStyle w:val="18"/>
        <w:spacing w:before="0" w:line="360" w:lineRule="auto"/>
        <w:ind w:firstLine="320" w:firstLineChars="200"/>
        <w:rPr>
          <w:rFonts w:hint="eastAsia" w:hAnsi="黑体" w:eastAsia="仿宋_GB2312"/>
          <w:kern w:val="2"/>
          <w:sz w:val="32"/>
          <w:szCs w:val="32"/>
          <w:lang w:eastAsia="zh-CN"/>
        </w:rPr>
      </w:pPr>
      <w:r>
        <w:rPr>
          <w:rFonts w:hint="eastAsia" w:ascii="??" w:hAnsi="??" w:eastAsia="宋体" w:cs="宋体"/>
          <w:sz w:val="16"/>
          <w:szCs w:val="16"/>
        </w:rPr>
        <w:t>　　</w:t>
      </w:r>
      <w:r>
        <w:rPr>
          <w:rFonts w:hAnsi="黑体"/>
          <w:kern w:val="2"/>
          <w:sz w:val="32"/>
          <w:szCs w:val="32"/>
        </w:rPr>
        <w:t xml:space="preserve"> </w:t>
      </w:r>
      <w:r>
        <w:rPr>
          <w:rFonts w:hint="eastAsia" w:hAnsi="黑体"/>
          <w:kern w:val="2"/>
          <w:sz w:val="32"/>
          <w:szCs w:val="32"/>
          <w:lang w:val="en-US" w:eastAsia="zh-CN"/>
        </w:rPr>
        <w:t>阿坝州壤塘生态环境局</w:t>
      </w:r>
      <w:r>
        <w:rPr>
          <w:rFonts w:hint="eastAsia" w:hAnsi="黑体"/>
          <w:kern w:val="2"/>
          <w:sz w:val="32"/>
          <w:szCs w:val="32"/>
          <w:lang w:eastAsia="zh-CN"/>
        </w:rPr>
        <w:t>2025年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与2024年相比持平。</w:t>
      </w:r>
      <w:r>
        <w:rPr>
          <w:rFonts w:hAnsi="黑体"/>
          <w:kern w:val="2"/>
          <w:sz w:val="32"/>
          <w:szCs w:val="32"/>
        </w:rPr>
        <w:t xml:space="preserve"> </w:t>
      </w:r>
    </w:p>
    <w:p w14:paraId="37A49F3E">
      <w:pPr>
        <w:pStyle w:val="18"/>
        <w:spacing w:before="0" w:line="360" w:lineRule="auto"/>
        <w:ind w:firstLine="320" w:firstLineChars="100"/>
        <w:rPr>
          <w:rFonts w:hint="eastAsia" w:ascii="黑体" w:hAnsi="黑体" w:eastAsia="黑体" w:cs="黑体"/>
          <w:kern w:val="2"/>
          <w:sz w:val="32"/>
          <w:szCs w:val="32"/>
          <w:lang w:eastAsia="zh-CN"/>
        </w:rPr>
      </w:pPr>
      <w:r>
        <w:rPr>
          <w:rFonts w:hint="eastAsia" w:ascii="黑体" w:hAnsi="黑体" w:eastAsia="黑体" w:cs="黑体"/>
          <w:kern w:val="2"/>
          <w:sz w:val="32"/>
          <w:szCs w:val="32"/>
        </w:rPr>
        <w:t>九、其他重要事项的情况说明</w:t>
      </w:r>
    </w:p>
    <w:p w14:paraId="561706D9">
      <w:pPr>
        <w:pStyle w:val="18"/>
        <w:spacing w:before="0" w:line="360" w:lineRule="auto"/>
        <w:ind w:firstLine="320" w:firstLineChars="200"/>
        <w:rPr>
          <w:rFonts w:hint="eastAsia" w:ascii="楷体_GB2312" w:hAnsi="黑体" w:eastAsia="楷体_GB2312" w:cs="楷体_GB2312"/>
          <w:b/>
          <w:bCs/>
          <w:kern w:val="2"/>
          <w:sz w:val="32"/>
          <w:szCs w:val="32"/>
          <w:lang w:eastAsia="zh-CN"/>
        </w:rPr>
      </w:pPr>
      <w:r>
        <w:rPr>
          <w:rFonts w:hint="eastAsia" w:ascii="??" w:hAnsi="??" w:eastAsia="宋体" w:cs="宋体"/>
          <w:sz w:val="16"/>
          <w:szCs w:val="16"/>
        </w:rPr>
        <w:t>　　</w:t>
      </w:r>
      <w:r>
        <w:rPr>
          <w:rFonts w:hint="eastAsia" w:ascii="楷体_GB2312" w:hAnsi="黑体" w:eastAsia="楷体_GB2312" w:cs="楷体_GB2312"/>
          <w:b/>
          <w:bCs/>
          <w:kern w:val="2"/>
          <w:sz w:val="32"/>
          <w:szCs w:val="32"/>
        </w:rPr>
        <w:t>（一）机关运行经费</w:t>
      </w:r>
    </w:p>
    <w:p w14:paraId="56E88214">
      <w:pPr>
        <w:pStyle w:val="18"/>
        <w:spacing w:before="0" w:line="360" w:lineRule="auto"/>
        <w:ind w:firstLine="640" w:firstLineChars="200"/>
        <w:rPr>
          <w:rFonts w:hint="eastAsia" w:hAnsi="黑体" w:eastAsia="仿宋_GB2312"/>
          <w:kern w:val="2"/>
          <w:sz w:val="32"/>
          <w:szCs w:val="32"/>
          <w:lang w:eastAsia="zh-CN"/>
        </w:rPr>
      </w:pPr>
      <w:r>
        <w:rPr>
          <w:rFonts w:hAnsi="黑体"/>
          <w:kern w:val="2"/>
          <w:sz w:val="32"/>
          <w:szCs w:val="32"/>
        </w:rPr>
        <w:t xml:space="preserve"> </w:t>
      </w:r>
      <w:r>
        <w:rPr>
          <w:rFonts w:hint="eastAsia" w:hAnsi="黑体"/>
          <w:kern w:val="2"/>
          <w:sz w:val="32"/>
          <w:szCs w:val="32"/>
          <w:lang w:val="en-US" w:eastAsia="zh-CN"/>
        </w:rPr>
        <w:t>阿坝州壤塘生态环境局</w:t>
      </w:r>
      <w:r>
        <w:rPr>
          <w:rFonts w:hint="eastAsia" w:hAnsi="黑体"/>
          <w:kern w:val="2"/>
          <w:sz w:val="32"/>
          <w:szCs w:val="32"/>
          <w:lang w:eastAsia="zh-CN"/>
        </w:rPr>
        <w:t>2025年</w:t>
      </w:r>
      <w:r>
        <w:rPr>
          <w:rFonts w:hint="eastAsia" w:hAnsi="黑体"/>
          <w:kern w:val="2"/>
          <w:sz w:val="32"/>
          <w:szCs w:val="32"/>
        </w:rPr>
        <w:t>机关运行经费财政拨款预算为</w:t>
      </w:r>
      <w:r>
        <w:rPr>
          <w:rFonts w:hint="eastAsia" w:hAnsi="黑体"/>
          <w:kern w:val="2"/>
          <w:sz w:val="32"/>
          <w:szCs w:val="32"/>
          <w:lang w:val="en-US" w:eastAsia="zh-CN"/>
        </w:rPr>
        <w:t>36.75</w:t>
      </w:r>
      <w:r>
        <w:rPr>
          <w:rFonts w:hint="eastAsia" w:hAnsi="黑体"/>
          <w:kern w:val="2"/>
          <w:sz w:val="32"/>
          <w:szCs w:val="32"/>
        </w:rPr>
        <w:t>万元，比</w:t>
      </w:r>
      <w:r>
        <w:rPr>
          <w:rFonts w:hint="eastAsia" w:hAnsi="黑体"/>
          <w:kern w:val="2"/>
          <w:sz w:val="32"/>
          <w:szCs w:val="32"/>
          <w:lang w:eastAsia="zh-CN"/>
        </w:rPr>
        <w:t>2024年</w:t>
      </w:r>
      <w:r>
        <w:rPr>
          <w:rFonts w:hint="eastAsia" w:hAnsi="黑体"/>
          <w:kern w:val="2"/>
          <w:sz w:val="32"/>
          <w:szCs w:val="32"/>
        </w:rPr>
        <w:t>预算</w:t>
      </w:r>
      <w:r>
        <w:rPr>
          <w:rFonts w:hint="eastAsia" w:hAnsi="黑体"/>
          <w:kern w:val="2"/>
          <w:sz w:val="32"/>
          <w:szCs w:val="32"/>
          <w:lang w:val="en-US" w:eastAsia="zh-CN"/>
        </w:rPr>
        <w:t>减少11.02</w:t>
      </w:r>
      <w:r>
        <w:rPr>
          <w:rFonts w:hint="eastAsia" w:hAnsi="黑体"/>
          <w:kern w:val="2"/>
          <w:sz w:val="32"/>
          <w:szCs w:val="32"/>
        </w:rPr>
        <w:t>万元，</w:t>
      </w:r>
      <w:r>
        <w:rPr>
          <w:rFonts w:hint="eastAsia" w:hAnsi="黑体"/>
          <w:kern w:val="2"/>
          <w:sz w:val="32"/>
          <w:szCs w:val="32"/>
          <w:lang w:val="en-US" w:eastAsia="zh-CN"/>
        </w:rPr>
        <w:t>降低29.99</w:t>
      </w:r>
      <w:r>
        <w:rPr>
          <w:rFonts w:hAnsi="黑体"/>
          <w:kern w:val="2"/>
          <w:sz w:val="32"/>
          <w:szCs w:val="32"/>
        </w:rPr>
        <w:t>%</w:t>
      </w:r>
      <w:r>
        <w:rPr>
          <w:rFonts w:hint="eastAsia" w:hAnsi="黑体"/>
          <w:kern w:val="2"/>
          <w:sz w:val="32"/>
          <w:szCs w:val="32"/>
        </w:rPr>
        <w:t>。</w:t>
      </w:r>
    </w:p>
    <w:p w14:paraId="673A69D4">
      <w:pPr>
        <w:pStyle w:val="18"/>
        <w:spacing w:before="0" w:line="360" w:lineRule="auto"/>
        <w:ind w:firstLine="321" w:firstLineChars="100"/>
        <w:rPr>
          <w:rFonts w:ascii="楷体_GB2312" w:hAnsi="黑体" w:eastAsia="楷体_GB2312" w:cs="Times New Roman"/>
          <w:b/>
          <w:bCs/>
          <w:kern w:val="2"/>
          <w:sz w:val="32"/>
          <w:szCs w:val="32"/>
        </w:rPr>
      </w:pPr>
      <w:r>
        <w:rPr>
          <w:rFonts w:hint="eastAsia" w:ascii="楷体_GB2312" w:hAnsi="黑体" w:eastAsia="楷体_GB2312" w:cs="楷体_GB2312"/>
          <w:b/>
          <w:bCs/>
          <w:kern w:val="2"/>
          <w:sz w:val="32"/>
          <w:szCs w:val="32"/>
        </w:rPr>
        <w:t>（二）政府采购情况</w:t>
      </w:r>
    </w:p>
    <w:p w14:paraId="3592F0FB">
      <w:pPr>
        <w:pStyle w:val="18"/>
        <w:spacing w:before="0" w:line="360" w:lineRule="auto"/>
        <w:ind w:left="638" w:leftChars="304" w:firstLine="0" w:firstLineChars="0"/>
        <w:rPr>
          <w:rFonts w:hint="eastAsia" w:hAnsi="黑体" w:eastAsia="仿宋_GB2312" w:cs="Times New Roman"/>
          <w:kern w:val="2"/>
          <w:sz w:val="32"/>
          <w:szCs w:val="32"/>
          <w:lang w:eastAsia="zh-CN"/>
        </w:rPr>
      </w:pPr>
      <w:r>
        <w:rPr>
          <w:rFonts w:hint="eastAsia" w:hAnsi="黑体"/>
          <w:kern w:val="2"/>
          <w:sz w:val="32"/>
          <w:szCs w:val="32"/>
          <w:lang w:eastAsia="zh-CN"/>
        </w:rPr>
        <w:t>2025年</w:t>
      </w:r>
      <w:r>
        <w:rPr>
          <w:rFonts w:hint="eastAsia" w:hAnsi="黑体"/>
          <w:kern w:val="2"/>
          <w:sz w:val="32"/>
          <w:szCs w:val="32"/>
          <w:lang w:val="en-US" w:eastAsia="zh-CN"/>
        </w:rPr>
        <w:t>阿坝州壤塘生态环境局</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26ACD04E">
      <w:pPr>
        <w:pStyle w:val="18"/>
        <w:numPr>
          <w:ilvl w:val="0"/>
          <w:numId w:val="2"/>
        </w:numPr>
        <w:spacing w:before="0" w:line="360" w:lineRule="auto"/>
        <w:ind w:firstLine="321" w:firstLineChars="100"/>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国有资产占有使用情况</w:t>
      </w:r>
    </w:p>
    <w:p w14:paraId="7D285790">
      <w:pPr>
        <w:pStyle w:val="18"/>
        <w:spacing w:before="0" w:line="360" w:lineRule="auto"/>
        <w:ind w:firstLine="640" w:firstLineChars="200"/>
        <w:rPr>
          <w:rFonts w:hint="default" w:hAnsi="黑体"/>
          <w:kern w:val="2"/>
          <w:sz w:val="32"/>
          <w:szCs w:val="32"/>
          <w:lang w:val="en-US" w:eastAsia="zh-CN"/>
        </w:rPr>
      </w:pPr>
      <w:r>
        <w:rPr>
          <w:rFonts w:hint="eastAsia" w:hAnsi="黑体"/>
          <w:kern w:val="2"/>
          <w:sz w:val="32"/>
          <w:szCs w:val="32"/>
          <w:lang w:val="en-US" w:eastAsia="zh-CN"/>
        </w:rPr>
        <w:t>无。</w:t>
      </w:r>
    </w:p>
    <w:p w14:paraId="3C04CC10">
      <w:pPr>
        <w:pStyle w:val="18"/>
        <w:spacing w:before="0" w:line="360" w:lineRule="auto"/>
        <w:ind w:firstLine="321" w:firstLineChars="100"/>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rPr>
        <w:t>（四）绩效目标设置情况</w:t>
      </w:r>
    </w:p>
    <w:p w14:paraId="1EB61385">
      <w:pPr>
        <w:pStyle w:val="18"/>
        <w:spacing w:before="0" w:line="360" w:lineRule="auto"/>
        <w:ind w:firstLine="320" w:firstLineChars="100"/>
        <w:rPr>
          <w:rFonts w:hAnsi="黑体" w:cs="Times New Roman"/>
          <w:kern w:val="2"/>
          <w:sz w:val="32"/>
          <w:szCs w:val="32"/>
        </w:rPr>
      </w:pPr>
      <w:r>
        <w:rPr>
          <w:rFonts w:hint="eastAsia" w:hAnsi="黑体"/>
          <w:kern w:val="2"/>
          <w:sz w:val="32"/>
          <w:szCs w:val="32"/>
        </w:rPr>
        <w:t>　</w:t>
      </w:r>
      <w:r>
        <w:rPr>
          <w:rFonts w:hint="eastAsia" w:hAnsi="黑体"/>
          <w:kern w:val="2"/>
          <w:sz w:val="32"/>
          <w:szCs w:val="32"/>
          <w:lang w:eastAsia="zh-CN"/>
        </w:rPr>
        <w:t>2025年</w:t>
      </w:r>
      <w:r>
        <w:rPr>
          <w:rFonts w:hint="eastAsia" w:hAnsi="黑体"/>
          <w:kern w:val="2"/>
          <w:sz w:val="32"/>
          <w:szCs w:val="32"/>
          <w:lang w:val="en-US" w:eastAsia="zh-CN"/>
        </w:rPr>
        <w:t>阿坝州壤塘生态环境局</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109.69</w:t>
      </w:r>
      <w:r>
        <w:rPr>
          <w:rFonts w:hint="eastAsia" w:hAnsi="黑体"/>
          <w:kern w:val="2"/>
          <w:sz w:val="32"/>
          <w:szCs w:val="32"/>
        </w:rPr>
        <w:t>万元。</w:t>
      </w:r>
    </w:p>
    <w:p w14:paraId="767D11BA">
      <w:pPr>
        <w:pStyle w:val="18"/>
        <w:spacing w:before="0" w:line="360" w:lineRule="auto"/>
        <w:ind w:firstLine="320" w:firstLineChars="100"/>
        <w:rPr>
          <w:rFonts w:hint="eastAsia" w:ascii="??" w:hAnsi="??" w:eastAsia="宋体" w:cs="Times New Roman"/>
          <w:sz w:val="16"/>
          <w:szCs w:val="16"/>
        </w:rPr>
      </w:pPr>
      <w:r>
        <w:rPr>
          <w:rFonts w:hint="eastAsia" w:ascii="黑体" w:hAnsi="黑体" w:eastAsia="黑体" w:cs="黑体"/>
          <w:kern w:val="2"/>
          <w:sz w:val="32"/>
          <w:szCs w:val="32"/>
        </w:rPr>
        <w:t>十、名词解释</w:t>
      </w:r>
    </w:p>
    <w:p w14:paraId="1AF8B348">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7CA1A74B">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6286B6C6">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（三）事业单位经营收入：指所属事业单位在专业业务活动及其辅助活动之外开展非独立核算经营活动取得的收入。</w:t>
      </w:r>
    </w:p>
    <w:p w14:paraId="362F69FE">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541686BE">
      <w:pPr>
        <w:pStyle w:val="18"/>
        <w:spacing w:before="0" w:line="360" w:lineRule="auto"/>
        <w:ind w:firstLine="640" w:firstLineChars="200"/>
        <w:rPr>
          <w:rFonts w:hint="eastAsia" w:hAnsi="黑体" w:eastAsia="仿宋_GB2312"/>
          <w:kern w:val="2"/>
          <w:sz w:val="32"/>
          <w:szCs w:val="32"/>
          <w:lang w:eastAsia="zh-CN"/>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5703BCD2">
      <w:pPr>
        <w:pStyle w:val="18"/>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4978BCEA">
      <w:pPr>
        <w:rPr>
          <w:rFonts w:ascii="仿宋_GB2312" w:hAnsi="黑体" w:eastAsia="仿宋_GB2312" w:cs="Times New Roman"/>
          <w:sz w:val="32"/>
          <w:szCs w:val="32"/>
        </w:rPr>
      </w:pPr>
    </w:p>
    <w:p w14:paraId="7F09573D">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1B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C00F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C00F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D3A5"/>
    <w:multiLevelType w:val="singleLevel"/>
    <w:tmpl w:val="BB6ED3A5"/>
    <w:lvl w:ilvl="0" w:tentative="0">
      <w:start w:val="1"/>
      <w:numFmt w:val="chineseCounting"/>
      <w:suff w:val="nothing"/>
      <w:lvlText w:val="%1、"/>
      <w:lvlJc w:val="left"/>
      <w:rPr>
        <w:rFonts w:hint="eastAsia"/>
      </w:rPr>
    </w:lvl>
  </w:abstractNum>
  <w:abstractNum w:abstractNumId="1">
    <w:nsid w:val="6CD6AA54"/>
    <w:multiLevelType w:val="singleLevel"/>
    <w:tmpl w:val="6CD6AA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MTI1ZThhYmJlM2VlYWNlOGZiN2I3ODM5NjViN2IifQ=="/>
  </w:docVars>
  <w:rsids>
    <w:rsidRoot w:val="00352854"/>
    <w:rsid w:val="00025B29"/>
    <w:rsid w:val="000329A3"/>
    <w:rsid w:val="00085137"/>
    <w:rsid w:val="00260082"/>
    <w:rsid w:val="00291AF0"/>
    <w:rsid w:val="00352854"/>
    <w:rsid w:val="003762A5"/>
    <w:rsid w:val="00397759"/>
    <w:rsid w:val="00412E78"/>
    <w:rsid w:val="00424F18"/>
    <w:rsid w:val="00491A9E"/>
    <w:rsid w:val="004C5E33"/>
    <w:rsid w:val="00524245"/>
    <w:rsid w:val="0053029E"/>
    <w:rsid w:val="0068558D"/>
    <w:rsid w:val="007710D3"/>
    <w:rsid w:val="007B3677"/>
    <w:rsid w:val="00887A60"/>
    <w:rsid w:val="008F63EB"/>
    <w:rsid w:val="00946F5B"/>
    <w:rsid w:val="009648A7"/>
    <w:rsid w:val="00985771"/>
    <w:rsid w:val="00987B5A"/>
    <w:rsid w:val="00A60456"/>
    <w:rsid w:val="00A718C1"/>
    <w:rsid w:val="00A809F6"/>
    <w:rsid w:val="00A817DB"/>
    <w:rsid w:val="00C01031"/>
    <w:rsid w:val="00C0348B"/>
    <w:rsid w:val="00C451EA"/>
    <w:rsid w:val="00C8183B"/>
    <w:rsid w:val="00D06D76"/>
    <w:rsid w:val="00D22494"/>
    <w:rsid w:val="00D31706"/>
    <w:rsid w:val="00DB6419"/>
    <w:rsid w:val="00DD750A"/>
    <w:rsid w:val="00E16BE3"/>
    <w:rsid w:val="00E92D84"/>
    <w:rsid w:val="00F14BDD"/>
    <w:rsid w:val="00F267C7"/>
    <w:rsid w:val="00F40C09"/>
    <w:rsid w:val="00F743F0"/>
    <w:rsid w:val="00F80C32"/>
    <w:rsid w:val="00F85776"/>
    <w:rsid w:val="00F96BE5"/>
    <w:rsid w:val="00FF11B9"/>
    <w:rsid w:val="017B5688"/>
    <w:rsid w:val="01955289"/>
    <w:rsid w:val="02FB4A6B"/>
    <w:rsid w:val="07D07D6B"/>
    <w:rsid w:val="07F55C2D"/>
    <w:rsid w:val="08497B23"/>
    <w:rsid w:val="08C83E06"/>
    <w:rsid w:val="0BF975C1"/>
    <w:rsid w:val="0E1A131A"/>
    <w:rsid w:val="0E1E29A5"/>
    <w:rsid w:val="0E5C414B"/>
    <w:rsid w:val="0F2F6052"/>
    <w:rsid w:val="122939EF"/>
    <w:rsid w:val="15812584"/>
    <w:rsid w:val="15E569EC"/>
    <w:rsid w:val="16962B9B"/>
    <w:rsid w:val="19C851B8"/>
    <w:rsid w:val="1C861486"/>
    <w:rsid w:val="1F350CF1"/>
    <w:rsid w:val="1F6D2589"/>
    <w:rsid w:val="20023C4E"/>
    <w:rsid w:val="20376C32"/>
    <w:rsid w:val="29595FB7"/>
    <w:rsid w:val="2BBA6A76"/>
    <w:rsid w:val="2D6C4AB5"/>
    <w:rsid w:val="306E738C"/>
    <w:rsid w:val="31E57E30"/>
    <w:rsid w:val="321357B3"/>
    <w:rsid w:val="330374B0"/>
    <w:rsid w:val="34157341"/>
    <w:rsid w:val="34311A53"/>
    <w:rsid w:val="35B5220F"/>
    <w:rsid w:val="35C2598E"/>
    <w:rsid w:val="3A1E6821"/>
    <w:rsid w:val="3B283FEC"/>
    <w:rsid w:val="3B911029"/>
    <w:rsid w:val="3BEC79A4"/>
    <w:rsid w:val="3C2371C8"/>
    <w:rsid w:val="41CE5572"/>
    <w:rsid w:val="41F61BE6"/>
    <w:rsid w:val="42B82E1D"/>
    <w:rsid w:val="445F3185"/>
    <w:rsid w:val="44CE0BF8"/>
    <w:rsid w:val="45BA1ABA"/>
    <w:rsid w:val="46105B23"/>
    <w:rsid w:val="483F6AC4"/>
    <w:rsid w:val="492434DC"/>
    <w:rsid w:val="494E0559"/>
    <w:rsid w:val="4B77700A"/>
    <w:rsid w:val="52A30122"/>
    <w:rsid w:val="552308E5"/>
    <w:rsid w:val="5724049D"/>
    <w:rsid w:val="59CE54CA"/>
    <w:rsid w:val="5A810B67"/>
    <w:rsid w:val="5AE40884"/>
    <w:rsid w:val="5BF56E15"/>
    <w:rsid w:val="5DC47551"/>
    <w:rsid w:val="6042589C"/>
    <w:rsid w:val="613100ED"/>
    <w:rsid w:val="62E33669"/>
    <w:rsid w:val="62EB5025"/>
    <w:rsid w:val="64251522"/>
    <w:rsid w:val="67DF08A2"/>
    <w:rsid w:val="69D01E6E"/>
    <w:rsid w:val="6B8C125C"/>
    <w:rsid w:val="6CCA7D73"/>
    <w:rsid w:val="72B907BA"/>
    <w:rsid w:val="73DE2356"/>
    <w:rsid w:val="75571002"/>
    <w:rsid w:val="76D8292E"/>
    <w:rsid w:val="7700145E"/>
    <w:rsid w:val="7845475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5">
    <w:name w:val="Body Text Indent"/>
    <w:basedOn w:val="1"/>
    <w:next w:val="6"/>
    <w:qFormat/>
    <w:uiPriority w:val="0"/>
    <w:pPr>
      <w:ind w:firstLine="560" w:firstLineChars="200"/>
    </w:pPr>
    <w:rPr>
      <w:kern w:val="0"/>
      <w:sz w:val="24"/>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Plain Text"/>
    <w:basedOn w:val="1"/>
    <w:qFormat/>
    <w:uiPriority w:val="0"/>
    <w:rPr>
      <w:rFonts w:ascii="宋体" w:hAnsi="Courier New"/>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0"/>
  </w:style>
  <w:style w:type="paragraph" w:styleId="10">
    <w:name w:val="toc 2"/>
    <w:basedOn w:val="1"/>
    <w:next w:val="1"/>
    <w:qFormat/>
    <w:locked/>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7"/>
    <w:qFormat/>
    <w:uiPriority w:val="99"/>
    <w:pPr>
      <w:ind w:firstLine="420"/>
    </w:pPr>
  </w:style>
  <w:style w:type="character" w:styleId="15">
    <w:name w:val="Emphasis"/>
    <w:basedOn w:val="14"/>
    <w:qFormat/>
    <w:uiPriority w:val="99"/>
  </w:style>
  <w:style w:type="character" w:customStyle="1" w:styleId="16">
    <w:name w:val="Header Char"/>
    <w:basedOn w:val="14"/>
    <w:link w:val="8"/>
    <w:qFormat/>
    <w:locked/>
    <w:uiPriority w:val="99"/>
    <w:rPr>
      <w:sz w:val="18"/>
      <w:szCs w:val="18"/>
    </w:rPr>
  </w:style>
  <w:style w:type="character" w:customStyle="1" w:styleId="17">
    <w:name w:val="Footer Char"/>
    <w:basedOn w:val="14"/>
    <w:link w:val="6"/>
    <w:qFormat/>
    <w:locked/>
    <w:uiPriority w:val="99"/>
    <w:rPr>
      <w:sz w:val="18"/>
      <w:szCs w:val="18"/>
    </w:rPr>
  </w:style>
  <w:style w:type="paragraph" w:customStyle="1" w:styleId="18">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9">
    <w:name w:val="默认段落字体1"/>
    <w:qFormat/>
    <w:uiPriority w:val="99"/>
    <w:rPr>
      <w:sz w:val="22"/>
      <w:szCs w:val="22"/>
    </w:rPr>
  </w:style>
  <w:style w:type="paragraph" w:styleId="20">
    <w:name w:val="List Paragraph"/>
    <w:basedOn w:val="1"/>
    <w:qFormat/>
    <w:uiPriority w:val="99"/>
    <w:pPr>
      <w:ind w:firstLine="420" w:firstLineChars="200"/>
    </w:pPr>
  </w:style>
  <w:style w:type="paragraph" w:customStyle="1" w:styleId="21">
    <w:name w:val="WPSOffice手动目录 1"/>
    <w:qFormat/>
    <w:uiPriority w:val="0"/>
    <w:pPr>
      <w:ind w:leftChars="0"/>
    </w:pPr>
    <w:rPr>
      <w:rFonts w:ascii="Calibri" w:hAnsi="Calibri" w:eastAsia="宋体" w:cs="Times New Roman"/>
      <w:sz w:val="20"/>
      <w:szCs w:val="20"/>
    </w:rPr>
  </w:style>
  <w:style w:type="paragraph" w:customStyle="1" w:styleId="22">
    <w:name w:val="WPSOffice手动目录 2"/>
    <w:qFormat/>
    <w:uiPriority w:val="0"/>
    <w:pPr>
      <w:ind w:leftChars="200"/>
    </w:pPr>
    <w:rPr>
      <w:rFonts w:ascii="Calibri" w:hAnsi="Calibri" w:eastAsia="宋体" w:cs="Times New Roman"/>
      <w:sz w:val="20"/>
      <w:szCs w:val="20"/>
    </w:rPr>
  </w:style>
  <w:style w:type="character" w:customStyle="1" w:styleId="2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10</Pages>
  <Words>3898</Words>
  <Characters>4298</Characters>
  <Lines>0</Lines>
  <Paragraphs>0</Paragraphs>
  <TotalTime>9</TotalTime>
  <ScaleCrop>false</ScaleCrop>
  <LinksUpToDate>false</LinksUpToDate>
  <CharactersWithSpaces>4336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2020-03-05T02:15:00Z</dcterms:created>
  <dc:creator>薛永萍</dc:creator>
  <cp:lastModifiedBy>怪</cp:lastModifiedBy>
  <dcterms:modified xsi:type="dcterms:W3CDTF">2025-02-24T07:28:16Z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F50837F069A04490908A233282C3E2DC_13</vt:lpwstr>
  </property>
  <property fmtid="{D5CDD505-2E9C-101B-9397-08002B2CF9AE}" pid="4" name="KSOTemplateDocerSaveRecord">
    <vt:lpwstr>eyJoZGlkIjoiZjVhNGJiMWVmZTg4ZjFhYWZhYWFiMzBkODkwYWRkZmUiLCJ1c2VySWQiOiIyNDY1ODczNzUifQ==</vt:lpwstr>
  </property>
</Properties>
</file>