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68E09">
      <w:pPr>
        <w:outlineLvl w:val="9"/>
        <w:rPr>
          <w:rFonts w:ascii="黑体" w:hAnsi="黑体" w:eastAsia="黑体" w:cs="Times New Roman"/>
          <w:sz w:val="44"/>
          <w:szCs w:val="44"/>
        </w:rPr>
      </w:pPr>
    </w:p>
    <w:p w14:paraId="323F789A">
      <w:pPr>
        <w:rPr>
          <w:rFonts w:ascii="黑体" w:hAnsi="黑体" w:eastAsia="黑体" w:cs="Times New Roman"/>
          <w:sz w:val="44"/>
          <w:szCs w:val="44"/>
        </w:rPr>
      </w:pPr>
    </w:p>
    <w:p w14:paraId="726EB2D3">
      <w:pPr>
        <w:rPr>
          <w:rFonts w:ascii="黑体" w:hAnsi="黑体" w:eastAsia="黑体" w:cs="Times New Roman"/>
          <w:sz w:val="44"/>
          <w:szCs w:val="44"/>
        </w:rPr>
      </w:pPr>
    </w:p>
    <w:p w14:paraId="5F8B1100">
      <w:pPr>
        <w:jc w:val="center"/>
        <w:rPr>
          <w:rFonts w:ascii="黑体" w:hAnsi="黑体" w:eastAsia="黑体" w:cs="Times New Roman"/>
          <w:sz w:val="72"/>
          <w:szCs w:val="72"/>
        </w:rPr>
      </w:pPr>
      <w:r>
        <w:rPr>
          <w:rFonts w:hint="eastAsia" w:ascii="黑体" w:hAnsi="黑体" w:eastAsia="黑体" w:cs="黑体"/>
          <w:sz w:val="72"/>
          <w:szCs w:val="72"/>
        </w:rPr>
        <w:t>阿坝州金川生态环境局</w:t>
      </w:r>
      <w:r>
        <w:rPr>
          <w:rFonts w:ascii="黑体" w:hAnsi="黑体" w:eastAsia="黑体" w:cs="黑体"/>
          <w:sz w:val="72"/>
          <w:szCs w:val="72"/>
        </w:rPr>
        <w:t>202</w:t>
      </w:r>
      <w:r>
        <w:rPr>
          <w:rFonts w:hint="eastAsia" w:ascii="黑体" w:hAnsi="黑体" w:eastAsia="黑体" w:cs="黑体"/>
          <w:sz w:val="72"/>
          <w:szCs w:val="72"/>
          <w:lang w:val="en-US" w:eastAsia="zh-CN"/>
        </w:rPr>
        <w:t>6</w:t>
      </w:r>
      <w:r>
        <w:rPr>
          <w:rFonts w:ascii="黑体" w:hAnsi="黑体" w:eastAsia="黑体" w:cs="黑体"/>
          <w:sz w:val="72"/>
          <w:szCs w:val="72"/>
        </w:rPr>
        <w:t>年</w:t>
      </w:r>
      <w:r>
        <w:rPr>
          <w:rFonts w:hint="eastAsia" w:ascii="黑体" w:hAnsi="黑体" w:eastAsia="黑体" w:cs="黑体"/>
          <w:sz w:val="72"/>
          <w:szCs w:val="72"/>
        </w:rPr>
        <w:t>部门预算</w:t>
      </w:r>
    </w:p>
    <w:p w14:paraId="31E4EA5C">
      <w:pPr>
        <w:jc w:val="center"/>
        <w:rPr>
          <w:rFonts w:ascii="黑体" w:hAnsi="黑体" w:eastAsia="黑体" w:cs="Times New Roman"/>
          <w:sz w:val="72"/>
          <w:szCs w:val="72"/>
        </w:rPr>
      </w:pPr>
    </w:p>
    <w:p w14:paraId="55D146A1">
      <w:pPr>
        <w:jc w:val="center"/>
        <w:rPr>
          <w:rFonts w:ascii="黑体" w:hAnsi="黑体" w:eastAsia="黑体" w:cs="Times New Roman"/>
          <w:sz w:val="44"/>
          <w:szCs w:val="44"/>
        </w:rPr>
      </w:pPr>
    </w:p>
    <w:p w14:paraId="75AE669F">
      <w:pPr>
        <w:jc w:val="center"/>
        <w:rPr>
          <w:rFonts w:ascii="黑体" w:hAnsi="黑体" w:eastAsia="黑体" w:cs="Times New Roman"/>
          <w:sz w:val="44"/>
          <w:szCs w:val="44"/>
        </w:rPr>
      </w:pPr>
    </w:p>
    <w:p w14:paraId="090F395E">
      <w:pPr>
        <w:jc w:val="center"/>
        <w:rPr>
          <w:rFonts w:ascii="黑体" w:hAnsi="黑体" w:eastAsia="黑体" w:cs="Times New Roman"/>
          <w:sz w:val="44"/>
          <w:szCs w:val="44"/>
        </w:rPr>
      </w:pPr>
    </w:p>
    <w:p w14:paraId="57CE2354">
      <w:pPr>
        <w:jc w:val="center"/>
        <w:rPr>
          <w:rFonts w:ascii="黑体" w:hAnsi="黑体" w:eastAsia="黑体" w:cs="Times New Roman"/>
          <w:sz w:val="44"/>
          <w:szCs w:val="44"/>
        </w:rPr>
      </w:pPr>
    </w:p>
    <w:p w14:paraId="7B568CD2">
      <w:pPr>
        <w:jc w:val="center"/>
        <w:rPr>
          <w:rFonts w:ascii="黑体" w:hAnsi="黑体" w:eastAsia="黑体" w:cs="Times New Roman"/>
          <w:sz w:val="44"/>
          <w:szCs w:val="44"/>
        </w:rPr>
      </w:pPr>
    </w:p>
    <w:p w14:paraId="267F10A9">
      <w:pPr>
        <w:jc w:val="center"/>
        <w:rPr>
          <w:rFonts w:ascii="黑体" w:hAnsi="黑体" w:eastAsia="黑体" w:cs="Times New Roman"/>
          <w:sz w:val="44"/>
          <w:szCs w:val="44"/>
        </w:rPr>
      </w:pPr>
    </w:p>
    <w:p w14:paraId="4F44B071">
      <w:pPr>
        <w:jc w:val="center"/>
        <w:rPr>
          <w:rFonts w:ascii="黑体" w:hAnsi="黑体" w:eastAsia="黑体" w:cs="Times New Roman"/>
          <w:sz w:val="44"/>
          <w:szCs w:val="44"/>
        </w:rPr>
      </w:pPr>
    </w:p>
    <w:p w14:paraId="3DDB83A6">
      <w:pPr>
        <w:jc w:val="center"/>
        <w:rPr>
          <w:rFonts w:ascii="黑体" w:hAnsi="黑体" w:eastAsia="黑体" w:cs="Times New Roman"/>
          <w:sz w:val="44"/>
          <w:szCs w:val="44"/>
        </w:rPr>
      </w:pPr>
    </w:p>
    <w:p w14:paraId="7FC40FCA">
      <w:pPr>
        <w:jc w:val="center"/>
        <w:rPr>
          <w:rFonts w:ascii="黑体" w:hAnsi="黑体" w:eastAsia="黑体" w:cs="Times New Roman"/>
          <w:sz w:val="44"/>
          <w:szCs w:val="44"/>
        </w:rPr>
      </w:pPr>
    </w:p>
    <w:p w14:paraId="1D249DD9">
      <w:pPr>
        <w:jc w:val="center"/>
        <w:rPr>
          <w:rFonts w:ascii="黑体" w:hAnsi="黑体" w:eastAsia="黑体" w:cs="Times New Roman"/>
          <w:sz w:val="44"/>
          <w:szCs w:val="44"/>
        </w:rPr>
      </w:pPr>
    </w:p>
    <w:p w14:paraId="7D505579">
      <w:pPr>
        <w:jc w:val="center"/>
        <w:rPr>
          <w:rFonts w:ascii="黑体" w:hAnsi="黑体" w:eastAsia="黑体" w:cs="Times New Roman"/>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6</w:t>
      </w:r>
      <w:r>
        <w:rPr>
          <w:rFonts w:hint="eastAsia" w:ascii="黑体" w:hAnsi="黑体" w:eastAsia="黑体" w:cs="黑体"/>
          <w:sz w:val="52"/>
          <w:szCs w:val="52"/>
        </w:rPr>
        <w:t>年</w:t>
      </w:r>
      <w:r>
        <w:rPr>
          <w:rFonts w:hint="eastAsia" w:ascii="黑体" w:hAnsi="黑体" w:eastAsia="黑体" w:cs="黑体"/>
          <w:sz w:val="52"/>
          <w:szCs w:val="52"/>
          <w:lang w:val="en-US" w:eastAsia="zh-CN"/>
        </w:rPr>
        <w:t>1</w:t>
      </w:r>
      <w:r>
        <w:rPr>
          <w:rFonts w:hint="eastAsia" w:ascii="黑体" w:hAnsi="黑体" w:eastAsia="黑体" w:cs="黑体"/>
          <w:sz w:val="52"/>
          <w:szCs w:val="52"/>
        </w:rPr>
        <w:t>月1</w:t>
      </w:r>
      <w:r>
        <w:rPr>
          <w:rFonts w:hint="eastAsia" w:ascii="黑体" w:hAnsi="黑体" w:eastAsia="黑体" w:cs="黑体"/>
          <w:sz w:val="52"/>
          <w:szCs w:val="52"/>
          <w:lang w:val="en-US" w:eastAsia="zh-CN"/>
        </w:rPr>
        <w:t>6</w:t>
      </w:r>
      <w:r>
        <w:rPr>
          <w:rFonts w:hint="eastAsia" w:ascii="黑体" w:hAnsi="黑体" w:eastAsia="黑体" w:cs="黑体"/>
          <w:sz w:val="52"/>
          <w:szCs w:val="52"/>
        </w:rPr>
        <w:t>日</w:t>
      </w:r>
    </w:p>
    <w:p w14:paraId="1F6D7C7D">
      <w:pPr>
        <w:rPr>
          <w:rFonts w:ascii="黑体" w:hAnsi="黑体" w:eastAsia="黑体" w:cs="Times New Roman"/>
          <w:sz w:val="44"/>
          <w:szCs w:val="44"/>
        </w:rPr>
      </w:pPr>
    </w:p>
    <w:p w14:paraId="1B736795">
      <w:pPr>
        <w:rPr>
          <w:rFonts w:ascii="黑体" w:hAnsi="黑体" w:eastAsia="黑体" w:cs="Times New Roman"/>
          <w:sz w:val="44"/>
          <w:szCs w:val="44"/>
        </w:rPr>
      </w:pPr>
    </w:p>
    <w:p w14:paraId="1A1AF9AE">
      <w:pPr>
        <w:pStyle w:val="7"/>
      </w:pPr>
    </w:p>
    <w:p w14:paraId="324DF9A8"/>
    <w:p w14:paraId="6ED065DD">
      <w:pPr>
        <w:pStyle w:val="4"/>
        <w:bidi w:val="0"/>
        <w:jc w:val="center"/>
        <w:rPr>
          <w:rFonts w:hint="eastAsia" w:eastAsia="宋体"/>
          <w:szCs w:val="28"/>
          <w:lang w:val="en-US" w:eastAsia="zh-CN"/>
        </w:rPr>
      </w:pPr>
      <w:bookmarkStart w:id="44" w:name="_GoBack"/>
      <w:bookmarkEnd w:id="44"/>
      <w:r>
        <w:rPr>
          <w:rFonts w:hint="eastAsia"/>
          <w:lang w:val="en-US" w:eastAsia="zh-CN"/>
        </w:rPr>
        <w:t>目录</w:t>
      </w:r>
    </w:p>
    <w:p w14:paraId="08805F68">
      <w:pPr>
        <w:pStyle w:val="10"/>
        <w:tabs>
          <w:tab w:val="right" w:leader="dot" w:pos="8306"/>
        </w:tabs>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_Toc20701 </w:instrText>
      </w:r>
      <w:r>
        <w:rPr>
          <w:sz w:val="28"/>
          <w:szCs w:val="28"/>
        </w:rPr>
        <w:fldChar w:fldCharType="separate"/>
      </w:r>
      <w:r>
        <w:rPr>
          <w:rFonts w:hint="eastAsia" w:ascii="黑体" w:hAnsi="黑体" w:eastAsia="黑体" w:cs="黑体"/>
          <w:kern w:val="2"/>
          <w:sz w:val="28"/>
          <w:szCs w:val="28"/>
        </w:rPr>
        <w:t>一、 基本职能及主要工作</w:t>
      </w:r>
      <w:r>
        <w:rPr>
          <w:sz w:val="28"/>
          <w:szCs w:val="28"/>
        </w:rPr>
        <w:tab/>
      </w:r>
      <w:r>
        <w:rPr>
          <w:sz w:val="28"/>
          <w:szCs w:val="28"/>
        </w:rPr>
        <w:fldChar w:fldCharType="begin"/>
      </w:r>
      <w:r>
        <w:rPr>
          <w:sz w:val="28"/>
          <w:szCs w:val="28"/>
        </w:rPr>
        <w:instrText xml:space="preserve"> PAGEREF _Toc20701 \h </w:instrText>
      </w:r>
      <w:r>
        <w:rPr>
          <w:sz w:val="28"/>
          <w:szCs w:val="28"/>
        </w:rPr>
        <w:fldChar w:fldCharType="separate"/>
      </w:r>
      <w:r>
        <w:rPr>
          <w:sz w:val="28"/>
          <w:szCs w:val="28"/>
        </w:rPr>
        <w:t>3</w:t>
      </w:r>
      <w:r>
        <w:rPr>
          <w:sz w:val="28"/>
          <w:szCs w:val="28"/>
        </w:rPr>
        <w:fldChar w:fldCharType="end"/>
      </w:r>
      <w:r>
        <w:rPr>
          <w:sz w:val="28"/>
          <w:szCs w:val="28"/>
        </w:rPr>
        <w:fldChar w:fldCharType="end"/>
      </w:r>
    </w:p>
    <w:p w14:paraId="4FEC72E3">
      <w:pPr>
        <w:pStyle w:val="11"/>
        <w:tabs>
          <w:tab w:val="right" w:leader="dot" w:pos="8306"/>
        </w:tabs>
        <w:rPr>
          <w:sz w:val="28"/>
          <w:szCs w:val="28"/>
        </w:rPr>
      </w:pPr>
      <w:r>
        <w:rPr>
          <w:sz w:val="28"/>
          <w:szCs w:val="28"/>
        </w:rPr>
        <w:fldChar w:fldCharType="begin"/>
      </w:r>
      <w:r>
        <w:rPr>
          <w:sz w:val="28"/>
          <w:szCs w:val="28"/>
        </w:rPr>
        <w:instrText xml:space="preserve"> HYPERLINK \l _Toc30136 </w:instrText>
      </w:r>
      <w:r>
        <w:rPr>
          <w:sz w:val="28"/>
          <w:szCs w:val="28"/>
        </w:rPr>
        <w:fldChar w:fldCharType="separate"/>
      </w:r>
      <w:r>
        <w:rPr>
          <w:rFonts w:hint="eastAsia" w:ascii="楷体_GB2312" w:hAnsi="楷体_GB2312" w:eastAsia="楷体_GB2312" w:cs="楷体_GB2312"/>
          <w:bCs/>
          <w:kern w:val="2"/>
          <w:sz w:val="28"/>
          <w:szCs w:val="28"/>
        </w:rPr>
        <w:t>（一）部门职能简介</w:t>
      </w:r>
      <w:r>
        <w:rPr>
          <w:sz w:val="28"/>
          <w:szCs w:val="28"/>
        </w:rPr>
        <w:tab/>
      </w:r>
      <w:r>
        <w:rPr>
          <w:sz w:val="28"/>
          <w:szCs w:val="28"/>
        </w:rPr>
        <w:fldChar w:fldCharType="begin"/>
      </w:r>
      <w:r>
        <w:rPr>
          <w:sz w:val="28"/>
          <w:szCs w:val="28"/>
        </w:rPr>
        <w:instrText xml:space="preserve"> PAGEREF _Toc30136 \h </w:instrText>
      </w:r>
      <w:r>
        <w:rPr>
          <w:sz w:val="28"/>
          <w:szCs w:val="28"/>
        </w:rPr>
        <w:fldChar w:fldCharType="separate"/>
      </w:r>
      <w:r>
        <w:rPr>
          <w:sz w:val="28"/>
          <w:szCs w:val="28"/>
        </w:rPr>
        <w:t>3</w:t>
      </w:r>
      <w:r>
        <w:rPr>
          <w:sz w:val="28"/>
          <w:szCs w:val="28"/>
        </w:rPr>
        <w:fldChar w:fldCharType="end"/>
      </w:r>
      <w:r>
        <w:rPr>
          <w:sz w:val="28"/>
          <w:szCs w:val="28"/>
        </w:rPr>
        <w:fldChar w:fldCharType="end"/>
      </w:r>
    </w:p>
    <w:p w14:paraId="5760876A">
      <w:pPr>
        <w:pStyle w:val="11"/>
        <w:tabs>
          <w:tab w:val="right" w:leader="dot" w:pos="8306"/>
        </w:tabs>
        <w:rPr>
          <w:sz w:val="28"/>
          <w:szCs w:val="28"/>
        </w:rPr>
      </w:pPr>
      <w:r>
        <w:rPr>
          <w:sz w:val="28"/>
          <w:szCs w:val="28"/>
        </w:rPr>
        <w:fldChar w:fldCharType="begin"/>
      </w:r>
      <w:r>
        <w:rPr>
          <w:sz w:val="28"/>
          <w:szCs w:val="28"/>
        </w:rPr>
        <w:instrText xml:space="preserve"> HYPERLINK \l _Toc11311 </w:instrText>
      </w:r>
      <w:r>
        <w:rPr>
          <w:sz w:val="28"/>
          <w:szCs w:val="28"/>
        </w:rPr>
        <w:fldChar w:fldCharType="separate"/>
      </w:r>
      <w:r>
        <w:rPr>
          <w:rFonts w:hint="eastAsia" w:hAnsi="黑体"/>
          <w:bCs/>
          <w:kern w:val="2"/>
          <w:sz w:val="28"/>
          <w:szCs w:val="28"/>
        </w:rPr>
        <w:t>（二）202</w:t>
      </w:r>
      <w:r>
        <w:rPr>
          <w:rFonts w:hint="eastAsia" w:hAnsi="黑体"/>
          <w:bCs/>
          <w:kern w:val="2"/>
          <w:sz w:val="28"/>
          <w:szCs w:val="28"/>
          <w:lang w:val="en-US" w:eastAsia="zh-CN"/>
        </w:rPr>
        <w:t>6</w:t>
      </w:r>
      <w:r>
        <w:rPr>
          <w:rFonts w:hint="eastAsia" w:hAnsi="黑体"/>
          <w:bCs/>
          <w:kern w:val="2"/>
          <w:sz w:val="28"/>
          <w:szCs w:val="28"/>
        </w:rPr>
        <w:t>年重点工作</w:t>
      </w:r>
      <w:r>
        <w:rPr>
          <w:sz w:val="28"/>
          <w:szCs w:val="28"/>
        </w:rPr>
        <w:tab/>
      </w:r>
      <w:r>
        <w:rPr>
          <w:sz w:val="28"/>
          <w:szCs w:val="28"/>
        </w:rPr>
        <w:fldChar w:fldCharType="begin"/>
      </w:r>
      <w:r>
        <w:rPr>
          <w:sz w:val="28"/>
          <w:szCs w:val="28"/>
        </w:rPr>
        <w:instrText xml:space="preserve"> PAGEREF _Toc11311 \h </w:instrText>
      </w:r>
      <w:r>
        <w:rPr>
          <w:sz w:val="28"/>
          <w:szCs w:val="28"/>
        </w:rPr>
        <w:fldChar w:fldCharType="separate"/>
      </w:r>
      <w:r>
        <w:rPr>
          <w:sz w:val="28"/>
          <w:szCs w:val="28"/>
        </w:rPr>
        <w:t>4</w:t>
      </w:r>
      <w:r>
        <w:rPr>
          <w:sz w:val="28"/>
          <w:szCs w:val="28"/>
        </w:rPr>
        <w:fldChar w:fldCharType="end"/>
      </w:r>
      <w:r>
        <w:rPr>
          <w:sz w:val="28"/>
          <w:szCs w:val="28"/>
        </w:rPr>
        <w:fldChar w:fldCharType="end"/>
      </w:r>
    </w:p>
    <w:p w14:paraId="43FA8D9A">
      <w:pPr>
        <w:pStyle w:val="10"/>
        <w:tabs>
          <w:tab w:val="right" w:leader="dot" w:pos="8306"/>
        </w:tabs>
        <w:rPr>
          <w:sz w:val="28"/>
          <w:szCs w:val="28"/>
        </w:rPr>
      </w:pPr>
      <w:r>
        <w:rPr>
          <w:sz w:val="28"/>
          <w:szCs w:val="28"/>
        </w:rPr>
        <w:fldChar w:fldCharType="begin"/>
      </w:r>
      <w:r>
        <w:rPr>
          <w:sz w:val="28"/>
          <w:szCs w:val="28"/>
        </w:rPr>
        <w:instrText xml:space="preserve"> HYPERLINK \l _Toc21782 </w:instrText>
      </w:r>
      <w:r>
        <w:rPr>
          <w:sz w:val="28"/>
          <w:szCs w:val="28"/>
        </w:rPr>
        <w:fldChar w:fldCharType="separate"/>
      </w:r>
      <w:r>
        <w:rPr>
          <w:rFonts w:hint="eastAsia" w:ascii="黑体" w:hAnsi="黑体" w:eastAsia="黑体" w:cs="黑体"/>
          <w:kern w:val="2"/>
          <w:sz w:val="28"/>
          <w:szCs w:val="28"/>
        </w:rPr>
        <w:t>二、部门预算单位构成</w:t>
      </w:r>
      <w:r>
        <w:rPr>
          <w:sz w:val="28"/>
          <w:szCs w:val="28"/>
        </w:rPr>
        <w:tab/>
      </w:r>
      <w:r>
        <w:rPr>
          <w:sz w:val="28"/>
          <w:szCs w:val="28"/>
        </w:rPr>
        <w:fldChar w:fldCharType="begin"/>
      </w:r>
      <w:r>
        <w:rPr>
          <w:sz w:val="28"/>
          <w:szCs w:val="28"/>
        </w:rPr>
        <w:instrText xml:space="preserve"> PAGEREF _Toc21782 \h </w:instrText>
      </w:r>
      <w:r>
        <w:rPr>
          <w:sz w:val="28"/>
          <w:szCs w:val="28"/>
        </w:rPr>
        <w:fldChar w:fldCharType="separate"/>
      </w:r>
      <w:r>
        <w:rPr>
          <w:sz w:val="28"/>
          <w:szCs w:val="28"/>
        </w:rPr>
        <w:t>5</w:t>
      </w:r>
      <w:r>
        <w:rPr>
          <w:sz w:val="28"/>
          <w:szCs w:val="28"/>
        </w:rPr>
        <w:fldChar w:fldCharType="end"/>
      </w:r>
      <w:r>
        <w:rPr>
          <w:sz w:val="28"/>
          <w:szCs w:val="28"/>
        </w:rPr>
        <w:fldChar w:fldCharType="end"/>
      </w:r>
    </w:p>
    <w:p w14:paraId="6F9AF421">
      <w:pPr>
        <w:pStyle w:val="10"/>
        <w:tabs>
          <w:tab w:val="right" w:leader="dot" w:pos="8306"/>
        </w:tabs>
        <w:rPr>
          <w:sz w:val="28"/>
          <w:szCs w:val="28"/>
        </w:rPr>
      </w:pPr>
      <w:r>
        <w:rPr>
          <w:sz w:val="28"/>
          <w:szCs w:val="28"/>
        </w:rPr>
        <w:fldChar w:fldCharType="begin"/>
      </w:r>
      <w:r>
        <w:rPr>
          <w:sz w:val="28"/>
          <w:szCs w:val="28"/>
        </w:rPr>
        <w:instrText xml:space="preserve"> HYPERLINK \l _Toc26202 </w:instrText>
      </w:r>
      <w:r>
        <w:rPr>
          <w:sz w:val="28"/>
          <w:szCs w:val="28"/>
        </w:rPr>
        <w:fldChar w:fldCharType="separate"/>
      </w:r>
      <w:r>
        <w:rPr>
          <w:rFonts w:hint="eastAsia" w:ascii="黑体" w:hAnsi="黑体" w:eastAsia="黑体" w:cs="黑体"/>
          <w:kern w:val="2"/>
          <w:sz w:val="28"/>
          <w:szCs w:val="28"/>
        </w:rPr>
        <w:t>三、收支预算情况说明</w:t>
      </w:r>
      <w:r>
        <w:rPr>
          <w:sz w:val="28"/>
          <w:szCs w:val="28"/>
        </w:rPr>
        <w:tab/>
      </w:r>
      <w:r>
        <w:rPr>
          <w:sz w:val="28"/>
          <w:szCs w:val="28"/>
        </w:rPr>
        <w:fldChar w:fldCharType="begin"/>
      </w:r>
      <w:r>
        <w:rPr>
          <w:sz w:val="28"/>
          <w:szCs w:val="28"/>
        </w:rPr>
        <w:instrText xml:space="preserve"> PAGEREF _Toc26202 \h </w:instrText>
      </w:r>
      <w:r>
        <w:rPr>
          <w:sz w:val="28"/>
          <w:szCs w:val="28"/>
        </w:rPr>
        <w:fldChar w:fldCharType="separate"/>
      </w:r>
      <w:r>
        <w:rPr>
          <w:sz w:val="28"/>
          <w:szCs w:val="28"/>
        </w:rPr>
        <w:t>6</w:t>
      </w:r>
      <w:r>
        <w:rPr>
          <w:sz w:val="28"/>
          <w:szCs w:val="28"/>
        </w:rPr>
        <w:fldChar w:fldCharType="end"/>
      </w:r>
      <w:r>
        <w:rPr>
          <w:sz w:val="28"/>
          <w:szCs w:val="28"/>
        </w:rPr>
        <w:fldChar w:fldCharType="end"/>
      </w:r>
    </w:p>
    <w:p w14:paraId="24A8680B">
      <w:pPr>
        <w:pStyle w:val="11"/>
        <w:tabs>
          <w:tab w:val="right" w:leader="dot" w:pos="8306"/>
        </w:tabs>
        <w:rPr>
          <w:sz w:val="28"/>
          <w:szCs w:val="28"/>
        </w:rPr>
      </w:pPr>
      <w:r>
        <w:rPr>
          <w:sz w:val="28"/>
          <w:szCs w:val="28"/>
        </w:rPr>
        <w:fldChar w:fldCharType="begin"/>
      </w:r>
      <w:r>
        <w:rPr>
          <w:sz w:val="28"/>
          <w:szCs w:val="28"/>
        </w:rPr>
        <w:instrText xml:space="preserve"> HYPERLINK \l _Toc10963 </w:instrText>
      </w:r>
      <w:r>
        <w:rPr>
          <w:sz w:val="28"/>
          <w:szCs w:val="28"/>
        </w:rPr>
        <w:fldChar w:fldCharType="separate"/>
      </w:r>
      <w:r>
        <w:rPr>
          <w:rFonts w:hint="eastAsia" w:ascii="楷体_GB2312" w:hAnsi="黑体" w:eastAsia="楷体_GB2312" w:cs="楷体_GB2312"/>
          <w:bCs/>
          <w:kern w:val="2"/>
          <w:sz w:val="28"/>
          <w:szCs w:val="28"/>
        </w:rPr>
        <w:t>（一）收入预算情况</w:t>
      </w:r>
      <w:r>
        <w:rPr>
          <w:sz w:val="28"/>
          <w:szCs w:val="28"/>
        </w:rPr>
        <w:tab/>
      </w:r>
      <w:r>
        <w:rPr>
          <w:sz w:val="28"/>
          <w:szCs w:val="28"/>
        </w:rPr>
        <w:fldChar w:fldCharType="begin"/>
      </w:r>
      <w:r>
        <w:rPr>
          <w:sz w:val="28"/>
          <w:szCs w:val="28"/>
        </w:rPr>
        <w:instrText xml:space="preserve"> PAGEREF _Toc10963 \h </w:instrText>
      </w:r>
      <w:r>
        <w:rPr>
          <w:sz w:val="28"/>
          <w:szCs w:val="28"/>
        </w:rPr>
        <w:fldChar w:fldCharType="separate"/>
      </w:r>
      <w:r>
        <w:rPr>
          <w:sz w:val="28"/>
          <w:szCs w:val="28"/>
        </w:rPr>
        <w:t>6</w:t>
      </w:r>
      <w:r>
        <w:rPr>
          <w:sz w:val="28"/>
          <w:szCs w:val="28"/>
        </w:rPr>
        <w:fldChar w:fldCharType="end"/>
      </w:r>
      <w:r>
        <w:rPr>
          <w:sz w:val="28"/>
          <w:szCs w:val="28"/>
        </w:rPr>
        <w:fldChar w:fldCharType="end"/>
      </w:r>
    </w:p>
    <w:p w14:paraId="6A6AFF11">
      <w:pPr>
        <w:pStyle w:val="11"/>
        <w:tabs>
          <w:tab w:val="right" w:leader="dot" w:pos="8306"/>
        </w:tabs>
        <w:rPr>
          <w:sz w:val="28"/>
          <w:szCs w:val="28"/>
        </w:rPr>
      </w:pPr>
      <w:r>
        <w:rPr>
          <w:sz w:val="28"/>
          <w:szCs w:val="28"/>
        </w:rPr>
        <w:fldChar w:fldCharType="begin"/>
      </w:r>
      <w:r>
        <w:rPr>
          <w:sz w:val="28"/>
          <w:szCs w:val="28"/>
        </w:rPr>
        <w:instrText xml:space="preserve"> HYPERLINK \l _Toc24587 </w:instrText>
      </w:r>
      <w:r>
        <w:rPr>
          <w:sz w:val="28"/>
          <w:szCs w:val="28"/>
        </w:rPr>
        <w:fldChar w:fldCharType="separate"/>
      </w:r>
      <w:r>
        <w:rPr>
          <w:rFonts w:hint="eastAsia" w:ascii="楷体_GB2312" w:hAnsi="黑体" w:eastAsia="楷体_GB2312" w:cs="楷体_GB2312"/>
          <w:bCs/>
          <w:kern w:val="2"/>
          <w:sz w:val="28"/>
          <w:szCs w:val="28"/>
        </w:rPr>
        <w:t>（二）支出预算情况</w:t>
      </w:r>
      <w:r>
        <w:rPr>
          <w:sz w:val="28"/>
          <w:szCs w:val="28"/>
        </w:rPr>
        <w:tab/>
      </w:r>
      <w:r>
        <w:rPr>
          <w:sz w:val="28"/>
          <w:szCs w:val="28"/>
        </w:rPr>
        <w:fldChar w:fldCharType="begin"/>
      </w:r>
      <w:r>
        <w:rPr>
          <w:sz w:val="28"/>
          <w:szCs w:val="28"/>
        </w:rPr>
        <w:instrText xml:space="preserve"> PAGEREF _Toc24587 \h </w:instrText>
      </w:r>
      <w:r>
        <w:rPr>
          <w:sz w:val="28"/>
          <w:szCs w:val="28"/>
        </w:rPr>
        <w:fldChar w:fldCharType="separate"/>
      </w:r>
      <w:r>
        <w:rPr>
          <w:sz w:val="28"/>
          <w:szCs w:val="28"/>
        </w:rPr>
        <w:t>6</w:t>
      </w:r>
      <w:r>
        <w:rPr>
          <w:sz w:val="28"/>
          <w:szCs w:val="28"/>
        </w:rPr>
        <w:fldChar w:fldCharType="end"/>
      </w:r>
      <w:r>
        <w:rPr>
          <w:sz w:val="28"/>
          <w:szCs w:val="28"/>
        </w:rPr>
        <w:fldChar w:fldCharType="end"/>
      </w:r>
    </w:p>
    <w:p w14:paraId="2AE4ED39">
      <w:pPr>
        <w:pStyle w:val="10"/>
        <w:tabs>
          <w:tab w:val="right" w:leader="dot" w:pos="8306"/>
        </w:tabs>
        <w:rPr>
          <w:sz w:val="28"/>
          <w:szCs w:val="28"/>
        </w:rPr>
      </w:pPr>
      <w:r>
        <w:rPr>
          <w:sz w:val="28"/>
          <w:szCs w:val="28"/>
        </w:rPr>
        <w:fldChar w:fldCharType="begin"/>
      </w:r>
      <w:r>
        <w:rPr>
          <w:sz w:val="28"/>
          <w:szCs w:val="28"/>
        </w:rPr>
        <w:instrText xml:space="preserve"> HYPERLINK \l _Toc13863 </w:instrText>
      </w:r>
      <w:r>
        <w:rPr>
          <w:sz w:val="28"/>
          <w:szCs w:val="28"/>
        </w:rPr>
        <w:fldChar w:fldCharType="separate"/>
      </w:r>
      <w:r>
        <w:rPr>
          <w:rFonts w:hint="eastAsia" w:ascii="黑体" w:hAnsi="黑体" w:eastAsia="黑体" w:cs="黑体"/>
          <w:kern w:val="2"/>
          <w:sz w:val="28"/>
          <w:szCs w:val="28"/>
        </w:rPr>
        <w:t>四、财政拨款收支预算情况说明</w:t>
      </w:r>
      <w:r>
        <w:rPr>
          <w:sz w:val="28"/>
          <w:szCs w:val="28"/>
        </w:rPr>
        <w:tab/>
      </w:r>
      <w:r>
        <w:rPr>
          <w:sz w:val="28"/>
          <w:szCs w:val="28"/>
        </w:rPr>
        <w:fldChar w:fldCharType="begin"/>
      </w:r>
      <w:r>
        <w:rPr>
          <w:sz w:val="28"/>
          <w:szCs w:val="28"/>
        </w:rPr>
        <w:instrText xml:space="preserve"> PAGEREF _Toc13863 \h </w:instrText>
      </w:r>
      <w:r>
        <w:rPr>
          <w:sz w:val="28"/>
          <w:szCs w:val="28"/>
        </w:rPr>
        <w:fldChar w:fldCharType="separate"/>
      </w:r>
      <w:r>
        <w:rPr>
          <w:sz w:val="28"/>
          <w:szCs w:val="28"/>
        </w:rPr>
        <w:t>7</w:t>
      </w:r>
      <w:r>
        <w:rPr>
          <w:sz w:val="28"/>
          <w:szCs w:val="28"/>
        </w:rPr>
        <w:fldChar w:fldCharType="end"/>
      </w:r>
      <w:r>
        <w:rPr>
          <w:sz w:val="28"/>
          <w:szCs w:val="28"/>
        </w:rPr>
        <w:fldChar w:fldCharType="end"/>
      </w:r>
    </w:p>
    <w:p w14:paraId="358F2D41">
      <w:pPr>
        <w:pStyle w:val="10"/>
        <w:tabs>
          <w:tab w:val="right" w:leader="dot" w:pos="8306"/>
        </w:tabs>
        <w:rPr>
          <w:sz w:val="28"/>
          <w:szCs w:val="28"/>
        </w:rPr>
      </w:pPr>
      <w:r>
        <w:rPr>
          <w:sz w:val="28"/>
          <w:szCs w:val="28"/>
        </w:rPr>
        <w:fldChar w:fldCharType="begin"/>
      </w:r>
      <w:r>
        <w:rPr>
          <w:sz w:val="28"/>
          <w:szCs w:val="28"/>
        </w:rPr>
        <w:instrText xml:space="preserve"> HYPERLINK \l _Toc6516 </w:instrText>
      </w:r>
      <w:r>
        <w:rPr>
          <w:sz w:val="28"/>
          <w:szCs w:val="28"/>
        </w:rPr>
        <w:fldChar w:fldCharType="separate"/>
      </w:r>
      <w:r>
        <w:rPr>
          <w:rFonts w:hint="eastAsia" w:ascii="黑体" w:hAnsi="黑体" w:eastAsia="黑体" w:cs="黑体"/>
          <w:kern w:val="2"/>
          <w:sz w:val="28"/>
          <w:szCs w:val="28"/>
        </w:rPr>
        <w:t>五、一般公共预算当年拨款情况说明</w:t>
      </w:r>
      <w:r>
        <w:rPr>
          <w:sz w:val="28"/>
          <w:szCs w:val="28"/>
        </w:rPr>
        <w:tab/>
      </w:r>
      <w:r>
        <w:rPr>
          <w:sz w:val="28"/>
          <w:szCs w:val="28"/>
        </w:rPr>
        <w:fldChar w:fldCharType="begin"/>
      </w:r>
      <w:r>
        <w:rPr>
          <w:sz w:val="28"/>
          <w:szCs w:val="28"/>
        </w:rPr>
        <w:instrText xml:space="preserve"> PAGEREF _Toc6516 \h </w:instrText>
      </w:r>
      <w:r>
        <w:rPr>
          <w:sz w:val="28"/>
          <w:szCs w:val="28"/>
        </w:rPr>
        <w:fldChar w:fldCharType="separate"/>
      </w:r>
      <w:r>
        <w:rPr>
          <w:sz w:val="28"/>
          <w:szCs w:val="28"/>
        </w:rPr>
        <w:t>7</w:t>
      </w:r>
      <w:r>
        <w:rPr>
          <w:sz w:val="28"/>
          <w:szCs w:val="28"/>
        </w:rPr>
        <w:fldChar w:fldCharType="end"/>
      </w:r>
      <w:r>
        <w:rPr>
          <w:sz w:val="28"/>
          <w:szCs w:val="28"/>
        </w:rPr>
        <w:fldChar w:fldCharType="end"/>
      </w:r>
    </w:p>
    <w:p w14:paraId="5F165FFA">
      <w:pPr>
        <w:pStyle w:val="11"/>
        <w:tabs>
          <w:tab w:val="right" w:leader="dot" w:pos="8306"/>
        </w:tabs>
        <w:rPr>
          <w:sz w:val="28"/>
          <w:szCs w:val="28"/>
        </w:rPr>
      </w:pPr>
      <w:r>
        <w:rPr>
          <w:sz w:val="28"/>
          <w:szCs w:val="28"/>
        </w:rPr>
        <w:fldChar w:fldCharType="begin"/>
      </w:r>
      <w:r>
        <w:rPr>
          <w:sz w:val="28"/>
          <w:szCs w:val="28"/>
        </w:rPr>
        <w:instrText xml:space="preserve"> HYPERLINK \l _Toc10714 </w:instrText>
      </w:r>
      <w:r>
        <w:rPr>
          <w:sz w:val="28"/>
          <w:szCs w:val="28"/>
        </w:rPr>
        <w:fldChar w:fldCharType="separate"/>
      </w:r>
      <w:r>
        <w:rPr>
          <w:rFonts w:hint="eastAsia" w:ascii="楷体_GB2312" w:hAnsi="黑体" w:eastAsia="楷体_GB2312" w:cs="楷体_GB2312"/>
          <w:bCs/>
          <w:kern w:val="2"/>
          <w:sz w:val="28"/>
          <w:szCs w:val="28"/>
        </w:rPr>
        <w:t>（一）一般公共预算当年拨款规模变化情况</w:t>
      </w:r>
      <w:r>
        <w:rPr>
          <w:sz w:val="28"/>
          <w:szCs w:val="28"/>
        </w:rPr>
        <w:tab/>
      </w:r>
      <w:r>
        <w:rPr>
          <w:sz w:val="28"/>
          <w:szCs w:val="28"/>
        </w:rPr>
        <w:fldChar w:fldCharType="begin"/>
      </w:r>
      <w:r>
        <w:rPr>
          <w:sz w:val="28"/>
          <w:szCs w:val="28"/>
        </w:rPr>
        <w:instrText xml:space="preserve"> PAGEREF _Toc10714 \h </w:instrText>
      </w:r>
      <w:r>
        <w:rPr>
          <w:sz w:val="28"/>
          <w:szCs w:val="28"/>
        </w:rPr>
        <w:fldChar w:fldCharType="separate"/>
      </w:r>
      <w:r>
        <w:rPr>
          <w:sz w:val="28"/>
          <w:szCs w:val="28"/>
        </w:rPr>
        <w:t>7</w:t>
      </w:r>
      <w:r>
        <w:rPr>
          <w:sz w:val="28"/>
          <w:szCs w:val="28"/>
        </w:rPr>
        <w:fldChar w:fldCharType="end"/>
      </w:r>
      <w:r>
        <w:rPr>
          <w:sz w:val="28"/>
          <w:szCs w:val="28"/>
        </w:rPr>
        <w:fldChar w:fldCharType="end"/>
      </w:r>
    </w:p>
    <w:p w14:paraId="3142BDEF">
      <w:pPr>
        <w:pStyle w:val="11"/>
        <w:tabs>
          <w:tab w:val="right" w:leader="dot" w:pos="8306"/>
        </w:tabs>
        <w:rPr>
          <w:sz w:val="28"/>
          <w:szCs w:val="28"/>
        </w:rPr>
      </w:pPr>
      <w:r>
        <w:rPr>
          <w:sz w:val="28"/>
          <w:szCs w:val="28"/>
        </w:rPr>
        <w:fldChar w:fldCharType="begin"/>
      </w:r>
      <w:r>
        <w:rPr>
          <w:sz w:val="28"/>
          <w:szCs w:val="28"/>
        </w:rPr>
        <w:instrText xml:space="preserve"> HYPERLINK \l _Toc18483 </w:instrText>
      </w:r>
      <w:r>
        <w:rPr>
          <w:sz w:val="28"/>
          <w:szCs w:val="28"/>
        </w:rPr>
        <w:fldChar w:fldCharType="separate"/>
      </w:r>
      <w:r>
        <w:rPr>
          <w:rFonts w:hint="eastAsia" w:ascii="楷体_GB2312" w:hAnsi="黑体" w:eastAsia="楷体_GB2312" w:cs="楷体_GB2312"/>
          <w:bCs/>
          <w:kern w:val="2"/>
          <w:sz w:val="28"/>
          <w:szCs w:val="28"/>
        </w:rPr>
        <w:t>（二）一般公共预算当年拨款结构情况</w:t>
      </w:r>
      <w:r>
        <w:rPr>
          <w:sz w:val="28"/>
          <w:szCs w:val="28"/>
        </w:rPr>
        <w:tab/>
      </w:r>
      <w:r>
        <w:rPr>
          <w:sz w:val="28"/>
          <w:szCs w:val="28"/>
        </w:rPr>
        <w:fldChar w:fldCharType="begin"/>
      </w:r>
      <w:r>
        <w:rPr>
          <w:sz w:val="28"/>
          <w:szCs w:val="28"/>
        </w:rPr>
        <w:instrText xml:space="preserve"> PAGEREF _Toc18483 \h </w:instrText>
      </w:r>
      <w:r>
        <w:rPr>
          <w:sz w:val="28"/>
          <w:szCs w:val="28"/>
        </w:rPr>
        <w:fldChar w:fldCharType="separate"/>
      </w:r>
      <w:r>
        <w:rPr>
          <w:sz w:val="28"/>
          <w:szCs w:val="28"/>
        </w:rPr>
        <w:t>7</w:t>
      </w:r>
      <w:r>
        <w:rPr>
          <w:sz w:val="28"/>
          <w:szCs w:val="28"/>
        </w:rPr>
        <w:fldChar w:fldCharType="end"/>
      </w:r>
      <w:r>
        <w:rPr>
          <w:sz w:val="28"/>
          <w:szCs w:val="28"/>
        </w:rPr>
        <w:fldChar w:fldCharType="end"/>
      </w:r>
    </w:p>
    <w:p w14:paraId="72A6387E">
      <w:pPr>
        <w:pStyle w:val="11"/>
        <w:tabs>
          <w:tab w:val="right" w:leader="dot" w:pos="8306"/>
        </w:tabs>
        <w:rPr>
          <w:sz w:val="28"/>
          <w:szCs w:val="28"/>
        </w:rPr>
      </w:pPr>
      <w:r>
        <w:rPr>
          <w:sz w:val="28"/>
          <w:szCs w:val="28"/>
        </w:rPr>
        <w:fldChar w:fldCharType="begin"/>
      </w:r>
      <w:r>
        <w:rPr>
          <w:sz w:val="28"/>
          <w:szCs w:val="28"/>
        </w:rPr>
        <w:instrText xml:space="preserve"> HYPERLINK \l _Toc17213 </w:instrText>
      </w:r>
      <w:r>
        <w:rPr>
          <w:sz w:val="28"/>
          <w:szCs w:val="28"/>
        </w:rPr>
        <w:fldChar w:fldCharType="separate"/>
      </w:r>
      <w:r>
        <w:rPr>
          <w:rFonts w:hint="eastAsia" w:ascii="楷体_GB2312" w:hAnsi="黑体" w:eastAsia="楷体_GB2312" w:cs="楷体_GB2312"/>
          <w:bCs/>
          <w:kern w:val="2"/>
          <w:sz w:val="28"/>
          <w:szCs w:val="28"/>
        </w:rPr>
        <w:t>（三）一般公共预算当年拨款具体使用情况</w:t>
      </w:r>
      <w:r>
        <w:rPr>
          <w:sz w:val="28"/>
          <w:szCs w:val="28"/>
        </w:rPr>
        <w:tab/>
      </w:r>
      <w:r>
        <w:rPr>
          <w:sz w:val="28"/>
          <w:szCs w:val="28"/>
        </w:rPr>
        <w:fldChar w:fldCharType="begin"/>
      </w:r>
      <w:r>
        <w:rPr>
          <w:sz w:val="28"/>
          <w:szCs w:val="28"/>
        </w:rPr>
        <w:instrText xml:space="preserve"> PAGEREF _Toc17213 \h </w:instrText>
      </w:r>
      <w:r>
        <w:rPr>
          <w:sz w:val="28"/>
          <w:szCs w:val="28"/>
        </w:rPr>
        <w:fldChar w:fldCharType="separate"/>
      </w:r>
      <w:r>
        <w:rPr>
          <w:sz w:val="28"/>
          <w:szCs w:val="28"/>
        </w:rPr>
        <w:t>8</w:t>
      </w:r>
      <w:r>
        <w:rPr>
          <w:sz w:val="28"/>
          <w:szCs w:val="28"/>
        </w:rPr>
        <w:fldChar w:fldCharType="end"/>
      </w:r>
      <w:r>
        <w:rPr>
          <w:sz w:val="28"/>
          <w:szCs w:val="28"/>
        </w:rPr>
        <w:fldChar w:fldCharType="end"/>
      </w:r>
    </w:p>
    <w:p w14:paraId="6BF247A4">
      <w:pPr>
        <w:pStyle w:val="10"/>
        <w:tabs>
          <w:tab w:val="right" w:leader="dot" w:pos="8306"/>
        </w:tabs>
        <w:rPr>
          <w:sz w:val="28"/>
          <w:szCs w:val="28"/>
        </w:rPr>
      </w:pPr>
      <w:r>
        <w:rPr>
          <w:sz w:val="28"/>
          <w:szCs w:val="28"/>
        </w:rPr>
        <w:fldChar w:fldCharType="begin"/>
      </w:r>
      <w:r>
        <w:rPr>
          <w:sz w:val="28"/>
          <w:szCs w:val="28"/>
        </w:rPr>
        <w:instrText xml:space="preserve"> HYPERLINK \l _Toc16852 </w:instrText>
      </w:r>
      <w:r>
        <w:rPr>
          <w:sz w:val="28"/>
          <w:szCs w:val="28"/>
        </w:rPr>
        <w:fldChar w:fldCharType="separate"/>
      </w:r>
      <w:r>
        <w:rPr>
          <w:rFonts w:hint="eastAsia" w:ascii="黑体" w:hAnsi="黑体" w:eastAsia="黑体" w:cs="黑体"/>
          <w:kern w:val="2"/>
          <w:sz w:val="28"/>
          <w:szCs w:val="28"/>
        </w:rPr>
        <w:t>六、一般公共预算基本支出情况说明</w:t>
      </w:r>
      <w:r>
        <w:rPr>
          <w:sz w:val="28"/>
          <w:szCs w:val="28"/>
        </w:rPr>
        <w:tab/>
      </w:r>
      <w:r>
        <w:rPr>
          <w:sz w:val="28"/>
          <w:szCs w:val="28"/>
        </w:rPr>
        <w:fldChar w:fldCharType="begin"/>
      </w:r>
      <w:r>
        <w:rPr>
          <w:sz w:val="28"/>
          <w:szCs w:val="28"/>
        </w:rPr>
        <w:instrText xml:space="preserve"> PAGEREF _Toc16852 \h </w:instrText>
      </w:r>
      <w:r>
        <w:rPr>
          <w:sz w:val="28"/>
          <w:szCs w:val="28"/>
        </w:rPr>
        <w:fldChar w:fldCharType="separate"/>
      </w:r>
      <w:r>
        <w:rPr>
          <w:sz w:val="28"/>
          <w:szCs w:val="28"/>
        </w:rPr>
        <w:t>8</w:t>
      </w:r>
      <w:r>
        <w:rPr>
          <w:sz w:val="28"/>
          <w:szCs w:val="28"/>
        </w:rPr>
        <w:fldChar w:fldCharType="end"/>
      </w:r>
      <w:r>
        <w:rPr>
          <w:sz w:val="28"/>
          <w:szCs w:val="28"/>
        </w:rPr>
        <w:fldChar w:fldCharType="end"/>
      </w:r>
    </w:p>
    <w:p w14:paraId="24D41E37">
      <w:pPr>
        <w:pStyle w:val="10"/>
        <w:tabs>
          <w:tab w:val="right" w:leader="dot" w:pos="8306"/>
        </w:tabs>
        <w:rPr>
          <w:sz w:val="28"/>
          <w:szCs w:val="28"/>
        </w:rPr>
      </w:pPr>
      <w:r>
        <w:rPr>
          <w:sz w:val="28"/>
          <w:szCs w:val="28"/>
        </w:rPr>
        <w:fldChar w:fldCharType="begin"/>
      </w:r>
      <w:r>
        <w:rPr>
          <w:sz w:val="28"/>
          <w:szCs w:val="28"/>
        </w:rPr>
        <w:instrText xml:space="preserve"> HYPERLINK \l _Toc24864 </w:instrText>
      </w:r>
      <w:r>
        <w:rPr>
          <w:sz w:val="28"/>
          <w:szCs w:val="28"/>
        </w:rPr>
        <w:fldChar w:fldCharType="separate"/>
      </w:r>
      <w:r>
        <w:rPr>
          <w:rFonts w:hint="eastAsia" w:ascii="黑体" w:hAnsi="黑体" w:eastAsia="黑体" w:cs="黑体"/>
          <w:kern w:val="2"/>
          <w:sz w:val="28"/>
          <w:szCs w:val="28"/>
        </w:rPr>
        <w:t>七、</w:t>
      </w:r>
      <w:r>
        <w:rPr>
          <w:rFonts w:ascii="黑体" w:hAnsi="黑体" w:eastAsia="黑体" w:cs="Times New Roman"/>
          <w:kern w:val="2"/>
          <w:sz w:val="28"/>
          <w:szCs w:val="28"/>
        </w:rPr>
        <w:t>“</w:t>
      </w:r>
      <w:r>
        <w:rPr>
          <w:rFonts w:hint="eastAsia" w:ascii="黑体" w:hAnsi="黑体" w:eastAsia="黑体" w:cs="黑体"/>
          <w:kern w:val="2"/>
          <w:sz w:val="28"/>
          <w:szCs w:val="28"/>
        </w:rPr>
        <w:t>三公</w:t>
      </w:r>
      <w:r>
        <w:rPr>
          <w:rFonts w:ascii="黑体" w:hAnsi="黑体" w:eastAsia="黑体" w:cs="Times New Roman"/>
          <w:kern w:val="2"/>
          <w:sz w:val="28"/>
          <w:szCs w:val="28"/>
        </w:rPr>
        <w:t>”</w:t>
      </w:r>
      <w:r>
        <w:rPr>
          <w:rFonts w:hint="eastAsia" w:ascii="黑体" w:hAnsi="黑体" w:eastAsia="黑体" w:cs="黑体"/>
          <w:kern w:val="2"/>
          <w:sz w:val="28"/>
          <w:szCs w:val="28"/>
        </w:rPr>
        <w:t>经费财政拨款预算安排情况说明</w:t>
      </w:r>
      <w:r>
        <w:rPr>
          <w:sz w:val="28"/>
          <w:szCs w:val="28"/>
        </w:rPr>
        <w:tab/>
      </w:r>
      <w:r>
        <w:rPr>
          <w:sz w:val="28"/>
          <w:szCs w:val="28"/>
        </w:rPr>
        <w:fldChar w:fldCharType="begin"/>
      </w:r>
      <w:r>
        <w:rPr>
          <w:sz w:val="28"/>
          <w:szCs w:val="28"/>
        </w:rPr>
        <w:instrText xml:space="preserve"> PAGEREF _Toc24864 \h </w:instrText>
      </w:r>
      <w:r>
        <w:rPr>
          <w:sz w:val="28"/>
          <w:szCs w:val="28"/>
        </w:rPr>
        <w:fldChar w:fldCharType="separate"/>
      </w:r>
      <w:r>
        <w:rPr>
          <w:sz w:val="28"/>
          <w:szCs w:val="28"/>
        </w:rPr>
        <w:t>9</w:t>
      </w:r>
      <w:r>
        <w:rPr>
          <w:sz w:val="28"/>
          <w:szCs w:val="28"/>
        </w:rPr>
        <w:fldChar w:fldCharType="end"/>
      </w:r>
      <w:r>
        <w:rPr>
          <w:sz w:val="28"/>
          <w:szCs w:val="28"/>
        </w:rPr>
        <w:fldChar w:fldCharType="end"/>
      </w:r>
    </w:p>
    <w:p w14:paraId="6B640BD1">
      <w:pPr>
        <w:pStyle w:val="10"/>
        <w:tabs>
          <w:tab w:val="right" w:leader="dot" w:pos="8306"/>
        </w:tabs>
        <w:rPr>
          <w:sz w:val="28"/>
          <w:szCs w:val="28"/>
        </w:rPr>
      </w:pPr>
      <w:r>
        <w:rPr>
          <w:sz w:val="28"/>
          <w:szCs w:val="28"/>
        </w:rPr>
        <w:fldChar w:fldCharType="begin"/>
      </w:r>
      <w:r>
        <w:rPr>
          <w:sz w:val="28"/>
          <w:szCs w:val="28"/>
        </w:rPr>
        <w:instrText xml:space="preserve"> HYPERLINK \l _Toc13174 </w:instrText>
      </w:r>
      <w:r>
        <w:rPr>
          <w:sz w:val="28"/>
          <w:szCs w:val="28"/>
        </w:rPr>
        <w:fldChar w:fldCharType="separate"/>
      </w:r>
      <w:r>
        <w:rPr>
          <w:rFonts w:hint="eastAsia" w:ascii="黑体" w:hAnsi="黑体" w:eastAsia="黑体" w:cs="黑体"/>
          <w:kern w:val="2"/>
          <w:sz w:val="28"/>
          <w:szCs w:val="28"/>
        </w:rPr>
        <w:t>八、政府性基金预算支出情况说明</w:t>
      </w:r>
      <w:r>
        <w:rPr>
          <w:sz w:val="28"/>
          <w:szCs w:val="28"/>
        </w:rPr>
        <w:tab/>
      </w:r>
      <w:r>
        <w:rPr>
          <w:sz w:val="28"/>
          <w:szCs w:val="28"/>
        </w:rPr>
        <w:fldChar w:fldCharType="begin"/>
      </w:r>
      <w:r>
        <w:rPr>
          <w:sz w:val="28"/>
          <w:szCs w:val="28"/>
        </w:rPr>
        <w:instrText xml:space="preserve"> PAGEREF _Toc13174 \h </w:instrText>
      </w:r>
      <w:r>
        <w:rPr>
          <w:sz w:val="28"/>
          <w:szCs w:val="28"/>
        </w:rPr>
        <w:fldChar w:fldCharType="separate"/>
      </w:r>
      <w:r>
        <w:rPr>
          <w:sz w:val="28"/>
          <w:szCs w:val="28"/>
        </w:rPr>
        <w:t>9</w:t>
      </w:r>
      <w:r>
        <w:rPr>
          <w:sz w:val="28"/>
          <w:szCs w:val="28"/>
        </w:rPr>
        <w:fldChar w:fldCharType="end"/>
      </w:r>
      <w:r>
        <w:rPr>
          <w:sz w:val="28"/>
          <w:szCs w:val="28"/>
        </w:rPr>
        <w:fldChar w:fldCharType="end"/>
      </w:r>
    </w:p>
    <w:p w14:paraId="1846A3B9">
      <w:pPr>
        <w:pStyle w:val="10"/>
        <w:tabs>
          <w:tab w:val="right" w:leader="dot" w:pos="8306"/>
        </w:tabs>
        <w:rPr>
          <w:sz w:val="28"/>
          <w:szCs w:val="28"/>
        </w:rPr>
      </w:pPr>
      <w:r>
        <w:rPr>
          <w:sz w:val="28"/>
          <w:szCs w:val="28"/>
        </w:rPr>
        <w:fldChar w:fldCharType="begin"/>
      </w:r>
      <w:r>
        <w:rPr>
          <w:sz w:val="28"/>
          <w:szCs w:val="28"/>
        </w:rPr>
        <w:instrText xml:space="preserve"> HYPERLINK \l _Toc26484 </w:instrText>
      </w:r>
      <w:r>
        <w:rPr>
          <w:sz w:val="28"/>
          <w:szCs w:val="28"/>
        </w:rPr>
        <w:fldChar w:fldCharType="separate"/>
      </w:r>
      <w:r>
        <w:rPr>
          <w:rFonts w:hint="eastAsia" w:ascii="黑体" w:hAnsi="黑体" w:eastAsia="黑体" w:cs="黑体"/>
          <w:kern w:val="2"/>
          <w:sz w:val="28"/>
          <w:szCs w:val="28"/>
        </w:rPr>
        <w:t>九、其他重要事项的情况说明</w:t>
      </w:r>
      <w:r>
        <w:rPr>
          <w:sz w:val="28"/>
          <w:szCs w:val="28"/>
        </w:rPr>
        <w:tab/>
      </w:r>
      <w:r>
        <w:rPr>
          <w:sz w:val="28"/>
          <w:szCs w:val="28"/>
        </w:rPr>
        <w:fldChar w:fldCharType="begin"/>
      </w:r>
      <w:r>
        <w:rPr>
          <w:sz w:val="28"/>
          <w:szCs w:val="28"/>
        </w:rPr>
        <w:instrText xml:space="preserve"> PAGEREF _Toc26484 \h </w:instrText>
      </w:r>
      <w:r>
        <w:rPr>
          <w:sz w:val="28"/>
          <w:szCs w:val="28"/>
        </w:rPr>
        <w:fldChar w:fldCharType="separate"/>
      </w:r>
      <w:r>
        <w:rPr>
          <w:sz w:val="28"/>
          <w:szCs w:val="28"/>
        </w:rPr>
        <w:t>10</w:t>
      </w:r>
      <w:r>
        <w:rPr>
          <w:sz w:val="28"/>
          <w:szCs w:val="28"/>
        </w:rPr>
        <w:fldChar w:fldCharType="end"/>
      </w:r>
      <w:r>
        <w:rPr>
          <w:sz w:val="28"/>
          <w:szCs w:val="28"/>
        </w:rPr>
        <w:fldChar w:fldCharType="end"/>
      </w:r>
    </w:p>
    <w:p w14:paraId="5DB53CDE">
      <w:pPr>
        <w:pStyle w:val="11"/>
        <w:tabs>
          <w:tab w:val="right" w:leader="dot" w:pos="8306"/>
        </w:tabs>
        <w:rPr>
          <w:sz w:val="28"/>
          <w:szCs w:val="28"/>
        </w:rPr>
      </w:pPr>
      <w:r>
        <w:rPr>
          <w:sz w:val="28"/>
          <w:szCs w:val="28"/>
        </w:rPr>
        <w:fldChar w:fldCharType="begin"/>
      </w:r>
      <w:r>
        <w:rPr>
          <w:sz w:val="28"/>
          <w:szCs w:val="28"/>
        </w:rPr>
        <w:instrText xml:space="preserve"> HYPERLINK \l _Toc22381 </w:instrText>
      </w:r>
      <w:r>
        <w:rPr>
          <w:sz w:val="28"/>
          <w:szCs w:val="28"/>
        </w:rPr>
        <w:fldChar w:fldCharType="separate"/>
      </w:r>
      <w:r>
        <w:rPr>
          <w:rFonts w:hint="eastAsia" w:ascii="楷体_GB2312" w:hAnsi="黑体" w:eastAsia="楷体_GB2312" w:cs="楷体_GB2312"/>
          <w:bCs/>
          <w:kern w:val="2"/>
          <w:sz w:val="28"/>
          <w:szCs w:val="28"/>
        </w:rPr>
        <w:t>（一）机关运行经费</w:t>
      </w:r>
      <w:r>
        <w:rPr>
          <w:sz w:val="28"/>
          <w:szCs w:val="28"/>
        </w:rPr>
        <w:tab/>
      </w:r>
      <w:r>
        <w:rPr>
          <w:sz w:val="28"/>
          <w:szCs w:val="28"/>
        </w:rPr>
        <w:fldChar w:fldCharType="begin"/>
      </w:r>
      <w:r>
        <w:rPr>
          <w:sz w:val="28"/>
          <w:szCs w:val="28"/>
        </w:rPr>
        <w:instrText xml:space="preserve"> PAGEREF _Toc22381 \h </w:instrText>
      </w:r>
      <w:r>
        <w:rPr>
          <w:sz w:val="28"/>
          <w:szCs w:val="28"/>
        </w:rPr>
        <w:fldChar w:fldCharType="separate"/>
      </w:r>
      <w:r>
        <w:rPr>
          <w:sz w:val="28"/>
          <w:szCs w:val="28"/>
        </w:rPr>
        <w:t>10</w:t>
      </w:r>
      <w:r>
        <w:rPr>
          <w:sz w:val="28"/>
          <w:szCs w:val="28"/>
        </w:rPr>
        <w:fldChar w:fldCharType="end"/>
      </w:r>
      <w:r>
        <w:rPr>
          <w:sz w:val="28"/>
          <w:szCs w:val="28"/>
        </w:rPr>
        <w:fldChar w:fldCharType="end"/>
      </w:r>
    </w:p>
    <w:p w14:paraId="3C31DF22">
      <w:pPr>
        <w:pStyle w:val="11"/>
        <w:tabs>
          <w:tab w:val="right" w:leader="dot" w:pos="8306"/>
        </w:tabs>
        <w:rPr>
          <w:sz w:val="28"/>
          <w:szCs w:val="28"/>
        </w:rPr>
      </w:pPr>
      <w:r>
        <w:rPr>
          <w:sz w:val="28"/>
          <w:szCs w:val="28"/>
        </w:rPr>
        <w:fldChar w:fldCharType="begin"/>
      </w:r>
      <w:r>
        <w:rPr>
          <w:sz w:val="28"/>
          <w:szCs w:val="28"/>
        </w:rPr>
        <w:instrText xml:space="preserve"> HYPERLINK \l _Toc31956 </w:instrText>
      </w:r>
      <w:r>
        <w:rPr>
          <w:sz w:val="28"/>
          <w:szCs w:val="28"/>
        </w:rPr>
        <w:fldChar w:fldCharType="separate"/>
      </w:r>
      <w:r>
        <w:rPr>
          <w:rFonts w:hint="eastAsia" w:ascii="楷体_GB2312" w:hAnsi="黑体" w:eastAsia="楷体_GB2312" w:cs="楷体_GB2312"/>
          <w:bCs/>
          <w:kern w:val="2"/>
          <w:sz w:val="28"/>
          <w:szCs w:val="28"/>
        </w:rPr>
        <w:t>（二）政府采购情况</w:t>
      </w:r>
      <w:r>
        <w:rPr>
          <w:sz w:val="28"/>
          <w:szCs w:val="28"/>
        </w:rPr>
        <w:tab/>
      </w:r>
      <w:r>
        <w:rPr>
          <w:sz w:val="28"/>
          <w:szCs w:val="28"/>
        </w:rPr>
        <w:fldChar w:fldCharType="begin"/>
      </w:r>
      <w:r>
        <w:rPr>
          <w:sz w:val="28"/>
          <w:szCs w:val="28"/>
        </w:rPr>
        <w:instrText xml:space="preserve"> PAGEREF _Toc31956 \h </w:instrText>
      </w:r>
      <w:r>
        <w:rPr>
          <w:sz w:val="28"/>
          <w:szCs w:val="28"/>
        </w:rPr>
        <w:fldChar w:fldCharType="separate"/>
      </w:r>
      <w:r>
        <w:rPr>
          <w:sz w:val="28"/>
          <w:szCs w:val="28"/>
        </w:rPr>
        <w:t>10</w:t>
      </w:r>
      <w:r>
        <w:rPr>
          <w:sz w:val="28"/>
          <w:szCs w:val="28"/>
        </w:rPr>
        <w:fldChar w:fldCharType="end"/>
      </w:r>
      <w:r>
        <w:rPr>
          <w:sz w:val="28"/>
          <w:szCs w:val="28"/>
        </w:rPr>
        <w:fldChar w:fldCharType="end"/>
      </w:r>
    </w:p>
    <w:p w14:paraId="64CA11B8">
      <w:pPr>
        <w:pStyle w:val="11"/>
        <w:tabs>
          <w:tab w:val="right" w:leader="dot" w:pos="8306"/>
        </w:tabs>
        <w:rPr>
          <w:sz w:val="28"/>
          <w:szCs w:val="28"/>
        </w:rPr>
      </w:pPr>
      <w:r>
        <w:rPr>
          <w:sz w:val="28"/>
          <w:szCs w:val="28"/>
        </w:rPr>
        <w:fldChar w:fldCharType="begin"/>
      </w:r>
      <w:r>
        <w:rPr>
          <w:sz w:val="28"/>
          <w:szCs w:val="28"/>
        </w:rPr>
        <w:instrText xml:space="preserve"> HYPERLINK \l _Toc8472 </w:instrText>
      </w:r>
      <w:r>
        <w:rPr>
          <w:sz w:val="28"/>
          <w:szCs w:val="28"/>
        </w:rPr>
        <w:fldChar w:fldCharType="separate"/>
      </w:r>
      <w:r>
        <w:rPr>
          <w:rFonts w:hint="eastAsia" w:ascii="楷体_GB2312" w:hAnsi="黑体" w:eastAsia="楷体_GB2312" w:cs="楷体_GB2312"/>
          <w:bCs/>
          <w:kern w:val="2"/>
          <w:sz w:val="28"/>
          <w:szCs w:val="28"/>
        </w:rPr>
        <w:t>（三） 国有资产占有使用情况</w:t>
      </w:r>
      <w:r>
        <w:rPr>
          <w:sz w:val="28"/>
          <w:szCs w:val="28"/>
        </w:rPr>
        <w:tab/>
      </w:r>
      <w:r>
        <w:rPr>
          <w:sz w:val="28"/>
          <w:szCs w:val="28"/>
        </w:rPr>
        <w:fldChar w:fldCharType="begin"/>
      </w:r>
      <w:r>
        <w:rPr>
          <w:sz w:val="28"/>
          <w:szCs w:val="28"/>
        </w:rPr>
        <w:instrText xml:space="preserve"> PAGEREF _Toc8472 \h </w:instrText>
      </w:r>
      <w:r>
        <w:rPr>
          <w:sz w:val="28"/>
          <w:szCs w:val="28"/>
        </w:rPr>
        <w:fldChar w:fldCharType="separate"/>
      </w:r>
      <w:r>
        <w:rPr>
          <w:sz w:val="28"/>
          <w:szCs w:val="28"/>
        </w:rPr>
        <w:t>10</w:t>
      </w:r>
      <w:r>
        <w:rPr>
          <w:sz w:val="28"/>
          <w:szCs w:val="28"/>
        </w:rPr>
        <w:fldChar w:fldCharType="end"/>
      </w:r>
      <w:r>
        <w:rPr>
          <w:sz w:val="28"/>
          <w:szCs w:val="28"/>
        </w:rPr>
        <w:fldChar w:fldCharType="end"/>
      </w:r>
    </w:p>
    <w:p w14:paraId="4FFEA714">
      <w:pPr>
        <w:pStyle w:val="11"/>
        <w:tabs>
          <w:tab w:val="right" w:leader="dot" w:pos="8306"/>
        </w:tabs>
        <w:rPr>
          <w:sz w:val="28"/>
          <w:szCs w:val="28"/>
        </w:rPr>
      </w:pPr>
      <w:r>
        <w:rPr>
          <w:sz w:val="28"/>
          <w:szCs w:val="28"/>
        </w:rPr>
        <w:fldChar w:fldCharType="begin"/>
      </w:r>
      <w:r>
        <w:rPr>
          <w:sz w:val="28"/>
          <w:szCs w:val="28"/>
        </w:rPr>
        <w:instrText xml:space="preserve"> HYPERLINK \l _Toc22930 </w:instrText>
      </w:r>
      <w:r>
        <w:rPr>
          <w:sz w:val="28"/>
          <w:szCs w:val="28"/>
        </w:rPr>
        <w:fldChar w:fldCharType="separate"/>
      </w:r>
      <w:r>
        <w:rPr>
          <w:rFonts w:hint="eastAsia" w:ascii="楷体_GB2312" w:hAnsi="黑体" w:eastAsia="楷体_GB2312" w:cs="楷体_GB2312"/>
          <w:bCs/>
          <w:kern w:val="2"/>
          <w:sz w:val="28"/>
          <w:szCs w:val="28"/>
        </w:rPr>
        <w:t>（四）绩效目标设置情况</w:t>
      </w:r>
      <w:r>
        <w:rPr>
          <w:sz w:val="28"/>
          <w:szCs w:val="28"/>
        </w:rPr>
        <w:tab/>
      </w:r>
      <w:r>
        <w:rPr>
          <w:sz w:val="28"/>
          <w:szCs w:val="28"/>
        </w:rPr>
        <w:fldChar w:fldCharType="begin"/>
      </w:r>
      <w:r>
        <w:rPr>
          <w:sz w:val="28"/>
          <w:szCs w:val="28"/>
        </w:rPr>
        <w:instrText xml:space="preserve"> PAGEREF _Toc22930 \h </w:instrText>
      </w:r>
      <w:r>
        <w:rPr>
          <w:sz w:val="28"/>
          <w:szCs w:val="28"/>
        </w:rPr>
        <w:fldChar w:fldCharType="separate"/>
      </w:r>
      <w:r>
        <w:rPr>
          <w:sz w:val="28"/>
          <w:szCs w:val="28"/>
        </w:rPr>
        <w:t>10</w:t>
      </w:r>
      <w:r>
        <w:rPr>
          <w:sz w:val="28"/>
          <w:szCs w:val="28"/>
        </w:rPr>
        <w:fldChar w:fldCharType="end"/>
      </w:r>
      <w:r>
        <w:rPr>
          <w:sz w:val="28"/>
          <w:szCs w:val="28"/>
        </w:rPr>
        <w:fldChar w:fldCharType="end"/>
      </w:r>
    </w:p>
    <w:p w14:paraId="49982D49">
      <w:pPr>
        <w:pStyle w:val="10"/>
        <w:tabs>
          <w:tab w:val="right" w:leader="dot" w:pos="8306"/>
        </w:tabs>
        <w:rPr>
          <w:sz w:val="28"/>
          <w:szCs w:val="28"/>
        </w:rPr>
      </w:pPr>
      <w:r>
        <w:rPr>
          <w:sz w:val="28"/>
          <w:szCs w:val="28"/>
        </w:rPr>
        <w:fldChar w:fldCharType="begin"/>
      </w:r>
      <w:r>
        <w:rPr>
          <w:sz w:val="28"/>
          <w:szCs w:val="28"/>
        </w:rPr>
        <w:instrText xml:space="preserve"> HYPERLINK \l _Toc22596 </w:instrText>
      </w:r>
      <w:r>
        <w:rPr>
          <w:sz w:val="28"/>
          <w:szCs w:val="28"/>
        </w:rPr>
        <w:fldChar w:fldCharType="separate"/>
      </w:r>
      <w:r>
        <w:rPr>
          <w:rFonts w:hint="eastAsia" w:ascii="黑体" w:hAnsi="黑体" w:eastAsia="黑体" w:cs="黑体"/>
          <w:kern w:val="2"/>
          <w:sz w:val="28"/>
          <w:szCs w:val="28"/>
        </w:rPr>
        <w:t>十、名词解释</w:t>
      </w:r>
      <w:r>
        <w:rPr>
          <w:sz w:val="28"/>
          <w:szCs w:val="28"/>
        </w:rPr>
        <w:tab/>
      </w:r>
      <w:r>
        <w:rPr>
          <w:sz w:val="28"/>
          <w:szCs w:val="28"/>
        </w:rPr>
        <w:fldChar w:fldCharType="begin"/>
      </w:r>
      <w:r>
        <w:rPr>
          <w:sz w:val="28"/>
          <w:szCs w:val="28"/>
        </w:rPr>
        <w:instrText xml:space="preserve"> PAGEREF _Toc22596 \h </w:instrText>
      </w:r>
      <w:r>
        <w:rPr>
          <w:sz w:val="28"/>
          <w:szCs w:val="28"/>
        </w:rPr>
        <w:fldChar w:fldCharType="separate"/>
      </w:r>
      <w:r>
        <w:rPr>
          <w:sz w:val="28"/>
          <w:szCs w:val="28"/>
        </w:rPr>
        <w:t>10</w:t>
      </w:r>
      <w:r>
        <w:rPr>
          <w:sz w:val="28"/>
          <w:szCs w:val="28"/>
        </w:rPr>
        <w:fldChar w:fldCharType="end"/>
      </w:r>
      <w:r>
        <w:rPr>
          <w:sz w:val="28"/>
          <w:szCs w:val="28"/>
        </w:rPr>
        <w:fldChar w:fldCharType="end"/>
      </w:r>
    </w:p>
    <w:p w14:paraId="22B39A8B">
      <w:pPr>
        <w:pStyle w:val="2"/>
        <w:ind w:left="0" w:leftChars="0" w:firstLine="0" w:firstLineChars="0"/>
      </w:pPr>
      <w:r>
        <w:rPr>
          <w:sz w:val="36"/>
          <w:szCs w:val="28"/>
        </w:rPr>
        <w:fldChar w:fldCharType="end"/>
      </w:r>
    </w:p>
    <w:p w14:paraId="3B7754FD">
      <w:pPr>
        <w:pStyle w:val="18"/>
        <w:numPr>
          <w:ilvl w:val="0"/>
          <w:numId w:val="1"/>
        </w:numPr>
        <w:spacing w:before="0" w:line="360" w:lineRule="auto"/>
        <w:ind w:firstLine="627" w:firstLineChars="196"/>
        <w:outlineLvl w:val="0"/>
        <w:rPr>
          <w:rFonts w:ascii="黑体" w:hAnsi="黑体" w:eastAsia="黑体" w:cs="黑体"/>
          <w:kern w:val="2"/>
          <w:sz w:val="32"/>
          <w:szCs w:val="32"/>
        </w:rPr>
      </w:pPr>
      <w:bookmarkStart w:id="0" w:name="_Toc12887"/>
      <w:bookmarkStart w:id="1" w:name="_Toc20701"/>
      <w:r>
        <w:rPr>
          <w:rFonts w:hint="eastAsia" w:ascii="黑体" w:hAnsi="黑体" w:eastAsia="黑体" w:cs="黑体"/>
          <w:kern w:val="2"/>
          <w:sz w:val="32"/>
          <w:szCs w:val="32"/>
        </w:rPr>
        <w:t>基本职能及主要工作</w:t>
      </w:r>
      <w:bookmarkEnd w:id="0"/>
      <w:bookmarkEnd w:id="1"/>
    </w:p>
    <w:p w14:paraId="213E5916">
      <w:pPr>
        <w:pStyle w:val="18"/>
        <w:spacing w:before="0" w:line="360" w:lineRule="auto"/>
        <w:ind w:firstLine="643" w:firstLineChars="200"/>
        <w:outlineLvl w:val="1"/>
        <w:rPr>
          <w:rFonts w:ascii="楷体_GB2312" w:hAnsi="楷体_GB2312" w:eastAsia="楷体_GB2312" w:cs="楷体_GB2312"/>
          <w:b/>
          <w:bCs/>
          <w:kern w:val="2"/>
          <w:sz w:val="32"/>
          <w:szCs w:val="32"/>
        </w:rPr>
      </w:pPr>
      <w:bookmarkStart w:id="2" w:name="_Toc3658"/>
      <w:bookmarkStart w:id="3" w:name="_Toc30136"/>
      <w:r>
        <w:rPr>
          <w:rFonts w:hint="eastAsia" w:ascii="楷体_GB2312" w:hAnsi="楷体_GB2312" w:eastAsia="楷体_GB2312" w:cs="楷体_GB2312"/>
          <w:b/>
          <w:bCs/>
          <w:kern w:val="2"/>
          <w:sz w:val="32"/>
          <w:szCs w:val="32"/>
        </w:rPr>
        <w:t>（一）部门职能简介</w:t>
      </w:r>
      <w:bookmarkEnd w:id="2"/>
      <w:bookmarkEnd w:id="3"/>
    </w:p>
    <w:p w14:paraId="7922C943">
      <w:pPr>
        <w:pStyle w:val="18"/>
        <w:spacing w:before="0" w:line="360" w:lineRule="auto"/>
        <w:ind w:firstLine="627" w:firstLineChars="196"/>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1.负责贯彻落实国家、省、州生态环境基本制度。组织编制县域环境功能区划，会同有关部门编制并监督实施重点区域、流域、饮用水水源地生态环境规划和水功能区划。</w:t>
      </w:r>
    </w:p>
    <w:p w14:paraId="6FFC12D9">
      <w:pPr>
        <w:pStyle w:val="18"/>
        <w:spacing w:before="0" w:line="360" w:lineRule="auto"/>
        <w:ind w:firstLine="627" w:firstLineChars="196"/>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负责县域重大生态环境问题的统筹协调和监督管理。牵头协调对县突发生态环境事件和生态破坏事件的调查处理，指导协调各部门对重特大突发生态环境事件的应急、预警工作，实施生态环境损害赔偿制度。统筹协调辖区内重点区域、流域生态环境保护工作。</w:t>
      </w:r>
    </w:p>
    <w:p w14:paraId="5CAD954B">
      <w:pPr>
        <w:pStyle w:val="18"/>
        <w:spacing w:before="0" w:line="360" w:lineRule="auto"/>
        <w:ind w:firstLine="627" w:firstLineChars="196"/>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3.负责落实县域污染物减排工作。完成污染物减排任务，实施生态环境保护目标责任制。承担排污许可证相关工作。负责应对气候变化工作。</w:t>
      </w:r>
    </w:p>
    <w:p w14:paraId="263ED2AB">
      <w:pPr>
        <w:pStyle w:val="18"/>
        <w:spacing w:before="0" w:line="360" w:lineRule="auto"/>
        <w:ind w:firstLine="627" w:firstLineChars="196"/>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4.负责县域环境污染防治的监督管理。负责大气、水、土壤、噪声、光、恶臭、固体废物、化学品、机动车等的污染防治工作。</w:t>
      </w:r>
    </w:p>
    <w:p w14:paraId="22501741">
      <w:pPr>
        <w:pStyle w:val="18"/>
        <w:spacing w:before="0" w:line="360" w:lineRule="auto"/>
        <w:ind w:firstLine="627" w:firstLineChars="196"/>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协调、监督生态保护修复工作。协调和监督农村生态环境保护，监督生物技术环境安全，牵头生物物种(含遗传资源)工作，组织协调生物多样性保护工作。落实生态保护红线划定、勘界地标工作。参与生态保护补偿工作。</w:t>
      </w:r>
    </w:p>
    <w:p w14:paraId="0BBCAE4F">
      <w:pPr>
        <w:pStyle w:val="18"/>
        <w:spacing w:before="0" w:line="360" w:lineRule="auto"/>
        <w:ind w:firstLine="627" w:firstLineChars="196"/>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6.组织县域开展生态环境保护督察。建立健全生态环境保护督察制度，组织协调州生态环境保护督察工作。</w:t>
      </w:r>
    </w:p>
    <w:p w14:paraId="7699E387">
      <w:pPr>
        <w:pStyle w:val="18"/>
        <w:spacing w:before="0" w:line="360" w:lineRule="auto"/>
        <w:ind w:firstLine="627" w:firstLineChars="196"/>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7.负责县域生态环境监督执法。组织开展生态环境保护执法检查活动。开展态环境保护综合执法队伍建设和业务工作。</w:t>
      </w:r>
    </w:p>
    <w:p w14:paraId="59B0A7CB">
      <w:pPr>
        <w:pStyle w:val="18"/>
        <w:spacing w:before="0" w:line="360" w:lineRule="auto"/>
        <w:ind w:firstLine="627" w:firstLineChars="196"/>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8.组织县域生态环境宣传教育工作，推动社会组织和公众参与生态环境保护。</w:t>
      </w:r>
    </w:p>
    <w:p w14:paraId="2902D2B5">
      <w:pPr>
        <w:pStyle w:val="18"/>
        <w:spacing w:before="0" w:line="360" w:lineRule="auto"/>
        <w:ind w:firstLine="627" w:firstLineChars="196"/>
        <w:outlineLvl w:val="2"/>
        <w:rPr>
          <w:rFonts w:hint="eastAsia" w:ascii="仿宋_GB2312" w:hAnsi="仿宋_GB2312" w:eastAsia="仿宋_GB2312" w:cs="仿宋_GB2312"/>
          <w:kern w:val="2"/>
          <w:sz w:val="32"/>
          <w:szCs w:val="32"/>
        </w:rPr>
      </w:pPr>
      <w:bookmarkStart w:id="4" w:name="_Toc7311"/>
      <w:bookmarkStart w:id="5" w:name="_Toc7521"/>
      <w:r>
        <w:rPr>
          <w:rFonts w:hint="eastAsia" w:ascii="仿宋_GB2312" w:hAnsi="仿宋_GB2312" w:eastAsia="仿宋_GB2312" w:cs="仿宋_GB2312"/>
          <w:kern w:val="2"/>
          <w:sz w:val="32"/>
          <w:szCs w:val="32"/>
        </w:rPr>
        <w:t>9.完成州生态环境局交办的其他任务。</w:t>
      </w:r>
      <w:bookmarkEnd w:id="4"/>
      <w:bookmarkEnd w:id="5"/>
    </w:p>
    <w:p w14:paraId="13F00790">
      <w:pPr>
        <w:pStyle w:val="18"/>
        <w:spacing w:before="0" w:line="360" w:lineRule="auto"/>
        <w:ind w:firstLine="630" w:firstLineChars="196"/>
        <w:outlineLvl w:val="1"/>
        <w:rPr>
          <w:rFonts w:hAnsi="黑体"/>
          <w:b/>
          <w:bCs/>
          <w:kern w:val="2"/>
          <w:sz w:val="32"/>
          <w:szCs w:val="32"/>
        </w:rPr>
      </w:pPr>
      <w:bookmarkStart w:id="6" w:name="_Toc21590"/>
      <w:bookmarkStart w:id="7" w:name="_Toc11311"/>
      <w:r>
        <w:rPr>
          <w:rFonts w:hint="eastAsia" w:hAnsi="黑体"/>
          <w:b/>
          <w:bCs/>
          <w:kern w:val="2"/>
          <w:sz w:val="32"/>
          <w:szCs w:val="32"/>
        </w:rPr>
        <w:t>（二）202</w:t>
      </w:r>
      <w:r>
        <w:rPr>
          <w:rFonts w:hint="eastAsia" w:hAnsi="黑体"/>
          <w:b/>
          <w:bCs/>
          <w:kern w:val="2"/>
          <w:sz w:val="32"/>
          <w:szCs w:val="32"/>
          <w:lang w:val="en-US" w:eastAsia="zh-CN"/>
        </w:rPr>
        <w:t>6</w:t>
      </w:r>
      <w:r>
        <w:rPr>
          <w:rFonts w:hint="eastAsia" w:hAnsi="黑体"/>
          <w:b/>
          <w:bCs/>
          <w:kern w:val="2"/>
          <w:sz w:val="32"/>
          <w:szCs w:val="32"/>
        </w:rPr>
        <w:t>年重点工作</w:t>
      </w:r>
      <w:bookmarkEnd w:id="6"/>
      <w:bookmarkEnd w:id="7"/>
    </w:p>
    <w:p w14:paraId="3CBBFF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持续深入打好蓝天保卫战，更加突出源头管控，强化扬尘防治监管，探索多部门联合协同处置机制，加快推进燃煤锅炉改造、加强移动源监管，强化加油站油气回收设施监管等，确保大气环境质量持续保持优良。持续深入打好碧水保卫战，强化入河排污口监管，落实长效管理机制，积极谋划申报流域治理项目，确保水环境质量持续保持稳定。持续深入打好净土保卫战，强化土壤污染重点监管单位管理，开展土壤污染重点监管单位周边土壤和地下水环境监测，确保土壤环境质量总体保持稳定。全力打好固体废物污染防治专项行动，加快推进金川县奥伊诺矿业尾矿库下游小溪水体锌浓度超标问题整改，排查县城生活垃圾填埋厂污染隐患，严厉打击固体废物非法倾倒，强化危险废物规范化管理。</w:t>
      </w:r>
    </w:p>
    <w:p w14:paraId="6D9619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推动各类各级问题整改，特别是第三轮中央、省级督察反馈问题。提升生态环境监测、环境监察、事件处置、核与辐射监管等能力，深入开展环境安全隐患排查，杜绝重特大突发环境事件发生。保持对生态环境违法行为的高压态势，坚持对生态环境违法行为“零容忍”，依法严厉打击环境违法行为。</w:t>
      </w:r>
    </w:p>
    <w:p w14:paraId="340754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3.组织开展“十五五”生态环境保护规划编制工作，储备一批藏区“十五五”规划生态保护类项目。</w:t>
      </w:r>
    </w:p>
    <w:p w14:paraId="3FC44D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仿宋_GB2312" w:hAnsi="仿宋_GB2312" w:eastAsia="仿宋_GB2312" w:cs="仿宋_GB2312"/>
          <w:b w:val="0"/>
          <w:i w:val="0"/>
          <w:caps w:val="0"/>
          <w:color w:val="000000"/>
          <w:spacing w:val="0"/>
          <w:w w:val="100"/>
          <w:kern w:val="2"/>
          <w:sz w:val="32"/>
          <w:szCs w:val="32"/>
          <w:lang w:val="en-US" w:eastAsia="zh-CN" w:bidi="ar-SA"/>
        </w:rPr>
        <w:t>4.继续服务好县域重点建设项目，及时快速办理环境影响评</w:t>
      </w:r>
      <w:r>
        <w:rPr>
          <w:rFonts w:hint="eastAsia" w:ascii="仿宋_GB2312" w:hAnsi="仿宋_GB2312" w:eastAsia="仿宋_GB2312" w:cs="仿宋_GB2312"/>
          <w:sz w:val="32"/>
          <w:szCs w:val="32"/>
          <w:lang w:val="en-US" w:eastAsia="zh-CN"/>
        </w:rPr>
        <w:t>价审批，全力做好建设项目要素保障工作。</w:t>
      </w:r>
    </w:p>
    <w:p w14:paraId="6EF01D31">
      <w:pPr>
        <w:pStyle w:val="18"/>
        <w:spacing w:before="0" w:line="360" w:lineRule="auto"/>
        <w:ind w:firstLine="627" w:firstLineChars="196"/>
        <w:outlineLvl w:val="0"/>
        <w:rPr>
          <w:rFonts w:ascii="黑体" w:hAnsi="黑体" w:eastAsia="黑体" w:cs="黑体"/>
          <w:kern w:val="2"/>
          <w:sz w:val="32"/>
          <w:szCs w:val="32"/>
        </w:rPr>
      </w:pPr>
      <w:bookmarkStart w:id="8" w:name="_Toc27244"/>
      <w:bookmarkStart w:id="9" w:name="_Toc21782"/>
      <w:r>
        <w:rPr>
          <w:rFonts w:hint="eastAsia" w:ascii="黑体" w:hAnsi="黑体" w:eastAsia="黑体" w:cs="黑体"/>
          <w:kern w:val="2"/>
          <w:sz w:val="32"/>
          <w:szCs w:val="32"/>
        </w:rPr>
        <w:t>二、部门预算单位构成</w:t>
      </w:r>
      <w:bookmarkEnd w:id="8"/>
      <w:bookmarkEnd w:id="9"/>
    </w:p>
    <w:p w14:paraId="14542458">
      <w:pPr>
        <w:pStyle w:val="18"/>
        <w:spacing w:before="0" w:line="360" w:lineRule="auto"/>
        <w:ind w:firstLine="627" w:firstLineChars="196"/>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阿坝州金川生态环境局属一级预算单位，下属二级预算单位3个，其中：行政单位1个；参照公务员法管理的事业单位2个；其他事业单位1个。本部门内设机构4个。总编制25名，其中：行政编制3名，参照公务员法管理的事业编制12名，其他事业单位10名。在职人员总数2</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名，其中：行政人员</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名，参照公务员法管理的事业人员12名，其他事业单位</w:t>
      </w:r>
      <w:r>
        <w:rPr>
          <w:rFonts w:hint="eastAsia" w:ascii="仿宋_GB2312" w:hAnsi="仿宋_GB2312" w:eastAsia="仿宋_GB2312" w:cs="仿宋_GB2312"/>
          <w:kern w:val="2"/>
          <w:sz w:val="32"/>
          <w:szCs w:val="32"/>
          <w:lang w:val="en-US" w:eastAsia="zh-CN"/>
        </w:rPr>
        <w:t>10</w:t>
      </w:r>
      <w:r>
        <w:rPr>
          <w:rFonts w:hint="eastAsia" w:ascii="仿宋_GB2312" w:hAnsi="仿宋_GB2312" w:eastAsia="仿宋_GB2312" w:cs="仿宋_GB2312"/>
          <w:kern w:val="2"/>
          <w:sz w:val="32"/>
          <w:szCs w:val="32"/>
        </w:rPr>
        <w:t>名；离休人员0人，退休人1人；编外长期聘用的人员3名。</w:t>
      </w:r>
    </w:p>
    <w:p w14:paraId="0F2A7C32">
      <w:pPr>
        <w:pStyle w:val="18"/>
        <w:spacing w:before="0" w:line="360" w:lineRule="auto"/>
        <w:ind w:firstLine="627" w:firstLineChars="196"/>
        <w:outlineLvl w:val="0"/>
        <w:rPr>
          <w:rFonts w:ascii="黑体" w:hAnsi="黑体" w:eastAsia="黑体" w:cs="黑体"/>
          <w:kern w:val="2"/>
          <w:sz w:val="32"/>
          <w:szCs w:val="32"/>
        </w:rPr>
      </w:pPr>
      <w:bookmarkStart w:id="10" w:name="_Toc92"/>
      <w:bookmarkStart w:id="11" w:name="_Toc26202"/>
      <w:r>
        <w:rPr>
          <w:rFonts w:hint="eastAsia" w:ascii="黑体" w:hAnsi="黑体" w:eastAsia="黑体" w:cs="黑体"/>
          <w:kern w:val="2"/>
          <w:sz w:val="32"/>
          <w:szCs w:val="32"/>
        </w:rPr>
        <w:t>三、收支预算情况说明</w:t>
      </w:r>
      <w:bookmarkEnd w:id="10"/>
      <w:bookmarkEnd w:id="11"/>
    </w:p>
    <w:p w14:paraId="20D174FA">
      <w:pPr>
        <w:pStyle w:val="18"/>
        <w:spacing w:before="0" w:line="360" w:lineRule="auto"/>
        <w:ind w:firstLine="313" w:firstLineChars="196"/>
        <w:rPr>
          <w:rFonts w:hAnsi="黑体"/>
          <w:kern w:val="2"/>
          <w:sz w:val="32"/>
          <w:szCs w:val="32"/>
        </w:rPr>
      </w:pPr>
      <w:r>
        <w:rPr>
          <w:rFonts w:hint="eastAsia" w:ascii="??" w:hAnsi="??" w:eastAsia="宋体" w:cs="宋体"/>
          <w:sz w:val="16"/>
          <w:szCs w:val="16"/>
        </w:rPr>
        <w:t>　　</w:t>
      </w:r>
      <w:r>
        <w:rPr>
          <w:rFonts w:hint="eastAsia" w:hAnsi="黑体"/>
          <w:kern w:val="2"/>
          <w:sz w:val="32"/>
          <w:szCs w:val="32"/>
        </w:rPr>
        <w:t>按照综合预算的原则，阿坝州金川生态环境局所有收入和支出均纳入部门预算管理。收入包括：一般公共预算拨款收入</w:t>
      </w:r>
      <w:r>
        <w:rPr>
          <w:rFonts w:hint="eastAsia" w:hAnsi="黑体" w:cs="Times New Roman"/>
          <w:kern w:val="2"/>
          <w:sz w:val="32"/>
          <w:szCs w:val="32"/>
          <w:lang w:val="en-US" w:eastAsia="zh-CN"/>
        </w:rPr>
        <w:t>399.83</w:t>
      </w:r>
      <w:r>
        <w:rPr>
          <w:rFonts w:hint="eastAsia" w:hAnsi="黑体"/>
          <w:kern w:val="2"/>
          <w:sz w:val="32"/>
          <w:szCs w:val="32"/>
        </w:rPr>
        <w:t>万元，事业收入</w:t>
      </w:r>
      <w:r>
        <w:rPr>
          <w:rFonts w:hint="eastAsia" w:hAnsi="黑体" w:cs="Times New Roman"/>
          <w:kern w:val="2"/>
          <w:sz w:val="32"/>
          <w:szCs w:val="32"/>
        </w:rPr>
        <w:t>0</w:t>
      </w:r>
      <w:r>
        <w:rPr>
          <w:rFonts w:hint="eastAsia" w:hAnsi="黑体"/>
          <w:kern w:val="2"/>
          <w:sz w:val="32"/>
          <w:szCs w:val="32"/>
        </w:rPr>
        <w:t>万元，其他收入</w:t>
      </w:r>
      <w:r>
        <w:rPr>
          <w:rFonts w:hint="eastAsia" w:hAnsi="黑体" w:cs="Times New Roman"/>
          <w:kern w:val="2"/>
          <w:sz w:val="32"/>
          <w:szCs w:val="32"/>
        </w:rPr>
        <w:t>0</w:t>
      </w:r>
      <w:r>
        <w:rPr>
          <w:rFonts w:hint="eastAsia" w:hAnsi="黑体"/>
          <w:kern w:val="2"/>
          <w:sz w:val="32"/>
          <w:szCs w:val="32"/>
        </w:rPr>
        <w:t>万元，上年结转</w:t>
      </w:r>
      <w:r>
        <w:rPr>
          <w:rFonts w:hint="eastAsia" w:hAnsi="黑体" w:cs="Times New Roman"/>
          <w:kern w:val="2"/>
          <w:sz w:val="32"/>
          <w:szCs w:val="32"/>
        </w:rPr>
        <w:t>0</w:t>
      </w:r>
      <w:r>
        <w:rPr>
          <w:rFonts w:hint="eastAsia" w:hAnsi="黑体"/>
          <w:kern w:val="2"/>
          <w:sz w:val="32"/>
          <w:szCs w:val="32"/>
        </w:rPr>
        <w:t>万元；支出包括：一般公共服务支出</w:t>
      </w:r>
      <w:r>
        <w:rPr>
          <w:rFonts w:hint="eastAsia" w:hAnsi="黑体" w:cs="Times New Roman"/>
          <w:kern w:val="2"/>
          <w:sz w:val="32"/>
          <w:szCs w:val="32"/>
        </w:rPr>
        <w:t>0</w:t>
      </w:r>
      <w:r>
        <w:rPr>
          <w:rFonts w:hint="eastAsia" w:hAnsi="黑体"/>
          <w:kern w:val="2"/>
          <w:sz w:val="32"/>
          <w:szCs w:val="32"/>
        </w:rPr>
        <w:t>万元,节能环保支出</w:t>
      </w:r>
      <w:r>
        <w:rPr>
          <w:rFonts w:hint="eastAsia" w:hAnsi="黑体" w:cs="Times New Roman"/>
          <w:kern w:val="2"/>
          <w:sz w:val="32"/>
          <w:szCs w:val="32"/>
          <w:lang w:val="en-US" w:eastAsia="zh-CN"/>
        </w:rPr>
        <w:t>266.74</w:t>
      </w:r>
      <w:r>
        <w:rPr>
          <w:rFonts w:hint="eastAsia" w:hAnsi="黑体"/>
          <w:kern w:val="2"/>
          <w:sz w:val="32"/>
          <w:szCs w:val="32"/>
        </w:rPr>
        <w:t>万元，文化体育与传媒支出</w:t>
      </w:r>
      <w:r>
        <w:rPr>
          <w:rFonts w:hint="eastAsia" w:hAnsi="黑体" w:cs="Times New Roman"/>
          <w:kern w:val="2"/>
          <w:sz w:val="32"/>
          <w:szCs w:val="32"/>
        </w:rPr>
        <w:t>0</w:t>
      </w:r>
      <w:r>
        <w:rPr>
          <w:rFonts w:hint="eastAsia" w:hAnsi="黑体"/>
          <w:kern w:val="2"/>
          <w:sz w:val="32"/>
          <w:szCs w:val="32"/>
        </w:rPr>
        <w:t>万元，社会保障和就业支出</w:t>
      </w:r>
      <w:r>
        <w:rPr>
          <w:rFonts w:hint="eastAsia" w:hAnsi="黑体" w:cs="Times New Roman"/>
          <w:kern w:val="2"/>
          <w:sz w:val="32"/>
          <w:szCs w:val="32"/>
          <w:lang w:val="en-US" w:eastAsia="zh-CN"/>
        </w:rPr>
        <w:t>66.59</w:t>
      </w:r>
      <w:r>
        <w:rPr>
          <w:rFonts w:hint="eastAsia" w:hAnsi="黑体"/>
          <w:kern w:val="2"/>
          <w:sz w:val="32"/>
          <w:szCs w:val="32"/>
        </w:rPr>
        <w:t>万元，卫生健康支出支出</w:t>
      </w:r>
      <w:r>
        <w:rPr>
          <w:rFonts w:hint="eastAsia" w:hAnsi="黑体" w:cs="Times New Roman"/>
          <w:kern w:val="2"/>
          <w:sz w:val="32"/>
          <w:szCs w:val="32"/>
        </w:rPr>
        <w:t>26.95</w:t>
      </w:r>
      <w:r>
        <w:rPr>
          <w:rFonts w:hint="eastAsia" w:hAnsi="黑体"/>
          <w:kern w:val="2"/>
          <w:sz w:val="32"/>
          <w:szCs w:val="32"/>
        </w:rPr>
        <w:t>万元，住房保障支出</w:t>
      </w:r>
      <w:r>
        <w:rPr>
          <w:rFonts w:hint="eastAsia" w:hAnsi="黑体" w:cs="Times New Roman"/>
          <w:kern w:val="2"/>
          <w:sz w:val="32"/>
          <w:szCs w:val="32"/>
          <w:lang w:val="en-US" w:eastAsia="zh-CN"/>
        </w:rPr>
        <w:t>39.55</w:t>
      </w:r>
      <w:r>
        <w:rPr>
          <w:rFonts w:hint="eastAsia" w:hAnsi="黑体"/>
          <w:kern w:val="2"/>
          <w:sz w:val="32"/>
          <w:szCs w:val="32"/>
        </w:rPr>
        <w:t>万元。阿坝州金川生态环境局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收支总预算</w:t>
      </w:r>
      <w:r>
        <w:rPr>
          <w:rFonts w:hint="eastAsia" w:hAnsi="黑体" w:cs="Times New Roman"/>
          <w:kern w:val="2"/>
          <w:sz w:val="32"/>
          <w:szCs w:val="32"/>
          <w:lang w:val="en-US" w:eastAsia="zh-CN"/>
        </w:rPr>
        <w:t>399.83</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收支预算总数增加</w:t>
      </w:r>
      <w:r>
        <w:rPr>
          <w:rFonts w:hint="eastAsia" w:hAnsi="黑体" w:cs="Times New Roman"/>
          <w:kern w:val="2"/>
          <w:sz w:val="32"/>
          <w:szCs w:val="32"/>
          <w:lang w:val="en-US" w:eastAsia="zh-CN"/>
        </w:rPr>
        <w:t>36.54</w:t>
      </w:r>
      <w:r>
        <w:rPr>
          <w:rFonts w:hint="eastAsia" w:hAnsi="黑体"/>
          <w:kern w:val="2"/>
          <w:sz w:val="32"/>
          <w:szCs w:val="32"/>
        </w:rPr>
        <w:t>万元，主要原因</w:t>
      </w:r>
      <w:r>
        <w:rPr>
          <w:rFonts w:hAnsi="黑体"/>
          <w:kern w:val="2"/>
          <w:sz w:val="32"/>
          <w:szCs w:val="32"/>
        </w:rPr>
        <w:t>:</w:t>
      </w:r>
      <w:r>
        <w:rPr>
          <w:rFonts w:hint="eastAsia" w:hAnsi="黑体"/>
          <w:kern w:val="2"/>
          <w:sz w:val="32"/>
          <w:szCs w:val="32"/>
        </w:rPr>
        <w:t>人员增加、职务职级变动、基础绩效预算增加。</w:t>
      </w:r>
    </w:p>
    <w:p w14:paraId="74019360">
      <w:pPr>
        <w:pStyle w:val="18"/>
        <w:spacing w:before="0" w:line="360" w:lineRule="auto"/>
        <w:ind w:firstLine="643" w:firstLineChars="200"/>
        <w:outlineLvl w:val="1"/>
        <w:rPr>
          <w:rFonts w:ascii="楷体_GB2312" w:hAnsi="黑体" w:eastAsia="楷体_GB2312" w:cs="楷体_GB2312"/>
          <w:b/>
          <w:bCs/>
          <w:kern w:val="2"/>
          <w:sz w:val="32"/>
          <w:szCs w:val="32"/>
        </w:rPr>
      </w:pPr>
      <w:bookmarkStart w:id="12" w:name="_Toc17569"/>
      <w:bookmarkStart w:id="13" w:name="_Toc10963"/>
      <w:r>
        <w:rPr>
          <w:rFonts w:hint="eastAsia" w:ascii="楷体_GB2312" w:hAnsi="黑体" w:eastAsia="楷体_GB2312" w:cs="楷体_GB2312"/>
          <w:b/>
          <w:bCs/>
          <w:kern w:val="2"/>
          <w:sz w:val="32"/>
          <w:szCs w:val="32"/>
        </w:rPr>
        <w:t>（一）收入预算情况</w:t>
      </w:r>
      <w:bookmarkEnd w:id="12"/>
      <w:bookmarkEnd w:id="13"/>
    </w:p>
    <w:p w14:paraId="1D8837F8">
      <w:pPr>
        <w:pStyle w:val="18"/>
        <w:spacing w:before="0" w:line="360" w:lineRule="auto"/>
        <w:ind w:firstLine="627" w:firstLineChars="196"/>
        <w:rPr>
          <w:rFonts w:hAnsi="黑体"/>
          <w:kern w:val="2"/>
          <w:sz w:val="32"/>
          <w:szCs w:val="32"/>
        </w:rPr>
      </w:pPr>
      <w:r>
        <w:rPr>
          <w:rFonts w:hint="eastAsia" w:hAnsi="黑体"/>
          <w:kern w:val="2"/>
          <w:sz w:val="32"/>
          <w:szCs w:val="32"/>
        </w:rPr>
        <w:t>阿坝州金川生态环境局</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lang w:val="en-US" w:eastAsia="zh-CN"/>
        </w:rPr>
        <w:t>399.83</w:t>
      </w:r>
      <w:r>
        <w:rPr>
          <w:rFonts w:hint="eastAsia" w:hAnsi="黑体"/>
          <w:kern w:val="2"/>
          <w:sz w:val="32"/>
          <w:szCs w:val="32"/>
        </w:rPr>
        <w:t>万元，其中：上年结转</w:t>
      </w:r>
      <w:r>
        <w:rPr>
          <w:rFonts w:hint="eastAsia" w:hAnsi="黑体" w:cs="Times New Roman"/>
          <w:kern w:val="2"/>
          <w:sz w:val="32"/>
          <w:szCs w:val="32"/>
        </w:rPr>
        <w:t>0</w:t>
      </w:r>
      <w:r>
        <w:rPr>
          <w:rFonts w:hint="eastAsia" w:hAnsi="黑体"/>
          <w:kern w:val="2"/>
          <w:sz w:val="32"/>
          <w:szCs w:val="32"/>
        </w:rPr>
        <w:t>万元，占0</w:t>
      </w:r>
      <w:r>
        <w:rPr>
          <w:rFonts w:hAnsi="黑体"/>
          <w:kern w:val="2"/>
          <w:sz w:val="32"/>
          <w:szCs w:val="32"/>
        </w:rPr>
        <w:t>%</w:t>
      </w:r>
      <w:r>
        <w:rPr>
          <w:rFonts w:hint="eastAsia" w:hAnsi="黑体"/>
          <w:kern w:val="2"/>
          <w:sz w:val="32"/>
          <w:szCs w:val="32"/>
        </w:rPr>
        <w:t>；一般公共预算拨款收入</w:t>
      </w:r>
      <w:r>
        <w:rPr>
          <w:rFonts w:hint="eastAsia" w:hAnsi="黑体" w:cs="Times New Roman"/>
          <w:kern w:val="2"/>
          <w:sz w:val="32"/>
          <w:szCs w:val="32"/>
          <w:lang w:val="en-US" w:eastAsia="zh-CN"/>
        </w:rPr>
        <w:t>399.83</w:t>
      </w:r>
      <w:r>
        <w:rPr>
          <w:rFonts w:hint="eastAsia" w:hAnsi="黑体"/>
          <w:kern w:val="2"/>
          <w:sz w:val="32"/>
          <w:szCs w:val="32"/>
        </w:rPr>
        <w:t>万元，占</w:t>
      </w:r>
      <w:r>
        <w:rPr>
          <w:rFonts w:hint="eastAsia" w:hAnsi="黑体" w:cs="Times New Roman"/>
          <w:kern w:val="2"/>
          <w:sz w:val="32"/>
          <w:szCs w:val="32"/>
        </w:rPr>
        <w:t>100</w:t>
      </w:r>
      <w:r>
        <w:rPr>
          <w:rFonts w:hAnsi="黑体"/>
          <w:kern w:val="2"/>
          <w:sz w:val="32"/>
          <w:szCs w:val="32"/>
        </w:rPr>
        <w:t>%</w:t>
      </w:r>
      <w:r>
        <w:rPr>
          <w:rFonts w:hint="eastAsia" w:hAnsi="黑体"/>
          <w:kern w:val="2"/>
          <w:sz w:val="32"/>
          <w:szCs w:val="32"/>
        </w:rPr>
        <w:t>；事业收入</w:t>
      </w:r>
      <w:r>
        <w:rPr>
          <w:rFonts w:hint="eastAsia" w:hAnsi="黑体" w:cs="Times New Roman"/>
          <w:kern w:val="2"/>
          <w:sz w:val="32"/>
          <w:szCs w:val="32"/>
        </w:rPr>
        <w:t>0</w:t>
      </w:r>
      <w:r>
        <w:rPr>
          <w:rFonts w:hint="eastAsia" w:hAnsi="黑体"/>
          <w:kern w:val="2"/>
          <w:sz w:val="32"/>
          <w:szCs w:val="32"/>
        </w:rPr>
        <w:t>万元，占</w:t>
      </w:r>
      <w:r>
        <w:rPr>
          <w:rFonts w:hint="eastAsia" w:hAnsi="黑体" w:cs="Times New Roman"/>
          <w:kern w:val="2"/>
          <w:sz w:val="32"/>
          <w:szCs w:val="32"/>
        </w:rPr>
        <w:t>0</w:t>
      </w:r>
      <w:r>
        <w:rPr>
          <w:rFonts w:hAnsi="黑体"/>
          <w:kern w:val="2"/>
          <w:sz w:val="32"/>
          <w:szCs w:val="32"/>
        </w:rPr>
        <w:t>%</w:t>
      </w:r>
      <w:r>
        <w:rPr>
          <w:rFonts w:hint="eastAsia" w:hAnsi="黑体"/>
          <w:kern w:val="2"/>
          <w:sz w:val="32"/>
          <w:szCs w:val="32"/>
        </w:rPr>
        <w:t>；其他收入</w:t>
      </w:r>
      <w:r>
        <w:rPr>
          <w:rFonts w:hint="eastAsia" w:hAnsi="黑体" w:cs="Times New Roman"/>
          <w:kern w:val="2"/>
          <w:sz w:val="32"/>
          <w:szCs w:val="32"/>
        </w:rPr>
        <w:t>0</w:t>
      </w:r>
      <w:r>
        <w:rPr>
          <w:rFonts w:hint="eastAsia" w:hAnsi="黑体"/>
          <w:kern w:val="2"/>
          <w:sz w:val="32"/>
          <w:szCs w:val="32"/>
        </w:rPr>
        <w:t>万元，占</w:t>
      </w:r>
      <w:r>
        <w:rPr>
          <w:rFonts w:hint="eastAsia" w:hAnsi="黑体" w:cs="Times New Roman"/>
          <w:kern w:val="2"/>
          <w:sz w:val="32"/>
          <w:szCs w:val="32"/>
        </w:rPr>
        <w:t>100</w:t>
      </w:r>
      <w:r>
        <w:rPr>
          <w:rFonts w:hAnsi="黑体"/>
          <w:kern w:val="2"/>
          <w:sz w:val="32"/>
          <w:szCs w:val="32"/>
        </w:rPr>
        <w:t>%</w:t>
      </w:r>
      <w:r>
        <w:rPr>
          <w:rFonts w:hint="eastAsia" w:hAnsi="黑体"/>
          <w:kern w:val="2"/>
          <w:sz w:val="32"/>
          <w:szCs w:val="32"/>
        </w:rPr>
        <w:t>。</w:t>
      </w:r>
    </w:p>
    <w:p w14:paraId="7EBE7F95">
      <w:pPr>
        <w:pStyle w:val="18"/>
        <w:spacing w:before="0" w:line="360" w:lineRule="auto"/>
        <w:ind w:firstLine="643" w:firstLineChars="200"/>
        <w:outlineLvl w:val="1"/>
        <w:rPr>
          <w:rFonts w:ascii="楷体_GB2312" w:hAnsi="黑体" w:eastAsia="楷体_GB2312" w:cs="楷体_GB2312"/>
          <w:b/>
          <w:bCs/>
          <w:kern w:val="2"/>
          <w:sz w:val="32"/>
          <w:szCs w:val="32"/>
        </w:rPr>
      </w:pPr>
      <w:bookmarkStart w:id="14" w:name="_Toc31108"/>
      <w:bookmarkStart w:id="15" w:name="_Toc24587"/>
      <w:r>
        <w:rPr>
          <w:rFonts w:hint="eastAsia" w:ascii="楷体_GB2312" w:hAnsi="黑体" w:eastAsia="楷体_GB2312" w:cs="楷体_GB2312"/>
          <w:b/>
          <w:bCs/>
          <w:kern w:val="2"/>
          <w:sz w:val="32"/>
          <w:szCs w:val="32"/>
        </w:rPr>
        <w:t>（二）支出预算情况</w:t>
      </w:r>
      <w:bookmarkEnd w:id="14"/>
      <w:bookmarkEnd w:id="15"/>
    </w:p>
    <w:p w14:paraId="5874AAA2">
      <w:pPr>
        <w:pStyle w:val="18"/>
        <w:spacing w:before="0" w:line="360" w:lineRule="auto"/>
        <w:ind w:firstLine="640" w:firstLineChars="200"/>
        <w:rPr>
          <w:rFonts w:hAnsi="黑体" w:cs="Times New Roman"/>
          <w:kern w:val="2"/>
          <w:sz w:val="32"/>
          <w:szCs w:val="32"/>
        </w:rPr>
      </w:pPr>
      <w:r>
        <w:rPr>
          <w:rFonts w:hint="eastAsia" w:hAnsi="黑体"/>
          <w:kern w:val="2"/>
          <w:sz w:val="32"/>
          <w:szCs w:val="32"/>
        </w:rPr>
        <w:t>阿坝州金川生态环境局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支出预算</w:t>
      </w:r>
      <w:r>
        <w:rPr>
          <w:rFonts w:hint="eastAsia" w:hAnsi="黑体" w:cs="Times New Roman"/>
          <w:kern w:val="2"/>
          <w:sz w:val="32"/>
          <w:szCs w:val="32"/>
          <w:lang w:val="en-US" w:eastAsia="zh-CN"/>
        </w:rPr>
        <w:t>399.83</w:t>
      </w:r>
      <w:r>
        <w:rPr>
          <w:rFonts w:hint="eastAsia" w:hAnsi="黑体"/>
          <w:kern w:val="2"/>
          <w:sz w:val="32"/>
          <w:szCs w:val="32"/>
        </w:rPr>
        <w:t>万元，其中：基本支出</w:t>
      </w:r>
      <w:r>
        <w:rPr>
          <w:rFonts w:hint="eastAsia" w:hAnsi="黑体" w:cs="Times New Roman"/>
          <w:kern w:val="2"/>
          <w:sz w:val="32"/>
          <w:szCs w:val="32"/>
          <w:lang w:val="en-US" w:eastAsia="zh-CN"/>
        </w:rPr>
        <w:t>381.83</w:t>
      </w:r>
      <w:r>
        <w:rPr>
          <w:rFonts w:hint="eastAsia" w:hAnsi="黑体"/>
          <w:kern w:val="2"/>
          <w:sz w:val="32"/>
          <w:szCs w:val="32"/>
        </w:rPr>
        <w:t>万元，占</w:t>
      </w:r>
      <w:r>
        <w:rPr>
          <w:rFonts w:hint="eastAsia" w:hAnsi="黑体" w:cs="Times New Roman"/>
          <w:kern w:val="2"/>
          <w:sz w:val="32"/>
          <w:szCs w:val="32"/>
        </w:rPr>
        <w:t>9</w:t>
      </w:r>
      <w:r>
        <w:rPr>
          <w:rFonts w:hint="eastAsia" w:hAnsi="黑体" w:cs="Times New Roman"/>
          <w:kern w:val="2"/>
          <w:sz w:val="32"/>
          <w:szCs w:val="32"/>
          <w:lang w:val="en-US" w:eastAsia="zh-CN"/>
        </w:rPr>
        <w:t>5</w:t>
      </w:r>
      <w:r>
        <w:rPr>
          <w:rFonts w:hint="eastAsia" w:hAnsi="黑体" w:cs="Times New Roman"/>
          <w:kern w:val="2"/>
          <w:sz w:val="32"/>
          <w:szCs w:val="32"/>
        </w:rPr>
        <w:t>.</w:t>
      </w:r>
      <w:r>
        <w:rPr>
          <w:rFonts w:hint="eastAsia" w:hAnsi="黑体" w:cs="Times New Roman"/>
          <w:kern w:val="2"/>
          <w:sz w:val="32"/>
          <w:szCs w:val="32"/>
          <w:lang w:val="en-US" w:eastAsia="zh-CN"/>
        </w:rPr>
        <w:t>5</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lang w:val="en-US" w:eastAsia="zh-CN"/>
        </w:rPr>
        <w:t>18</w:t>
      </w:r>
      <w:r>
        <w:rPr>
          <w:rFonts w:hint="eastAsia" w:hAnsi="黑体"/>
          <w:kern w:val="2"/>
          <w:sz w:val="32"/>
          <w:szCs w:val="32"/>
        </w:rPr>
        <w:t>万元，占</w:t>
      </w:r>
      <w:r>
        <w:rPr>
          <w:rFonts w:hint="eastAsia" w:hAnsi="黑体" w:cs="Times New Roman"/>
          <w:kern w:val="2"/>
          <w:sz w:val="32"/>
          <w:szCs w:val="32"/>
          <w:lang w:val="en-US" w:eastAsia="zh-CN"/>
        </w:rPr>
        <w:t>4</w:t>
      </w:r>
      <w:r>
        <w:rPr>
          <w:rFonts w:hint="eastAsia" w:hAnsi="黑体" w:cs="Times New Roman"/>
          <w:kern w:val="2"/>
          <w:sz w:val="32"/>
          <w:szCs w:val="32"/>
        </w:rPr>
        <w:t>.</w:t>
      </w:r>
      <w:r>
        <w:rPr>
          <w:rFonts w:hint="eastAsia" w:hAnsi="黑体" w:cs="Times New Roman"/>
          <w:kern w:val="2"/>
          <w:sz w:val="32"/>
          <w:szCs w:val="32"/>
          <w:lang w:val="en-US" w:eastAsia="zh-CN"/>
        </w:rPr>
        <w:t>5</w:t>
      </w:r>
      <w:r>
        <w:rPr>
          <w:rFonts w:hAnsi="黑体"/>
          <w:kern w:val="2"/>
          <w:sz w:val="32"/>
          <w:szCs w:val="32"/>
        </w:rPr>
        <w:t>%</w:t>
      </w:r>
      <w:r>
        <w:rPr>
          <w:rFonts w:hint="eastAsia" w:hAnsi="黑体"/>
          <w:kern w:val="2"/>
          <w:sz w:val="32"/>
          <w:szCs w:val="32"/>
        </w:rPr>
        <w:t>。</w:t>
      </w:r>
    </w:p>
    <w:p w14:paraId="30C4FE8E">
      <w:pPr>
        <w:pStyle w:val="18"/>
        <w:spacing w:before="0" w:line="360" w:lineRule="auto"/>
        <w:ind w:firstLine="627" w:firstLineChars="196"/>
        <w:outlineLvl w:val="0"/>
        <w:rPr>
          <w:rFonts w:ascii="黑体" w:hAnsi="黑体" w:eastAsia="黑体" w:cs="黑体"/>
          <w:kern w:val="2"/>
          <w:sz w:val="32"/>
          <w:szCs w:val="32"/>
        </w:rPr>
      </w:pPr>
      <w:bookmarkStart w:id="16" w:name="_Toc23025"/>
      <w:bookmarkStart w:id="17" w:name="_Toc13863"/>
      <w:r>
        <w:rPr>
          <w:rFonts w:hint="eastAsia" w:ascii="黑体" w:hAnsi="黑体" w:eastAsia="黑体" w:cs="黑体"/>
          <w:kern w:val="2"/>
          <w:sz w:val="32"/>
          <w:szCs w:val="32"/>
        </w:rPr>
        <w:t>四、财政拨款收支预算情况说明</w:t>
      </w:r>
      <w:bookmarkEnd w:id="16"/>
      <w:bookmarkEnd w:id="17"/>
    </w:p>
    <w:p w14:paraId="57A4F7F5">
      <w:pPr>
        <w:pStyle w:val="18"/>
        <w:spacing w:before="0" w:line="360" w:lineRule="auto"/>
        <w:ind w:firstLine="627" w:firstLineChars="196"/>
        <w:rPr>
          <w:rFonts w:hAnsi="黑体"/>
          <w:kern w:val="2"/>
          <w:sz w:val="32"/>
          <w:szCs w:val="32"/>
        </w:rPr>
      </w:pPr>
      <w:r>
        <w:rPr>
          <w:rFonts w:hint="eastAsia" w:hAnsi="黑体"/>
          <w:kern w:val="2"/>
          <w:sz w:val="32"/>
          <w:szCs w:val="32"/>
        </w:rPr>
        <w:t>阿坝州金川生态环境局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财政拨款收支总预算</w:t>
      </w:r>
      <w:r>
        <w:rPr>
          <w:rFonts w:hint="eastAsia" w:hAnsi="黑体" w:cs="Times New Roman"/>
          <w:kern w:val="2"/>
          <w:sz w:val="32"/>
          <w:szCs w:val="32"/>
          <w:lang w:val="en-US" w:eastAsia="zh-CN"/>
        </w:rPr>
        <w:t>399.83</w:t>
      </w:r>
      <w:r>
        <w:rPr>
          <w:rFonts w:hint="eastAsia" w:hAnsi="黑体"/>
          <w:kern w:val="2"/>
          <w:sz w:val="32"/>
          <w:szCs w:val="32"/>
        </w:rPr>
        <w:t>万元</w:t>
      </w:r>
      <w:r>
        <w:rPr>
          <w:rFonts w:hAnsi="黑体"/>
          <w:kern w:val="2"/>
          <w:sz w:val="32"/>
          <w:szCs w:val="32"/>
        </w:rPr>
        <w:t>,</w:t>
      </w:r>
      <w:r>
        <w:rPr>
          <w:rFonts w:hint="eastAsia" w:hAnsi="黑体"/>
          <w:kern w:val="2"/>
          <w:sz w:val="32"/>
          <w:szCs w:val="32"/>
        </w:rPr>
        <w:t>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财政拨款收支总预算增加</w:t>
      </w:r>
      <w:r>
        <w:rPr>
          <w:rFonts w:hint="eastAsia" w:hAnsi="黑体" w:cs="Times New Roman"/>
          <w:kern w:val="2"/>
          <w:sz w:val="32"/>
          <w:szCs w:val="32"/>
          <w:lang w:val="en-US" w:eastAsia="zh-CN"/>
        </w:rPr>
        <w:t>36.54</w:t>
      </w:r>
      <w:r>
        <w:rPr>
          <w:rFonts w:hint="eastAsia" w:hAnsi="黑体"/>
          <w:kern w:val="2"/>
          <w:sz w:val="32"/>
          <w:szCs w:val="32"/>
        </w:rPr>
        <w:t>万元，主要原因</w:t>
      </w:r>
      <w:r>
        <w:rPr>
          <w:rFonts w:hAnsi="黑体"/>
          <w:kern w:val="2"/>
          <w:sz w:val="32"/>
          <w:szCs w:val="32"/>
        </w:rPr>
        <w:t>:</w:t>
      </w:r>
      <w:r>
        <w:rPr>
          <w:rFonts w:hint="eastAsia" w:hAnsi="黑体"/>
          <w:kern w:val="2"/>
          <w:sz w:val="32"/>
          <w:szCs w:val="32"/>
        </w:rPr>
        <w:t xml:space="preserve"> 人员增加、职务职级变动、基础绩效预算增加。</w:t>
      </w:r>
    </w:p>
    <w:p w14:paraId="26A7D7CE">
      <w:pPr>
        <w:pStyle w:val="18"/>
        <w:spacing w:before="0" w:line="360" w:lineRule="auto"/>
        <w:ind w:firstLine="627" w:firstLineChars="196"/>
        <w:rPr>
          <w:rFonts w:hAnsi="黑体"/>
          <w:kern w:val="2"/>
          <w:sz w:val="32"/>
          <w:szCs w:val="32"/>
        </w:rPr>
      </w:pPr>
      <w:r>
        <w:rPr>
          <w:rFonts w:hint="eastAsia" w:hAnsi="黑体"/>
          <w:kern w:val="2"/>
          <w:sz w:val="32"/>
          <w:szCs w:val="32"/>
        </w:rPr>
        <w:t>收入包括：本年一般公共预算拨款收入</w:t>
      </w:r>
      <w:r>
        <w:rPr>
          <w:rFonts w:hint="eastAsia" w:hAnsi="黑体" w:cs="Times New Roman"/>
          <w:kern w:val="2"/>
          <w:sz w:val="32"/>
          <w:szCs w:val="32"/>
          <w:lang w:val="en-US" w:eastAsia="zh-CN"/>
        </w:rPr>
        <w:t>399.83</w:t>
      </w:r>
      <w:r>
        <w:rPr>
          <w:rFonts w:hint="eastAsia" w:hAnsi="黑体"/>
          <w:kern w:val="2"/>
          <w:sz w:val="32"/>
          <w:szCs w:val="32"/>
        </w:rPr>
        <w:t>万元，上年结转一般公共预算收入0万元，上年结转财政拨款资金0万元　；</w:t>
      </w:r>
    </w:p>
    <w:p w14:paraId="5030588E">
      <w:pPr>
        <w:pStyle w:val="18"/>
        <w:spacing w:before="0" w:line="360" w:lineRule="auto"/>
        <w:ind w:firstLine="627" w:firstLineChars="196"/>
        <w:rPr>
          <w:rFonts w:hAnsi="黑体"/>
          <w:kern w:val="2"/>
          <w:sz w:val="32"/>
          <w:szCs w:val="32"/>
        </w:rPr>
      </w:pPr>
      <w:r>
        <w:rPr>
          <w:rFonts w:hint="eastAsia" w:hAnsi="黑体"/>
          <w:kern w:val="2"/>
          <w:sz w:val="32"/>
          <w:szCs w:val="32"/>
        </w:rPr>
        <w:t>支出包括：一般公共服务支出0万元，教育支出0万元，文化体育与传媒支出0万元，社会保障和就业支出</w:t>
      </w:r>
      <w:r>
        <w:rPr>
          <w:rFonts w:hint="eastAsia" w:hAnsi="黑体"/>
          <w:kern w:val="2"/>
          <w:sz w:val="32"/>
          <w:szCs w:val="32"/>
          <w:lang w:val="en-US" w:eastAsia="zh-CN"/>
        </w:rPr>
        <w:t>66.59</w:t>
      </w:r>
      <w:r>
        <w:rPr>
          <w:rFonts w:hint="eastAsia" w:hAnsi="黑体"/>
          <w:kern w:val="2"/>
          <w:sz w:val="32"/>
          <w:szCs w:val="32"/>
        </w:rPr>
        <w:t>万元，卫生健康支出支出</w:t>
      </w:r>
      <w:r>
        <w:rPr>
          <w:rFonts w:hint="eastAsia" w:hAnsi="黑体"/>
          <w:kern w:val="2"/>
          <w:sz w:val="32"/>
          <w:szCs w:val="32"/>
          <w:lang w:val="en-US" w:eastAsia="zh-CN"/>
        </w:rPr>
        <w:t>26.95</w:t>
      </w:r>
      <w:r>
        <w:rPr>
          <w:rFonts w:hint="eastAsia" w:hAnsi="黑体"/>
          <w:kern w:val="2"/>
          <w:sz w:val="32"/>
          <w:szCs w:val="32"/>
        </w:rPr>
        <w:t>万元，节能环保支出</w:t>
      </w:r>
      <w:r>
        <w:rPr>
          <w:rFonts w:hint="eastAsia" w:hAnsi="黑体" w:cs="Times New Roman"/>
          <w:kern w:val="2"/>
          <w:sz w:val="32"/>
          <w:szCs w:val="32"/>
          <w:lang w:val="en-US" w:eastAsia="zh-CN"/>
        </w:rPr>
        <w:t>266.74</w:t>
      </w:r>
      <w:r>
        <w:rPr>
          <w:rFonts w:hint="eastAsia" w:hAnsi="黑体"/>
          <w:kern w:val="2"/>
          <w:sz w:val="32"/>
          <w:szCs w:val="32"/>
        </w:rPr>
        <w:t>万元，住房保障支出39.55万元。</w:t>
      </w:r>
    </w:p>
    <w:p w14:paraId="13FE78C1">
      <w:pPr>
        <w:pStyle w:val="18"/>
        <w:spacing w:before="0" w:line="360" w:lineRule="auto"/>
        <w:ind w:firstLine="320" w:firstLineChars="100"/>
        <w:outlineLvl w:val="0"/>
        <w:rPr>
          <w:rFonts w:ascii="??" w:hAnsi="??" w:eastAsia="宋体" w:cs="Times New Roman"/>
          <w:sz w:val="16"/>
          <w:szCs w:val="16"/>
        </w:rPr>
      </w:pPr>
      <w:bookmarkStart w:id="18" w:name="_Toc28377"/>
      <w:bookmarkStart w:id="19" w:name="_Toc6516"/>
      <w:r>
        <w:rPr>
          <w:rFonts w:hint="eastAsia" w:ascii="黑体" w:hAnsi="黑体" w:eastAsia="黑体" w:cs="黑体"/>
          <w:kern w:val="2"/>
          <w:sz w:val="32"/>
          <w:szCs w:val="32"/>
        </w:rPr>
        <w:t>五、一般公共预算当年拨款情况说明</w:t>
      </w:r>
      <w:bookmarkEnd w:id="18"/>
      <w:bookmarkEnd w:id="19"/>
    </w:p>
    <w:p w14:paraId="2E25EF59">
      <w:pPr>
        <w:pStyle w:val="18"/>
        <w:spacing w:before="0" w:line="360" w:lineRule="auto"/>
        <w:ind w:firstLine="630" w:firstLineChars="196"/>
        <w:outlineLvl w:val="1"/>
        <w:rPr>
          <w:rFonts w:hAnsi="黑体" w:cs="Times New Roman"/>
          <w:kern w:val="2"/>
          <w:sz w:val="32"/>
          <w:szCs w:val="32"/>
        </w:rPr>
      </w:pPr>
      <w:bookmarkStart w:id="20" w:name="_Toc13127"/>
      <w:bookmarkStart w:id="21" w:name="_Toc10714"/>
      <w:r>
        <w:rPr>
          <w:rFonts w:hint="eastAsia" w:ascii="楷体_GB2312" w:hAnsi="黑体" w:eastAsia="楷体_GB2312" w:cs="楷体_GB2312"/>
          <w:b/>
          <w:bCs/>
          <w:kern w:val="2"/>
          <w:sz w:val="32"/>
          <w:szCs w:val="32"/>
        </w:rPr>
        <w:t>（一）一般公共预算当年拨款规模变化情况</w:t>
      </w:r>
      <w:bookmarkEnd w:id="20"/>
      <w:bookmarkEnd w:id="21"/>
    </w:p>
    <w:p w14:paraId="3BDCE867">
      <w:pPr>
        <w:pStyle w:val="18"/>
        <w:spacing w:before="0" w:line="360" w:lineRule="auto"/>
        <w:ind w:firstLine="627" w:firstLineChars="196"/>
        <w:rPr>
          <w:rFonts w:hAnsi="黑体"/>
          <w:kern w:val="2"/>
          <w:sz w:val="32"/>
          <w:szCs w:val="32"/>
        </w:rPr>
      </w:pPr>
      <w:r>
        <w:rPr>
          <w:rFonts w:hint="eastAsia" w:hAnsi="黑体"/>
          <w:kern w:val="2"/>
          <w:sz w:val="32"/>
          <w:szCs w:val="32"/>
        </w:rPr>
        <w:t>阿坝州金川生态环境局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一般公共预算当年拨款</w:t>
      </w:r>
      <w:r>
        <w:rPr>
          <w:rFonts w:hint="eastAsia" w:hAnsi="黑体" w:cs="Times New Roman"/>
          <w:kern w:val="2"/>
          <w:sz w:val="32"/>
          <w:szCs w:val="32"/>
          <w:lang w:val="en-US" w:eastAsia="zh-CN"/>
        </w:rPr>
        <w:t>399.83</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预算数增加</w:t>
      </w:r>
      <w:r>
        <w:rPr>
          <w:rFonts w:hint="eastAsia" w:hAnsi="黑体" w:cs="Times New Roman"/>
          <w:kern w:val="2"/>
          <w:sz w:val="32"/>
          <w:szCs w:val="32"/>
          <w:lang w:val="en-US" w:eastAsia="zh-CN"/>
        </w:rPr>
        <w:t>36.54</w:t>
      </w:r>
      <w:r>
        <w:rPr>
          <w:rFonts w:hint="eastAsia" w:hAnsi="黑体"/>
          <w:kern w:val="2"/>
          <w:sz w:val="32"/>
          <w:szCs w:val="32"/>
        </w:rPr>
        <w:t>元，主要原因</w:t>
      </w:r>
      <w:r>
        <w:rPr>
          <w:rFonts w:hAnsi="黑体"/>
          <w:kern w:val="2"/>
          <w:sz w:val="32"/>
          <w:szCs w:val="32"/>
        </w:rPr>
        <w:t>:</w:t>
      </w:r>
      <w:r>
        <w:rPr>
          <w:rFonts w:hint="eastAsia" w:hAnsi="黑体"/>
          <w:kern w:val="2"/>
          <w:sz w:val="32"/>
          <w:szCs w:val="32"/>
        </w:rPr>
        <w:t xml:space="preserve"> 人员增加、职务职级变动、基础绩效预算增加。</w:t>
      </w:r>
    </w:p>
    <w:p w14:paraId="19A1339B">
      <w:pPr>
        <w:pStyle w:val="18"/>
        <w:spacing w:before="0" w:line="360" w:lineRule="auto"/>
        <w:ind w:firstLine="630" w:firstLineChars="196"/>
        <w:outlineLvl w:val="1"/>
        <w:rPr>
          <w:rFonts w:ascii="楷体_GB2312" w:hAnsi="黑体" w:eastAsia="楷体_GB2312" w:cs="楷体_GB2312"/>
          <w:b/>
          <w:bCs/>
          <w:kern w:val="2"/>
          <w:sz w:val="32"/>
          <w:szCs w:val="32"/>
        </w:rPr>
      </w:pPr>
      <w:bookmarkStart w:id="22" w:name="_Toc11128"/>
      <w:bookmarkStart w:id="23" w:name="_Toc18483"/>
      <w:r>
        <w:rPr>
          <w:rFonts w:hint="eastAsia" w:ascii="楷体_GB2312" w:hAnsi="黑体" w:eastAsia="楷体_GB2312" w:cs="楷体_GB2312"/>
          <w:b/>
          <w:bCs/>
          <w:kern w:val="2"/>
          <w:sz w:val="32"/>
          <w:szCs w:val="32"/>
        </w:rPr>
        <w:t>（二）一般公共预算当年拨款结构情况</w:t>
      </w:r>
      <w:bookmarkEnd w:id="22"/>
      <w:bookmarkEnd w:id="23"/>
    </w:p>
    <w:p w14:paraId="0D7613F0">
      <w:pPr>
        <w:pStyle w:val="18"/>
        <w:spacing w:before="0" w:line="360" w:lineRule="auto"/>
        <w:ind w:firstLine="627" w:firstLineChars="196"/>
        <w:rPr>
          <w:rFonts w:hAnsi="黑体"/>
          <w:kern w:val="2"/>
          <w:sz w:val="32"/>
          <w:szCs w:val="32"/>
        </w:rPr>
      </w:pPr>
      <w:r>
        <w:rPr>
          <w:rFonts w:hint="eastAsia" w:hAnsi="黑体"/>
          <w:kern w:val="2"/>
          <w:sz w:val="32"/>
          <w:szCs w:val="32"/>
        </w:rPr>
        <w:t>一般公共服务支出0万元，占0</w:t>
      </w:r>
      <w:r>
        <w:rPr>
          <w:rFonts w:hAnsi="黑体"/>
          <w:kern w:val="2"/>
          <w:sz w:val="32"/>
          <w:szCs w:val="32"/>
        </w:rPr>
        <w:t>%</w:t>
      </w:r>
      <w:r>
        <w:rPr>
          <w:rFonts w:hint="eastAsia" w:hAnsi="黑体"/>
          <w:kern w:val="2"/>
          <w:sz w:val="32"/>
          <w:szCs w:val="32"/>
        </w:rPr>
        <w:t>；教育支出0万元，占0</w:t>
      </w:r>
      <w:r>
        <w:rPr>
          <w:rFonts w:hAnsi="黑体"/>
          <w:kern w:val="2"/>
          <w:sz w:val="32"/>
          <w:szCs w:val="32"/>
        </w:rPr>
        <w:t>%</w:t>
      </w:r>
      <w:r>
        <w:rPr>
          <w:rFonts w:hint="eastAsia" w:hAnsi="黑体"/>
          <w:kern w:val="2"/>
          <w:sz w:val="32"/>
          <w:szCs w:val="32"/>
        </w:rPr>
        <w:t>；文化体育与传媒支出0万元，占0</w:t>
      </w:r>
      <w:r>
        <w:rPr>
          <w:rFonts w:hAnsi="黑体"/>
          <w:kern w:val="2"/>
          <w:sz w:val="32"/>
          <w:szCs w:val="32"/>
        </w:rPr>
        <w:t>%</w:t>
      </w:r>
      <w:r>
        <w:rPr>
          <w:rFonts w:hint="eastAsia" w:hAnsi="黑体"/>
          <w:kern w:val="2"/>
          <w:sz w:val="32"/>
          <w:szCs w:val="32"/>
        </w:rPr>
        <w:t>；社会保障和就业支出</w:t>
      </w:r>
      <w:r>
        <w:rPr>
          <w:rFonts w:hint="eastAsia" w:hAnsi="黑体"/>
          <w:kern w:val="2"/>
          <w:sz w:val="32"/>
          <w:szCs w:val="32"/>
          <w:lang w:val="en-US" w:eastAsia="zh-CN"/>
        </w:rPr>
        <w:t>66.59</w:t>
      </w:r>
      <w:r>
        <w:rPr>
          <w:rFonts w:hint="eastAsia" w:hAnsi="黑体"/>
          <w:kern w:val="2"/>
          <w:sz w:val="32"/>
          <w:szCs w:val="32"/>
        </w:rPr>
        <w:t>万元，占16.</w:t>
      </w:r>
      <w:r>
        <w:rPr>
          <w:rFonts w:hint="eastAsia" w:hAnsi="黑体"/>
          <w:kern w:val="2"/>
          <w:sz w:val="32"/>
          <w:szCs w:val="32"/>
          <w:lang w:val="en-US" w:eastAsia="zh-CN"/>
        </w:rPr>
        <w:t>65</w:t>
      </w:r>
      <w:r>
        <w:rPr>
          <w:rFonts w:hAnsi="黑体"/>
          <w:kern w:val="2"/>
          <w:sz w:val="32"/>
          <w:szCs w:val="32"/>
        </w:rPr>
        <w:t>%</w:t>
      </w:r>
      <w:r>
        <w:rPr>
          <w:rFonts w:hint="eastAsia" w:hAnsi="黑体"/>
          <w:kern w:val="2"/>
          <w:sz w:val="32"/>
          <w:szCs w:val="32"/>
        </w:rPr>
        <w:t>；卫生健康支出支出</w:t>
      </w:r>
      <w:r>
        <w:rPr>
          <w:rFonts w:hint="eastAsia" w:hAnsi="黑体"/>
          <w:kern w:val="2"/>
          <w:sz w:val="32"/>
          <w:szCs w:val="32"/>
          <w:lang w:val="en-US" w:eastAsia="zh-CN"/>
        </w:rPr>
        <w:t>26.95</w:t>
      </w:r>
      <w:r>
        <w:rPr>
          <w:rFonts w:hint="eastAsia" w:hAnsi="黑体"/>
          <w:kern w:val="2"/>
          <w:sz w:val="32"/>
          <w:szCs w:val="32"/>
        </w:rPr>
        <w:t>万元，占6.</w:t>
      </w:r>
      <w:r>
        <w:rPr>
          <w:rFonts w:hint="eastAsia" w:hAnsi="黑体"/>
          <w:kern w:val="2"/>
          <w:sz w:val="32"/>
          <w:szCs w:val="32"/>
          <w:lang w:val="en-US" w:eastAsia="zh-CN"/>
        </w:rPr>
        <w:t>74</w:t>
      </w:r>
      <w:r>
        <w:rPr>
          <w:rFonts w:hAnsi="黑体"/>
          <w:kern w:val="2"/>
          <w:sz w:val="32"/>
          <w:szCs w:val="32"/>
        </w:rPr>
        <w:t>%</w:t>
      </w:r>
      <w:r>
        <w:rPr>
          <w:rFonts w:hint="eastAsia" w:hAnsi="黑体"/>
          <w:kern w:val="2"/>
          <w:sz w:val="32"/>
          <w:szCs w:val="32"/>
        </w:rPr>
        <w:t>；节能环保支出</w:t>
      </w:r>
      <w:r>
        <w:rPr>
          <w:rFonts w:hint="eastAsia" w:hAnsi="黑体" w:cs="Times New Roman"/>
          <w:kern w:val="2"/>
          <w:sz w:val="32"/>
          <w:szCs w:val="32"/>
          <w:lang w:val="en-US" w:eastAsia="zh-CN"/>
        </w:rPr>
        <w:t>266.74</w:t>
      </w:r>
      <w:r>
        <w:rPr>
          <w:rFonts w:hint="eastAsia" w:hAnsi="黑体"/>
          <w:kern w:val="2"/>
          <w:sz w:val="32"/>
          <w:szCs w:val="32"/>
        </w:rPr>
        <w:t>万元，占6</w:t>
      </w:r>
      <w:r>
        <w:rPr>
          <w:rFonts w:hint="eastAsia" w:hAnsi="黑体"/>
          <w:kern w:val="2"/>
          <w:sz w:val="32"/>
          <w:szCs w:val="32"/>
          <w:lang w:val="en-US" w:eastAsia="zh-CN"/>
        </w:rPr>
        <w:t>6.71</w:t>
      </w:r>
      <w:r>
        <w:rPr>
          <w:rFonts w:hAnsi="黑体"/>
          <w:kern w:val="2"/>
          <w:sz w:val="32"/>
          <w:szCs w:val="32"/>
        </w:rPr>
        <w:t>%</w:t>
      </w:r>
      <w:r>
        <w:rPr>
          <w:rFonts w:hint="eastAsia" w:hAnsi="黑体"/>
          <w:kern w:val="2"/>
          <w:sz w:val="32"/>
          <w:szCs w:val="32"/>
        </w:rPr>
        <w:t>；住房保障支出39.55万元，占9.</w:t>
      </w:r>
      <w:r>
        <w:rPr>
          <w:rFonts w:hint="eastAsia" w:hAnsi="黑体"/>
          <w:kern w:val="2"/>
          <w:sz w:val="32"/>
          <w:szCs w:val="32"/>
          <w:lang w:val="en-US" w:eastAsia="zh-CN"/>
        </w:rPr>
        <w:t>9</w:t>
      </w:r>
      <w:r>
        <w:rPr>
          <w:rFonts w:hAnsi="黑体"/>
          <w:kern w:val="2"/>
          <w:sz w:val="32"/>
          <w:szCs w:val="32"/>
        </w:rPr>
        <w:t>%</w:t>
      </w:r>
      <w:r>
        <w:rPr>
          <w:rFonts w:hint="eastAsia" w:hAnsi="黑体"/>
          <w:kern w:val="2"/>
          <w:sz w:val="32"/>
          <w:szCs w:val="32"/>
        </w:rPr>
        <w:t>。</w:t>
      </w:r>
    </w:p>
    <w:p w14:paraId="65713F58">
      <w:pPr>
        <w:pStyle w:val="18"/>
        <w:spacing w:before="0" w:line="360" w:lineRule="auto"/>
        <w:ind w:firstLine="630" w:firstLineChars="196"/>
        <w:outlineLvl w:val="1"/>
        <w:rPr>
          <w:rFonts w:ascii="楷体_GB2312" w:hAnsi="黑体" w:eastAsia="楷体_GB2312" w:cs="楷体_GB2312"/>
          <w:b/>
          <w:bCs/>
          <w:kern w:val="2"/>
          <w:sz w:val="32"/>
          <w:szCs w:val="32"/>
        </w:rPr>
      </w:pPr>
      <w:bookmarkStart w:id="24" w:name="_Toc17829"/>
      <w:bookmarkStart w:id="25" w:name="_Toc17213"/>
      <w:r>
        <w:rPr>
          <w:rFonts w:hint="eastAsia" w:ascii="楷体_GB2312" w:hAnsi="黑体" w:eastAsia="楷体_GB2312" w:cs="楷体_GB2312"/>
          <w:b/>
          <w:bCs/>
          <w:kern w:val="2"/>
          <w:sz w:val="32"/>
          <w:szCs w:val="32"/>
        </w:rPr>
        <w:t>（三）一般公共预算当年拨款具体使用情况</w:t>
      </w:r>
      <w:bookmarkEnd w:id="24"/>
      <w:bookmarkEnd w:id="25"/>
    </w:p>
    <w:p w14:paraId="5B930551">
      <w:pPr>
        <w:pStyle w:val="12"/>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1．社会保障和就业支出</w:t>
      </w:r>
      <w:r>
        <w:rPr>
          <w:rFonts w:hint="eastAsia" w:hAnsi="黑体"/>
          <w:kern w:val="2"/>
          <w:sz w:val="32"/>
          <w:szCs w:val="32"/>
          <w:lang w:val="en-US" w:eastAsia="zh-CN"/>
        </w:rPr>
        <w:t>66.59</w:t>
      </w:r>
      <w:r>
        <w:rPr>
          <w:rFonts w:hint="eastAsia" w:ascii="仿宋_GB2312" w:hAnsi="黑体" w:eastAsia="仿宋_GB2312" w:cs="仿宋_GB2312"/>
          <w:kern w:val="2"/>
          <w:sz w:val="32"/>
          <w:szCs w:val="32"/>
        </w:rPr>
        <w:t>万元，主要用于购买单位职工工资、养老保险等支出。</w:t>
      </w:r>
    </w:p>
    <w:p w14:paraId="32CDD13A">
      <w:pPr>
        <w:pStyle w:val="12"/>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2.节能和环保支出</w:t>
      </w:r>
      <w:r>
        <w:rPr>
          <w:rFonts w:hint="eastAsia" w:hAnsi="黑体" w:cs="Times New Roman"/>
          <w:kern w:val="2"/>
          <w:sz w:val="32"/>
          <w:szCs w:val="32"/>
          <w:lang w:val="en-US" w:eastAsia="zh-CN"/>
        </w:rPr>
        <w:t>266.74</w:t>
      </w:r>
      <w:r>
        <w:rPr>
          <w:rFonts w:hint="eastAsia" w:ascii="仿宋_GB2312" w:hAnsi="黑体" w:eastAsia="仿宋_GB2312" w:cs="仿宋_GB2312"/>
          <w:kern w:val="2"/>
          <w:sz w:val="32"/>
          <w:szCs w:val="32"/>
        </w:rPr>
        <w:t>万元，主要用于：环保督察、环保宣传、生态县创建、污染源普查、环保执法、饮用水源地项目建设支出。</w:t>
      </w:r>
    </w:p>
    <w:p w14:paraId="5D9966FB">
      <w:pPr>
        <w:pStyle w:val="12"/>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3．住房保障支出</w:t>
      </w:r>
      <w:r>
        <w:rPr>
          <w:rFonts w:hint="eastAsia" w:hAnsi="黑体"/>
          <w:kern w:val="2"/>
          <w:sz w:val="32"/>
          <w:szCs w:val="32"/>
        </w:rPr>
        <w:t>39.55</w:t>
      </w:r>
      <w:r>
        <w:rPr>
          <w:rFonts w:hint="eastAsia" w:ascii="仿宋_GB2312" w:hAnsi="黑体" w:eastAsia="仿宋_GB2312" w:cs="仿宋_GB2312"/>
          <w:kern w:val="2"/>
          <w:sz w:val="32"/>
          <w:szCs w:val="32"/>
        </w:rPr>
        <w:t>万元，主要用于购买单位职工的住房公积金等支出。</w:t>
      </w:r>
    </w:p>
    <w:p w14:paraId="5EF2FBE6">
      <w:pPr>
        <w:pStyle w:val="12"/>
        <w:widowControl/>
        <w:spacing w:before="0" w:beforeAutospacing="0" w:after="0" w:afterAutospacing="0" w:line="560" w:lineRule="exact"/>
        <w:ind w:firstLine="640" w:firstLineChars="200"/>
        <w:rPr>
          <w:rFonts w:ascii="仿宋_GB2312" w:hAnsi="黑体" w:eastAsia="仿宋_GB2312" w:cs="仿宋_GB2312"/>
          <w:kern w:val="2"/>
          <w:sz w:val="32"/>
          <w:szCs w:val="32"/>
        </w:rPr>
      </w:pPr>
      <w:r>
        <w:rPr>
          <w:rFonts w:hint="eastAsia" w:ascii="仿宋_GB2312" w:hAnsi="黑体" w:eastAsia="仿宋_GB2312" w:cs="仿宋_GB2312"/>
          <w:kern w:val="2"/>
          <w:sz w:val="32"/>
          <w:szCs w:val="32"/>
        </w:rPr>
        <w:t>4.</w:t>
      </w:r>
      <w:r>
        <w:rPr>
          <w:rFonts w:hint="eastAsia" w:hAnsi="黑体"/>
          <w:kern w:val="2"/>
          <w:sz w:val="32"/>
          <w:szCs w:val="32"/>
        </w:rPr>
        <w:t xml:space="preserve"> </w:t>
      </w:r>
      <w:r>
        <w:rPr>
          <w:rFonts w:hint="eastAsia" w:ascii="仿宋_GB2312" w:hAnsi="黑体" w:eastAsia="仿宋_GB2312" w:cs="仿宋_GB2312"/>
          <w:kern w:val="2"/>
          <w:sz w:val="32"/>
          <w:szCs w:val="32"/>
        </w:rPr>
        <w:t>卫生健康支出支出</w:t>
      </w:r>
      <w:r>
        <w:rPr>
          <w:rFonts w:hint="eastAsia" w:hAnsi="黑体"/>
          <w:kern w:val="2"/>
          <w:sz w:val="32"/>
          <w:szCs w:val="32"/>
          <w:lang w:val="en-US" w:eastAsia="zh-CN"/>
        </w:rPr>
        <w:t>26.95</w:t>
      </w:r>
      <w:r>
        <w:rPr>
          <w:rFonts w:hint="eastAsia" w:ascii="仿宋_GB2312" w:hAnsi="黑体" w:eastAsia="仿宋_GB2312" w:cs="仿宋_GB2312"/>
          <w:kern w:val="2"/>
          <w:sz w:val="32"/>
          <w:szCs w:val="32"/>
        </w:rPr>
        <w:t>万元，主要用于购买单位职工医保等支出。</w:t>
      </w:r>
    </w:p>
    <w:p w14:paraId="6AFE67C7">
      <w:pPr>
        <w:pStyle w:val="18"/>
        <w:tabs>
          <w:tab w:val="left" w:pos="720"/>
        </w:tabs>
        <w:spacing w:before="0" w:line="360" w:lineRule="auto"/>
        <w:outlineLvl w:val="0"/>
        <w:rPr>
          <w:rFonts w:ascii="??" w:hAnsi="??" w:eastAsia="宋体" w:cs="Times New Roman"/>
          <w:b/>
          <w:bCs/>
          <w:sz w:val="16"/>
          <w:szCs w:val="16"/>
        </w:rPr>
      </w:pPr>
      <w:r>
        <w:rPr>
          <w:rFonts w:hint="eastAsia" w:ascii="??" w:hAnsi="??" w:eastAsia="宋体" w:cs="宋体"/>
          <w:sz w:val="16"/>
          <w:szCs w:val="16"/>
        </w:rPr>
        <w:t>　</w:t>
      </w:r>
      <w:bookmarkStart w:id="26" w:name="_Toc13649"/>
      <w:bookmarkStart w:id="27" w:name="_Toc16852"/>
      <w:r>
        <w:rPr>
          <w:rFonts w:hint="eastAsia" w:ascii="黑体" w:hAnsi="黑体" w:eastAsia="黑体" w:cs="黑体"/>
          <w:kern w:val="2"/>
          <w:sz w:val="32"/>
          <w:szCs w:val="32"/>
        </w:rPr>
        <w:t>六、一般公共预算基本支出情况说明</w:t>
      </w:r>
      <w:bookmarkEnd w:id="26"/>
      <w:bookmarkEnd w:id="27"/>
    </w:p>
    <w:p w14:paraId="298622B1">
      <w:pPr>
        <w:pStyle w:val="18"/>
        <w:spacing w:before="0" w:line="360" w:lineRule="auto"/>
        <w:ind w:firstLine="640" w:firstLineChars="200"/>
        <w:rPr>
          <w:rFonts w:hAnsi="黑体" w:cs="Times New Roman"/>
          <w:kern w:val="2"/>
          <w:sz w:val="32"/>
          <w:szCs w:val="32"/>
        </w:rPr>
      </w:pPr>
      <w:r>
        <w:rPr>
          <w:rFonts w:hint="eastAsia" w:hAnsi="黑体"/>
          <w:kern w:val="2"/>
          <w:sz w:val="32"/>
          <w:szCs w:val="32"/>
        </w:rPr>
        <w:t>阿坝州金川生态环境局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一般公共预算基本支出</w:t>
      </w:r>
      <w:r>
        <w:rPr>
          <w:rFonts w:hint="eastAsia" w:hAnsi="黑体"/>
          <w:kern w:val="2"/>
          <w:sz w:val="32"/>
          <w:szCs w:val="32"/>
          <w:lang w:val="en-US" w:eastAsia="zh-CN"/>
        </w:rPr>
        <w:t>399.83</w:t>
      </w:r>
      <w:r>
        <w:rPr>
          <w:rFonts w:hint="eastAsia" w:hAnsi="黑体"/>
          <w:kern w:val="2"/>
          <w:sz w:val="32"/>
          <w:szCs w:val="32"/>
        </w:rPr>
        <w:t>万元，其中：人员经费</w:t>
      </w:r>
      <w:r>
        <w:rPr>
          <w:rFonts w:hint="eastAsia" w:hAnsi="黑体"/>
          <w:kern w:val="2"/>
          <w:sz w:val="32"/>
          <w:szCs w:val="32"/>
          <w:lang w:val="en-US" w:eastAsia="zh-CN"/>
        </w:rPr>
        <w:t>318.92</w:t>
      </w:r>
      <w:r>
        <w:rPr>
          <w:rFonts w:hint="eastAsia" w:hAnsi="黑体"/>
          <w:kern w:val="2"/>
          <w:sz w:val="32"/>
          <w:szCs w:val="32"/>
        </w:rPr>
        <w:t>万元，主要包括：基本工资</w:t>
      </w:r>
      <w:r>
        <w:rPr>
          <w:rFonts w:hint="eastAsia" w:hAnsi="黑体"/>
          <w:kern w:val="2"/>
          <w:sz w:val="32"/>
          <w:szCs w:val="32"/>
          <w:lang w:val="en-US" w:eastAsia="zh-CN"/>
        </w:rPr>
        <w:t>71.89</w:t>
      </w:r>
      <w:r>
        <w:rPr>
          <w:rFonts w:hint="eastAsia" w:hAnsi="黑体"/>
          <w:kern w:val="2"/>
          <w:sz w:val="32"/>
          <w:szCs w:val="32"/>
        </w:rPr>
        <w:t>万元、津贴补贴</w:t>
      </w:r>
      <w:r>
        <w:rPr>
          <w:rFonts w:hint="eastAsia" w:hAnsi="黑体"/>
          <w:kern w:val="2"/>
          <w:sz w:val="32"/>
          <w:szCs w:val="32"/>
          <w:lang w:val="en-US" w:eastAsia="zh-CN"/>
        </w:rPr>
        <w:t>84.27</w:t>
      </w:r>
      <w:r>
        <w:rPr>
          <w:rFonts w:hint="eastAsia" w:hAnsi="黑体"/>
          <w:kern w:val="2"/>
          <w:sz w:val="32"/>
          <w:szCs w:val="32"/>
        </w:rPr>
        <w:t>万元、年终一次性奖金5.7万元、职工基本医疗保险缴费</w:t>
      </w:r>
      <w:r>
        <w:rPr>
          <w:rFonts w:hint="eastAsia" w:hAnsi="黑体"/>
          <w:kern w:val="2"/>
          <w:sz w:val="32"/>
          <w:szCs w:val="32"/>
          <w:lang w:val="en-US" w:eastAsia="zh-CN"/>
        </w:rPr>
        <w:t>23.49</w:t>
      </w:r>
      <w:r>
        <w:rPr>
          <w:rFonts w:hint="eastAsia" w:hAnsi="黑体"/>
          <w:kern w:val="2"/>
          <w:sz w:val="32"/>
          <w:szCs w:val="32"/>
        </w:rPr>
        <w:t>万元、公务员医疗补助缴费3.</w:t>
      </w:r>
      <w:r>
        <w:rPr>
          <w:rFonts w:hint="eastAsia" w:hAnsi="黑体"/>
          <w:kern w:val="2"/>
          <w:sz w:val="32"/>
          <w:szCs w:val="32"/>
          <w:lang w:val="en-US" w:eastAsia="zh-CN"/>
        </w:rPr>
        <w:t>46</w:t>
      </w:r>
      <w:r>
        <w:rPr>
          <w:rFonts w:hint="eastAsia" w:hAnsi="黑体"/>
          <w:kern w:val="2"/>
          <w:sz w:val="32"/>
          <w:szCs w:val="32"/>
        </w:rPr>
        <w:t>万元、工伤保险0</w:t>
      </w:r>
      <w:r>
        <w:rPr>
          <w:rFonts w:hint="eastAsia" w:hAnsi="黑体"/>
          <w:kern w:val="2"/>
          <w:sz w:val="32"/>
          <w:szCs w:val="32"/>
          <w:lang w:val="en-US" w:eastAsia="zh-CN"/>
        </w:rPr>
        <w:t>.67</w:t>
      </w:r>
      <w:r>
        <w:rPr>
          <w:rFonts w:hint="eastAsia" w:hAnsi="黑体"/>
          <w:kern w:val="2"/>
          <w:sz w:val="32"/>
          <w:szCs w:val="32"/>
        </w:rPr>
        <w:t>万元、失业保险1.</w:t>
      </w:r>
      <w:r>
        <w:rPr>
          <w:rFonts w:hint="eastAsia" w:hAnsi="黑体"/>
          <w:kern w:val="2"/>
          <w:sz w:val="32"/>
          <w:szCs w:val="32"/>
          <w:lang w:val="en-US" w:eastAsia="zh-CN"/>
        </w:rPr>
        <w:t>66</w:t>
      </w:r>
      <w:r>
        <w:rPr>
          <w:rFonts w:hint="eastAsia" w:hAnsi="黑体"/>
          <w:kern w:val="2"/>
          <w:sz w:val="32"/>
          <w:szCs w:val="32"/>
        </w:rPr>
        <w:t>万元、聘用人员经费20.79万元、遗属生活补助0.85万元、机关事业单位基本养老保险缴费</w:t>
      </w:r>
      <w:r>
        <w:rPr>
          <w:rFonts w:hint="eastAsia" w:hAnsi="黑体"/>
          <w:kern w:val="2"/>
          <w:sz w:val="32"/>
          <w:szCs w:val="32"/>
          <w:lang w:val="en-US" w:eastAsia="zh-CN"/>
        </w:rPr>
        <w:t>44.39</w:t>
      </w:r>
      <w:r>
        <w:rPr>
          <w:rFonts w:hint="eastAsia" w:hAnsi="黑体"/>
          <w:kern w:val="2"/>
          <w:sz w:val="32"/>
          <w:szCs w:val="32"/>
        </w:rPr>
        <w:t>万元、职业年金缴费</w:t>
      </w:r>
      <w:r>
        <w:rPr>
          <w:rFonts w:hint="eastAsia" w:hAnsi="黑体"/>
          <w:kern w:val="2"/>
          <w:sz w:val="32"/>
          <w:szCs w:val="32"/>
          <w:lang w:val="en-US" w:eastAsia="zh-CN"/>
        </w:rPr>
        <w:t>22.2</w:t>
      </w:r>
      <w:r>
        <w:rPr>
          <w:rFonts w:hint="eastAsia" w:hAnsi="黑体"/>
          <w:kern w:val="2"/>
          <w:sz w:val="32"/>
          <w:szCs w:val="32"/>
        </w:rPr>
        <w:t>万元、住房公积金</w:t>
      </w:r>
      <w:r>
        <w:rPr>
          <w:rFonts w:hint="eastAsia" w:hAnsi="黑体"/>
          <w:kern w:val="2"/>
          <w:sz w:val="32"/>
          <w:szCs w:val="32"/>
          <w:lang w:val="en-US" w:eastAsia="zh-CN"/>
        </w:rPr>
        <w:t>39.55</w:t>
      </w:r>
      <w:r>
        <w:rPr>
          <w:rFonts w:hint="eastAsia" w:hAnsi="黑体"/>
          <w:kern w:val="2"/>
          <w:sz w:val="32"/>
          <w:szCs w:val="32"/>
        </w:rPr>
        <w:t>万元。公用经费</w:t>
      </w:r>
      <w:r>
        <w:rPr>
          <w:rFonts w:hint="eastAsia" w:hAnsi="黑体"/>
          <w:kern w:val="2"/>
          <w:sz w:val="32"/>
          <w:szCs w:val="32"/>
          <w:lang w:val="en-US" w:eastAsia="zh-CN"/>
        </w:rPr>
        <w:t>62.89</w:t>
      </w:r>
      <w:r>
        <w:rPr>
          <w:rFonts w:hint="eastAsia" w:hAnsi="黑体"/>
          <w:kern w:val="2"/>
          <w:sz w:val="32"/>
          <w:szCs w:val="32"/>
        </w:rPr>
        <w:t>万元，主要包括：办公费1.73万元、取暖费0.69万元、</w:t>
      </w:r>
      <w:r>
        <w:rPr>
          <w:rFonts w:hint="eastAsia" w:hAnsi="黑体"/>
          <w:kern w:val="2"/>
          <w:sz w:val="32"/>
          <w:szCs w:val="32"/>
          <w:lang w:eastAsia="zh-CN"/>
        </w:rPr>
        <w:t>其他商品和服务支出</w:t>
      </w:r>
      <w:r>
        <w:rPr>
          <w:rFonts w:hint="eastAsia" w:hAnsi="黑体"/>
          <w:kern w:val="2"/>
          <w:sz w:val="32"/>
          <w:szCs w:val="32"/>
          <w:lang w:val="en-US" w:eastAsia="zh-CN"/>
        </w:rPr>
        <w:t>11.18</w:t>
      </w:r>
      <w:r>
        <w:rPr>
          <w:rFonts w:hint="eastAsia" w:hAnsi="黑体"/>
          <w:kern w:val="2"/>
          <w:sz w:val="32"/>
          <w:szCs w:val="32"/>
        </w:rPr>
        <w:t>万元、退休人员公用经费费0.0</w:t>
      </w:r>
      <w:r>
        <w:rPr>
          <w:rFonts w:hint="eastAsia" w:hAnsi="黑体"/>
          <w:kern w:val="2"/>
          <w:sz w:val="32"/>
          <w:szCs w:val="32"/>
          <w:lang w:val="en-US" w:eastAsia="zh-CN"/>
        </w:rPr>
        <w:t>8</w:t>
      </w:r>
      <w:r>
        <w:rPr>
          <w:rFonts w:hint="eastAsia" w:hAnsi="黑体"/>
          <w:kern w:val="2"/>
          <w:sz w:val="32"/>
          <w:szCs w:val="32"/>
        </w:rPr>
        <w:t>万元、公务接待费0.9</w:t>
      </w:r>
      <w:r>
        <w:rPr>
          <w:rFonts w:hint="eastAsia" w:hAnsi="黑体"/>
          <w:kern w:val="2"/>
          <w:sz w:val="32"/>
          <w:szCs w:val="32"/>
          <w:lang w:val="en-US" w:eastAsia="zh-CN"/>
        </w:rPr>
        <w:t>9</w:t>
      </w:r>
      <w:r>
        <w:rPr>
          <w:rFonts w:hint="eastAsia" w:hAnsi="黑体"/>
          <w:kern w:val="2"/>
          <w:sz w:val="32"/>
          <w:szCs w:val="32"/>
        </w:rPr>
        <w:t>万元、水费0.52万元、体检费2.47万元、邮电费5.34万元、差旅费</w:t>
      </w:r>
      <w:r>
        <w:rPr>
          <w:rFonts w:hint="eastAsia" w:hAnsi="黑体"/>
          <w:kern w:val="2"/>
          <w:sz w:val="32"/>
          <w:szCs w:val="32"/>
          <w:lang w:val="en-US" w:eastAsia="zh-CN"/>
        </w:rPr>
        <w:t>15.33</w:t>
      </w:r>
      <w:r>
        <w:rPr>
          <w:rFonts w:hint="eastAsia" w:hAnsi="黑体"/>
          <w:kern w:val="2"/>
          <w:sz w:val="32"/>
          <w:szCs w:val="32"/>
        </w:rPr>
        <w:t>万元、维修（护）费1.70万元、党组织活动经费</w:t>
      </w:r>
      <w:r>
        <w:rPr>
          <w:rFonts w:hint="eastAsia" w:hAnsi="黑体"/>
          <w:kern w:val="2"/>
          <w:sz w:val="32"/>
          <w:szCs w:val="32"/>
          <w:lang w:val="en-US" w:eastAsia="zh-CN"/>
        </w:rPr>
        <w:t>5.06</w:t>
      </w:r>
      <w:r>
        <w:rPr>
          <w:rFonts w:hint="eastAsia" w:hAnsi="黑体"/>
          <w:kern w:val="2"/>
          <w:sz w:val="32"/>
          <w:szCs w:val="32"/>
        </w:rPr>
        <w:t>万元、培训费3.42万元</w:t>
      </w:r>
      <w:r>
        <w:rPr>
          <w:rFonts w:hint="eastAsia" w:hAnsi="黑体"/>
          <w:kern w:val="2"/>
          <w:sz w:val="32"/>
          <w:szCs w:val="32"/>
          <w:lang w:eastAsia="zh-CN"/>
        </w:rPr>
        <w:t>、</w:t>
      </w:r>
      <w:r>
        <w:rPr>
          <w:rFonts w:hint="eastAsia" w:hAnsi="黑体"/>
          <w:kern w:val="2"/>
          <w:sz w:val="32"/>
          <w:szCs w:val="32"/>
        </w:rPr>
        <w:t>公务用车运行维护费11.52万元</w:t>
      </w:r>
      <w:r>
        <w:rPr>
          <w:rFonts w:hint="eastAsia" w:hAnsi="黑体"/>
          <w:kern w:val="2"/>
          <w:sz w:val="32"/>
          <w:szCs w:val="32"/>
          <w:lang w:eastAsia="zh-CN"/>
        </w:rPr>
        <w:t>、残疾人就业保障金</w:t>
      </w:r>
      <w:r>
        <w:rPr>
          <w:rFonts w:hint="eastAsia" w:hAnsi="黑体"/>
          <w:kern w:val="2"/>
          <w:sz w:val="32"/>
          <w:szCs w:val="32"/>
          <w:lang w:val="en-US" w:eastAsia="zh-CN"/>
        </w:rPr>
        <w:t>2.87万元</w:t>
      </w:r>
      <w:r>
        <w:rPr>
          <w:rFonts w:hint="eastAsia" w:hAnsi="黑体"/>
          <w:kern w:val="2"/>
          <w:sz w:val="32"/>
          <w:szCs w:val="32"/>
        </w:rPr>
        <w:t>。</w:t>
      </w:r>
    </w:p>
    <w:p w14:paraId="12E71CF6">
      <w:pPr>
        <w:pStyle w:val="18"/>
        <w:spacing w:before="0" w:line="360" w:lineRule="auto"/>
        <w:ind w:firstLine="320" w:firstLineChars="100"/>
        <w:outlineLvl w:val="0"/>
        <w:rPr>
          <w:rFonts w:ascii="??" w:hAnsi="??" w:eastAsia="宋体" w:cs="Times New Roman"/>
          <w:sz w:val="16"/>
          <w:szCs w:val="16"/>
        </w:rPr>
      </w:pPr>
      <w:bookmarkStart w:id="28" w:name="_Toc6244"/>
      <w:bookmarkStart w:id="29" w:name="_Toc24864"/>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bookmarkEnd w:id="28"/>
      <w:bookmarkEnd w:id="29"/>
    </w:p>
    <w:p w14:paraId="774FCAF8">
      <w:pPr>
        <w:pStyle w:val="18"/>
        <w:spacing w:before="0" w:line="360" w:lineRule="auto"/>
        <w:ind w:firstLine="640" w:firstLineChars="200"/>
        <w:rPr>
          <w:rFonts w:hAnsi="黑体" w:cs="Times New Roman"/>
          <w:kern w:val="2"/>
          <w:sz w:val="32"/>
          <w:szCs w:val="32"/>
        </w:rPr>
      </w:pPr>
      <w:r>
        <w:rPr>
          <w:rFonts w:hint="eastAsia" w:hAnsi="黑体"/>
          <w:kern w:val="2"/>
          <w:sz w:val="32"/>
          <w:szCs w:val="32"/>
        </w:rPr>
        <w:t>阿坝州金川生态环境局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14.51</w:t>
      </w:r>
      <w:r>
        <w:rPr>
          <w:rFonts w:hint="eastAsia" w:hAnsi="黑体"/>
          <w:kern w:val="2"/>
          <w:sz w:val="32"/>
          <w:szCs w:val="32"/>
        </w:rPr>
        <w:t>万元，其中：因公出国（境）经费0万元，公务接待费0.9</w:t>
      </w:r>
      <w:r>
        <w:rPr>
          <w:rFonts w:hint="eastAsia" w:hAnsi="黑体"/>
          <w:kern w:val="2"/>
          <w:sz w:val="32"/>
          <w:szCs w:val="32"/>
          <w:lang w:val="en-US" w:eastAsia="zh-CN"/>
        </w:rPr>
        <w:t>9</w:t>
      </w:r>
      <w:r>
        <w:rPr>
          <w:rFonts w:hint="eastAsia" w:hAnsi="黑体"/>
          <w:kern w:val="2"/>
          <w:sz w:val="32"/>
          <w:szCs w:val="32"/>
        </w:rPr>
        <w:t>万元，公务用车购置及运行维护费</w:t>
      </w:r>
      <w:r>
        <w:rPr>
          <w:rFonts w:hint="eastAsia" w:hAnsi="黑体"/>
          <w:kern w:val="2"/>
          <w:sz w:val="32"/>
          <w:szCs w:val="32"/>
          <w:lang w:val="en-US" w:eastAsia="zh-CN"/>
        </w:rPr>
        <w:t>13.52</w:t>
      </w:r>
      <w:r>
        <w:rPr>
          <w:rFonts w:hint="eastAsia" w:hAnsi="黑体"/>
          <w:kern w:val="2"/>
          <w:sz w:val="32"/>
          <w:szCs w:val="32"/>
        </w:rPr>
        <w:t>万元（其中：办公费中公务用车运行维护费11.52万元，项目支出中公务用车运行维护费</w:t>
      </w:r>
      <w:r>
        <w:rPr>
          <w:rFonts w:hint="eastAsia" w:hAnsi="黑体"/>
          <w:kern w:val="2"/>
          <w:sz w:val="32"/>
          <w:szCs w:val="32"/>
          <w:lang w:val="en-US" w:eastAsia="zh-CN"/>
        </w:rPr>
        <w:t>2</w:t>
      </w:r>
      <w:r>
        <w:rPr>
          <w:rFonts w:hint="eastAsia" w:hAnsi="黑体"/>
          <w:kern w:val="2"/>
          <w:sz w:val="32"/>
          <w:szCs w:val="32"/>
        </w:rPr>
        <w:t>万元）。</w:t>
      </w:r>
    </w:p>
    <w:p w14:paraId="5D6A2AE4">
      <w:pPr>
        <w:pStyle w:val="18"/>
        <w:spacing w:before="0" w:line="360" w:lineRule="auto"/>
        <w:ind w:firstLine="640" w:firstLineChars="200"/>
        <w:rPr>
          <w:rFonts w:hAnsi="黑体"/>
          <w:kern w:val="2"/>
          <w:sz w:val="32"/>
          <w:szCs w:val="32"/>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因公出国（境）经费0万元。较</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预算经费0万元增长0</w:t>
      </w:r>
      <w:r>
        <w:rPr>
          <w:rFonts w:hAnsi="黑体"/>
          <w:kern w:val="2"/>
          <w:sz w:val="32"/>
          <w:szCs w:val="32"/>
        </w:rPr>
        <w:t>%</w:t>
      </w:r>
      <w:r>
        <w:rPr>
          <w:rFonts w:hint="eastAsia" w:hAnsi="黑体"/>
          <w:kern w:val="2"/>
          <w:sz w:val="32"/>
          <w:szCs w:val="32"/>
        </w:rPr>
        <w:t>.</w:t>
      </w:r>
    </w:p>
    <w:p w14:paraId="0385CACD">
      <w:pPr>
        <w:pStyle w:val="18"/>
        <w:spacing w:before="0" w:line="360" w:lineRule="auto"/>
        <w:ind w:firstLine="640" w:firstLineChars="200"/>
        <w:rPr>
          <w:rFonts w:hAnsi="黑体" w:cs="Times New Roman"/>
          <w:kern w:val="2"/>
          <w:sz w:val="32"/>
          <w:szCs w:val="32"/>
        </w:rPr>
      </w:pPr>
      <w:r>
        <w:rPr>
          <w:rFonts w:hint="eastAsia" w:hAnsi="黑体"/>
          <w:kern w:val="2"/>
          <w:sz w:val="32"/>
          <w:szCs w:val="32"/>
        </w:rPr>
        <w:t>（二）</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公务接待经费0.9</w:t>
      </w:r>
      <w:r>
        <w:rPr>
          <w:rFonts w:hint="eastAsia" w:hAnsi="黑体"/>
          <w:kern w:val="2"/>
          <w:sz w:val="32"/>
          <w:szCs w:val="32"/>
          <w:lang w:val="en-US" w:eastAsia="zh-CN"/>
        </w:rPr>
        <w:t>9</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预算经费0万元增加0.0</w:t>
      </w:r>
      <w:r>
        <w:rPr>
          <w:rFonts w:hint="eastAsia" w:hAnsi="黑体"/>
          <w:kern w:val="2"/>
          <w:sz w:val="32"/>
          <w:szCs w:val="32"/>
          <w:lang w:val="en-US" w:eastAsia="zh-CN"/>
        </w:rPr>
        <w:t>4</w:t>
      </w:r>
      <w:r>
        <w:rPr>
          <w:rFonts w:hint="eastAsia" w:hAnsi="黑体"/>
          <w:kern w:val="2"/>
          <w:sz w:val="32"/>
          <w:szCs w:val="32"/>
        </w:rPr>
        <w:t>万元，主要原因是：人员</w:t>
      </w:r>
      <w:r>
        <w:rPr>
          <w:rFonts w:hint="eastAsia" w:hAnsi="黑体"/>
          <w:kern w:val="2"/>
          <w:sz w:val="32"/>
          <w:szCs w:val="32"/>
          <w:lang w:eastAsia="zh-CN"/>
        </w:rPr>
        <w:t>职务职级变动</w:t>
      </w:r>
      <w:r>
        <w:rPr>
          <w:rFonts w:hint="eastAsia" w:hAnsi="黑体"/>
          <w:kern w:val="2"/>
          <w:sz w:val="32"/>
          <w:szCs w:val="32"/>
        </w:rPr>
        <w:t>。</w:t>
      </w:r>
    </w:p>
    <w:p w14:paraId="3BE76F97">
      <w:pPr>
        <w:pStyle w:val="18"/>
        <w:spacing w:before="0" w:line="360" w:lineRule="auto"/>
        <w:ind w:firstLine="640" w:firstLineChars="200"/>
        <w:rPr>
          <w:rFonts w:hAnsi="黑体" w:cs="Times New Roman"/>
          <w:kern w:val="2"/>
          <w:sz w:val="32"/>
          <w:szCs w:val="32"/>
        </w:rPr>
      </w:pPr>
      <w:r>
        <w:rPr>
          <w:rFonts w:hint="eastAsia" w:hAnsi="黑体"/>
          <w:kern w:val="2"/>
          <w:sz w:val="32"/>
          <w:szCs w:val="32"/>
        </w:rPr>
        <w:t>（三）</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公务用车购置及运行维护费</w:t>
      </w:r>
      <w:r>
        <w:rPr>
          <w:rFonts w:hint="eastAsia" w:hAnsi="黑体"/>
          <w:kern w:val="2"/>
          <w:sz w:val="32"/>
          <w:szCs w:val="32"/>
          <w:lang w:val="en-US" w:eastAsia="zh-CN"/>
        </w:rPr>
        <w:t>13.52</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减少4万元</w:t>
      </w:r>
      <w:r>
        <w:rPr>
          <w:rFonts w:hint="eastAsia" w:hAnsi="黑体"/>
          <w:kern w:val="2"/>
          <w:sz w:val="32"/>
          <w:szCs w:val="32"/>
        </w:rPr>
        <w:t>，主要原因是：</w:t>
      </w:r>
      <w:r>
        <w:rPr>
          <w:rFonts w:hint="eastAsia" w:hAnsi="黑体"/>
          <w:kern w:val="2"/>
          <w:sz w:val="32"/>
          <w:szCs w:val="32"/>
          <w:lang w:val="en-US" w:eastAsia="zh-CN"/>
        </w:rPr>
        <w:t>截至2025年11月项目预算执行率底，2026年的项目预算减少4万元，</w:t>
      </w:r>
      <w:r>
        <w:rPr>
          <w:rFonts w:hint="eastAsia" w:hAnsi="黑体"/>
          <w:kern w:val="2"/>
          <w:sz w:val="32"/>
          <w:szCs w:val="32"/>
        </w:rPr>
        <w:t>项目支出预算公务用车运行维护费</w:t>
      </w:r>
      <w:r>
        <w:rPr>
          <w:rFonts w:hint="eastAsia" w:hAnsi="黑体"/>
          <w:kern w:val="2"/>
          <w:sz w:val="32"/>
          <w:szCs w:val="32"/>
          <w:lang w:val="en-US" w:eastAsia="zh-CN"/>
        </w:rPr>
        <w:t>减少</w:t>
      </w:r>
      <w:r>
        <w:rPr>
          <w:rFonts w:hint="eastAsia" w:hAnsi="黑体"/>
          <w:kern w:val="2"/>
          <w:sz w:val="32"/>
          <w:szCs w:val="32"/>
        </w:rPr>
        <w:t>。</w:t>
      </w:r>
    </w:p>
    <w:p w14:paraId="4C176260">
      <w:pPr>
        <w:pStyle w:val="18"/>
        <w:spacing w:before="0" w:line="360" w:lineRule="auto"/>
        <w:ind w:firstLine="320" w:firstLineChars="200"/>
        <w:outlineLvl w:val="0"/>
        <w:rPr>
          <w:rFonts w:ascii="黑体" w:hAnsi="黑体" w:eastAsia="黑体" w:cs="黑体"/>
          <w:kern w:val="2"/>
          <w:sz w:val="32"/>
          <w:szCs w:val="32"/>
        </w:rPr>
      </w:pPr>
      <w:r>
        <w:rPr>
          <w:rFonts w:hint="eastAsia" w:ascii="??" w:hAnsi="??" w:eastAsia="宋体" w:cs="宋体"/>
          <w:sz w:val="16"/>
          <w:szCs w:val="16"/>
        </w:rPr>
        <w:t>　</w:t>
      </w:r>
      <w:bookmarkStart w:id="30" w:name="_Toc21210"/>
      <w:bookmarkStart w:id="31" w:name="_Toc13174"/>
      <w:r>
        <w:rPr>
          <w:rFonts w:hint="eastAsia" w:ascii="黑体" w:hAnsi="黑体" w:eastAsia="黑体" w:cs="黑体"/>
          <w:kern w:val="2"/>
          <w:sz w:val="32"/>
          <w:szCs w:val="32"/>
        </w:rPr>
        <w:t>八、政府性基金预算支出情况说明</w:t>
      </w:r>
      <w:bookmarkEnd w:id="30"/>
      <w:bookmarkEnd w:id="31"/>
    </w:p>
    <w:p w14:paraId="5DA8354A">
      <w:pPr>
        <w:pStyle w:val="18"/>
        <w:spacing w:before="0" w:line="360" w:lineRule="auto"/>
        <w:ind w:firstLine="320" w:firstLineChars="200"/>
        <w:rPr>
          <w:rFonts w:hAnsi="黑体"/>
          <w:kern w:val="2"/>
          <w:sz w:val="32"/>
          <w:szCs w:val="32"/>
        </w:rPr>
      </w:pPr>
      <w:r>
        <w:rPr>
          <w:rFonts w:hint="eastAsia" w:ascii="??" w:hAnsi="??" w:eastAsia="宋体" w:cs="宋体"/>
          <w:sz w:val="16"/>
          <w:szCs w:val="16"/>
        </w:rPr>
        <w:t>　　</w:t>
      </w:r>
      <w:r>
        <w:rPr>
          <w:rFonts w:hint="eastAsia" w:hAnsi="黑体"/>
          <w:kern w:val="2"/>
          <w:sz w:val="32"/>
          <w:szCs w:val="32"/>
        </w:rPr>
        <w:t>阿坝州金川态环境局</w:t>
      </w:r>
      <w:r>
        <w:rPr>
          <w:rFonts w:hAnsi="黑体"/>
          <w:kern w:val="2"/>
          <w:sz w:val="32"/>
          <w:szCs w:val="32"/>
        </w:rPr>
        <w:t>20</w:t>
      </w:r>
      <w:r>
        <w:rPr>
          <w:rFonts w:hint="eastAsia" w:hAnsi="黑体"/>
          <w:kern w:val="2"/>
          <w:sz w:val="32"/>
          <w:szCs w:val="32"/>
          <w:lang w:val="en-US" w:eastAsia="zh-CN"/>
        </w:rPr>
        <w:t>26</w:t>
      </w:r>
      <w:r>
        <w:rPr>
          <w:rFonts w:hAnsi="黑体"/>
          <w:kern w:val="2"/>
          <w:sz w:val="32"/>
          <w:szCs w:val="32"/>
        </w:rPr>
        <w:t>年</w:t>
      </w:r>
      <w:r>
        <w:rPr>
          <w:rFonts w:hint="eastAsia" w:hAnsi="黑体"/>
          <w:kern w:val="2"/>
          <w:sz w:val="32"/>
          <w:szCs w:val="32"/>
        </w:rPr>
        <w:t>政府性基金预算拨款安排的支出0万元，与202</w:t>
      </w:r>
      <w:r>
        <w:rPr>
          <w:rFonts w:hint="eastAsia" w:hAnsi="黑体"/>
          <w:kern w:val="2"/>
          <w:sz w:val="32"/>
          <w:szCs w:val="32"/>
          <w:lang w:val="en-US" w:eastAsia="zh-CN"/>
        </w:rPr>
        <w:t>5</w:t>
      </w:r>
      <w:r>
        <w:rPr>
          <w:rFonts w:hint="eastAsia" w:hAnsi="黑体"/>
          <w:kern w:val="2"/>
          <w:sz w:val="32"/>
          <w:szCs w:val="32"/>
        </w:rPr>
        <w:t>年相比持平。</w:t>
      </w:r>
    </w:p>
    <w:p w14:paraId="78FACD8B">
      <w:pPr>
        <w:pStyle w:val="18"/>
        <w:spacing w:before="0" w:line="360" w:lineRule="auto"/>
        <w:ind w:firstLine="321" w:firstLineChars="200"/>
        <w:outlineLvl w:val="0"/>
        <w:rPr>
          <w:rFonts w:ascii="黑体" w:hAnsi="黑体" w:eastAsia="黑体" w:cs="黑体"/>
          <w:kern w:val="2"/>
          <w:sz w:val="32"/>
          <w:szCs w:val="32"/>
        </w:rPr>
      </w:pPr>
      <w:r>
        <w:rPr>
          <w:rFonts w:hint="eastAsia" w:ascii="??" w:hAnsi="??" w:eastAsia="宋体" w:cs="宋体"/>
          <w:b/>
          <w:bCs/>
          <w:sz w:val="16"/>
          <w:szCs w:val="16"/>
        </w:rPr>
        <w:t>　</w:t>
      </w:r>
      <w:bookmarkStart w:id="32" w:name="_Toc19097"/>
      <w:bookmarkStart w:id="33" w:name="_Toc26484"/>
      <w:r>
        <w:rPr>
          <w:rFonts w:hint="eastAsia" w:ascii="黑体" w:hAnsi="黑体" w:eastAsia="黑体" w:cs="黑体"/>
          <w:kern w:val="2"/>
          <w:sz w:val="32"/>
          <w:szCs w:val="32"/>
        </w:rPr>
        <w:t>九、其他重要事项的情况说明</w:t>
      </w:r>
      <w:bookmarkEnd w:id="32"/>
      <w:bookmarkEnd w:id="33"/>
    </w:p>
    <w:p w14:paraId="51B529D9">
      <w:pPr>
        <w:pStyle w:val="18"/>
        <w:spacing w:before="0" w:line="360" w:lineRule="auto"/>
        <w:ind w:firstLine="320" w:firstLineChars="200"/>
        <w:outlineLvl w:val="1"/>
        <w:rPr>
          <w:rFonts w:ascii="楷体_GB2312" w:hAnsi="黑体" w:eastAsia="楷体_GB2312" w:cs="楷体_GB2312"/>
          <w:b/>
          <w:bCs/>
          <w:kern w:val="2"/>
          <w:sz w:val="32"/>
          <w:szCs w:val="32"/>
        </w:rPr>
      </w:pPr>
      <w:r>
        <w:rPr>
          <w:rFonts w:hint="eastAsia" w:ascii="??" w:hAnsi="??" w:eastAsia="宋体" w:cs="宋体"/>
          <w:sz w:val="16"/>
          <w:szCs w:val="16"/>
        </w:rPr>
        <w:t>　　</w:t>
      </w:r>
      <w:bookmarkStart w:id="34" w:name="_Toc14177"/>
      <w:bookmarkStart w:id="35" w:name="_Toc22381"/>
      <w:r>
        <w:rPr>
          <w:rFonts w:hint="eastAsia" w:ascii="楷体_GB2312" w:hAnsi="黑体" w:eastAsia="楷体_GB2312" w:cs="楷体_GB2312"/>
          <w:b/>
          <w:bCs/>
          <w:kern w:val="2"/>
          <w:sz w:val="32"/>
          <w:szCs w:val="32"/>
        </w:rPr>
        <w:t>（一）机关运行经费</w:t>
      </w:r>
      <w:bookmarkEnd w:id="34"/>
      <w:bookmarkEnd w:id="35"/>
    </w:p>
    <w:p w14:paraId="29A26B77">
      <w:pPr>
        <w:pStyle w:val="18"/>
        <w:spacing w:before="0" w:line="360" w:lineRule="auto"/>
        <w:ind w:firstLine="640" w:firstLineChars="200"/>
        <w:rPr>
          <w:rFonts w:hAnsi="黑体"/>
          <w:kern w:val="2"/>
          <w:sz w:val="32"/>
          <w:szCs w:val="32"/>
        </w:rPr>
      </w:pPr>
      <w:r>
        <w:rPr>
          <w:rFonts w:hint="eastAsia" w:hAnsi="黑体"/>
          <w:kern w:val="2"/>
          <w:sz w:val="32"/>
          <w:szCs w:val="32"/>
        </w:rPr>
        <w:t>阿坝州金川生态环境局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机关运行经费财政拨款预算为</w:t>
      </w:r>
      <w:r>
        <w:rPr>
          <w:rFonts w:hint="eastAsia" w:hAnsi="黑体"/>
          <w:kern w:val="2"/>
          <w:sz w:val="32"/>
          <w:szCs w:val="32"/>
          <w:lang w:val="en-US" w:eastAsia="zh-CN"/>
        </w:rPr>
        <w:t>62.89</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w:t>
      </w:r>
      <w:r>
        <w:rPr>
          <w:rFonts w:hint="eastAsia" w:hAnsi="黑体"/>
          <w:kern w:val="2"/>
          <w:sz w:val="32"/>
          <w:szCs w:val="32"/>
          <w:lang w:val="en-US" w:eastAsia="zh-CN"/>
        </w:rPr>
        <w:t>减少1.74</w:t>
      </w:r>
      <w:r>
        <w:rPr>
          <w:rFonts w:hint="eastAsia" w:hAnsi="黑体"/>
          <w:kern w:val="2"/>
          <w:sz w:val="32"/>
          <w:szCs w:val="32"/>
        </w:rPr>
        <w:t>万元，增长</w:t>
      </w:r>
      <w:r>
        <w:rPr>
          <w:rFonts w:hint="eastAsia" w:hAnsi="黑体"/>
          <w:kern w:val="2"/>
          <w:sz w:val="32"/>
          <w:szCs w:val="32"/>
          <w:lang w:val="en-US" w:eastAsia="zh-CN"/>
        </w:rPr>
        <w:t>-2.7</w:t>
      </w:r>
      <w:r>
        <w:rPr>
          <w:rFonts w:hAnsi="黑体"/>
          <w:kern w:val="2"/>
          <w:sz w:val="32"/>
          <w:szCs w:val="32"/>
        </w:rPr>
        <w:t>%</w:t>
      </w:r>
      <w:r>
        <w:rPr>
          <w:rFonts w:hint="eastAsia" w:hAnsi="黑体"/>
          <w:kern w:val="2"/>
          <w:sz w:val="32"/>
          <w:szCs w:val="32"/>
        </w:rPr>
        <w:t>。</w:t>
      </w:r>
    </w:p>
    <w:p w14:paraId="22203355">
      <w:pPr>
        <w:pStyle w:val="18"/>
        <w:spacing w:before="0" w:line="360" w:lineRule="auto"/>
        <w:ind w:firstLine="321" w:firstLineChars="100"/>
        <w:outlineLvl w:val="1"/>
        <w:rPr>
          <w:rFonts w:ascii="楷体_GB2312" w:hAnsi="黑体" w:eastAsia="楷体_GB2312" w:cs="Times New Roman"/>
          <w:b/>
          <w:bCs/>
          <w:kern w:val="2"/>
          <w:sz w:val="32"/>
          <w:szCs w:val="32"/>
        </w:rPr>
      </w:pPr>
      <w:bookmarkStart w:id="36" w:name="_Toc22698"/>
      <w:bookmarkStart w:id="37" w:name="_Toc31956"/>
      <w:r>
        <w:rPr>
          <w:rFonts w:hint="eastAsia" w:ascii="楷体_GB2312" w:hAnsi="黑体" w:eastAsia="楷体_GB2312" w:cs="楷体_GB2312"/>
          <w:b/>
          <w:bCs/>
          <w:kern w:val="2"/>
          <w:sz w:val="32"/>
          <w:szCs w:val="32"/>
        </w:rPr>
        <w:t>（二）政府采购情况</w:t>
      </w:r>
      <w:bookmarkEnd w:id="36"/>
      <w:bookmarkEnd w:id="37"/>
    </w:p>
    <w:p w14:paraId="351BEC54">
      <w:pPr>
        <w:pStyle w:val="18"/>
        <w:spacing w:before="0" w:line="360" w:lineRule="auto"/>
        <w:ind w:firstLine="640" w:firstLineChars="200"/>
        <w:rPr>
          <w:rFonts w:hAnsi="黑体" w:cs="Times New Roman"/>
          <w:kern w:val="2"/>
          <w:sz w:val="32"/>
          <w:szCs w:val="32"/>
        </w:rPr>
      </w:pP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阿坝州金川生态环境局安排政府采购预算0万元。</w:t>
      </w:r>
    </w:p>
    <w:p w14:paraId="6D13E448">
      <w:pPr>
        <w:pStyle w:val="18"/>
        <w:numPr>
          <w:ilvl w:val="0"/>
          <w:numId w:val="2"/>
        </w:numPr>
        <w:spacing w:before="0" w:line="360" w:lineRule="auto"/>
        <w:ind w:firstLine="321" w:firstLineChars="100"/>
        <w:outlineLvl w:val="1"/>
        <w:rPr>
          <w:rFonts w:ascii="楷体_GB2312" w:hAnsi="黑体" w:eastAsia="楷体_GB2312" w:cs="楷体_GB2312"/>
          <w:b/>
          <w:bCs/>
          <w:kern w:val="2"/>
          <w:sz w:val="32"/>
          <w:szCs w:val="32"/>
        </w:rPr>
      </w:pPr>
      <w:bookmarkStart w:id="38" w:name="_Toc21216"/>
      <w:bookmarkStart w:id="39" w:name="_Toc8472"/>
      <w:r>
        <w:rPr>
          <w:rFonts w:hint="eastAsia" w:ascii="楷体_GB2312" w:hAnsi="黑体" w:eastAsia="楷体_GB2312" w:cs="楷体_GB2312"/>
          <w:b/>
          <w:bCs/>
          <w:kern w:val="2"/>
          <w:sz w:val="32"/>
          <w:szCs w:val="32"/>
        </w:rPr>
        <w:t>国有资产占有使用情况</w:t>
      </w:r>
      <w:bookmarkEnd w:id="38"/>
      <w:bookmarkEnd w:id="39"/>
    </w:p>
    <w:p w14:paraId="1427D148">
      <w:pPr>
        <w:pStyle w:val="18"/>
        <w:spacing w:before="0" w:line="360" w:lineRule="auto"/>
        <w:ind w:firstLine="640" w:firstLineChars="200"/>
        <w:rPr>
          <w:rFonts w:hAnsi="黑体"/>
          <w:kern w:val="2"/>
          <w:sz w:val="32"/>
          <w:szCs w:val="32"/>
        </w:rPr>
      </w:pPr>
      <w:r>
        <w:rPr>
          <w:rFonts w:hint="eastAsia" w:hAnsi="黑体"/>
          <w:kern w:val="2"/>
          <w:sz w:val="32"/>
          <w:szCs w:val="32"/>
        </w:rPr>
        <w:t>无。</w:t>
      </w:r>
    </w:p>
    <w:p w14:paraId="0B519BB2">
      <w:pPr>
        <w:pStyle w:val="18"/>
        <w:spacing w:before="0" w:line="360" w:lineRule="auto"/>
        <w:ind w:firstLine="321" w:firstLineChars="100"/>
        <w:outlineLvl w:val="1"/>
        <w:rPr>
          <w:rFonts w:ascii="楷体_GB2312" w:hAnsi="黑体" w:eastAsia="楷体_GB2312" w:cs="楷体_GB2312"/>
          <w:b/>
          <w:bCs/>
          <w:kern w:val="2"/>
          <w:sz w:val="32"/>
          <w:szCs w:val="32"/>
        </w:rPr>
      </w:pPr>
      <w:bookmarkStart w:id="40" w:name="_Toc19266"/>
      <w:bookmarkStart w:id="41" w:name="_Toc22930"/>
      <w:r>
        <w:rPr>
          <w:rFonts w:hint="eastAsia" w:ascii="楷体_GB2312" w:hAnsi="黑体" w:eastAsia="楷体_GB2312" w:cs="楷体_GB2312"/>
          <w:b/>
          <w:bCs/>
          <w:kern w:val="2"/>
          <w:sz w:val="32"/>
          <w:szCs w:val="32"/>
        </w:rPr>
        <w:t>（四）绩效目标设置情况</w:t>
      </w:r>
      <w:bookmarkEnd w:id="40"/>
      <w:bookmarkEnd w:id="41"/>
    </w:p>
    <w:p w14:paraId="268F0FBB">
      <w:pPr>
        <w:pStyle w:val="18"/>
        <w:spacing w:before="0" w:line="360" w:lineRule="auto"/>
        <w:ind w:firstLine="320" w:firstLineChars="100"/>
        <w:rPr>
          <w:rFonts w:hAnsi="黑体" w:cs="Times New Roman"/>
          <w:kern w:val="2"/>
          <w:sz w:val="32"/>
          <w:szCs w:val="32"/>
        </w:rPr>
      </w:pPr>
      <w:r>
        <w:rPr>
          <w:rFonts w:hint="eastAsia" w:hAnsi="黑体"/>
          <w:kern w:val="2"/>
          <w:sz w:val="32"/>
          <w:szCs w:val="32"/>
        </w:rPr>
        <w:t>　</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阿坝州金川生态环境局通用项目和专用项目均按要求实行绩效目标管理，涉及一般公共预算当年拨款</w:t>
      </w:r>
      <w:r>
        <w:rPr>
          <w:rFonts w:hint="eastAsia" w:hAnsi="黑体"/>
          <w:kern w:val="2"/>
          <w:sz w:val="32"/>
          <w:szCs w:val="32"/>
          <w:lang w:val="en-US" w:eastAsia="zh-CN"/>
        </w:rPr>
        <w:t>399.83</w:t>
      </w:r>
      <w:r>
        <w:rPr>
          <w:rFonts w:hint="eastAsia" w:hAnsi="黑体"/>
          <w:kern w:val="2"/>
          <w:sz w:val="32"/>
          <w:szCs w:val="32"/>
        </w:rPr>
        <w:t>万元。</w:t>
      </w:r>
    </w:p>
    <w:p w14:paraId="03907D96">
      <w:pPr>
        <w:pStyle w:val="18"/>
        <w:spacing w:before="0" w:line="360" w:lineRule="auto"/>
        <w:ind w:firstLine="320" w:firstLineChars="100"/>
        <w:outlineLvl w:val="0"/>
        <w:rPr>
          <w:rFonts w:ascii="??" w:hAnsi="??" w:eastAsia="宋体" w:cs="Times New Roman"/>
          <w:sz w:val="16"/>
          <w:szCs w:val="16"/>
        </w:rPr>
      </w:pPr>
      <w:bookmarkStart w:id="42" w:name="_Toc27005"/>
      <w:bookmarkStart w:id="43" w:name="_Toc22596"/>
      <w:r>
        <w:rPr>
          <w:rFonts w:hint="eastAsia" w:ascii="黑体" w:hAnsi="黑体" w:eastAsia="黑体" w:cs="黑体"/>
          <w:kern w:val="2"/>
          <w:sz w:val="32"/>
          <w:szCs w:val="32"/>
        </w:rPr>
        <w:t>十、名词解释</w:t>
      </w:r>
      <w:bookmarkEnd w:id="42"/>
      <w:bookmarkEnd w:id="43"/>
    </w:p>
    <w:p w14:paraId="42111FC6">
      <w:pPr>
        <w:pStyle w:val="18"/>
        <w:spacing w:before="0" w:line="360" w:lineRule="auto"/>
        <w:ind w:firstLine="640" w:firstLineChars="200"/>
        <w:rPr>
          <w:rFonts w:hAnsi="黑体"/>
          <w:kern w:val="2"/>
          <w:sz w:val="32"/>
          <w:szCs w:val="32"/>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14:paraId="5199FCA5">
      <w:pPr>
        <w:pStyle w:val="18"/>
        <w:spacing w:before="0" w:line="360" w:lineRule="auto"/>
        <w:ind w:firstLine="640" w:firstLineChars="200"/>
        <w:rPr>
          <w:rFonts w:hAnsi="黑体"/>
          <w:kern w:val="2"/>
          <w:sz w:val="32"/>
          <w:szCs w:val="32"/>
        </w:rPr>
      </w:pPr>
      <w:r>
        <w:rPr>
          <w:rFonts w:hint="eastAsia" w:hAnsi="黑体"/>
          <w:kern w:val="2"/>
          <w:sz w:val="32"/>
          <w:szCs w:val="32"/>
        </w:rPr>
        <w:t>（二）事业收入：指所属事业单位开展专业业务活动及辅助活动所取得的收入。</w:t>
      </w:r>
    </w:p>
    <w:p w14:paraId="13B9F109">
      <w:pPr>
        <w:pStyle w:val="18"/>
        <w:spacing w:before="0" w:line="360" w:lineRule="auto"/>
        <w:ind w:firstLine="640" w:firstLineChars="200"/>
        <w:rPr>
          <w:rFonts w:hAnsi="黑体"/>
          <w:kern w:val="2"/>
          <w:sz w:val="32"/>
          <w:szCs w:val="32"/>
        </w:rPr>
      </w:pPr>
      <w:r>
        <w:rPr>
          <w:rFonts w:hint="eastAsia" w:hAnsi="黑体"/>
          <w:kern w:val="2"/>
          <w:sz w:val="32"/>
          <w:szCs w:val="32"/>
        </w:rPr>
        <w:t>（三）事业单位经营收入：指所属事业单位在专业业务活动及其辅助活动之外开展非独立核算经营活动取得的收入。</w:t>
      </w:r>
    </w:p>
    <w:p w14:paraId="7ACBC72C">
      <w:pPr>
        <w:pStyle w:val="18"/>
        <w:spacing w:before="0" w:line="360" w:lineRule="auto"/>
        <w:ind w:firstLine="640" w:firstLineChars="200"/>
        <w:rPr>
          <w:rFonts w:hAnsi="黑体"/>
          <w:kern w:val="2"/>
          <w:sz w:val="32"/>
          <w:szCs w:val="32"/>
        </w:rPr>
      </w:pPr>
      <w:r>
        <w:rPr>
          <w:rFonts w:hint="eastAsia" w:hAnsi="黑体"/>
          <w:kern w:val="2"/>
          <w:sz w:val="32"/>
          <w:szCs w:val="32"/>
        </w:rPr>
        <w:t>（四）其他收入：指除上述</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14:paraId="41AF4A2F">
      <w:pPr>
        <w:pStyle w:val="18"/>
        <w:spacing w:before="0" w:line="360" w:lineRule="auto"/>
        <w:ind w:firstLine="640" w:firstLineChars="200"/>
        <w:rPr>
          <w:rFonts w:hAnsi="黑体"/>
          <w:kern w:val="2"/>
          <w:sz w:val="32"/>
          <w:szCs w:val="32"/>
        </w:rPr>
      </w:pPr>
      <w:r>
        <w:rPr>
          <w:rFonts w:hint="eastAsia" w:hAnsi="黑体"/>
          <w:kern w:val="2"/>
          <w:sz w:val="32"/>
          <w:szCs w:val="32"/>
        </w:rPr>
        <w:t>（五）用事业基金弥补收支差额：指所属事业单位在预计用当年的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w:t>
      </w:r>
      <w:r>
        <w:rPr>
          <w:rFonts w:hAnsi="黑体" w:cs="Times New Roman"/>
          <w:kern w:val="2"/>
          <w:sz w:val="32"/>
          <w:szCs w:val="32"/>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14:paraId="2C04948F">
      <w:pPr>
        <w:pStyle w:val="18"/>
        <w:spacing w:before="0" w:line="360" w:lineRule="auto"/>
        <w:ind w:firstLine="640" w:firstLineChars="200"/>
        <w:rPr>
          <w:rFonts w:hAnsi="黑体" w:cs="Times New Roman"/>
          <w:kern w:val="2"/>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p w14:paraId="6FD938D0">
      <w:pPr>
        <w:rPr>
          <w:rFonts w:ascii="仿宋_GB2312" w:hAnsi="黑体" w:eastAsia="仿宋_GB2312" w:cs="Times New Roman"/>
          <w:sz w:val="32"/>
          <w:szCs w:val="32"/>
        </w:rPr>
      </w:pPr>
    </w:p>
    <w:p w14:paraId="4CCCC22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D00D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6C4E9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F6C4E9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ED3A5"/>
    <w:multiLevelType w:val="singleLevel"/>
    <w:tmpl w:val="BB6ED3A5"/>
    <w:lvl w:ilvl="0" w:tentative="0">
      <w:start w:val="1"/>
      <w:numFmt w:val="chineseCounting"/>
      <w:suff w:val="nothing"/>
      <w:lvlText w:val="%1、"/>
      <w:lvlJc w:val="left"/>
      <w:rPr>
        <w:rFonts w:hint="eastAsia"/>
      </w:rPr>
    </w:lvl>
  </w:abstractNum>
  <w:abstractNum w:abstractNumId="1">
    <w:nsid w:val="6CD6AA54"/>
    <w:multiLevelType w:val="singleLevel"/>
    <w:tmpl w:val="6CD6AA5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854"/>
    <w:rsid w:val="00025B29"/>
    <w:rsid w:val="000329A3"/>
    <w:rsid w:val="00085137"/>
    <w:rsid w:val="00260082"/>
    <w:rsid w:val="00291AF0"/>
    <w:rsid w:val="0031719B"/>
    <w:rsid w:val="00352854"/>
    <w:rsid w:val="003762A5"/>
    <w:rsid w:val="0038264F"/>
    <w:rsid w:val="00397759"/>
    <w:rsid w:val="003A181F"/>
    <w:rsid w:val="00412E78"/>
    <w:rsid w:val="00424F18"/>
    <w:rsid w:val="00461129"/>
    <w:rsid w:val="00464DF6"/>
    <w:rsid w:val="00491A9E"/>
    <w:rsid w:val="004C5E33"/>
    <w:rsid w:val="00524245"/>
    <w:rsid w:val="0053029E"/>
    <w:rsid w:val="005E7638"/>
    <w:rsid w:val="00600573"/>
    <w:rsid w:val="0068558D"/>
    <w:rsid w:val="0072775D"/>
    <w:rsid w:val="00732B2C"/>
    <w:rsid w:val="007710D3"/>
    <w:rsid w:val="007B3677"/>
    <w:rsid w:val="00887A60"/>
    <w:rsid w:val="008D29B8"/>
    <w:rsid w:val="008F08A5"/>
    <w:rsid w:val="008F63EB"/>
    <w:rsid w:val="00946F5B"/>
    <w:rsid w:val="009601FB"/>
    <w:rsid w:val="009648A7"/>
    <w:rsid w:val="00985771"/>
    <w:rsid w:val="00987B5A"/>
    <w:rsid w:val="00A13E3A"/>
    <w:rsid w:val="00A60456"/>
    <w:rsid w:val="00A718C1"/>
    <w:rsid w:val="00A809F6"/>
    <w:rsid w:val="00A817DB"/>
    <w:rsid w:val="00A823DE"/>
    <w:rsid w:val="00B52290"/>
    <w:rsid w:val="00B92D9F"/>
    <w:rsid w:val="00C01031"/>
    <w:rsid w:val="00C0348B"/>
    <w:rsid w:val="00C44125"/>
    <w:rsid w:val="00C451EA"/>
    <w:rsid w:val="00C6559E"/>
    <w:rsid w:val="00C8183B"/>
    <w:rsid w:val="00D06D76"/>
    <w:rsid w:val="00D21203"/>
    <w:rsid w:val="00D22494"/>
    <w:rsid w:val="00D31706"/>
    <w:rsid w:val="00DA0A13"/>
    <w:rsid w:val="00DB6419"/>
    <w:rsid w:val="00DC3237"/>
    <w:rsid w:val="00DC4CBE"/>
    <w:rsid w:val="00DD750A"/>
    <w:rsid w:val="00E16BE3"/>
    <w:rsid w:val="00E81B4A"/>
    <w:rsid w:val="00E92D84"/>
    <w:rsid w:val="00ED332B"/>
    <w:rsid w:val="00F14BDD"/>
    <w:rsid w:val="00F267C7"/>
    <w:rsid w:val="00F40C09"/>
    <w:rsid w:val="00F743F0"/>
    <w:rsid w:val="00F80C32"/>
    <w:rsid w:val="00F85776"/>
    <w:rsid w:val="00F96BE5"/>
    <w:rsid w:val="00FB0555"/>
    <w:rsid w:val="00FF11B9"/>
    <w:rsid w:val="06DF0807"/>
    <w:rsid w:val="07D07D6B"/>
    <w:rsid w:val="07F55C2D"/>
    <w:rsid w:val="08497B23"/>
    <w:rsid w:val="08C83E06"/>
    <w:rsid w:val="0E1E29A5"/>
    <w:rsid w:val="0E5C414B"/>
    <w:rsid w:val="0F2F6052"/>
    <w:rsid w:val="15812584"/>
    <w:rsid w:val="16962B9B"/>
    <w:rsid w:val="19C851B8"/>
    <w:rsid w:val="1F350CF1"/>
    <w:rsid w:val="1F6D2589"/>
    <w:rsid w:val="20023C4E"/>
    <w:rsid w:val="20376C32"/>
    <w:rsid w:val="306E738C"/>
    <w:rsid w:val="330374B0"/>
    <w:rsid w:val="34311A53"/>
    <w:rsid w:val="35B5220F"/>
    <w:rsid w:val="35C2598E"/>
    <w:rsid w:val="3B283FEC"/>
    <w:rsid w:val="3B911029"/>
    <w:rsid w:val="41CE5572"/>
    <w:rsid w:val="41F61BE6"/>
    <w:rsid w:val="42B82E1D"/>
    <w:rsid w:val="44945124"/>
    <w:rsid w:val="45BA1ABA"/>
    <w:rsid w:val="492434DC"/>
    <w:rsid w:val="52A30122"/>
    <w:rsid w:val="533B6D5D"/>
    <w:rsid w:val="572E38FA"/>
    <w:rsid w:val="5A810B67"/>
    <w:rsid w:val="5DC47551"/>
    <w:rsid w:val="6042589C"/>
    <w:rsid w:val="613100ED"/>
    <w:rsid w:val="62E33669"/>
    <w:rsid w:val="67DF08A2"/>
    <w:rsid w:val="69D01E6E"/>
    <w:rsid w:val="6CCA7D73"/>
    <w:rsid w:val="75571002"/>
    <w:rsid w:val="7700145E"/>
    <w:rsid w:val="7845475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23"/>
    <w:qFormat/>
    <w:locked/>
    <w:uiPriority w:val="0"/>
    <w:pPr>
      <w:keepNext/>
      <w:keepLines/>
      <w:spacing w:line="576" w:lineRule="auto"/>
      <w:outlineLvl w:val="0"/>
    </w:pPr>
    <w:rPr>
      <w:b/>
      <w:kern w:val="44"/>
      <w:sz w:val="44"/>
    </w:rPr>
  </w:style>
  <w:style w:type="paragraph" w:styleId="5">
    <w:name w:val="heading 2"/>
    <w:basedOn w:val="1"/>
    <w:next w:val="1"/>
    <w:unhideWhenUsed/>
    <w:qFormat/>
    <w:locked/>
    <w:uiPriority w:val="0"/>
    <w:pPr>
      <w:keepNext/>
      <w:keepLines/>
      <w:spacing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0"/>
    <w:pPr>
      <w:ind w:firstLine="560" w:firstLineChars="200"/>
    </w:pPr>
    <w:rPr>
      <w:kern w:val="0"/>
      <w:sz w:val="24"/>
    </w:rPr>
  </w:style>
  <w:style w:type="paragraph" w:styleId="6">
    <w:name w:val="toc 3"/>
    <w:basedOn w:val="1"/>
    <w:next w:val="1"/>
    <w:locked/>
    <w:uiPriority w:val="0"/>
    <w:pPr>
      <w:ind w:left="840" w:leftChars="400"/>
    </w:pPr>
  </w:style>
  <w:style w:type="paragraph" w:styleId="7">
    <w:name w:val="Plain Text"/>
    <w:basedOn w:val="1"/>
    <w:qFormat/>
    <w:uiPriority w:val="0"/>
    <w:rPr>
      <w:rFonts w:ascii="宋体" w:hAnsi="Courier New"/>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locked/>
    <w:uiPriority w:val="0"/>
  </w:style>
  <w:style w:type="paragraph" w:styleId="11">
    <w:name w:val="toc 2"/>
    <w:basedOn w:val="1"/>
    <w:next w:val="1"/>
    <w:qFormat/>
    <w:locked/>
    <w:uiPriority w:val="0"/>
    <w:pPr>
      <w:ind w:left="420" w:leftChars="200"/>
    </w:pPr>
  </w:style>
  <w:style w:type="paragraph" w:styleId="12">
    <w:name w:val="Normal (Web)"/>
    <w:basedOn w:val="1"/>
    <w:qFormat/>
    <w:uiPriority w:val="0"/>
    <w:pPr>
      <w:spacing w:before="100" w:beforeAutospacing="1" w:after="100" w:afterAutospacing="1"/>
      <w:jc w:val="left"/>
    </w:pPr>
    <w:rPr>
      <w:rFonts w:cs="Times New Roman"/>
      <w:kern w:val="0"/>
      <w:sz w:val="24"/>
    </w:rPr>
  </w:style>
  <w:style w:type="character" w:styleId="15">
    <w:name w:val="Emphasis"/>
    <w:basedOn w:val="14"/>
    <w:qFormat/>
    <w:uiPriority w:val="99"/>
  </w:style>
  <w:style w:type="character" w:customStyle="1" w:styleId="16">
    <w:name w:val="页眉 Char"/>
    <w:basedOn w:val="14"/>
    <w:link w:val="9"/>
    <w:qFormat/>
    <w:locked/>
    <w:uiPriority w:val="99"/>
    <w:rPr>
      <w:sz w:val="18"/>
      <w:szCs w:val="18"/>
    </w:rPr>
  </w:style>
  <w:style w:type="character" w:customStyle="1" w:styleId="17">
    <w:name w:val="页脚 Char"/>
    <w:basedOn w:val="14"/>
    <w:link w:val="8"/>
    <w:qFormat/>
    <w:locked/>
    <w:uiPriority w:val="99"/>
    <w:rPr>
      <w:sz w:val="18"/>
      <w:szCs w:val="18"/>
    </w:rPr>
  </w:style>
  <w:style w:type="paragraph" w:customStyle="1" w:styleId="18">
    <w:name w:val="正文文本1"/>
    <w:basedOn w:val="1"/>
    <w:qFormat/>
    <w:uiPriority w:val="99"/>
    <w:pPr>
      <w:spacing w:before="93"/>
    </w:pPr>
    <w:rPr>
      <w:rFonts w:ascii="仿宋_GB2312" w:hAnsi="仿宋_GB2312" w:eastAsia="仿宋_GB2312" w:cs="仿宋_GB2312"/>
      <w:kern w:val="0"/>
      <w:sz w:val="30"/>
      <w:szCs w:val="30"/>
    </w:rPr>
  </w:style>
  <w:style w:type="character" w:customStyle="1" w:styleId="19">
    <w:name w:val="默认段落字体1"/>
    <w:qFormat/>
    <w:uiPriority w:val="99"/>
    <w:rPr>
      <w:sz w:val="22"/>
      <w:szCs w:val="22"/>
    </w:rPr>
  </w:style>
  <w:style w:type="paragraph" w:styleId="20">
    <w:name w:val="List Paragraph"/>
    <w:basedOn w:val="1"/>
    <w:qFormat/>
    <w:uiPriority w:val="99"/>
    <w:pPr>
      <w:ind w:firstLine="420" w:firstLineChars="200"/>
    </w:pPr>
  </w:style>
  <w:style w:type="paragraph" w:customStyle="1" w:styleId="21">
    <w:name w:val="WPSOffice手动目录 1"/>
    <w:qFormat/>
    <w:uiPriority w:val="0"/>
    <w:rPr>
      <w:rFonts w:ascii="Calibri" w:hAnsi="Calibri" w:eastAsia="宋体" w:cs="Times New Roman"/>
      <w:lang w:val="en-US" w:eastAsia="zh-CN" w:bidi="ar-SA"/>
    </w:rPr>
  </w:style>
  <w:style w:type="paragraph" w:customStyle="1" w:styleId="22">
    <w:name w:val="WPSOffice手动目录 2"/>
    <w:qFormat/>
    <w:uiPriority w:val="0"/>
    <w:pPr>
      <w:ind w:left="200" w:leftChars="200"/>
    </w:pPr>
    <w:rPr>
      <w:rFonts w:ascii="Calibri" w:hAnsi="Calibri" w:eastAsia="宋体" w:cs="Times New Roman"/>
      <w:lang w:val="en-US" w:eastAsia="zh-CN" w:bidi="ar-SA"/>
    </w:rPr>
  </w:style>
  <w:style w:type="character" w:customStyle="1" w:styleId="23">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3763</Words>
  <Characters>4170</Characters>
  <Lines>34</Lines>
  <Paragraphs>9</Paragraphs>
  <TotalTime>37</TotalTime>
  <ScaleCrop>false</ScaleCrop>
  <LinksUpToDate>false</LinksUpToDate>
  <CharactersWithSpaces>4203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2024-01-16T04:03:00Z</dcterms:created>
  <dc:creator>薛永萍</dc:creator>
  <cp:lastModifiedBy>阿飘</cp:lastModifiedBy>
  <dcterms:modified xsi:type="dcterms:W3CDTF">2026-01-18T05:10:41Z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817CE5A7B87B40EC8CFAF203F8C71FC1_13</vt:lpwstr>
  </property>
  <property fmtid="{D5CDD505-2E9C-101B-9397-08002B2CF9AE}" pid="4" name="KSOTemplateDocerSaveRecord">
    <vt:lpwstr>eyJoZGlkIjoiNjU3YjcxY2M1NzhkNzgyYWE4NGRjMGUxY2M2ZTA2MGMiLCJ1c2VySWQiOiIxMTM2MTk1MDA2In0=</vt:lpwstr>
  </property>
</Properties>
</file>